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7332A" w14:textId="33EEE260" w:rsidR="00FF3592" w:rsidRPr="005C283B" w:rsidRDefault="00F960DF" w:rsidP="00032D1E">
      <w:pPr>
        <w:spacing w:line="240" w:lineRule="auto"/>
        <w:rPr>
          <w:b/>
          <w:lang w:val="en-GB"/>
        </w:rPr>
      </w:pPr>
      <w:r w:rsidRPr="005C283B">
        <w:rPr>
          <w:b/>
          <w:lang w:val="en-US"/>
        </w:rPr>
        <w:t xml:space="preserve">Supporting </w:t>
      </w:r>
      <w:r w:rsidRPr="005C283B">
        <w:rPr>
          <w:b/>
          <w:lang w:val="en-GB"/>
        </w:rPr>
        <w:t>inf</w:t>
      </w:r>
      <w:r w:rsidR="00FF3592" w:rsidRPr="005C283B">
        <w:rPr>
          <w:b/>
          <w:lang w:val="en-GB"/>
        </w:rPr>
        <w:t>o</w:t>
      </w:r>
      <w:r w:rsidRPr="005C283B">
        <w:rPr>
          <w:b/>
          <w:lang w:val="en-GB"/>
        </w:rPr>
        <w:t>r</w:t>
      </w:r>
      <w:r w:rsidR="00FF3592" w:rsidRPr="005C283B">
        <w:rPr>
          <w:b/>
          <w:lang w:val="en-GB"/>
        </w:rPr>
        <w:t>mation</w:t>
      </w:r>
    </w:p>
    <w:p w14:paraId="2BF32BBC" w14:textId="77777777" w:rsidR="00B5204D" w:rsidRPr="005C283B" w:rsidRDefault="00B5204D" w:rsidP="00B5204D">
      <w:pPr>
        <w:spacing w:line="480" w:lineRule="auto"/>
        <w:rPr>
          <w:rFonts w:ascii="Times New Roman" w:hAnsi="Times New Roman" w:cs="Times New Roman"/>
          <w:sz w:val="24"/>
          <w:szCs w:val="24"/>
          <w:lang w:val="en-US"/>
        </w:rPr>
      </w:pPr>
      <w:r w:rsidRPr="005C283B">
        <w:rPr>
          <w:rFonts w:ascii="Times New Roman" w:hAnsi="Times New Roman" w:cs="Times New Roman"/>
          <w:sz w:val="24"/>
          <w:szCs w:val="24"/>
          <w:lang w:val="en-US"/>
        </w:rPr>
        <w:t>Novel UV-activated biofunctionalization of up-converting nanocrystals for detection of proteins</w:t>
      </w:r>
      <w:bookmarkStart w:id="0" w:name="_GoBack"/>
      <w:bookmarkEnd w:id="0"/>
    </w:p>
    <w:p w14:paraId="04C0866A" w14:textId="43EBF49C" w:rsidR="0039748C" w:rsidRPr="005C283B" w:rsidRDefault="0039748C" w:rsidP="0039748C">
      <w:pPr>
        <w:spacing w:line="240" w:lineRule="auto"/>
        <w:rPr>
          <w:rFonts w:ascii="Times New Roman" w:hAnsi="Times New Roman" w:cs="Times New Roman"/>
        </w:rPr>
      </w:pPr>
      <w:r w:rsidRPr="005C283B">
        <w:rPr>
          <w:rFonts w:ascii="Times New Roman" w:hAnsi="Times New Roman" w:cs="Times New Roman"/>
        </w:rPr>
        <w:t>Małgorzata Misiak</w:t>
      </w:r>
      <w:r w:rsidR="005C22CF" w:rsidRPr="005C283B">
        <w:rPr>
          <w:rFonts w:ascii="Times New Roman" w:hAnsi="Times New Roman" w:cs="Times New Roman"/>
        </w:rPr>
        <w:t>*</w:t>
      </w:r>
      <w:r w:rsidRPr="005C283B">
        <w:rPr>
          <w:rFonts w:ascii="Times New Roman" w:hAnsi="Times New Roman" w:cs="Times New Roman"/>
          <w:vertAlign w:val="superscript"/>
        </w:rPr>
        <w:t>1</w:t>
      </w:r>
      <w:r w:rsidR="005C22CF" w:rsidRPr="005C283B">
        <w:rPr>
          <w:rFonts w:ascii="Times New Roman" w:hAnsi="Times New Roman" w:cs="Times New Roman"/>
          <w:vertAlign w:val="superscript"/>
        </w:rPr>
        <w:t>,2</w:t>
      </w:r>
      <w:r w:rsidRPr="005C283B">
        <w:rPr>
          <w:rFonts w:ascii="Times New Roman" w:hAnsi="Times New Roman" w:cs="Times New Roman"/>
        </w:rPr>
        <w:t xml:space="preserve"> , Maciej Gawłowski</w:t>
      </w:r>
      <w:r w:rsidRPr="005C283B">
        <w:rPr>
          <w:rFonts w:ascii="Times New Roman" w:hAnsi="Times New Roman" w:cs="Times New Roman"/>
          <w:vertAlign w:val="superscript"/>
        </w:rPr>
        <w:t>1</w:t>
      </w:r>
      <w:r w:rsidRPr="005C283B">
        <w:rPr>
          <w:rFonts w:ascii="Times New Roman" w:hAnsi="Times New Roman" w:cs="Times New Roman"/>
        </w:rPr>
        <w:t>, Agnieszka Kowalczyk</w:t>
      </w:r>
      <w:r w:rsidRPr="005C283B">
        <w:rPr>
          <w:rFonts w:ascii="Times New Roman" w:hAnsi="Times New Roman" w:cs="Times New Roman"/>
          <w:vertAlign w:val="superscript"/>
        </w:rPr>
        <w:t>1</w:t>
      </w:r>
      <w:r w:rsidRPr="005C283B">
        <w:rPr>
          <w:rFonts w:ascii="Times New Roman" w:hAnsi="Times New Roman" w:cs="Times New Roman"/>
        </w:rPr>
        <w:t>, Michał Skowicki</w:t>
      </w:r>
      <w:r w:rsidRPr="005C283B">
        <w:rPr>
          <w:rFonts w:ascii="Times New Roman" w:hAnsi="Times New Roman" w:cs="Times New Roman"/>
          <w:vertAlign w:val="superscript"/>
        </w:rPr>
        <w:t>1</w:t>
      </w:r>
      <w:r w:rsidRPr="005C283B">
        <w:rPr>
          <w:rFonts w:ascii="Times New Roman" w:hAnsi="Times New Roman" w:cs="Times New Roman"/>
        </w:rPr>
        <w:t>, Katarzyna Prorok</w:t>
      </w:r>
      <w:r w:rsidRPr="005C283B">
        <w:rPr>
          <w:rFonts w:ascii="Times New Roman" w:hAnsi="Times New Roman" w:cs="Times New Roman"/>
          <w:vertAlign w:val="superscript"/>
        </w:rPr>
        <w:t>2</w:t>
      </w:r>
      <w:r w:rsidRPr="005C283B">
        <w:rPr>
          <w:rFonts w:ascii="Times New Roman" w:hAnsi="Times New Roman" w:cs="Times New Roman"/>
        </w:rPr>
        <w:t>, Tomasz Lipiński*</w:t>
      </w:r>
      <w:r w:rsidRPr="005C283B">
        <w:rPr>
          <w:rFonts w:ascii="Times New Roman" w:hAnsi="Times New Roman" w:cs="Times New Roman"/>
          <w:vertAlign w:val="superscript"/>
        </w:rPr>
        <w:t>1</w:t>
      </w:r>
    </w:p>
    <w:p w14:paraId="68F1410F" w14:textId="7F63E1DA" w:rsidR="0039748C" w:rsidRPr="005C283B" w:rsidRDefault="0039748C" w:rsidP="0039748C">
      <w:pPr>
        <w:spacing w:line="240" w:lineRule="auto"/>
        <w:rPr>
          <w:rFonts w:ascii="Times New Roman" w:hAnsi="Times New Roman" w:cs="Times New Roman"/>
          <w:lang w:val="en-US"/>
        </w:rPr>
      </w:pPr>
      <w:r w:rsidRPr="005C283B">
        <w:rPr>
          <w:rFonts w:ascii="Times New Roman" w:hAnsi="Times New Roman" w:cs="Times New Roman"/>
          <w:lang w:val="en-US"/>
        </w:rPr>
        <w:t>*Corresponding authors</w:t>
      </w:r>
    </w:p>
    <w:p w14:paraId="35DC5CC9" w14:textId="41963B4E" w:rsidR="005C22CF" w:rsidRPr="005C283B" w:rsidRDefault="005C22CF" w:rsidP="0039748C">
      <w:pPr>
        <w:spacing w:line="240" w:lineRule="auto"/>
        <w:rPr>
          <w:rFonts w:ascii="Times New Roman" w:hAnsi="Times New Roman" w:cs="Times New Roman"/>
          <w:i/>
          <w:iCs/>
          <w:lang w:val="en-US"/>
        </w:rPr>
      </w:pPr>
      <w:r w:rsidRPr="005C283B">
        <w:rPr>
          <w:rFonts w:ascii="Times New Roman" w:hAnsi="Times New Roman" w:cs="Times New Roman"/>
          <w:i/>
          <w:iCs/>
          <w:lang w:val="en-US"/>
        </w:rPr>
        <w:t>m.misiak@intibs.pl</w:t>
      </w:r>
    </w:p>
    <w:p w14:paraId="0A59D144" w14:textId="77777777" w:rsidR="0039748C" w:rsidRPr="005C283B" w:rsidRDefault="0039748C" w:rsidP="0039748C">
      <w:pPr>
        <w:spacing w:line="240" w:lineRule="auto"/>
        <w:rPr>
          <w:rFonts w:ascii="Times New Roman" w:hAnsi="Times New Roman" w:cs="Times New Roman"/>
          <w:i/>
          <w:iCs/>
          <w:lang w:val="en-US"/>
        </w:rPr>
      </w:pPr>
      <w:r w:rsidRPr="005C283B">
        <w:rPr>
          <w:rFonts w:ascii="Times New Roman" w:hAnsi="Times New Roman" w:cs="Times New Roman"/>
          <w:i/>
          <w:iCs/>
          <w:lang w:val="en-US"/>
        </w:rPr>
        <w:t xml:space="preserve">Tomasz.lipinski@port.org.pl , </w:t>
      </w:r>
    </w:p>
    <w:p w14:paraId="32BDD800" w14:textId="77777777" w:rsidR="0039748C" w:rsidRPr="005C283B" w:rsidRDefault="0039748C" w:rsidP="0039748C">
      <w:pPr>
        <w:spacing w:line="240" w:lineRule="auto"/>
        <w:rPr>
          <w:rFonts w:ascii="Times New Roman" w:hAnsi="Times New Roman" w:cs="Times New Roman"/>
          <w:i/>
          <w:iCs/>
        </w:rPr>
      </w:pPr>
      <w:r w:rsidRPr="005C283B">
        <w:rPr>
          <w:rFonts w:ascii="Times New Roman" w:hAnsi="Times New Roman" w:cs="Times New Roman"/>
          <w:i/>
          <w:iCs/>
          <w:vertAlign w:val="superscript"/>
        </w:rPr>
        <w:t>1</w:t>
      </w:r>
      <w:r w:rsidRPr="005C283B">
        <w:rPr>
          <w:rFonts w:ascii="Times New Roman" w:hAnsi="Times New Roman" w:cs="Times New Roman"/>
          <w:i/>
          <w:iCs/>
        </w:rPr>
        <w:t>ŁUKASIEWICZ-PORT,  Stabłowicka 147, 54-066 Wrocław, Poland;</w:t>
      </w:r>
    </w:p>
    <w:p w14:paraId="3814379D" w14:textId="0ED58BE2" w:rsidR="0039748C" w:rsidRPr="005C283B" w:rsidRDefault="0039748C" w:rsidP="0039748C">
      <w:pPr>
        <w:spacing w:line="240" w:lineRule="auto"/>
        <w:rPr>
          <w:rFonts w:ascii="Times New Roman" w:hAnsi="Times New Roman" w:cs="Times New Roman"/>
          <w:i/>
          <w:iCs/>
          <w:lang w:val="en-US"/>
        </w:rPr>
      </w:pPr>
      <w:r w:rsidRPr="005C283B">
        <w:rPr>
          <w:rFonts w:ascii="Times New Roman" w:hAnsi="Times New Roman" w:cs="Times New Roman"/>
          <w:i/>
          <w:iCs/>
          <w:vertAlign w:val="superscript"/>
          <w:lang w:val="en-US"/>
        </w:rPr>
        <w:t>2</w:t>
      </w:r>
      <w:r w:rsidRPr="005C283B">
        <w:rPr>
          <w:rFonts w:ascii="Times New Roman" w:hAnsi="Times New Roman" w:cs="Times New Roman"/>
          <w:i/>
          <w:iCs/>
          <w:lang w:val="en-US"/>
        </w:rPr>
        <w:t>Institute of Low Temperature and Structure Research, Polish Academy of Science</w:t>
      </w:r>
      <w:r w:rsidR="00DD3DED" w:rsidRPr="005C283B">
        <w:rPr>
          <w:rFonts w:ascii="Times New Roman" w:hAnsi="Times New Roman" w:cs="Times New Roman"/>
          <w:i/>
          <w:iCs/>
          <w:lang w:val="en-US"/>
        </w:rPr>
        <w:t>s</w:t>
      </w:r>
      <w:r w:rsidRPr="005C283B">
        <w:rPr>
          <w:rFonts w:ascii="Times New Roman" w:hAnsi="Times New Roman" w:cs="Times New Roman"/>
          <w:i/>
          <w:iCs/>
          <w:lang w:val="en-US"/>
        </w:rPr>
        <w:t>,  Okólna 2, 50-422 Wrocław, Poland</w:t>
      </w:r>
    </w:p>
    <w:p w14:paraId="7AA6640A" w14:textId="77777777" w:rsidR="0039748C" w:rsidRPr="005C283B" w:rsidRDefault="0039748C" w:rsidP="0039748C">
      <w:pPr>
        <w:rPr>
          <w:rFonts w:ascii="Times New Roman" w:hAnsi="Times New Roman" w:cs="Times New Roman"/>
          <w:b/>
          <w:lang w:val="en-US"/>
        </w:rPr>
      </w:pPr>
    </w:p>
    <w:p w14:paraId="6E6F501E" w14:textId="77777777" w:rsidR="0039748C" w:rsidRPr="005C283B" w:rsidRDefault="0039748C" w:rsidP="00032D1E">
      <w:pPr>
        <w:spacing w:line="240" w:lineRule="auto"/>
        <w:rPr>
          <w:b/>
          <w:lang w:val="en-US"/>
        </w:rPr>
      </w:pPr>
    </w:p>
    <w:p w14:paraId="57A28B47" w14:textId="77777777" w:rsidR="00280220" w:rsidRPr="005C283B" w:rsidRDefault="00684BE3" w:rsidP="00280220">
      <w:pPr>
        <w:pStyle w:val="ListParagraph"/>
        <w:numPr>
          <w:ilvl w:val="0"/>
          <w:numId w:val="3"/>
        </w:numPr>
        <w:spacing w:before="160" w:line="240" w:lineRule="auto"/>
        <w:rPr>
          <w:b/>
          <w:lang w:val="en-US"/>
        </w:rPr>
      </w:pPr>
      <w:r w:rsidRPr="005C283B">
        <w:rPr>
          <w:b/>
          <w:lang w:val="en-US"/>
        </w:rPr>
        <w:t>Synthesis of UCNPs</w:t>
      </w:r>
    </w:p>
    <w:p w14:paraId="11C60567" w14:textId="77777777" w:rsidR="00A776B7" w:rsidRPr="005C283B" w:rsidRDefault="00A776B7" w:rsidP="00280220">
      <w:pPr>
        <w:pStyle w:val="ListParagraph"/>
        <w:numPr>
          <w:ilvl w:val="1"/>
          <w:numId w:val="3"/>
        </w:numPr>
        <w:spacing w:before="160" w:line="240" w:lineRule="auto"/>
        <w:rPr>
          <w:b/>
          <w:lang w:val="en-US"/>
        </w:rPr>
      </w:pPr>
      <w:r w:rsidRPr="005C283B">
        <w:rPr>
          <w:b/>
          <w:lang w:val="en-US"/>
        </w:rPr>
        <w:t xml:space="preserve">Synthesis of </w:t>
      </w:r>
      <w:r w:rsidRPr="005C283B">
        <w:rPr>
          <w:rFonts w:ascii="Palatino Linotype" w:hAnsi="Palatino Linotype"/>
          <w:b/>
        </w:rPr>
        <w:t>α</w:t>
      </w:r>
      <w:r w:rsidRPr="005C283B">
        <w:rPr>
          <w:b/>
          <w:lang w:val="en-US"/>
        </w:rPr>
        <w:t>-NaYF</w:t>
      </w:r>
      <w:r w:rsidRPr="005C283B">
        <w:rPr>
          <w:b/>
          <w:vertAlign w:val="subscript"/>
          <w:lang w:val="en-US"/>
        </w:rPr>
        <w:t>4</w:t>
      </w:r>
      <w:r w:rsidRPr="005C283B">
        <w:rPr>
          <w:b/>
          <w:lang w:val="en-US"/>
        </w:rPr>
        <w:t>: 20 % Yb</w:t>
      </w:r>
      <w:r w:rsidRPr="005C283B">
        <w:rPr>
          <w:b/>
          <w:vertAlign w:val="superscript"/>
          <w:lang w:val="en-US"/>
        </w:rPr>
        <w:t>3+</w:t>
      </w:r>
      <w:r w:rsidRPr="005C283B">
        <w:rPr>
          <w:b/>
          <w:lang w:val="en-US"/>
        </w:rPr>
        <w:t xml:space="preserve"> 2 % Er</w:t>
      </w:r>
      <w:r w:rsidRPr="005C283B">
        <w:rPr>
          <w:b/>
          <w:vertAlign w:val="superscript"/>
          <w:lang w:val="en-US"/>
        </w:rPr>
        <w:t>3+</w:t>
      </w:r>
      <w:r w:rsidRPr="005C283B">
        <w:rPr>
          <w:b/>
          <w:lang w:val="en-US"/>
        </w:rPr>
        <w:t xml:space="preserve"> nanocrystals</w:t>
      </w:r>
    </w:p>
    <w:p w14:paraId="74C9F564" w14:textId="6F93D41C" w:rsidR="00A776B7" w:rsidRPr="005C283B" w:rsidRDefault="00A776B7" w:rsidP="00A776B7">
      <w:pPr>
        <w:jc w:val="both"/>
        <w:rPr>
          <w:lang w:val="en-US"/>
        </w:rPr>
      </w:pPr>
      <w:r w:rsidRPr="005C283B">
        <w:rPr>
          <w:lang w:val="en-US"/>
        </w:rPr>
        <w:t xml:space="preserve">The thermal decomposition of trifluoroacetate salts with some modifications has been used to synthesize the </w:t>
      </w:r>
      <w:r w:rsidR="00940CEC" w:rsidRPr="005C283B">
        <w:rPr>
          <w:lang w:val="en-US"/>
        </w:rPr>
        <w:t>nanoparticles</w:t>
      </w:r>
      <w:r w:rsidR="00D36C1D" w:rsidRPr="005C283B">
        <w:rPr>
          <w:lang w:val="en-US"/>
        </w:rPr>
        <w:t xml:space="preserve"> </w:t>
      </w:r>
      <w:r w:rsidR="00D36C1D" w:rsidRPr="005C283B">
        <w:rPr>
          <w:lang w:val="en-US"/>
        </w:rPr>
        <w:fldChar w:fldCharType="begin" w:fldLock="1"/>
      </w:r>
      <w:r w:rsidR="00D36C1D" w:rsidRPr="005C283B">
        <w:rPr>
          <w:lang w:val="en-US"/>
        </w:rPr>
        <w:instrText>ADDIN CSL_CITATION {"citationItems":[{"id":"ITEM-1","itemData":{"DOI":"10.1021/NL070235+","abstract":"The synthesis, characterization, and spectroscopy of upconverting lanthanide-doped NaYF4 nanocrystals (NCs) is presented. The monodisperse cubic NaYF4 NCs were synthesized via a thermal decompositi...","author":[{"dropping-particle":"","family":"John-Christopher  Boyer","given":"","non-dropping-particle":"","parse-names":false,"suffix":""},{"dropping-particle":"","family":"Louis A.  Cuccia","given":"and","non-dropping-particle":"","parse-names":false,"suffix":""},{"dropping-particle":"","family":"Capobianco*","given":"John A.","non-dropping-particle":"","parse-names":false,"suffix":""}],"id":"ITEM-1","issued":{"date-parts":[["2007"]]},"publisher":" American Chemical Society ","title":"Synthesis of Colloidal Upconverting NaYF4:  Er3+/Yb3+ and Tm3+/Yb3+ Monodisperse Nanocrystals","type":"article-journal"},"uris":["http://www.mendeley.com/documents/?uuid=ae9d6688-6a2a-3806-bbe9-1bbe8b597f0f"]}],"mendeley":{"formattedCitation":"(&lt;i&gt;1&lt;/i&gt;)","plainTextFormattedCitation":"(1)","previouslyFormattedCitation":"(&lt;i&gt;1&lt;/i&gt;)"},"properties":{"noteIndex":0},"schema":"https://github.com/citation-style-language/schema/raw/master/csl-citation.json"}</w:instrText>
      </w:r>
      <w:r w:rsidR="00D36C1D" w:rsidRPr="005C283B">
        <w:rPr>
          <w:lang w:val="en-US"/>
        </w:rPr>
        <w:fldChar w:fldCharType="separate"/>
      </w:r>
      <w:r w:rsidR="00D36C1D" w:rsidRPr="005C283B">
        <w:rPr>
          <w:noProof/>
          <w:lang w:val="en-US"/>
        </w:rPr>
        <w:t>(</w:t>
      </w:r>
      <w:r w:rsidR="00D36C1D" w:rsidRPr="005C283B">
        <w:rPr>
          <w:i/>
          <w:noProof/>
          <w:lang w:val="en-US"/>
        </w:rPr>
        <w:t>1</w:t>
      </w:r>
      <w:r w:rsidR="00D36C1D" w:rsidRPr="005C283B">
        <w:rPr>
          <w:noProof/>
          <w:lang w:val="en-US"/>
        </w:rPr>
        <w:t>)</w:t>
      </w:r>
      <w:r w:rsidR="00D36C1D" w:rsidRPr="005C283B">
        <w:rPr>
          <w:lang w:val="en-US"/>
        </w:rPr>
        <w:fldChar w:fldCharType="end"/>
      </w:r>
      <w:r w:rsidR="00D36C1D" w:rsidRPr="005C283B">
        <w:rPr>
          <w:lang w:val="en-US"/>
        </w:rPr>
        <w:fldChar w:fldCharType="begin" w:fldLock="1"/>
      </w:r>
      <w:r w:rsidR="00D36C1D" w:rsidRPr="005C283B">
        <w:rPr>
          <w:lang w:val="en-US"/>
        </w:rPr>
        <w:instrText>ADDIN CSL_CITATION {"citationItems":[{"id":"ITEM-1","itemData":{"DOI":"10.1021/ja906971y","ISSN":"00027863","abstract":"(Graph Presented) Hexagonal-phase NaYF4/NaGdF4 core/shell nanocrystals were synthesized and investigated by X-ray photoelectron spectroscopy (XPS) using tunable synchrotron radiation. Based on the ratio of the Y3+ 3d to Gd3+ 4d core level intensities at varying photoelectron kinetic energies, we conclude that Gd3+ resides predominantly at the surface of the nanocrystals, proving a core/shell structure. These nanocrystals show potential for use as contrast agents in magnetic resonance imaging (MRI) applications and optical imaging. © 2009 American Chemical Society.","author":[{"dropping-particle":"","family":"Abel","given":"Keith A.","non-dropping-particle":"","parse-names":false,"suffix":""},{"dropping-particle":"","family":"Boyer","given":"John Christopher","non-dropping-particle":"","parse-names":false,"suffix":""},{"dropping-particle":"","family":"Veggel","given":"Frank C.J.M.","non-dropping-particle":"Van","parse-names":false,"suffix":""}],"container-title":"Journal of the American Chemical Society","id":"ITEM-1","issue":"41","issued":{"date-parts":[["2009","10","21"]]},"page":"14644-14645","publisher":" American Chemical Society","title":"Hard proof of the NaYF4/NaGdF4 nanocrystal core/shell structure","type":"article-journal","volume":"131"},"uris":["http://www.mendeley.com/documents/?uuid=183bc8a3-8b55-3607-aba8-418d7056d931"]}],"mendeley":{"formattedCitation":"(&lt;i&gt;2&lt;/i&gt;)","plainTextFormattedCitation":"(2)","previouslyFormattedCitation":"(&lt;i&gt;2&lt;/i&gt;)"},"properties":{"noteIndex":0},"schema":"https://github.com/citation-style-language/schema/raw/master/csl-citation.json"}</w:instrText>
      </w:r>
      <w:r w:rsidR="00D36C1D" w:rsidRPr="005C283B">
        <w:rPr>
          <w:lang w:val="en-US"/>
        </w:rPr>
        <w:fldChar w:fldCharType="separate"/>
      </w:r>
      <w:r w:rsidR="00D36C1D" w:rsidRPr="005C283B">
        <w:rPr>
          <w:noProof/>
          <w:lang w:val="en-US"/>
        </w:rPr>
        <w:t>(</w:t>
      </w:r>
      <w:r w:rsidR="00D36C1D" w:rsidRPr="005C283B">
        <w:rPr>
          <w:i/>
          <w:noProof/>
          <w:lang w:val="en-US"/>
        </w:rPr>
        <w:t>2</w:t>
      </w:r>
      <w:r w:rsidR="00D36C1D" w:rsidRPr="005C283B">
        <w:rPr>
          <w:noProof/>
          <w:lang w:val="en-US"/>
        </w:rPr>
        <w:t>)</w:t>
      </w:r>
      <w:r w:rsidR="00D36C1D" w:rsidRPr="005C283B">
        <w:rPr>
          <w:lang w:val="en-US"/>
        </w:rPr>
        <w:fldChar w:fldCharType="end"/>
      </w:r>
      <w:r w:rsidRPr="005C283B">
        <w:rPr>
          <w:lang w:val="en-US"/>
        </w:rPr>
        <w:t>.</w:t>
      </w:r>
      <w:r w:rsidR="009A25C0" w:rsidRPr="005C283B">
        <w:rPr>
          <w:lang w:val="en-US"/>
        </w:rPr>
        <w:t xml:space="preserve"> </w:t>
      </w:r>
    </w:p>
    <w:p w14:paraId="02D7E748" w14:textId="77777777" w:rsidR="00A776B7" w:rsidRPr="005C283B" w:rsidRDefault="00A776B7" w:rsidP="00A776B7">
      <w:pPr>
        <w:jc w:val="both"/>
        <w:rPr>
          <w:lang w:val="en-US"/>
        </w:rPr>
      </w:pPr>
      <w:r w:rsidRPr="005C283B">
        <w:rPr>
          <w:lang w:val="en-US"/>
        </w:rPr>
        <w:t>Prior to synthesis the trifluoroacetate precursors were prepared by dissolution of the proper amount of oxides i.e. Y</w:t>
      </w:r>
      <w:r w:rsidRPr="005C283B">
        <w:rPr>
          <w:vertAlign w:val="subscript"/>
          <w:lang w:val="en-US"/>
        </w:rPr>
        <w:t>2</w:t>
      </w:r>
      <w:r w:rsidRPr="005C283B">
        <w:rPr>
          <w:lang w:val="en-US"/>
        </w:rPr>
        <w:t>O</w:t>
      </w:r>
      <w:r w:rsidRPr="005C283B">
        <w:rPr>
          <w:vertAlign w:val="subscript"/>
          <w:lang w:val="en-US"/>
        </w:rPr>
        <w:t>3</w:t>
      </w:r>
      <w:r w:rsidRPr="005C283B">
        <w:rPr>
          <w:lang w:val="en-US"/>
        </w:rPr>
        <w:t>, Yb</w:t>
      </w:r>
      <w:r w:rsidRPr="005C283B">
        <w:rPr>
          <w:vertAlign w:val="subscript"/>
          <w:lang w:val="en-US"/>
        </w:rPr>
        <w:t>2</w:t>
      </w:r>
      <w:r w:rsidRPr="005C283B">
        <w:rPr>
          <w:lang w:val="en-US"/>
        </w:rPr>
        <w:t>O</w:t>
      </w:r>
      <w:r w:rsidRPr="005C283B">
        <w:rPr>
          <w:vertAlign w:val="subscript"/>
          <w:lang w:val="en-US"/>
        </w:rPr>
        <w:t>3</w:t>
      </w:r>
      <w:r w:rsidRPr="005C283B">
        <w:rPr>
          <w:lang w:val="en-US"/>
        </w:rPr>
        <w:t xml:space="preserve"> and Er</w:t>
      </w:r>
      <w:r w:rsidRPr="005C283B">
        <w:rPr>
          <w:vertAlign w:val="subscript"/>
          <w:lang w:val="en-US"/>
        </w:rPr>
        <w:t>2</w:t>
      </w:r>
      <w:r w:rsidRPr="005C283B">
        <w:rPr>
          <w:lang w:val="en-US"/>
        </w:rPr>
        <w:t>O</w:t>
      </w:r>
      <w:r w:rsidRPr="005C283B">
        <w:rPr>
          <w:vertAlign w:val="subscript"/>
          <w:lang w:val="en-US"/>
        </w:rPr>
        <w:t>3</w:t>
      </w:r>
      <w:r w:rsidRPr="005C283B">
        <w:rPr>
          <w:lang w:val="en-US"/>
        </w:rPr>
        <w:t xml:space="preserve"> (total amount 2.5 mmol) in trifluoroacetic acid (TFA) and water 1:1 v/v solution. After obtaining the clear solution the solvent has been evaporated with the use of rotary evaporator, then placed on a hotplate, and left for one night to dry in the temperature of 130 </w:t>
      </w:r>
      <w:r w:rsidRPr="005C283B">
        <w:rPr>
          <w:vertAlign w:val="superscript"/>
          <w:lang w:val="en-US"/>
        </w:rPr>
        <w:t>o</w:t>
      </w:r>
      <w:r w:rsidRPr="005C283B">
        <w:rPr>
          <w:lang w:val="en-US"/>
        </w:rPr>
        <w:t>C.</w:t>
      </w:r>
    </w:p>
    <w:p w14:paraId="2FD062A4" w14:textId="77777777" w:rsidR="00280220" w:rsidRPr="005C283B" w:rsidRDefault="00A776B7" w:rsidP="00280220">
      <w:pPr>
        <w:jc w:val="both"/>
        <w:rPr>
          <w:lang w:val="en-US"/>
        </w:rPr>
      </w:pPr>
      <w:r w:rsidRPr="005C283B">
        <w:rPr>
          <w:lang w:val="en-US"/>
        </w:rPr>
        <w:t>The dry precursor was further used for the synthesis. The 5 mmol of sodium trifluoroacetate CF</w:t>
      </w:r>
      <w:r w:rsidRPr="005C283B">
        <w:rPr>
          <w:vertAlign w:val="subscript"/>
          <w:lang w:val="en-US"/>
        </w:rPr>
        <w:t>3</w:t>
      </w:r>
      <w:r w:rsidRPr="005C283B">
        <w:rPr>
          <w:lang w:val="en-US"/>
        </w:rPr>
        <w:t>COONa was added to the three-neck round bottom flask containing previously prepared dry precursor. Subsequently 40 cm</w:t>
      </w:r>
      <w:r w:rsidRPr="005C283B">
        <w:rPr>
          <w:vertAlign w:val="superscript"/>
          <w:lang w:val="en-US"/>
        </w:rPr>
        <w:t>3</w:t>
      </w:r>
      <w:r w:rsidRPr="005C283B">
        <w:rPr>
          <w:lang w:val="en-US"/>
        </w:rPr>
        <w:t xml:space="preserve"> of oleic acid as an complexing solvent and 40 cm</w:t>
      </w:r>
      <w:r w:rsidRPr="005C283B">
        <w:rPr>
          <w:vertAlign w:val="superscript"/>
          <w:lang w:val="en-US"/>
        </w:rPr>
        <w:t xml:space="preserve">3 </w:t>
      </w:r>
      <w:r w:rsidRPr="005C283B">
        <w:rPr>
          <w:lang w:val="en-US"/>
        </w:rPr>
        <w:t xml:space="preserve">of 1-octadecene as a high boiling solvent were added to the flask. Afterwards the flask was placed in the heating mantle with the magnetic stirrer, heated to 115 </w:t>
      </w:r>
      <w:r w:rsidRPr="005C283B">
        <w:rPr>
          <w:vertAlign w:val="superscript"/>
          <w:lang w:val="en-US"/>
        </w:rPr>
        <w:t>o</w:t>
      </w:r>
      <w:r w:rsidRPr="005C283B">
        <w:rPr>
          <w:lang w:val="en-US"/>
        </w:rPr>
        <w:t xml:space="preserve">C , put under vacuum and nitrogen flow alternately for about 1 hour to remove excess water, trifluoroacetic acid and oxygen from the reaction. Next the flask was placed under nitrogen flow and the solution was heated up to 305 </w:t>
      </w:r>
      <w:r w:rsidRPr="005C283B">
        <w:rPr>
          <w:vertAlign w:val="superscript"/>
          <w:lang w:val="en-US"/>
        </w:rPr>
        <w:t>o</w:t>
      </w:r>
      <w:r w:rsidRPr="005C283B">
        <w:rPr>
          <w:lang w:val="en-US"/>
        </w:rPr>
        <w:t>C and kept for one hour. Afterwards solution was cooled down to the room temperature and the mixture of n-hexane and acetone was added to precipitate nanocrystals. The nanocrystals were collected via centrifugation at 10 000 rpm for 10 minutes and washed with ethanol. The nanocrystals were dispersed in 10 cm</w:t>
      </w:r>
      <w:r w:rsidRPr="005C283B">
        <w:rPr>
          <w:vertAlign w:val="superscript"/>
          <w:lang w:val="en-US"/>
        </w:rPr>
        <w:t>3</w:t>
      </w:r>
      <w:r w:rsidRPr="005C283B">
        <w:rPr>
          <w:lang w:val="en-US"/>
        </w:rPr>
        <w:t xml:space="preserve"> of chloroform and left for the synthesis of core-shell nanoparticles.</w:t>
      </w:r>
    </w:p>
    <w:p w14:paraId="6864EADF" w14:textId="77777777" w:rsidR="00A776B7" w:rsidRPr="005C283B" w:rsidRDefault="00A776B7" w:rsidP="00280220">
      <w:pPr>
        <w:pStyle w:val="ListParagraph"/>
        <w:numPr>
          <w:ilvl w:val="1"/>
          <w:numId w:val="3"/>
        </w:numPr>
        <w:jc w:val="both"/>
        <w:rPr>
          <w:lang w:val="en-US"/>
        </w:rPr>
      </w:pPr>
      <w:r w:rsidRPr="005C283B">
        <w:rPr>
          <w:b/>
          <w:lang w:val="en-US"/>
        </w:rPr>
        <w:t xml:space="preserve">Synthesis of core-shell </w:t>
      </w:r>
      <w:r w:rsidRPr="005C283B">
        <w:rPr>
          <w:rFonts w:ascii="Palatino Linotype" w:hAnsi="Palatino Linotype"/>
          <w:b/>
        </w:rPr>
        <w:t>α</w:t>
      </w:r>
      <w:r w:rsidRPr="005C283B">
        <w:rPr>
          <w:b/>
          <w:lang w:val="en-US"/>
        </w:rPr>
        <w:t>-NaYF</w:t>
      </w:r>
      <w:r w:rsidRPr="005C283B">
        <w:rPr>
          <w:b/>
          <w:vertAlign w:val="subscript"/>
          <w:lang w:val="en-US"/>
        </w:rPr>
        <w:t>4</w:t>
      </w:r>
      <w:r w:rsidRPr="005C283B">
        <w:rPr>
          <w:b/>
          <w:lang w:val="en-US"/>
        </w:rPr>
        <w:t>: 20 % Yb</w:t>
      </w:r>
      <w:r w:rsidRPr="005C283B">
        <w:rPr>
          <w:b/>
          <w:vertAlign w:val="superscript"/>
          <w:lang w:val="en-US"/>
        </w:rPr>
        <w:t>3+</w:t>
      </w:r>
      <w:r w:rsidRPr="005C283B">
        <w:rPr>
          <w:b/>
          <w:lang w:val="en-US"/>
        </w:rPr>
        <w:t xml:space="preserve"> 2 % Er</w:t>
      </w:r>
      <w:r w:rsidRPr="005C283B">
        <w:rPr>
          <w:b/>
          <w:vertAlign w:val="superscript"/>
          <w:lang w:val="en-US"/>
        </w:rPr>
        <w:t>3+</w:t>
      </w:r>
      <w:r w:rsidRPr="005C283B">
        <w:rPr>
          <w:b/>
          <w:lang w:val="en-US"/>
        </w:rPr>
        <w:t>@ NaYF</w:t>
      </w:r>
      <w:r w:rsidRPr="005C283B">
        <w:rPr>
          <w:b/>
          <w:vertAlign w:val="subscript"/>
          <w:lang w:val="en-US"/>
        </w:rPr>
        <w:t>4</w:t>
      </w:r>
      <w:r w:rsidRPr="005C283B">
        <w:rPr>
          <w:b/>
          <w:lang w:val="en-US"/>
        </w:rPr>
        <w:t xml:space="preserve"> nanocrystals</w:t>
      </w:r>
    </w:p>
    <w:p w14:paraId="02934DD3" w14:textId="77777777" w:rsidR="00A776B7" w:rsidRPr="005C283B" w:rsidRDefault="00A776B7" w:rsidP="00A776B7">
      <w:pPr>
        <w:jc w:val="both"/>
        <w:rPr>
          <w:lang w:val="en-US"/>
        </w:rPr>
      </w:pPr>
      <w:r w:rsidRPr="005C283B">
        <w:rPr>
          <w:lang w:val="en-US"/>
        </w:rPr>
        <w:t>The method of synthesis was analogous to the synthesis of core particles with some modifications. The shell precursor containing 5 mmol yttrium trifluoroacetate was prepared and dried in the three-necked round bottom flask. The 40 cm</w:t>
      </w:r>
      <w:r w:rsidRPr="005C283B">
        <w:rPr>
          <w:vertAlign w:val="superscript"/>
          <w:lang w:val="en-US"/>
        </w:rPr>
        <w:t>3</w:t>
      </w:r>
      <w:r w:rsidRPr="005C283B">
        <w:rPr>
          <w:lang w:val="en-US"/>
        </w:rPr>
        <w:t xml:space="preserve"> oleic acid and 40 cm</w:t>
      </w:r>
      <w:r w:rsidRPr="005C283B">
        <w:rPr>
          <w:vertAlign w:val="superscript"/>
          <w:lang w:val="en-US"/>
        </w:rPr>
        <w:t>3</w:t>
      </w:r>
      <w:r w:rsidRPr="005C283B">
        <w:rPr>
          <w:lang w:val="en-US"/>
        </w:rPr>
        <w:t xml:space="preserve"> 1-octadecene were added and the flask was placed in the heating mantle with the magnetic stirrer, heated to 115 </w:t>
      </w:r>
      <w:r w:rsidRPr="005C283B">
        <w:rPr>
          <w:vertAlign w:val="superscript"/>
          <w:lang w:val="en-US"/>
        </w:rPr>
        <w:t>o</w:t>
      </w:r>
      <w:r w:rsidRPr="005C283B">
        <w:rPr>
          <w:lang w:val="en-US"/>
        </w:rPr>
        <w:t xml:space="preserve">C under vacuum and nitrogen flow alternately for about 1 hour. Subsequently the solution was cooled down to the room temperature and the core particles in chloroform were added. The chloroform was then slowly removed from the solution by evaporation at 70-100 </w:t>
      </w:r>
      <w:r w:rsidRPr="005C283B">
        <w:rPr>
          <w:vertAlign w:val="superscript"/>
          <w:lang w:val="en-US"/>
        </w:rPr>
        <w:t>o</w:t>
      </w:r>
      <w:r w:rsidRPr="005C283B">
        <w:rPr>
          <w:lang w:val="en-US"/>
        </w:rPr>
        <w:t xml:space="preserve">C under nitrogen flow and vacuum. Afterwards the solution was heated up to 305 </w:t>
      </w:r>
      <w:r w:rsidRPr="005C283B">
        <w:rPr>
          <w:vertAlign w:val="superscript"/>
          <w:lang w:val="en-US"/>
        </w:rPr>
        <w:t>o</w:t>
      </w:r>
      <w:r w:rsidRPr="005C283B">
        <w:rPr>
          <w:lang w:val="en-US"/>
        </w:rPr>
        <w:t>C and kept for 1 hour. After the reaction was finished the solution was cooled down to the room temperature and nanocrystals were precipitated with the mixture of n-hexane and acetone. The nanocrystals were centrifuged for 10 minutes at 10000 rpm and washed with ethanol. The core-shell nanocrystals were dispersed in 10 cm</w:t>
      </w:r>
      <w:r w:rsidRPr="005C283B">
        <w:rPr>
          <w:vertAlign w:val="superscript"/>
          <w:lang w:val="en-US"/>
        </w:rPr>
        <w:t>3</w:t>
      </w:r>
      <w:r w:rsidRPr="005C283B">
        <w:rPr>
          <w:lang w:val="en-US"/>
        </w:rPr>
        <w:t xml:space="preserve"> of chloroform and kept for further experiments.</w:t>
      </w:r>
    </w:p>
    <w:p w14:paraId="681D3ED6" w14:textId="77777777" w:rsidR="00A776B7" w:rsidRPr="005C283B" w:rsidRDefault="00A776B7" w:rsidP="00A776B7">
      <w:pPr>
        <w:rPr>
          <w:lang w:val="en-US"/>
        </w:rPr>
      </w:pPr>
    </w:p>
    <w:p w14:paraId="450097DF" w14:textId="77777777" w:rsidR="00A776B7" w:rsidRPr="005C283B" w:rsidRDefault="00F031A3" w:rsidP="00AD1DDA">
      <w:pPr>
        <w:jc w:val="center"/>
      </w:pPr>
      <w:r w:rsidRPr="005C283B">
        <w:rPr>
          <w:noProof/>
          <w:lang w:val="en-US"/>
        </w:rPr>
        <w:drawing>
          <wp:inline distT="0" distB="0" distL="0" distR="0" wp14:anchorId="68C035FB" wp14:editId="30E3DEC3">
            <wp:extent cx="5760720" cy="404241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1xrdcubi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042410"/>
                    </a:xfrm>
                    <a:prstGeom prst="rect">
                      <a:avLst/>
                    </a:prstGeom>
                  </pic:spPr>
                </pic:pic>
              </a:graphicData>
            </a:graphic>
          </wp:inline>
        </w:drawing>
      </w:r>
    </w:p>
    <w:p w14:paraId="42CF27B8" w14:textId="77777777" w:rsidR="00C774C9" w:rsidRPr="005C283B" w:rsidRDefault="00C774C9" w:rsidP="00A776B7">
      <w:pPr>
        <w:rPr>
          <w:lang w:val="en-US"/>
        </w:rPr>
      </w:pPr>
      <w:r w:rsidRPr="005C283B">
        <w:rPr>
          <w:lang w:val="en-US"/>
        </w:rPr>
        <w:t>Fig.S1. XRD pattern of the obtained UCNPs</w:t>
      </w:r>
    </w:p>
    <w:p w14:paraId="2033924A" w14:textId="77777777" w:rsidR="00A776B7" w:rsidRPr="005C283B" w:rsidRDefault="00A776B7" w:rsidP="00A776B7">
      <w:pPr>
        <w:rPr>
          <w:lang w:val="en-US"/>
        </w:rPr>
      </w:pPr>
    </w:p>
    <w:p w14:paraId="757FEF8E" w14:textId="77777777" w:rsidR="00B77119" w:rsidRPr="005C283B" w:rsidRDefault="00B77119" w:rsidP="00370989">
      <w:pPr>
        <w:pStyle w:val="ListParagraph"/>
        <w:numPr>
          <w:ilvl w:val="1"/>
          <w:numId w:val="6"/>
        </w:numPr>
        <w:rPr>
          <w:rStyle w:val="SubtleEmphasis"/>
          <w:rFonts w:eastAsiaTheme="majorEastAsia" w:cs="Times New Roman"/>
          <w:b/>
          <w:bCs/>
          <w:i w:val="0"/>
          <w:color w:val="auto"/>
          <w:vertAlign w:val="superscript"/>
          <w:lang w:val="en-US"/>
        </w:rPr>
      </w:pPr>
      <w:r w:rsidRPr="005C283B">
        <w:rPr>
          <w:rStyle w:val="SubtleEmphasis"/>
          <w:rFonts w:eastAsiaTheme="majorEastAsia" w:cs="Times New Roman"/>
          <w:b/>
          <w:i w:val="0"/>
          <w:color w:val="auto"/>
          <w:lang w:val="en-US"/>
        </w:rPr>
        <w:t xml:space="preserve">Synthesis of core nanoparticles </w:t>
      </w:r>
      <w:r w:rsidRPr="005C283B">
        <w:rPr>
          <w:rStyle w:val="SubtleEmphasis"/>
          <w:rFonts w:eastAsiaTheme="majorEastAsia" w:cs="Times New Roman"/>
          <w:b/>
          <w:i w:val="0"/>
          <w:color w:val="auto"/>
        </w:rPr>
        <w:t>β</w:t>
      </w:r>
      <w:r w:rsidRPr="005C283B">
        <w:rPr>
          <w:rStyle w:val="SubtleEmphasis"/>
          <w:rFonts w:eastAsiaTheme="majorEastAsia" w:cs="Times New Roman"/>
          <w:b/>
          <w:i w:val="0"/>
          <w:color w:val="auto"/>
          <w:lang w:val="en-US"/>
        </w:rPr>
        <w:t>-NaYF</w:t>
      </w:r>
      <w:r w:rsidRPr="005C283B">
        <w:rPr>
          <w:rStyle w:val="SubtleEmphasis"/>
          <w:rFonts w:eastAsiaTheme="majorEastAsia" w:cs="Times New Roman"/>
          <w:b/>
          <w:i w:val="0"/>
          <w:color w:val="auto"/>
          <w:vertAlign w:val="subscript"/>
          <w:lang w:val="en-US"/>
        </w:rPr>
        <w:t>4</w:t>
      </w:r>
      <w:r w:rsidRPr="005C283B">
        <w:rPr>
          <w:rStyle w:val="SubtleEmphasis"/>
          <w:rFonts w:eastAsiaTheme="majorEastAsia" w:cs="Times New Roman"/>
          <w:b/>
          <w:i w:val="0"/>
          <w:color w:val="auto"/>
          <w:lang w:val="en-US"/>
        </w:rPr>
        <w:t>: 20 % Yb</w:t>
      </w:r>
      <w:r w:rsidRPr="005C283B">
        <w:rPr>
          <w:rStyle w:val="SubtleEmphasis"/>
          <w:rFonts w:eastAsiaTheme="majorEastAsia" w:cs="Times New Roman"/>
          <w:b/>
          <w:i w:val="0"/>
          <w:color w:val="auto"/>
          <w:vertAlign w:val="superscript"/>
          <w:lang w:val="en-US"/>
        </w:rPr>
        <w:t>3+</w:t>
      </w:r>
      <w:r w:rsidRPr="005C283B">
        <w:rPr>
          <w:rStyle w:val="SubtleEmphasis"/>
          <w:rFonts w:eastAsiaTheme="majorEastAsia" w:cs="Times New Roman"/>
          <w:b/>
          <w:i w:val="0"/>
          <w:color w:val="auto"/>
          <w:lang w:val="en-US"/>
        </w:rPr>
        <w:t xml:space="preserve"> 2 % Er</w:t>
      </w:r>
      <w:r w:rsidRPr="005C283B">
        <w:rPr>
          <w:rStyle w:val="SubtleEmphasis"/>
          <w:rFonts w:eastAsiaTheme="majorEastAsia" w:cs="Times New Roman"/>
          <w:b/>
          <w:i w:val="0"/>
          <w:color w:val="auto"/>
          <w:vertAlign w:val="superscript"/>
          <w:lang w:val="en-US"/>
        </w:rPr>
        <w:t>3+</w:t>
      </w:r>
    </w:p>
    <w:p w14:paraId="48161026" w14:textId="77777777" w:rsidR="00B77119" w:rsidRPr="005C283B" w:rsidRDefault="00B77119" w:rsidP="00B77119">
      <w:pPr>
        <w:jc w:val="both"/>
        <w:rPr>
          <w:rFonts w:cs="Times New Roman"/>
          <w:lang w:val="en-US"/>
        </w:rPr>
      </w:pPr>
      <w:r w:rsidRPr="005C283B">
        <w:rPr>
          <w:rFonts w:cs="Times New Roman"/>
          <w:lang w:val="en-US"/>
        </w:rPr>
        <w:t>Prior to synthesis the acetate precursors were prepared by dissolution of the proper amount of oxides i.e. Y</w:t>
      </w:r>
      <w:r w:rsidRPr="005C283B">
        <w:rPr>
          <w:rFonts w:cs="Times New Roman"/>
          <w:vertAlign w:val="subscript"/>
          <w:lang w:val="en-US"/>
        </w:rPr>
        <w:t>2</w:t>
      </w:r>
      <w:r w:rsidRPr="005C283B">
        <w:rPr>
          <w:rFonts w:cs="Times New Roman"/>
          <w:lang w:val="en-US"/>
        </w:rPr>
        <w:t>O</w:t>
      </w:r>
      <w:r w:rsidRPr="005C283B">
        <w:rPr>
          <w:rFonts w:cs="Times New Roman"/>
          <w:vertAlign w:val="subscript"/>
          <w:lang w:val="en-US"/>
        </w:rPr>
        <w:t>3</w:t>
      </w:r>
      <w:r w:rsidRPr="005C283B">
        <w:rPr>
          <w:rFonts w:cs="Times New Roman"/>
          <w:lang w:val="en-US"/>
        </w:rPr>
        <w:t>, Yb</w:t>
      </w:r>
      <w:r w:rsidRPr="005C283B">
        <w:rPr>
          <w:rFonts w:cs="Times New Roman"/>
          <w:vertAlign w:val="subscript"/>
          <w:lang w:val="en-US"/>
        </w:rPr>
        <w:t>2</w:t>
      </w:r>
      <w:r w:rsidRPr="005C283B">
        <w:rPr>
          <w:rFonts w:cs="Times New Roman"/>
          <w:lang w:val="en-US"/>
        </w:rPr>
        <w:t>O</w:t>
      </w:r>
      <w:r w:rsidRPr="005C283B">
        <w:rPr>
          <w:rFonts w:cs="Times New Roman"/>
          <w:vertAlign w:val="subscript"/>
          <w:lang w:val="en-US"/>
        </w:rPr>
        <w:t>3</w:t>
      </w:r>
      <w:r w:rsidRPr="005C283B">
        <w:rPr>
          <w:rFonts w:cs="Times New Roman"/>
          <w:lang w:val="en-US"/>
        </w:rPr>
        <w:t xml:space="preserve"> and Er</w:t>
      </w:r>
      <w:r w:rsidRPr="005C283B">
        <w:rPr>
          <w:rFonts w:cs="Times New Roman"/>
          <w:vertAlign w:val="subscript"/>
          <w:lang w:val="en-US"/>
        </w:rPr>
        <w:t>2</w:t>
      </w:r>
      <w:r w:rsidRPr="005C283B">
        <w:rPr>
          <w:rFonts w:cs="Times New Roman"/>
          <w:lang w:val="en-US"/>
        </w:rPr>
        <w:t>O</w:t>
      </w:r>
      <w:r w:rsidRPr="005C283B">
        <w:rPr>
          <w:rFonts w:cs="Times New Roman"/>
          <w:vertAlign w:val="subscript"/>
          <w:lang w:val="en-US"/>
        </w:rPr>
        <w:t>3</w:t>
      </w:r>
      <w:r w:rsidRPr="005C283B">
        <w:rPr>
          <w:rFonts w:cs="Times New Roman"/>
          <w:lang w:val="en-US"/>
        </w:rPr>
        <w:t xml:space="preserve"> (total amount 2.5 mmol) in acetic acid and water 1:1 v/v. After obtaining the clear solution the solvent has been evaporated with the use of rotary evaporator, and left for one night to dry on a hotplate heated to the temperature of 130 ᵒC.</w:t>
      </w:r>
    </w:p>
    <w:p w14:paraId="11765B7F" w14:textId="25A7076B" w:rsidR="00B77119" w:rsidRPr="005C283B" w:rsidRDefault="00B77119" w:rsidP="00B77119">
      <w:pPr>
        <w:jc w:val="both"/>
        <w:rPr>
          <w:rFonts w:cs="Times New Roman"/>
          <w:bCs/>
          <w:lang w:val="en-US"/>
        </w:rPr>
      </w:pPr>
      <w:r w:rsidRPr="005C283B">
        <w:rPr>
          <w:rFonts w:cs="Times New Roman"/>
          <w:bCs/>
          <w:lang w:val="en-US"/>
        </w:rPr>
        <w:t xml:space="preserve">The synthesis was provided following the procedure described in ref. </w:t>
      </w:r>
      <w:r w:rsidR="00D36C1D" w:rsidRPr="005C283B">
        <w:rPr>
          <w:rFonts w:cs="Times New Roman"/>
          <w:bCs/>
          <w:lang w:val="en-US"/>
        </w:rPr>
        <w:fldChar w:fldCharType="begin" w:fldLock="1"/>
      </w:r>
      <w:r w:rsidR="00D36C1D" w:rsidRPr="005C283B">
        <w:rPr>
          <w:rFonts w:cs="Times New Roman"/>
          <w:bCs/>
          <w:lang w:val="en-US"/>
        </w:rPr>
        <w:instrText>ADDIN CSL_CITATION {"citationItems":[{"id":"ITEM-1","itemData":{"DOI":"10.1021/ja906971y","ISSN":"00027863","abstract":"(Graph Presented) Hexagonal-phase NaYF4/NaGdF4 core/shell nanocrystals were synthesized and investigated by X-ray photoelectron spectroscopy (XPS) using tunable synchrotron radiation. Based on the ratio of the Y3+ 3d to Gd3+ 4d core level intensities at varying photoelectron kinetic energies, we conclude that Gd3+ resides predominantly at the surface of the nanocrystals, proving a core/shell structure. These nanocrystals show potential for use as contrast agents in magnetic resonance imaging (MRI) applications and optical imaging. © 2009 American Chemical Society.","author":[{"dropping-particle":"","family":"Abel","given":"Keith A.","non-dropping-particle":"","parse-names":false,"suffix":""},{"dropping-particle":"","family":"Boyer","given":"John Christopher","non-dropping-particle":"","parse-names":false,"suffix":""},{"dropping-particle":"","family":"Veggel","given":"Frank C.J.M.","non-dropping-particle":"Van","parse-names":false,"suffix":""}],"container-title":"Journal of the American Chemical Society","id":"ITEM-1","issue":"41","issued":{"date-parts":[["2009","10","21"]]},"page":"14644-14645","publisher":" American Chemical Society","title":"Hard proof of the NaYF4/NaGdF4 nanocrystal core/shell structure","type":"article-journal","volume":"131"},"uris":["http://www.mendeley.com/documents/?uuid=183bc8a3-8b55-3607-aba8-418d7056d931"]}],"mendeley":{"formattedCitation":"(&lt;i&gt;2&lt;/i&gt;)","plainTextFormattedCitation":"(2)"},"properties":{"noteIndex":0},"schema":"https://github.com/citation-style-language/schema/raw/master/csl-citation.json"}</w:instrText>
      </w:r>
      <w:r w:rsidR="00D36C1D" w:rsidRPr="005C283B">
        <w:rPr>
          <w:rFonts w:cs="Times New Roman"/>
          <w:bCs/>
          <w:lang w:val="en-US"/>
        </w:rPr>
        <w:fldChar w:fldCharType="separate"/>
      </w:r>
      <w:r w:rsidR="00D36C1D" w:rsidRPr="005C283B">
        <w:rPr>
          <w:rFonts w:cs="Times New Roman"/>
          <w:bCs/>
          <w:noProof/>
          <w:lang w:val="en-US"/>
        </w:rPr>
        <w:t>(</w:t>
      </w:r>
      <w:r w:rsidR="00D36C1D" w:rsidRPr="005C283B">
        <w:rPr>
          <w:rFonts w:cs="Times New Roman"/>
          <w:bCs/>
          <w:i/>
          <w:noProof/>
          <w:lang w:val="en-US"/>
        </w:rPr>
        <w:t>2</w:t>
      </w:r>
      <w:r w:rsidR="00D36C1D" w:rsidRPr="005C283B">
        <w:rPr>
          <w:rFonts w:cs="Times New Roman"/>
          <w:bCs/>
          <w:noProof/>
          <w:lang w:val="en-US"/>
        </w:rPr>
        <w:t>)</w:t>
      </w:r>
      <w:r w:rsidR="00D36C1D" w:rsidRPr="005C283B">
        <w:rPr>
          <w:rFonts w:cs="Times New Roman"/>
          <w:bCs/>
          <w:lang w:val="en-US"/>
        </w:rPr>
        <w:fldChar w:fldCharType="end"/>
      </w:r>
      <w:r w:rsidR="00615A9F" w:rsidRPr="005C283B">
        <w:rPr>
          <w:rFonts w:cs="Times New Roman"/>
          <w:bCs/>
          <w:lang w:val="en-US"/>
        </w:rPr>
        <w:t xml:space="preserve"> </w:t>
      </w:r>
      <w:r w:rsidRPr="005C283B">
        <w:rPr>
          <w:rFonts w:cs="Times New Roman"/>
          <w:bCs/>
          <w:lang w:val="en-US"/>
        </w:rPr>
        <w:t>with some modifications. The 30 cm</w:t>
      </w:r>
      <w:r w:rsidRPr="005C283B">
        <w:rPr>
          <w:rFonts w:cs="Times New Roman"/>
          <w:bCs/>
          <w:vertAlign w:val="superscript"/>
          <w:lang w:val="en-US"/>
        </w:rPr>
        <w:t>3</w:t>
      </w:r>
      <w:r w:rsidRPr="005C283B">
        <w:rPr>
          <w:rFonts w:cs="Times New Roman"/>
          <w:bCs/>
          <w:lang w:val="en-US"/>
        </w:rPr>
        <w:t xml:space="preserve"> of oleic acid and 75 cm</w:t>
      </w:r>
      <w:r w:rsidRPr="005C283B">
        <w:rPr>
          <w:rFonts w:cs="Times New Roman"/>
          <w:bCs/>
          <w:vertAlign w:val="superscript"/>
          <w:lang w:val="en-US"/>
        </w:rPr>
        <w:t>3</w:t>
      </w:r>
      <w:r w:rsidRPr="005C283B">
        <w:rPr>
          <w:rFonts w:cs="Times New Roman"/>
          <w:bCs/>
          <w:lang w:val="en-US"/>
        </w:rPr>
        <w:t xml:space="preserve"> of 1-octadecene were added to the round-bottom flask containing 5 mmol of yttrium and lanthanides (Yb</w:t>
      </w:r>
      <w:r w:rsidRPr="005C283B">
        <w:rPr>
          <w:rFonts w:cs="Times New Roman"/>
          <w:bCs/>
          <w:vertAlign w:val="superscript"/>
          <w:lang w:val="en-US"/>
        </w:rPr>
        <w:t>3+</w:t>
      </w:r>
      <w:r w:rsidRPr="005C283B">
        <w:rPr>
          <w:rFonts w:cs="Times New Roman"/>
          <w:bCs/>
          <w:lang w:val="en-US"/>
        </w:rPr>
        <w:t>, Er</w:t>
      </w:r>
      <w:r w:rsidRPr="005C283B">
        <w:rPr>
          <w:rFonts w:cs="Times New Roman"/>
          <w:bCs/>
          <w:vertAlign w:val="superscript"/>
          <w:lang w:val="en-US"/>
        </w:rPr>
        <w:t>3+</w:t>
      </w:r>
      <w:r w:rsidRPr="005C283B">
        <w:rPr>
          <w:rFonts w:cs="Times New Roman"/>
          <w:bCs/>
          <w:lang w:val="en-US"/>
        </w:rPr>
        <w:t>) acetate salts. The solution was heated to 145ᵒC and stirred under vacuum for 30 min to remove water and oxygen, and to form oleate salts from acetates. Subsequently the temperature was decreased to ~80ᵒC and the flask was placed under nitrogen flow. Then the solution of 0.5 g NaOH and 0.7410 g NH</w:t>
      </w:r>
      <w:r w:rsidRPr="005C283B">
        <w:rPr>
          <w:rFonts w:cs="Times New Roman"/>
          <w:bCs/>
          <w:vertAlign w:val="subscript"/>
          <w:lang w:val="en-US"/>
        </w:rPr>
        <w:t>4</w:t>
      </w:r>
      <w:r w:rsidRPr="005C283B">
        <w:rPr>
          <w:rFonts w:cs="Times New Roman"/>
          <w:bCs/>
          <w:lang w:val="en-US"/>
        </w:rPr>
        <w:t>F in 20 cm</w:t>
      </w:r>
      <w:r w:rsidRPr="005C283B">
        <w:rPr>
          <w:rFonts w:cs="Times New Roman"/>
          <w:bCs/>
          <w:vertAlign w:val="superscript"/>
          <w:lang w:val="en-US"/>
        </w:rPr>
        <w:t>3</w:t>
      </w:r>
      <w:r w:rsidRPr="005C283B">
        <w:rPr>
          <w:rFonts w:cs="Times New Roman"/>
          <w:bCs/>
          <w:lang w:val="en-US"/>
        </w:rPr>
        <w:t xml:space="preserve"> methanol was added. The solution was stirred under nitrogen at 70ᵒC for 15 min, then the flask was opened and methanol was evaporated from the reaction mixture. The solution then was kept under vacuum for 15 min at 120ᵒC. Afterwards, the temperature was increased to 305ᵒC and the reaction was kept under nitrogen for one hour. The mixture was cooled to the temperature around 70ᵒC and 16 cm</w:t>
      </w:r>
      <w:r w:rsidRPr="005C283B">
        <w:rPr>
          <w:rFonts w:cs="Times New Roman"/>
          <w:bCs/>
          <w:vertAlign w:val="superscript"/>
          <w:lang w:val="en-US"/>
        </w:rPr>
        <w:t>3</w:t>
      </w:r>
      <w:r w:rsidRPr="005C283B">
        <w:rPr>
          <w:rFonts w:cs="Times New Roman"/>
          <w:bCs/>
          <w:lang w:val="en-US"/>
        </w:rPr>
        <w:t xml:space="preserve"> of ethanol was added to precipitate the synthesized nanocrystals. Next, the nanocrystals were collected by centrifugation at 10 000 rpm for 10 minutes, washed with n-hexane and ethanol, centrifuged and dispersed in 10 cm</w:t>
      </w:r>
      <w:r w:rsidRPr="005C283B">
        <w:rPr>
          <w:rFonts w:cs="Times New Roman"/>
          <w:bCs/>
          <w:vertAlign w:val="superscript"/>
          <w:lang w:val="en-US"/>
        </w:rPr>
        <w:t>3</w:t>
      </w:r>
      <w:r w:rsidRPr="005C283B">
        <w:rPr>
          <w:rFonts w:cs="Times New Roman"/>
          <w:bCs/>
          <w:lang w:val="en-US"/>
        </w:rPr>
        <w:t xml:space="preserve"> of chloroform. </w:t>
      </w:r>
    </w:p>
    <w:p w14:paraId="04A0DAE0" w14:textId="77777777" w:rsidR="00B77119" w:rsidRPr="005C283B" w:rsidRDefault="00B77119" w:rsidP="00006492">
      <w:pPr>
        <w:pStyle w:val="ListParagraph"/>
        <w:numPr>
          <w:ilvl w:val="1"/>
          <w:numId w:val="7"/>
        </w:numPr>
        <w:ind w:left="856" w:hanging="431"/>
        <w:rPr>
          <w:rStyle w:val="SubtleEmphasis"/>
          <w:rFonts w:eastAsiaTheme="majorEastAsia" w:cs="Times New Roman"/>
          <w:b/>
          <w:bCs/>
          <w:i w:val="0"/>
          <w:color w:val="auto"/>
          <w:vertAlign w:val="superscript"/>
          <w:lang w:val="en-US"/>
        </w:rPr>
      </w:pPr>
      <w:r w:rsidRPr="005C283B">
        <w:rPr>
          <w:rStyle w:val="SubtleEmphasis"/>
          <w:rFonts w:eastAsiaTheme="majorEastAsia" w:cs="Times New Roman"/>
          <w:b/>
          <w:i w:val="0"/>
          <w:color w:val="auto"/>
          <w:lang w:val="en-US"/>
        </w:rPr>
        <w:t>Synthesis of core-shell nanoparticles β-NaYF</w:t>
      </w:r>
      <w:r w:rsidRPr="005C283B">
        <w:rPr>
          <w:rStyle w:val="SubtleEmphasis"/>
          <w:rFonts w:eastAsiaTheme="majorEastAsia" w:cs="Times New Roman"/>
          <w:b/>
          <w:i w:val="0"/>
          <w:color w:val="auto"/>
          <w:vertAlign w:val="subscript"/>
          <w:lang w:val="en-US"/>
        </w:rPr>
        <w:t>4</w:t>
      </w:r>
      <w:r w:rsidRPr="005C283B">
        <w:rPr>
          <w:rStyle w:val="SubtleEmphasis"/>
          <w:rFonts w:eastAsiaTheme="majorEastAsia" w:cs="Times New Roman"/>
          <w:b/>
          <w:i w:val="0"/>
          <w:color w:val="auto"/>
          <w:lang w:val="en-US"/>
        </w:rPr>
        <w:t>: : 20 % Yb</w:t>
      </w:r>
      <w:r w:rsidRPr="005C283B">
        <w:rPr>
          <w:rStyle w:val="SubtleEmphasis"/>
          <w:rFonts w:eastAsiaTheme="majorEastAsia" w:cs="Times New Roman"/>
          <w:b/>
          <w:i w:val="0"/>
          <w:color w:val="auto"/>
          <w:vertAlign w:val="superscript"/>
          <w:lang w:val="en-US"/>
        </w:rPr>
        <w:t>3+</w:t>
      </w:r>
      <w:r w:rsidRPr="005C283B">
        <w:rPr>
          <w:rStyle w:val="SubtleEmphasis"/>
          <w:rFonts w:eastAsiaTheme="majorEastAsia" w:cs="Times New Roman"/>
          <w:b/>
          <w:i w:val="0"/>
          <w:color w:val="auto"/>
          <w:lang w:val="en-US"/>
        </w:rPr>
        <w:t xml:space="preserve"> 2 % Er</w:t>
      </w:r>
      <w:r w:rsidRPr="005C283B">
        <w:rPr>
          <w:rStyle w:val="SubtleEmphasis"/>
          <w:rFonts w:eastAsiaTheme="majorEastAsia" w:cs="Times New Roman"/>
          <w:b/>
          <w:i w:val="0"/>
          <w:color w:val="auto"/>
          <w:vertAlign w:val="superscript"/>
          <w:lang w:val="en-US"/>
        </w:rPr>
        <w:t>3+</w:t>
      </w:r>
      <w:r w:rsidRPr="005C283B">
        <w:rPr>
          <w:rStyle w:val="SubtleEmphasis"/>
          <w:rFonts w:eastAsiaTheme="majorEastAsia" w:cs="Times New Roman"/>
          <w:b/>
          <w:i w:val="0"/>
          <w:color w:val="auto"/>
          <w:lang w:val="en-US"/>
        </w:rPr>
        <w:t xml:space="preserve"> @ NaYF</w:t>
      </w:r>
      <w:r w:rsidRPr="005C283B">
        <w:rPr>
          <w:rStyle w:val="SubtleEmphasis"/>
          <w:rFonts w:eastAsiaTheme="majorEastAsia" w:cs="Times New Roman"/>
          <w:b/>
          <w:i w:val="0"/>
          <w:color w:val="auto"/>
          <w:vertAlign w:val="subscript"/>
          <w:lang w:val="en-US"/>
        </w:rPr>
        <w:t>4</w:t>
      </w:r>
    </w:p>
    <w:p w14:paraId="29F97EA5" w14:textId="7EDB8BD0" w:rsidR="00B77119" w:rsidRPr="005C283B" w:rsidRDefault="00B77119" w:rsidP="00675B37">
      <w:pPr>
        <w:jc w:val="both"/>
        <w:rPr>
          <w:rFonts w:cs="Times New Roman"/>
          <w:bCs/>
          <w:lang w:val="en-US"/>
        </w:rPr>
      </w:pPr>
      <w:r w:rsidRPr="005C283B">
        <w:rPr>
          <w:rFonts w:cs="Times New Roman"/>
          <w:bCs/>
          <w:lang w:val="en-US"/>
        </w:rPr>
        <w:t>The 15 cm</w:t>
      </w:r>
      <w:r w:rsidRPr="005C283B">
        <w:rPr>
          <w:rFonts w:cs="Times New Roman"/>
          <w:bCs/>
          <w:vertAlign w:val="superscript"/>
          <w:lang w:val="en-US"/>
        </w:rPr>
        <w:t>3</w:t>
      </w:r>
      <w:r w:rsidRPr="005C283B">
        <w:rPr>
          <w:rFonts w:cs="Times New Roman"/>
          <w:bCs/>
          <w:lang w:val="en-US"/>
        </w:rPr>
        <w:t xml:space="preserve"> of oleic acid and 38 cm</w:t>
      </w:r>
      <w:r w:rsidRPr="005C283B">
        <w:rPr>
          <w:rFonts w:cs="Times New Roman"/>
          <w:bCs/>
          <w:vertAlign w:val="superscript"/>
          <w:lang w:val="en-US"/>
        </w:rPr>
        <w:t>3</w:t>
      </w:r>
      <w:r w:rsidRPr="005C283B">
        <w:rPr>
          <w:rFonts w:cs="Times New Roman"/>
          <w:bCs/>
          <w:lang w:val="en-US"/>
        </w:rPr>
        <w:t xml:space="preserve"> of 1-octadecene were added to the round-bottom flask containing 2.5 mmol of yttrium acetate salt. The solution was heated to 145ᵒC and stirred under vacuum for 30 min to remove water and oxygen, and to form oleates from acetates. The temperature was decreased to 80ᵒC and 5 cm</w:t>
      </w:r>
      <w:r w:rsidRPr="005C283B">
        <w:rPr>
          <w:rFonts w:cs="Times New Roman"/>
          <w:bCs/>
          <w:vertAlign w:val="superscript"/>
          <w:lang w:val="en-US"/>
        </w:rPr>
        <w:t>3</w:t>
      </w:r>
      <w:r w:rsidRPr="005C283B">
        <w:rPr>
          <w:rFonts w:cs="Times New Roman"/>
          <w:bCs/>
          <w:lang w:val="en-US"/>
        </w:rPr>
        <w:t xml:space="preserve"> of previously synthesized core nanoparticles solution was added. After the evaporation of the chloroform from the solution, 0.25 g of NaOH and 0.3705 g NH</w:t>
      </w:r>
      <w:r w:rsidRPr="005C283B">
        <w:rPr>
          <w:rFonts w:cs="Times New Roman"/>
          <w:bCs/>
          <w:vertAlign w:val="subscript"/>
          <w:lang w:val="en-US"/>
        </w:rPr>
        <w:t>4</w:t>
      </w:r>
      <w:r w:rsidRPr="005C283B">
        <w:rPr>
          <w:rFonts w:cs="Times New Roman"/>
          <w:bCs/>
          <w:lang w:val="en-US"/>
        </w:rPr>
        <w:t>F in 10 cm</w:t>
      </w:r>
      <w:r w:rsidRPr="005C283B">
        <w:rPr>
          <w:rFonts w:cs="Times New Roman"/>
          <w:bCs/>
          <w:vertAlign w:val="superscript"/>
          <w:lang w:val="en-US"/>
        </w:rPr>
        <w:t>3</w:t>
      </w:r>
      <w:r w:rsidRPr="005C283B">
        <w:rPr>
          <w:rFonts w:cs="Times New Roman"/>
          <w:bCs/>
          <w:lang w:val="en-US"/>
        </w:rPr>
        <w:t xml:space="preserve"> methanol was added. The mixture was stirred under nitrogen at 70ᵒC for 15 min, then the flask was opened and methanol was evaporated from the reaction mixture. In the next step the solution was kept under vacuum for 15 min at 120ᵒC. Afterwards, the temperature was increased to 305ᵒC and the reaction was stirred under nitrogen for one hour. The mixture was cooled to the temperature around 70ᵒC and 8 cm</w:t>
      </w:r>
      <w:r w:rsidRPr="005C283B">
        <w:rPr>
          <w:rFonts w:cs="Times New Roman"/>
          <w:bCs/>
          <w:vertAlign w:val="superscript"/>
          <w:lang w:val="en-US"/>
        </w:rPr>
        <w:t>3</w:t>
      </w:r>
      <w:r w:rsidRPr="005C283B">
        <w:rPr>
          <w:rFonts w:cs="Times New Roman"/>
          <w:bCs/>
          <w:lang w:val="en-US"/>
        </w:rPr>
        <w:t xml:space="preserve"> of ethanol was added to precipitate nanocrystals. The nanocrystals were then collected by centrifugation at 10000 rpm for 10 minutes, washed with n-hexane and ethanol, centrifuged and dispersed in 5 cm</w:t>
      </w:r>
      <w:r w:rsidRPr="005C283B">
        <w:rPr>
          <w:rFonts w:cs="Times New Roman"/>
          <w:bCs/>
          <w:vertAlign w:val="superscript"/>
          <w:lang w:val="en-US"/>
        </w:rPr>
        <w:t>3</w:t>
      </w:r>
      <w:r w:rsidRPr="005C283B">
        <w:rPr>
          <w:rFonts w:cs="Times New Roman"/>
          <w:bCs/>
          <w:lang w:val="en-US"/>
        </w:rPr>
        <w:t xml:space="preserve"> of chloroform.</w:t>
      </w:r>
    </w:p>
    <w:p w14:paraId="32B2D4AB" w14:textId="73B4C6D9" w:rsidR="00AD1DDA" w:rsidRPr="005C283B" w:rsidRDefault="00A31A8E" w:rsidP="00A31A8E">
      <w:pPr>
        <w:jc w:val="both"/>
        <w:rPr>
          <w:rFonts w:ascii="Calibri" w:hAnsi="Calibri"/>
          <w:b/>
          <w:bCs/>
          <w:noProof/>
          <w:lang w:val="en-US"/>
        </w:rPr>
      </w:pPr>
      <w:r w:rsidRPr="005C283B">
        <w:rPr>
          <w:rFonts w:cs="Times New Roman"/>
          <w:bCs/>
          <w:noProof/>
          <w:lang w:val="en-US"/>
        </w:rPr>
        <w:drawing>
          <wp:inline distT="0" distB="0" distL="0" distR="0" wp14:anchorId="22314C17" wp14:editId="1F588883">
            <wp:extent cx="5428615" cy="464756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8615" cy="4647565"/>
                    </a:xfrm>
                    <a:prstGeom prst="rect">
                      <a:avLst/>
                    </a:prstGeom>
                    <a:noFill/>
                  </pic:spPr>
                </pic:pic>
              </a:graphicData>
            </a:graphic>
          </wp:inline>
        </w:drawing>
      </w:r>
      <w:r w:rsidR="00EC1652" w:rsidRPr="005C283B">
        <w:rPr>
          <w:rFonts w:ascii="Calibri" w:hAnsi="Calibri"/>
          <w:noProof/>
          <w:lang w:val="en-US"/>
        </w:rPr>
        <w:t>Fig.S2. XRD pattern of the obtained hexagonal UCNPs</w:t>
      </w:r>
    </w:p>
    <w:p w14:paraId="119572F3" w14:textId="77777777" w:rsidR="00B77119" w:rsidRPr="005C283B" w:rsidRDefault="00B77119" w:rsidP="00B77119">
      <w:pPr>
        <w:rPr>
          <w:rFonts w:ascii="Times New Roman" w:hAnsi="Times New Roman" w:cs="Times New Roman"/>
          <w:bCs/>
          <w:sz w:val="24"/>
          <w:szCs w:val="24"/>
          <w:lang w:val="en-US"/>
        </w:rPr>
      </w:pPr>
    </w:p>
    <w:p w14:paraId="5290C1C5" w14:textId="6C209CB6" w:rsidR="006B49BC" w:rsidRPr="005C283B" w:rsidRDefault="002F5BA5" w:rsidP="00FC0D0C">
      <w:pPr>
        <w:pStyle w:val="ListParagraph"/>
        <w:numPr>
          <w:ilvl w:val="0"/>
          <w:numId w:val="8"/>
        </w:numPr>
        <w:spacing w:line="240" w:lineRule="auto"/>
        <w:jc w:val="both"/>
        <w:rPr>
          <w:b/>
          <w:bCs/>
          <w:lang w:val="en-US"/>
        </w:rPr>
      </w:pPr>
      <w:r w:rsidRPr="005C283B">
        <w:rPr>
          <w:b/>
          <w:bCs/>
          <w:lang w:val="en-US"/>
        </w:rPr>
        <w:t>Separation o</w:t>
      </w:r>
      <w:r w:rsidR="00BB26A2" w:rsidRPr="005C283B">
        <w:rPr>
          <w:b/>
          <w:bCs/>
          <w:lang w:val="en-US"/>
        </w:rPr>
        <w:t>f</w:t>
      </w:r>
      <w:r w:rsidRPr="005C283B">
        <w:rPr>
          <w:b/>
          <w:bCs/>
          <w:lang w:val="en-US"/>
        </w:rPr>
        <w:t xml:space="preserve"> Dex-NH</w:t>
      </w:r>
      <w:r w:rsidRPr="005C283B">
        <w:rPr>
          <w:b/>
          <w:bCs/>
          <w:vertAlign w:val="subscript"/>
          <w:lang w:val="en-US"/>
        </w:rPr>
        <w:t>2</w:t>
      </w:r>
      <w:r w:rsidRPr="005C283B">
        <w:rPr>
          <w:b/>
          <w:bCs/>
          <w:lang w:val="en-US"/>
        </w:rPr>
        <w:t xml:space="preserve"> coated UCNPs</w:t>
      </w:r>
    </w:p>
    <w:p w14:paraId="38BEE87E" w14:textId="371EAA34" w:rsidR="006B49BC" w:rsidRPr="005C283B" w:rsidRDefault="00D65578" w:rsidP="006B49BC">
      <w:pPr>
        <w:keepNext/>
        <w:spacing w:line="240" w:lineRule="auto"/>
        <w:jc w:val="center"/>
      </w:pPr>
      <w:r w:rsidRPr="005C283B">
        <w:rPr>
          <w:noProof/>
          <w:lang w:val="en-US"/>
        </w:rPr>
        <w:drawing>
          <wp:inline distT="0" distB="0" distL="0" distR="0" wp14:anchorId="2E744B62" wp14:editId="6B07FB3E">
            <wp:extent cx="5760720" cy="440944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MFigS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409440"/>
                    </a:xfrm>
                    <a:prstGeom prst="rect">
                      <a:avLst/>
                    </a:prstGeom>
                  </pic:spPr>
                </pic:pic>
              </a:graphicData>
            </a:graphic>
          </wp:inline>
        </w:drawing>
      </w:r>
    </w:p>
    <w:p w14:paraId="0EE9EBF0" w14:textId="1BA392F7" w:rsidR="006B49BC" w:rsidRPr="005C283B" w:rsidRDefault="006B49BC" w:rsidP="006B49BC">
      <w:pPr>
        <w:pStyle w:val="Caption"/>
        <w:jc w:val="both"/>
        <w:rPr>
          <w:b w:val="0"/>
          <w:color w:val="FF0000"/>
          <w:sz w:val="22"/>
          <w:szCs w:val="22"/>
          <w:lang w:val="en-US"/>
        </w:rPr>
      </w:pPr>
      <w:r w:rsidRPr="005C283B">
        <w:rPr>
          <w:b w:val="0"/>
          <w:color w:val="auto"/>
          <w:sz w:val="22"/>
          <w:szCs w:val="22"/>
          <w:lang w:val="en-US"/>
        </w:rPr>
        <w:t xml:space="preserve">Fig. </w:t>
      </w:r>
      <w:r w:rsidR="00FC0D0C" w:rsidRPr="005C283B">
        <w:rPr>
          <w:b w:val="0"/>
          <w:color w:val="auto"/>
          <w:sz w:val="22"/>
          <w:szCs w:val="22"/>
          <w:lang w:val="en-US"/>
        </w:rPr>
        <w:t xml:space="preserve">S3 </w:t>
      </w:r>
      <w:r w:rsidRPr="005C283B">
        <w:rPr>
          <w:b w:val="0"/>
          <w:color w:val="auto"/>
          <w:sz w:val="22"/>
          <w:szCs w:val="22"/>
          <w:lang w:val="en-US"/>
        </w:rPr>
        <w:t>Chromatogram from size exclusion chromatography after coating with Dex-NH</w:t>
      </w:r>
      <w:r w:rsidRPr="005C283B">
        <w:rPr>
          <w:b w:val="0"/>
          <w:color w:val="auto"/>
          <w:sz w:val="22"/>
          <w:szCs w:val="22"/>
          <w:vertAlign w:val="subscript"/>
          <w:lang w:val="en-US"/>
        </w:rPr>
        <w:t>2</w:t>
      </w:r>
      <w:r w:rsidRPr="005C283B">
        <w:rPr>
          <w:b w:val="0"/>
          <w:color w:val="auto"/>
          <w:sz w:val="22"/>
          <w:szCs w:val="22"/>
          <w:lang w:val="en-US"/>
        </w:rPr>
        <w:t>. Column filled with Sepharose CL-6B, 0.9% NaCl (appropriate ionic strength was necessary for separation to occur), flow: 1 ml/min. RU - refraction units</w:t>
      </w:r>
      <w:r w:rsidRPr="005C283B">
        <w:rPr>
          <w:b w:val="0"/>
          <w:color w:val="FF0000"/>
          <w:sz w:val="22"/>
          <w:szCs w:val="22"/>
          <w:lang w:val="en-US"/>
        </w:rPr>
        <w:t xml:space="preserve"> </w:t>
      </w:r>
    </w:p>
    <w:p w14:paraId="38EB5F97" w14:textId="77777777" w:rsidR="006B49BC" w:rsidRPr="005C283B" w:rsidRDefault="006B49BC" w:rsidP="006244E3">
      <w:pPr>
        <w:spacing w:line="240" w:lineRule="auto"/>
        <w:jc w:val="both"/>
        <w:rPr>
          <w:lang w:val="en-US"/>
        </w:rPr>
      </w:pPr>
    </w:p>
    <w:p w14:paraId="1C72735E" w14:textId="06D43C03" w:rsidR="00137364" w:rsidRPr="005C283B" w:rsidRDefault="00137364" w:rsidP="00137364">
      <w:pPr>
        <w:pStyle w:val="ListParagraph"/>
        <w:numPr>
          <w:ilvl w:val="0"/>
          <w:numId w:val="8"/>
        </w:numPr>
        <w:jc w:val="both"/>
        <w:rPr>
          <w:b/>
          <w:lang w:val="en-US"/>
        </w:rPr>
      </w:pPr>
      <w:r w:rsidRPr="005C283B">
        <w:rPr>
          <w:b/>
          <w:lang w:val="en-US"/>
        </w:rPr>
        <w:t>DLS</w:t>
      </w:r>
      <w:r w:rsidR="001B3E5F" w:rsidRPr="005C283B">
        <w:rPr>
          <w:b/>
          <w:lang w:val="en-US"/>
        </w:rPr>
        <w:t>,</w:t>
      </w:r>
      <w:r w:rsidRPr="005C283B">
        <w:rPr>
          <w:b/>
          <w:lang w:val="en-US"/>
        </w:rPr>
        <w:t xml:space="preserve"> Zeta potential</w:t>
      </w:r>
      <w:r w:rsidR="001B3E5F" w:rsidRPr="005C283B">
        <w:rPr>
          <w:b/>
          <w:lang w:val="en-US"/>
        </w:rPr>
        <w:t xml:space="preserve"> and FTIR</w:t>
      </w:r>
    </w:p>
    <w:p w14:paraId="6DC0AE71" w14:textId="77777777" w:rsidR="00137364" w:rsidRPr="005C283B" w:rsidRDefault="00137364" w:rsidP="00137364">
      <w:pPr>
        <w:spacing w:line="240" w:lineRule="auto"/>
        <w:jc w:val="both"/>
        <w:rPr>
          <w:lang w:val="en-US"/>
        </w:rPr>
      </w:pPr>
      <w:r w:rsidRPr="005C283B">
        <w:rPr>
          <w:lang w:val="en-US"/>
        </w:rPr>
        <w:t>All measurements were carried out on Malvern Zetasizer Nano ZS instrument, in mQ water or solutions of NaCl.</w:t>
      </w:r>
    </w:p>
    <w:p w14:paraId="13F12854" w14:textId="77777777" w:rsidR="00137364" w:rsidRPr="005C283B" w:rsidRDefault="00137364" w:rsidP="00137364">
      <w:pPr>
        <w:jc w:val="both"/>
        <w:rPr>
          <w:lang w:val="en-US"/>
        </w:rPr>
      </w:pPr>
      <w:r w:rsidRPr="005C283B">
        <w:rPr>
          <w:lang w:val="en-US"/>
        </w:rPr>
        <w:t>UCNPs were monitored for changes in size distribution and polydispersity index during biofunctionalization (Table S1; Fig. S</w:t>
      </w:r>
      <w:r w:rsidR="00D231AD" w:rsidRPr="005C283B">
        <w:rPr>
          <w:lang w:val="en-US"/>
        </w:rPr>
        <w:t>3</w:t>
      </w:r>
      <w:r w:rsidRPr="005C283B">
        <w:rPr>
          <w:lang w:val="en-US"/>
        </w:rPr>
        <w:t xml:space="preserve">). It can be seen that size of NPs is consistently increasing with each successive added layer while polydispersity is maintained at low level. </w:t>
      </w:r>
    </w:p>
    <w:p w14:paraId="25A4DAFC" w14:textId="77777777" w:rsidR="00137364" w:rsidRPr="005C283B" w:rsidRDefault="00137364" w:rsidP="00137364">
      <w:pPr>
        <w:pStyle w:val="Caption"/>
        <w:keepNext/>
        <w:jc w:val="both"/>
        <w:rPr>
          <w:b w:val="0"/>
          <w:color w:val="FF0000"/>
          <w:sz w:val="22"/>
          <w:szCs w:val="22"/>
        </w:rPr>
      </w:pPr>
      <w:r w:rsidRPr="005C283B">
        <w:rPr>
          <w:b w:val="0"/>
          <w:color w:val="auto"/>
          <w:sz w:val="22"/>
          <w:szCs w:val="22"/>
          <w:lang w:val="en-US"/>
        </w:rPr>
        <w:t>Table S</w:t>
      </w:r>
      <w:r w:rsidRPr="005C283B">
        <w:rPr>
          <w:b w:val="0"/>
          <w:color w:val="auto"/>
          <w:sz w:val="22"/>
          <w:szCs w:val="22"/>
        </w:rPr>
        <w:fldChar w:fldCharType="begin"/>
      </w:r>
      <w:r w:rsidRPr="005C283B">
        <w:rPr>
          <w:b w:val="0"/>
          <w:color w:val="auto"/>
          <w:sz w:val="22"/>
          <w:szCs w:val="22"/>
          <w:lang w:val="en-US"/>
        </w:rPr>
        <w:instrText xml:space="preserve"> SEQ Table \* ARABIC </w:instrText>
      </w:r>
      <w:r w:rsidRPr="005C283B">
        <w:rPr>
          <w:b w:val="0"/>
          <w:color w:val="auto"/>
          <w:sz w:val="22"/>
          <w:szCs w:val="22"/>
        </w:rPr>
        <w:fldChar w:fldCharType="separate"/>
      </w:r>
      <w:r w:rsidRPr="005C283B">
        <w:rPr>
          <w:b w:val="0"/>
          <w:noProof/>
          <w:color w:val="auto"/>
          <w:sz w:val="22"/>
          <w:szCs w:val="22"/>
          <w:lang w:val="en-US"/>
        </w:rPr>
        <w:t>1</w:t>
      </w:r>
      <w:r w:rsidRPr="005C283B">
        <w:rPr>
          <w:b w:val="0"/>
          <w:color w:val="auto"/>
          <w:sz w:val="22"/>
          <w:szCs w:val="22"/>
        </w:rPr>
        <w:fldChar w:fldCharType="end"/>
      </w:r>
      <w:r w:rsidRPr="005C283B">
        <w:rPr>
          <w:b w:val="0"/>
          <w:color w:val="auto"/>
          <w:sz w:val="22"/>
          <w:szCs w:val="22"/>
          <w:lang w:val="en-US"/>
        </w:rPr>
        <w:t xml:space="preserve">. Changes in average size of UCNPs at different stages of functionalization. </w:t>
      </w:r>
      <w:r w:rsidRPr="005C283B">
        <w:rPr>
          <w:b w:val="0"/>
          <w:color w:val="auto"/>
          <w:sz w:val="22"/>
          <w:szCs w:val="22"/>
        </w:rPr>
        <w:t>H</w:t>
      </w:r>
      <w:r w:rsidRPr="005C283B">
        <w:rPr>
          <w:b w:val="0"/>
          <w:color w:val="auto"/>
          <w:sz w:val="22"/>
          <w:szCs w:val="22"/>
          <w:vertAlign w:val="subscript"/>
        </w:rPr>
        <w:t>d</w:t>
      </w:r>
      <w:r w:rsidRPr="005C283B">
        <w:rPr>
          <w:b w:val="0"/>
          <w:color w:val="auto"/>
          <w:sz w:val="22"/>
          <w:szCs w:val="22"/>
        </w:rPr>
        <w:t xml:space="preserve"> – hydrodynamic diameter, PDI – polydispersity index. </w:t>
      </w:r>
    </w:p>
    <w:tbl>
      <w:tblPr>
        <w:tblStyle w:val="TableGrid"/>
        <w:tblW w:w="0" w:type="auto"/>
        <w:jc w:val="center"/>
        <w:tblLook w:val="04A0" w:firstRow="1" w:lastRow="0" w:firstColumn="1" w:lastColumn="0" w:noHBand="0" w:noVBand="1"/>
      </w:tblPr>
      <w:tblGrid>
        <w:gridCol w:w="2268"/>
        <w:gridCol w:w="1418"/>
        <w:gridCol w:w="1134"/>
      </w:tblGrid>
      <w:tr w:rsidR="00137364" w:rsidRPr="005C283B" w14:paraId="5685E558" w14:textId="77777777" w:rsidTr="004A1AD2">
        <w:trPr>
          <w:jc w:val="center"/>
        </w:trPr>
        <w:tc>
          <w:tcPr>
            <w:tcW w:w="2268" w:type="dxa"/>
            <w:tcBorders>
              <w:top w:val="nil"/>
              <w:left w:val="nil"/>
              <w:bottom w:val="single" w:sz="4" w:space="0" w:color="auto"/>
            </w:tcBorders>
          </w:tcPr>
          <w:p w14:paraId="4071BF6D" w14:textId="77777777" w:rsidR="00137364" w:rsidRPr="005C283B" w:rsidRDefault="00137364" w:rsidP="004A1AD2"/>
        </w:tc>
        <w:tc>
          <w:tcPr>
            <w:tcW w:w="1418" w:type="dxa"/>
          </w:tcPr>
          <w:p w14:paraId="66C9962E" w14:textId="77777777" w:rsidR="00137364" w:rsidRPr="005C283B" w:rsidRDefault="00137364" w:rsidP="004A1AD2">
            <w:pPr>
              <w:jc w:val="center"/>
            </w:pPr>
            <w:r w:rsidRPr="005C283B">
              <w:t>H</w:t>
            </w:r>
            <w:r w:rsidRPr="005C283B">
              <w:rPr>
                <w:vertAlign w:val="subscript"/>
              </w:rPr>
              <w:t>d</w:t>
            </w:r>
            <w:r w:rsidRPr="005C283B">
              <w:t xml:space="preserve"> [nm]</w:t>
            </w:r>
          </w:p>
        </w:tc>
        <w:tc>
          <w:tcPr>
            <w:tcW w:w="1134" w:type="dxa"/>
          </w:tcPr>
          <w:p w14:paraId="5E935DE4" w14:textId="77777777" w:rsidR="00137364" w:rsidRPr="005C283B" w:rsidRDefault="00137364" w:rsidP="004A1AD2">
            <w:pPr>
              <w:jc w:val="center"/>
            </w:pPr>
            <w:r w:rsidRPr="005C283B">
              <w:t>PDI</w:t>
            </w:r>
          </w:p>
        </w:tc>
      </w:tr>
      <w:tr w:rsidR="00137364" w:rsidRPr="005C283B" w14:paraId="5ABADCE8" w14:textId="77777777" w:rsidTr="004A1AD2">
        <w:trPr>
          <w:jc w:val="center"/>
        </w:trPr>
        <w:tc>
          <w:tcPr>
            <w:tcW w:w="2268" w:type="dxa"/>
            <w:tcBorders>
              <w:top w:val="single" w:sz="4" w:space="0" w:color="auto"/>
            </w:tcBorders>
            <w:vAlign w:val="center"/>
          </w:tcPr>
          <w:p w14:paraId="69BC41EC" w14:textId="77777777" w:rsidR="00137364" w:rsidRPr="005C283B" w:rsidRDefault="00137364" w:rsidP="004A1AD2">
            <w:r w:rsidRPr="005C283B">
              <w:t>Ligand-free NP</w:t>
            </w:r>
          </w:p>
        </w:tc>
        <w:tc>
          <w:tcPr>
            <w:tcW w:w="1418" w:type="dxa"/>
            <w:vAlign w:val="center"/>
          </w:tcPr>
          <w:p w14:paraId="7639FC95" w14:textId="77777777" w:rsidR="00137364" w:rsidRPr="005C283B" w:rsidRDefault="00137364" w:rsidP="004A1AD2">
            <w:pPr>
              <w:jc w:val="center"/>
            </w:pPr>
            <w:r w:rsidRPr="005C283B">
              <w:t>60.32±30.53</w:t>
            </w:r>
          </w:p>
        </w:tc>
        <w:tc>
          <w:tcPr>
            <w:tcW w:w="1134" w:type="dxa"/>
            <w:vAlign w:val="center"/>
          </w:tcPr>
          <w:p w14:paraId="299BD804" w14:textId="77777777" w:rsidR="00137364" w:rsidRPr="005C283B" w:rsidRDefault="00137364" w:rsidP="004A1AD2">
            <w:pPr>
              <w:jc w:val="center"/>
            </w:pPr>
            <w:r w:rsidRPr="005C283B">
              <w:t>0.256</w:t>
            </w:r>
          </w:p>
        </w:tc>
      </w:tr>
      <w:tr w:rsidR="00137364" w:rsidRPr="005C283B" w14:paraId="05D80D16" w14:textId="77777777" w:rsidTr="004A1AD2">
        <w:trPr>
          <w:jc w:val="center"/>
        </w:trPr>
        <w:tc>
          <w:tcPr>
            <w:tcW w:w="2268" w:type="dxa"/>
            <w:vAlign w:val="center"/>
          </w:tcPr>
          <w:p w14:paraId="4DB986BF" w14:textId="77777777" w:rsidR="00137364" w:rsidRPr="005C283B" w:rsidRDefault="00137364" w:rsidP="004A1AD2">
            <w:r w:rsidRPr="005C283B">
              <w:t>NP-PVP</w:t>
            </w:r>
          </w:p>
        </w:tc>
        <w:tc>
          <w:tcPr>
            <w:tcW w:w="1418" w:type="dxa"/>
            <w:vAlign w:val="center"/>
          </w:tcPr>
          <w:p w14:paraId="61733EC0" w14:textId="77777777" w:rsidR="00137364" w:rsidRPr="005C283B" w:rsidRDefault="00137364" w:rsidP="004A1AD2">
            <w:pPr>
              <w:jc w:val="center"/>
              <w:rPr>
                <w:lang w:val="en-US"/>
              </w:rPr>
            </w:pPr>
            <w:r w:rsidRPr="005C283B">
              <w:t>67.</w:t>
            </w:r>
            <w:r w:rsidRPr="005C283B">
              <w:rPr>
                <w:lang w:val="en-US"/>
              </w:rPr>
              <w:t>19±22.72</w:t>
            </w:r>
          </w:p>
        </w:tc>
        <w:tc>
          <w:tcPr>
            <w:tcW w:w="1134" w:type="dxa"/>
            <w:vAlign w:val="center"/>
          </w:tcPr>
          <w:p w14:paraId="1D3B4523" w14:textId="77777777" w:rsidR="00137364" w:rsidRPr="005C283B" w:rsidRDefault="00137364" w:rsidP="004A1AD2">
            <w:pPr>
              <w:jc w:val="center"/>
              <w:rPr>
                <w:lang w:val="en-US"/>
              </w:rPr>
            </w:pPr>
            <w:r w:rsidRPr="005C283B">
              <w:rPr>
                <w:lang w:val="en-US"/>
              </w:rPr>
              <w:t>0.114</w:t>
            </w:r>
          </w:p>
        </w:tc>
      </w:tr>
      <w:tr w:rsidR="00137364" w:rsidRPr="005C283B" w14:paraId="5086AD69" w14:textId="77777777" w:rsidTr="004A1AD2">
        <w:trPr>
          <w:jc w:val="center"/>
        </w:trPr>
        <w:tc>
          <w:tcPr>
            <w:tcW w:w="2268" w:type="dxa"/>
            <w:vAlign w:val="center"/>
          </w:tcPr>
          <w:p w14:paraId="4C7AAF67" w14:textId="77777777" w:rsidR="00137364" w:rsidRPr="005C283B" w:rsidRDefault="00137364" w:rsidP="004A1AD2">
            <w:pPr>
              <w:rPr>
                <w:lang w:val="en-US"/>
              </w:rPr>
            </w:pPr>
            <w:r w:rsidRPr="005C283B">
              <w:rPr>
                <w:lang w:val="en-US"/>
              </w:rPr>
              <w:t>NP-PVP-Dex</w:t>
            </w:r>
          </w:p>
        </w:tc>
        <w:tc>
          <w:tcPr>
            <w:tcW w:w="1418" w:type="dxa"/>
            <w:vAlign w:val="center"/>
          </w:tcPr>
          <w:p w14:paraId="19A7D4EB" w14:textId="77777777" w:rsidR="00137364" w:rsidRPr="005C283B" w:rsidRDefault="00137364" w:rsidP="004A1AD2">
            <w:pPr>
              <w:jc w:val="center"/>
              <w:rPr>
                <w:lang w:val="en-US"/>
              </w:rPr>
            </w:pPr>
            <w:r w:rsidRPr="005C283B">
              <w:rPr>
                <w:lang w:val="en-US"/>
              </w:rPr>
              <w:t>91.83±33.74</w:t>
            </w:r>
          </w:p>
        </w:tc>
        <w:tc>
          <w:tcPr>
            <w:tcW w:w="1134" w:type="dxa"/>
            <w:vAlign w:val="center"/>
          </w:tcPr>
          <w:p w14:paraId="569FEE52" w14:textId="77777777" w:rsidR="00137364" w:rsidRPr="005C283B" w:rsidRDefault="00137364" w:rsidP="004A1AD2">
            <w:pPr>
              <w:jc w:val="center"/>
              <w:rPr>
                <w:lang w:val="en-US"/>
              </w:rPr>
            </w:pPr>
            <w:r w:rsidRPr="005C283B">
              <w:rPr>
                <w:lang w:val="en-US"/>
              </w:rPr>
              <w:t>0.135</w:t>
            </w:r>
          </w:p>
        </w:tc>
      </w:tr>
      <w:tr w:rsidR="00137364" w:rsidRPr="005C283B" w14:paraId="78859B8D" w14:textId="77777777" w:rsidTr="004A1AD2">
        <w:trPr>
          <w:jc w:val="center"/>
        </w:trPr>
        <w:tc>
          <w:tcPr>
            <w:tcW w:w="2268" w:type="dxa"/>
            <w:vAlign w:val="center"/>
          </w:tcPr>
          <w:p w14:paraId="59B76504" w14:textId="77777777" w:rsidR="00137364" w:rsidRPr="005C283B" w:rsidRDefault="00137364" w:rsidP="004A1AD2">
            <w:pPr>
              <w:rPr>
                <w:lang w:val="en-US"/>
              </w:rPr>
            </w:pPr>
            <w:r w:rsidRPr="005C283B">
              <w:rPr>
                <w:lang w:val="en-US"/>
              </w:rPr>
              <w:t>NP-PVP-Dex-Protein G</w:t>
            </w:r>
          </w:p>
        </w:tc>
        <w:tc>
          <w:tcPr>
            <w:tcW w:w="1418" w:type="dxa"/>
            <w:vAlign w:val="center"/>
          </w:tcPr>
          <w:p w14:paraId="6BAB3C6B" w14:textId="77777777" w:rsidR="00137364" w:rsidRPr="005C283B" w:rsidRDefault="00137364" w:rsidP="004A1AD2">
            <w:pPr>
              <w:jc w:val="center"/>
              <w:rPr>
                <w:lang w:val="en-US"/>
              </w:rPr>
            </w:pPr>
            <w:r w:rsidRPr="005C283B">
              <w:rPr>
                <w:lang w:val="en-US"/>
              </w:rPr>
              <w:t>99.62±42.86</w:t>
            </w:r>
          </w:p>
        </w:tc>
        <w:tc>
          <w:tcPr>
            <w:tcW w:w="1134" w:type="dxa"/>
            <w:vAlign w:val="center"/>
          </w:tcPr>
          <w:p w14:paraId="2339B947" w14:textId="77777777" w:rsidR="00137364" w:rsidRPr="005C283B" w:rsidRDefault="00137364" w:rsidP="004A1AD2">
            <w:pPr>
              <w:jc w:val="center"/>
              <w:rPr>
                <w:lang w:val="en-US"/>
              </w:rPr>
            </w:pPr>
            <w:r w:rsidRPr="005C283B">
              <w:rPr>
                <w:lang w:val="en-US"/>
              </w:rPr>
              <w:t>0.185</w:t>
            </w:r>
          </w:p>
        </w:tc>
      </w:tr>
    </w:tbl>
    <w:p w14:paraId="38AD6A5B" w14:textId="77777777" w:rsidR="00137364" w:rsidRPr="005C283B" w:rsidRDefault="00137364" w:rsidP="00137364">
      <w:pPr>
        <w:rPr>
          <w:lang w:val="en-US"/>
        </w:rPr>
      </w:pPr>
    </w:p>
    <w:p w14:paraId="6FD601E4" w14:textId="77777777" w:rsidR="00137364" w:rsidRPr="005C283B" w:rsidRDefault="00137364" w:rsidP="00137364">
      <w:pPr>
        <w:keepNext/>
      </w:pPr>
      <w:r w:rsidRPr="005C283B">
        <w:rPr>
          <w:noProof/>
          <w:lang w:val="en-US"/>
        </w:rPr>
        <w:drawing>
          <wp:inline distT="0" distB="0" distL="0" distR="0" wp14:anchorId="50747C8C" wp14:editId="1FDAE772">
            <wp:extent cx="5804842" cy="2475781"/>
            <wp:effectExtent l="0" t="0" r="5715" b="127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0250" cy="2478088"/>
                    </a:xfrm>
                    <a:prstGeom prst="rect">
                      <a:avLst/>
                    </a:prstGeom>
                    <a:noFill/>
                    <a:ln>
                      <a:noFill/>
                    </a:ln>
                  </pic:spPr>
                </pic:pic>
              </a:graphicData>
            </a:graphic>
          </wp:inline>
        </w:drawing>
      </w:r>
    </w:p>
    <w:p w14:paraId="00138A0F" w14:textId="2FE28CA7" w:rsidR="00137364" w:rsidRPr="005C283B" w:rsidRDefault="00137364" w:rsidP="00137364">
      <w:pPr>
        <w:pStyle w:val="Caption"/>
        <w:jc w:val="both"/>
        <w:rPr>
          <w:b w:val="0"/>
          <w:color w:val="auto"/>
          <w:sz w:val="22"/>
          <w:szCs w:val="22"/>
          <w:lang w:val="en-US"/>
        </w:rPr>
      </w:pPr>
      <w:r w:rsidRPr="005C283B">
        <w:rPr>
          <w:b w:val="0"/>
          <w:color w:val="auto"/>
          <w:sz w:val="22"/>
          <w:szCs w:val="22"/>
          <w:lang w:val="en-US"/>
        </w:rPr>
        <w:t xml:space="preserve">Fig. </w:t>
      </w:r>
      <w:r w:rsidR="00FC0D0C" w:rsidRPr="005C283B">
        <w:rPr>
          <w:b w:val="0"/>
          <w:color w:val="auto"/>
          <w:sz w:val="22"/>
          <w:szCs w:val="22"/>
          <w:lang w:val="en-US"/>
        </w:rPr>
        <w:t xml:space="preserve">S4 </w:t>
      </w:r>
      <w:r w:rsidRPr="005C283B">
        <w:rPr>
          <w:b w:val="0"/>
          <w:color w:val="auto"/>
          <w:sz w:val="22"/>
          <w:szCs w:val="22"/>
          <w:lang w:val="en-US"/>
        </w:rPr>
        <w:t>The particle size distribution at different stages of biofunctionalization. The data corresponds to Table 1.</w:t>
      </w:r>
    </w:p>
    <w:p w14:paraId="08A4093D" w14:textId="6777D7AC" w:rsidR="00137364" w:rsidRPr="005C283B" w:rsidRDefault="00137364" w:rsidP="00137364">
      <w:pPr>
        <w:jc w:val="both"/>
        <w:rPr>
          <w:lang w:val="en-US"/>
        </w:rPr>
      </w:pPr>
      <w:r w:rsidRPr="005C283B">
        <w:rPr>
          <w:lang w:val="en-US"/>
        </w:rPr>
        <w:t xml:space="preserve">DLS instrument calculates particle diameter with solvation shell, so-called hydrodynamic diameter. It is highly dependent on interaction between particle surface and surrounding ions or solvent molecules. Therefore obtained results should be treated as evidence for reaction to take place rather than information about real size. Transmission electron microscopy is a technique more relevant to determine size of UCNPs close to the actual value. </w:t>
      </w:r>
    </w:p>
    <w:p w14:paraId="18032DF3" w14:textId="62907203" w:rsidR="00137364" w:rsidRPr="005C283B" w:rsidRDefault="00137364" w:rsidP="00137364">
      <w:pPr>
        <w:jc w:val="both"/>
        <w:rPr>
          <w:lang w:val="en-US"/>
        </w:rPr>
      </w:pPr>
      <w:r w:rsidRPr="005C283B">
        <w:rPr>
          <w:lang w:val="en-US"/>
        </w:rPr>
        <w:t xml:space="preserve">Another meaningful parameter is the Zeta Potential which is associated with surface charge. It can be useful to predict how particles would act with each other or surrounding molecules. </w:t>
      </w:r>
      <w:r w:rsidR="001B1F0A" w:rsidRPr="005C283B">
        <w:rPr>
          <w:lang w:val="en-US"/>
        </w:rPr>
        <w:t>Removing oleic acid by acid treatment results in</w:t>
      </w:r>
      <w:r w:rsidRPr="005C283B">
        <w:rPr>
          <w:lang w:val="en-US"/>
        </w:rPr>
        <w:t xml:space="preserve"> high positive charge of bare UCNPs. Addition of each layer is reflected by shifts in measured potential (Fig. </w:t>
      </w:r>
      <w:r w:rsidR="00FC0D0C" w:rsidRPr="005C283B">
        <w:rPr>
          <w:lang w:val="en-US"/>
        </w:rPr>
        <w:t>S5</w:t>
      </w:r>
      <w:r w:rsidRPr="005C283B">
        <w:rPr>
          <w:lang w:val="en-US"/>
        </w:rPr>
        <w:t xml:space="preserve">). </w:t>
      </w:r>
      <w:r w:rsidR="00B9121E" w:rsidRPr="005C283B">
        <w:rPr>
          <w:lang w:val="en-US"/>
        </w:rPr>
        <w:t xml:space="preserve">The measurements after coating with modified PVP zeta potential could not be measured due to precipitation of nanoparticles in NaCl solution. </w:t>
      </w:r>
      <w:r w:rsidRPr="005C283B">
        <w:rPr>
          <w:lang w:val="en-US"/>
        </w:rPr>
        <w:t>Slightly negative value after conjugation with Protein G is consistent with a negative net charge of protein.</w:t>
      </w:r>
    </w:p>
    <w:p w14:paraId="4D067AAB" w14:textId="22AF90FF" w:rsidR="00137364" w:rsidRPr="005C283B" w:rsidRDefault="00115C5F" w:rsidP="00137364">
      <w:pPr>
        <w:keepNext/>
        <w:jc w:val="center"/>
      </w:pPr>
      <w:r w:rsidRPr="005C283B">
        <w:rPr>
          <w:noProof/>
          <w:lang w:val="en-US"/>
        </w:rPr>
        <w:drawing>
          <wp:inline distT="0" distB="0" distL="0" distR="0" wp14:anchorId="445A4820" wp14:editId="5F54AA9A">
            <wp:extent cx="3053344" cy="2336453"/>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5.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6525" cy="2346539"/>
                    </a:xfrm>
                    <a:prstGeom prst="rect">
                      <a:avLst/>
                    </a:prstGeom>
                  </pic:spPr>
                </pic:pic>
              </a:graphicData>
            </a:graphic>
          </wp:inline>
        </w:drawing>
      </w:r>
    </w:p>
    <w:p w14:paraId="0C9CCD08" w14:textId="31EF1E2D" w:rsidR="00137364" w:rsidRPr="005C283B" w:rsidRDefault="00137364" w:rsidP="00137364">
      <w:pPr>
        <w:pStyle w:val="Caption"/>
        <w:rPr>
          <w:b w:val="0"/>
          <w:color w:val="auto"/>
          <w:sz w:val="22"/>
          <w:szCs w:val="22"/>
          <w:lang w:val="en-US"/>
        </w:rPr>
      </w:pPr>
      <w:r w:rsidRPr="005C283B">
        <w:rPr>
          <w:b w:val="0"/>
          <w:color w:val="auto"/>
          <w:sz w:val="22"/>
          <w:szCs w:val="22"/>
          <w:lang w:val="en-US"/>
        </w:rPr>
        <w:t xml:space="preserve">Fig. </w:t>
      </w:r>
      <w:r w:rsidR="00FC0D0C" w:rsidRPr="005C283B">
        <w:rPr>
          <w:b w:val="0"/>
          <w:color w:val="auto"/>
          <w:sz w:val="22"/>
          <w:szCs w:val="22"/>
          <w:lang w:val="en-US"/>
        </w:rPr>
        <w:t>S5</w:t>
      </w:r>
      <w:r w:rsidR="00C63F17" w:rsidRPr="005C283B">
        <w:rPr>
          <w:b w:val="0"/>
          <w:color w:val="auto"/>
          <w:sz w:val="22"/>
          <w:szCs w:val="22"/>
          <w:lang w:val="en-US"/>
        </w:rPr>
        <w:t xml:space="preserve"> </w:t>
      </w:r>
      <w:r w:rsidRPr="005C283B">
        <w:rPr>
          <w:b w:val="0"/>
          <w:color w:val="auto"/>
          <w:sz w:val="22"/>
          <w:szCs w:val="22"/>
          <w:lang w:val="en-US"/>
        </w:rPr>
        <w:t>Effect of coating on Zeta Potential of UCNPs. Nanoparticles dispersed in 1.54</w:t>
      </w:r>
      <w:r w:rsidR="00940CEC" w:rsidRPr="005C283B">
        <w:rPr>
          <w:b w:val="0"/>
          <w:color w:val="auto"/>
          <w:sz w:val="22"/>
          <w:szCs w:val="22"/>
          <w:lang w:val="en-US"/>
        </w:rPr>
        <w:t xml:space="preserve"> </w:t>
      </w:r>
      <w:r w:rsidRPr="005C283B">
        <w:rPr>
          <w:b w:val="0"/>
          <w:color w:val="auto"/>
          <w:sz w:val="22"/>
          <w:szCs w:val="22"/>
          <w:lang w:val="en-US"/>
        </w:rPr>
        <w:t>mM NaCl.</w:t>
      </w:r>
    </w:p>
    <w:p w14:paraId="7672642D" w14:textId="781C5951" w:rsidR="00137364" w:rsidRPr="005C283B" w:rsidRDefault="00137364" w:rsidP="006244E3">
      <w:pPr>
        <w:spacing w:line="240" w:lineRule="auto"/>
        <w:jc w:val="both"/>
        <w:rPr>
          <w:lang w:val="en-US"/>
        </w:rPr>
      </w:pPr>
    </w:p>
    <w:p w14:paraId="729B6C7D" w14:textId="4F9DDF2F" w:rsidR="0043154E" w:rsidRPr="005C283B" w:rsidRDefault="0043154E" w:rsidP="006244E3">
      <w:pPr>
        <w:spacing w:line="240" w:lineRule="auto"/>
        <w:jc w:val="both"/>
        <w:rPr>
          <w:lang w:val="en-US"/>
        </w:rPr>
      </w:pPr>
    </w:p>
    <w:p w14:paraId="252507D9" w14:textId="276D1482" w:rsidR="005A5040" w:rsidRPr="005C283B" w:rsidRDefault="00266E14" w:rsidP="009512AE">
      <w:pPr>
        <w:spacing w:line="240" w:lineRule="auto"/>
        <w:jc w:val="both"/>
        <w:rPr>
          <w:lang w:val="en-US"/>
        </w:rPr>
      </w:pPr>
      <w:r w:rsidRPr="005C283B">
        <w:rPr>
          <w:noProof/>
          <w:lang w:val="en-US"/>
        </w:rPr>
        <w:drawing>
          <wp:inline distT="0" distB="0" distL="0" distR="0" wp14:anchorId="1EB87ED8" wp14:editId="1A0AD9F7">
            <wp:extent cx="5760720" cy="440944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TIR image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409440"/>
                    </a:xfrm>
                    <a:prstGeom prst="rect">
                      <a:avLst/>
                    </a:prstGeom>
                  </pic:spPr>
                </pic:pic>
              </a:graphicData>
            </a:graphic>
          </wp:inline>
        </w:drawing>
      </w:r>
    </w:p>
    <w:p w14:paraId="7687FDF0" w14:textId="637FF0DC" w:rsidR="0043154E" w:rsidRPr="005C283B" w:rsidRDefault="0043154E" w:rsidP="00C84DE5">
      <w:pPr>
        <w:spacing w:line="240" w:lineRule="auto"/>
        <w:jc w:val="both"/>
        <w:rPr>
          <w:lang w:val="en-US"/>
        </w:rPr>
      </w:pPr>
      <w:r w:rsidRPr="005C283B">
        <w:rPr>
          <w:lang w:val="en-US"/>
        </w:rPr>
        <w:t>Fig.S6 FT</w:t>
      </w:r>
      <w:r w:rsidR="00DB18CB" w:rsidRPr="005C283B">
        <w:rPr>
          <w:lang w:val="en-US"/>
        </w:rPr>
        <w:t>-</w:t>
      </w:r>
      <w:r w:rsidRPr="005C283B">
        <w:rPr>
          <w:lang w:val="en-US"/>
        </w:rPr>
        <w:t xml:space="preserve">IR data for </w:t>
      </w:r>
      <w:r w:rsidR="00446A14" w:rsidRPr="005C283B">
        <w:rPr>
          <w:lang w:val="en-US"/>
        </w:rPr>
        <w:t>NaYF</w:t>
      </w:r>
      <w:r w:rsidR="00446A14" w:rsidRPr="005C283B">
        <w:rPr>
          <w:vertAlign w:val="subscript"/>
          <w:lang w:val="en-US"/>
        </w:rPr>
        <w:t>4</w:t>
      </w:r>
      <w:r w:rsidR="00446A14" w:rsidRPr="005C283B">
        <w:rPr>
          <w:lang w:val="en-US"/>
        </w:rPr>
        <w:t>:YbEr@NaYF</w:t>
      </w:r>
      <w:r w:rsidR="00446A14" w:rsidRPr="005C283B">
        <w:rPr>
          <w:vertAlign w:val="subscript"/>
          <w:lang w:val="en-US"/>
        </w:rPr>
        <w:t>4</w:t>
      </w:r>
      <w:r w:rsidR="00446A14" w:rsidRPr="005C283B">
        <w:rPr>
          <w:lang w:val="en-US"/>
        </w:rPr>
        <w:t xml:space="preserve"> </w:t>
      </w:r>
      <w:r w:rsidRPr="005C283B">
        <w:rPr>
          <w:lang w:val="en-US"/>
        </w:rPr>
        <w:t>nanocrystals</w:t>
      </w:r>
      <w:r w:rsidR="004D162B" w:rsidRPr="005C283B">
        <w:rPr>
          <w:lang w:val="en-US"/>
        </w:rPr>
        <w:t xml:space="preserve"> after each step o</w:t>
      </w:r>
      <w:r w:rsidR="00754642" w:rsidRPr="005C283B">
        <w:rPr>
          <w:lang w:val="en-US"/>
        </w:rPr>
        <w:t>f</w:t>
      </w:r>
      <w:r w:rsidR="004D162B" w:rsidRPr="005C283B">
        <w:rPr>
          <w:lang w:val="en-US"/>
        </w:rPr>
        <w:t xml:space="preserve"> biofunctionalization</w:t>
      </w:r>
      <w:r w:rsidR="003F3E96" w:rsidRPr="005C283B">
        <w:rPr>
          <w:lang w:val="en-US"/>
        </w:rPr>
        <w:t xml:space="preserve"> obtained on </w:t>
      </w:r>
      <w:r w:rsidR="00C84DE5" w:rsidRPr="005C283B">
        <w:rPr>
          <w:lang w:val="en-US"/>
        </w:rPr>
        <w:t>Thermo Scientific Nicolet 6700 ​with Smart Orbit Diamond ATR</w:t>
      </w:r>
      <w:r w:rsidR="0046196A" w:rsidRPr="005C283B">
        <w:rPr>
          <w:lang w:val="en-US"/>
        </w:rPr>
        <w:t>.</w:t>
      </w:r>
      <w:r w:rsidR="009512AE" w:rsidRPr="005C283B">
        <w:rPr>
          <w:lang w:val="en-US"/>
        </w:rPr>
        <w:t xml:space="preserve"> </w:t>
      </w:r>
      <w:r w:rsidR="00072A4B" w:rsidRPr="005C283B">
        <w:rPr>
          <w:lang w:val="en-US"/>
        </w:rPr>
        <w:t>(a)</w:t>
      </w:r>
      <w:r w:rsidR="001D42A3" w:rsidRPr="005C283B">
        <w:rPr>
          <w:lang w:val="en-US"/>
        </w:rPr>
        <w:t xml:space="preserve"> The as synthesized </w:t>
      </w:r>
      <w:r w:rsidR="00E45ED2" w:rsidRPr="005C283B">
        <w:rPr>
          <w:lang w:val="en-US"/>
        </w:rPr>
        <w:t xml:space="preserve">oleate-capped nanoparticles. (b) PVP-ANB-NOS functionalized NPs. </w:t>
      </w:r>
      <w:r w:rsidR="008B49E2" w:rsidRPr="005C283B">
        <w:rPr>
          <w:lang w:val="en-US"/>
        </w:rPr>
        <w:t>(c</w:t>
      </w:r>
      <w:r w:rsidR="00E45ED2" w:rsidRPr="005C283B">
        <w:rPr>
          <w:lang w:val="en-US"/>
        </w:rPr>
        <w:t>) NPs functionalized with PVP-ANB-NOS and dextran. (</w:t>
      </w:r>
      <w:r w:rsidR="008B49E2" w:rsidRPr="005C283B">
        <w:rPr>
          <w:lang w:val="en-US"/>
        </w:rPr>
        <w:t>d</w:t>
      </w:r>
      <w:r w:rsidR="00E45ED2" w:rsidRPr="005C283B">
        <w:rPr>
          <w:lang w:val="en-US"/>
        </w:rPr>
        <w:t>)</w:t>
      </w:r>
      <w:r w:rsidR="00B93EC2" w:rsidRPr="005C283B">
        <w:rPr>
          <w:lang w:val="en-US"/>
        </w:rPr>
        <w:t xml:space="preserve"> </w:t>
      </w:r>
      <w:r w:rsidR="00AE7DF7" w:rsidRPr="005C283B">
        <w:rPr>
          <w:lang w:val="en-US"/>
        </w:rPr>
        <w:t>NPs functionalized with PVP-ANB-NOS, dextran and IgG. (</w:t>
      </w:r>
      <w:r w:rsidR="008B49E2" w:rsidRPr="005C283B">
        <w:rPr>
          <w:lang w:val="en-US"/>
        </w:rPr>
        <w:t>e</w:t>
      </w:r>
      <w:r w:rsidR="00AE7DF7" w:rsidRPr="005C283B">
        <w:rPr>
          <w:lang w:val="en-US"/>
        </w:rPr>
        <w:t>) NPs functionalized with PVP-ANB-NOS, dextran and protein G.</w:t>
      </w:r>
      <w:r w:rsidR="00072A4B" w:rsidRPr="005C283B">
        <w:rPr>
          <w:lang w:val="en-US"/>
        </w:rPr>
        <w:t xml:space="preserve"> </w:t>
      </w:r>
      <w:r w:rsidR="007E5B4D" w:rsidRPr="005C283B">
        <w:rPr>
          <w:lang w:val="en-US"/>
        </w:rPr>
        <w:t xml:space="preserve">The right panel shows FT-IR spectra of PVP-ANB-NOS, Dextran, immunoglobulin G and protein G. </w:t>
      </w:r>
      <w:r w:rsidR="00072A4B" w:rsidRPr="005C283B">
        <w:rPr>
          <w:lang w:val="en-US"/>
        </w:rPr>
        <w:t xml:space="preserve">The bands of as synthesized nanocrystals at </w:t>
      </w:r>
      <w:r w:rsidR="009B20FA" w:rsidRPr="005C283B">
        <w:rPr>
          <w:lang w:val="en-US"/>
        </w:rPr>
        <w:t>2,92</w:t>
      </w:r>
      <w:r w:rsidR="00072A4B" w:rsidRPr="005C283B">
        <w:rPr>
          <w:lang w:val="en-US"/>
        </w:rPr>
        <w:t>5</w:t>
      </w:r>
      <w:r w:rsidR="009B20FA" w:rsidRPr="005C283B">
        <w:rPr>
          <w:lang w:val="en-US"/>
        </w:rPr>
        <w:t xml:space="preserve"> and 2,850 cm</w:t>
      </w:r>
      <w:r w:rsidR="009B20FA" w:rsidRPr="005C283B">
        <w:rPr>
          <w:vertAlign w:val="superscript"/>
          <w:lang w:val="en-US"/>
        </w:rPr>
        <w:t>−1</w:t>
      </w:r>
      <w:r w:rsidR="009B20FA" w:rsidRPr="005C283B">
        <w:rPr>
          <w:lang w:val="en-US"/>
        </w:rPr>
        <w:t xml:space="preserve"> </w:t>
      </w:r>
      <w:r w:rsidR="00697457" w:rsidRPr="005C283B">
        <w:rPr>
          <w:lang w:val="en-US"/>
        </w:rPr>
        <w:t>can be assigned</w:t>
      </w:r>
      <w:r w:rsidR="009B20FA" w:rsidRPr="005C283B">
        <w:rPr>
          <w:lang w:val="en-US"/>
        </w:rPr>
        <w:t xml:space="preserve"> to the antisymmetric and symmetric –CH</w:t>
      </w:r>
      <w:r w:rsidR="009B20FA" w:rsidRPr="005C283B">
        <w:rPr>
          <w:vertAlign w:val="subscript"/>
          <w:lang w:val="en-US"/>
        </w:rPr>
        <w:t>2</w:t>
      </w:r>
      <w:r w:rsidR="009B20FA" w:rsidRPr="005C283B">
        <w:rPr>
          <w:lang w:val="en-US"/>
        </w:rPr>
        <w:t xml:space="preserve"> stretching present in the </w:t>
      </w:r>
      <w:r w:rsidR="00697457" w:rsidRPr="005C283B">
        <w:rPr>
          <w:lang w:val="en-US"/>
        </w:rPr>
        <w:t>oleate moieties.</w:t>
      </w:r>
      <w:r w:rsidR="009B20FA" w:rsidRPr="005C283B">
        <w:rPr>
          <w:lang w:val="en-US"/>
        </w:rPr>
        <w:t xml:space="preserve"> </w:t>
      </w:r>
      <w:r w:rsidR="0003783F" w:rsidRPr="005C283B">
        <w:rPr>
          <w:lang w:val="en-US"/>
        </w:rPr>
        <w:t>The bands fo</w:t>
      </w:r>
      <w:r w:rsidR="00FA41AE" w:rsidRPr="005C283B">
        <w:rPr>
          <w:lang w:val="en-US"/>
        </w:rPr>
        <w:t>r</w:t>
      </w:r>
      <w:r w:rsidR="0003783F" w:rsidRPr="005C283B">
        <w:rPr>
          <w:lang w:val="en-US"/>
        </w:rPr>
        <w:t xml:space="preserve"> the </w:t>
      </w:r>
      <w:r w:rsidR="00FA41AE" w:rsidRPr="005C283B">
        <w:rPr>
          <w:lang w:val="en-US"/>
        </w:rPr>
        <w:t>NPs@</w:t>
      </w:r>
      <w:r w:rsidR="0003783F" w:rsidRPr="005C283B">
        <w:rPr>
          <w:lang w:val="en-US"/>
        </w:rPr>
        <w:t>PVP</w:t>
      </w:r>
      <w:r w:rsidR="003F2162" w:rsidRPr="005C283B">
        <w:rPr>
          <w:lang w:val="en-US"/>
        </w:rPr>
        <w:t>-ANB-NOS</w:t>
      </w:r>
      <w:r w:rsidR="0003783F" w:rsidRPr="005C283B">
        <w:rPr>
          <w:lang w:val="en-US"/>
        </w:rPr>
        <w:t xml:space="preserve"> </w:t>
      </w:r>
      <w:r w:rsidR="00FA41AE" w:rsidRPr="005C283B">
        <w:rPr>
          <w:lang w:val="en-US"/>
        </w:rPr>
        <w:t>and</w:t>
      </w:r>
      <w:r w:rsidR="0003783F" w:rsidRPr="005C283B">
        <w:rPr>
          <w:lang w:val="en-US"/>
        </w:rPr>
        <w:t xml:space="preserve"> PVP</w:t>
      </w:r>
      <w:r w:rsidR="00FA41AE" w:rsidRPr="005C283B">
        <w:rPr>
          <w:lang w:val="en-US"/>
        </w:rPr>
        <w:t>-ANB-NOS alone</w:t>
      </w:r>
      <w:r w:rsidR="00AE4373" w:rsidRPr="005C283B">
        <w:rPr>
          <w:lang w:val="en-US"/>
        </w:rPr>
        <w:t xml:space="preserve"> for −CH</w:t>
      </w:r>
      <w:r w:rsidR="00AE4373" w:rsidRPr="005C283B">
        <w:rPr>
          <w:vertAlign w:val="subscript"/>
          <w:lang w:val="en-US"/>
        </w:rPr>
        <w:t>2</w:t>
      </w:r>
      <w:r w:rsidR="00AE4373" w:rsidRPr="005C283B">
        <w:rPr>
          <w:lang w:val="en-US"/>
        </w:rPr>
        <w:t xml:space="preserve"> −CH groups of PVP </w:t>
      </w:r>
      <w:r w:rsidR="00E7419D" w:rsidRPr="005C283B">
        <w:rPr>
          <w:lang w:val="en-US"/>
        </w:rPr>
        <w:t xml:space="preserve">can be seen </w:t>
      </w:r>
      <w:r w:rsidR="00AE4373" w:rsidRPr="005C283B">
        <w:rPr>
          <w:lang w:val="en-US"/>
        </w:rPr>
        <w:t xml:space="preserve">at </w:t>
      </w:r>
      <w:r w:rsidR="00125ADE" w:rsidRPr="005C283B">
        <w:rPr>
          <w:lang w:val="en-US"/>
        </w:rPr>
        <w:t>~</w:t>
      </w:r>
      <w:r w:rsidR="00E7419D" w:rsidRPr="005C283B">
        <w:rPr>
          <w:lang w:val="en-US"/>
        </w:rPr>
        <w:t xml:space="preserve">2,970 and </w:t>
      </w:r>
      <w:r w:rsidR="00125ADE" w:rsidRPr="005C283B">
        <w:rPr>
          <w:lang w:val="en-US"/>
        </w:rPr>
        <w:t>~</w:t>
      </w:r>
      <w:r w:rsidR="00AE4373" w:rsidRPr="005C283B">
        <w:rPr>
          <w:lang w:val="en-US"/>
        </w:rPr>
        <w:t>2,9</w:t>
      </w:r>
      <w:r w:rsidR="00E7419D" w:rsidRPr="005C283B">
        <w:rPr>
          <w:lang w:val="en-US"/>
        </w:rPr>
        <w:t>40</w:t>
      </w:r>
      <w:r w:rsidR="00AE4373" w:rsidRPr="005C283B">
        <w:rPr>
          <w:lang w:val="en-US"/>
        </w:rPr>
        <w:t>,</w:t>
      </w:r>
      <w:r w:rsidR="00765AEC" w:rsidRPr="005C283B">
        <w:rPr>
          <w:lang w:val="en-US"/>
        </w:rPr>
        <w:t xml:space="preserve"> </w:t>
      </w:r>
      <w:r w:rsidR="00125ADE" w:rsidRPr="005C283B">
        <w:rPr>
          <w:lang w:val="en-US"/>
        </w:rPr>
        <w:t>respectively.</w:t>
      </w:r>
      <w:r w:rsidR="00AE4373" w:rsidRPr="005C283B">
        <w:rPr>
          <w:lang w:val="en-US"/>
        </w:rPr>
        <w:t xml:space="preserve"> The peak at 1,2</w:t>
      </w:r>
      <w:r w:rsidR="00675CF3" w:rsidRPr="005C283B">
        <w:rPr>
          <w:lang w:val="en-US"/>
        </w:rPr>
        <w:t>70</w:t>
      </w:r>
      <w:r w:rsidR="00AE4373" w:rsidRPr="005C283B">
        <w:rPr>
          <w:lang w:val="en-US"/>
        </w:rPr>
        <w:t>–1,2</w:t>
      </w:r>
      <w:r w:rsidR="00675CF3" w:rsidRPr="005C283B">
        <w:rPr>
          <w:lang w:val="en-US"/>
        </w:rPr>
        <w:t>8</w:t>
      </w:r>
      <w:r w:rsidR="00AE4373" w:rsidRPr="005C283B">
        <w:rPr>
          <w:lang w:val="en-US"/>
        </w:rPr>
        <w:t>5 cm</w:t>
      </w:r>
      <w:r w:rsidR="00AE4373" w:rsidRPr="005C283B">
        <w:rPr>
          <w:vertAlign w:val="superscript"/>
          <w:lang w:val="en-US"/>
        </w:rPr>
        <w:t>−1</w:t>
      </w:r>
      <w:r w:rsidR="00AE4373" w:rsidRPr="005C283B">
        <w:rPr>
          <w:lang w:val="en-US"/>
        </w:rPr>
        <w:t xml:space="preserve"> typical for —C–N bond in PVP </w:t>
      </w:r>
      <w:r w:rsidR="00682C91" w:rsidRPr="005C283B">
        <w:rPr>
          <w:lang w:val="en-US"/>
        </w:rPr>
        <w:t>is</w:t>
      </w:r>
      <w:r w:rsidR="00AE4373" w:rsidRPr="005C283B">
        <w:rPr>
          <w:lang w:val="en-US"/>
        </w:rPr>
        <w:t xml:space="preserve"> also </w:t>
      </w:r>
      <w:r w:rsidR="00682C91" w:rsidRPr="005C283B">
        <w:rPr>
          <w:lang w:val="en-US"/>
        </w:rPr>
        <w:t>visible</w:t>
      </w:r>
      <w:r w:rsidR="00AE4373" w:rsidRPr="005C283B">
        <w:rPr>
          <w:lang w:val="en-US"/>
        </w:rPr>
        <w:t xml:space="preserve">. In both cases, strong absorption peak, which is characteristic for carbonyl group of PVP at </w:t>
      </w:r>
      <w:r w:rsidR="00990CF3" w:rsidRPr="005C283B">
        <w:rPr>
          <w:lang w:val="en-US"/>
        </w:rPr>
        <w:t>~</w:t>
      </w:r>
      <w:r w:rsidR="00AE4373" w:rsidRPr="005C283B">
        <w:rPr>
          <w:lang w:val="en-US"/>
        </w:rPr>
        <w:t>1,650–1,660 cm</w:t>
      </w:r>
      <w:r w:rsidR="00AE4373" w:rsidRPr="005C283B">
        <w:rPr>
          <w:vertAlign w:val="superscript"/>
          <w:lang w:val="en-US"/>
        </w:rPr>
        <w:t>−1</w:t>
      </w:r>
      <w:r w:rsidR="00675CF3" w:rsidRPr="005C283B">
        <w:rPr>
          <w:lang w:val="en-US"/>
        </w:rPr>
        <w:t xml:space="preserve"> </w:t>
      </w:r>
      <w:r w:rsidR="00AE4646" w:rsidRPr="005C283B">
        <w:rPr>
          <w:lang w:val="en-US"/>
        </w:rPr>
        <w:t>can be</w:t>
      </w:r>
      <w:r w:rsidR="00AE4373" w:rsidRPr="005C283B">
        <w:rPr>
          <w:lang w:val="en-US"/>
        </w:rPr>
        <w:t xml:space="preserve"> observed.</w:t>
      </w:r>
      <w:r w:rsidR="0003783F" w:rsidRPr="005C283B">
        <w:rPr>
          <w:lang w:val="en-US"/>
        </w:rPr>
        <w:t xml:space="preserve"> </w:t>
      </w:r>
      <w:r w:rsidR="005B65B2" w:rsidRPr="005C283B">
        <w:rPr>
          <w:lang w:val="en-US"/>
        </w:rPr>
        <w:t xml:space="preserve"> </w:t>
      </w:r>
      <w:r w:rsidR="00853592" w:rsidRPr="005C283B">
        <w:rPr>
          <w:lang w:val="en-US"/>
        </w:rPr>
        <w:t>T</w:t>
      </w:r>
      <w:r w:rsidR="005B65B2" w:rsidRPr="005C283B">
        <w:rPr>
          <w:lang w:val="en-US"/>
        </w:rPr>
        <w:t>he band in PVP</w:t>
      </w:r>
      <w:r w:rsidR="00121A24" w:rsidRPr="005C283B">
        <w:rPr>
          <w:lang w:val="en-US"/>
        </w:rPr>
        <w:t>-</w:t>
      </w:r>
      <w:r w:rsidR="005B65B2" w:rsidRPr="005C283B">
        <w:rPr>
          <w:lang w:val="en-US"/>
        </w:rPr>
        <w:t>ANB-NOS at 21</w:t>
      </w:r>
      <w:r w:rsidR="00EE7255" w:rsidRPr="005C283B">
        <w:rPr>
          <w:lang w:val="en-US"/>
        </w:rPr>
        <w:t>2</w:t>
      </w:r>
      <w:r w:rsidR="005B65B2" w:rsidRPr="005C283B">
        <w:rPr>
          <w:lang w:val="en-US"/>
        </w:rPr>
        <w:t>0</w:t>
      </w:r>
      <w:r w:rsidR="00C23636" w:rsidRPr="005C283B">
        <w:rPr>
          <w:lang w:val="en-US"/>
        </w:rPr>
        <w:t xml:space="preserve"> </w:t>
      </w:r>
      <w:r w:rsidR="005B65B2" w:rsidRPr="005C283B">
        <w:rPr>
          <w:lang w:val="en-US"/>
        </w:rPr>
        <w:t>cm</w:t>
      </w:r>
      <w:r w:rsidR="005B65B2" w:rsidRPr="005C283B">
        <w:rPr>
          <w:vertAlign w:val="superscript"/>
          <w:lang w:val="en-US"/>
        </w:rPr>
        <w:t>-1</w:t>
      </w:r>
      <w:r w:rsidR="00121A24" w:rsidRPr="005C283B">
        <w:rPr>
          <w:lang w:val="en-US"/>
        </w:rPr>
        <w:t xml:space="preserve"> can be assigned to azide group that </w:t>
      </w:r>
      <w:r w:rsidR="00352360" w:rsidRPr="005C283B">
        <w:rPr>
          <w:lang w:val="en-US"/>
        </w:rPr>
        <w:t>is not visible on NPs due to strong distortion area and low abundance of material</w:t>
      </w:r>
      <w:r w:rsidR="005B65B2" w:rsidRPr="005C283B">
        <w:rPr>
          <w:lang w:val="en-US"/>
        </w:rPr>
        <w:t>.</w:t>
      </w:r>
      <w:r w:rsidR="00121A24" w:rsidRPr="005C283B">
        <w:rPr>
          <w:lang w:val="en-US"/>
        </w:rPr>
        <w:t xml:space="preserve"> </w:t>
      </w:r>
      <w:r w:rsidR="00754642" w:rsidRPr="005C283B">
        <w:rPr>
          <w:lang w:val="en-US"/>
        </w:rPr>
        <w:t xml:space="preserve">In case of </w:t>
      </w:r>
      <w:r w:rsidR="00FD207A" w:rsidRPr="005C283B">
        <w:rPr>
          <w:lang w:val="en-US"/>
        </w:rPr>
        <w:t xml:space="preserve">PVP-dextran </w:t>
      </w:r>
      <w:r w:rsidR="00754642" w:rsidRPr="005C283B">
        <w:rPr>
          <w:lang w:val="en-US"/>
        </w:rPr>
        <w:t>functionalized nanoparticles t</w:t>
      </w:r>
      <w:r w:rsidR="009512AE" w:rsidRPr="005C283B">
        <w:rPr>
          <w:lang w:val="en-US"/>
        </w:rPr>
        <w:t>he broad band at</w:t>
      </w:r>
      <w:r w:rsidR="00962062" w:rsidRPr="005C283B">
        <w:rPr>
          <w:lang w:val="en-US"/>
        </w:rPr>
        <w:t xml:space="preserve"> </w:t>
      </w:r>
      <w:r w:rsidR="00C75D0F" w:rsidRPr="005C283B">
        <w:rPr>
          <w:lang w:val="en-US"/>
        </w:rPr>
        <w:t>~</w:t>
      </w:r>
      <w:r w:rsidR="009512AE" w:rsidRPr="005C283B">
        <w:rPr>
          <w:lang w:val="en-US"/>
        </w:rPr>
        <w:t>3,300 cm</w:t>
      </w:r>
      <w:r w:rsidR="009512AE" w:rsidRPr="005C283B">
        <w:rPr>
          <w:vertAlign w:val="superscript"/>
          <w:lang w:val="en-US"/>
        </w:rPr>
        <w:t>–1</w:t>
      </w:r>
      <w:r w:rsidR="009512AE" w:rsidRPr="005C283B">
        <w:rPr>
          <w:lang w:val="en-US"/>
        </w:rPr>
        <w:t xml:space="preserve"> and band at </w:t>
      </w:r>
      <w:r w:rsidR="00C75D0F" w:rsidRPr="005C283B">
        <w:rPr>
          <w:lang w:val="en-US"/>
        </w:rPr>
        <w:t>~</w:t>
      </w:r>
      <w:r w:rsidR="009512AE" w:rsidRPr="005C283B">
        <w:rPr>
          <w:lang w:val="en-US"/>
        </w:rPr>
        <w:t>1,0</w:t>
      </w:r>
      <w:r w:rsidR="00C75D0F" w:rsidRPr="005C283B">
        <w:rPr>
          <w:lang w:val="en-US"/>
        </w:rPr>
        <w:t>80</w:t>
      </w:r>
      <w:r w:rsidR="009512AE" w:rsidRPr="005C283B">
        <w:rPr>
          <w:lang w:val="en-US"/>
        </w:rPr>
        <w:t xml:space="preserve"> cm</w:t>
      </w:r>
      <w:r w:rsidR="009512AE" w:rsidRPr="005C283B">
        <w:rPr>
          <w:vertAlign w:val="superscript"/>
          <w:lang w:val="en-US"/>
        </w:rPr>
        <w:t xml:space="preserve">-1 </w:t>
      </w:r>
      <w:r w:rsidR="009512AE" w:rsidRPr="005C283B">
        <w:rPr>
          <w:lang w:val="en-US"/>
        </w:rPr>
        <w:t xml:space="preserve">can be assigned to the </w:t>
      </w:r>
      <w:r w:rsidR="002F0847" w:rsidRPr="005C283B">
        <w:rPr>
          <w:lang w:val="en-US"/>
        </w:rPr>
        <w:t>hydroxyl stretching vibration</w:t>
      </w:r>
      <w:r w:rsidR="004D02B5" w:rsidRPr="005C283B">
        <w:rPr>
          <w:lang w:val="en-US"/>
        </w:rPr>
        <w:t>s</w:t>
      </w:r>
      <w:r w:rsidR="002F0847" w:rsidRPr="005C283B">
        <w:rPr>
          <w:lang w:val="en-US"/>
        </w:rPr>
        <w:t xml:space="preserve"> of the polysaccharide</w:t>
      </w:r>
      <w:r w:rsidR="001D75FC" w:rsidRPr="005C283B">
        <w:rPr>
          <w:lang w:val="en-US"/>
        </w:rPr>
        <w:t xml:space="preserve"> and</w:t>
      </w:r>
      <w:r w:rsidR="007F7D68" w:rsidRPr="005C283B">
        <w:rPr>
          <w:lang w:val="en-US"/>
        </w:rPr>
        <w:t xml:space="preserve"> C–O bonds</w:t>
      </w:r>
      <w:r w:rsidR="001D75FC" w:rsidRPr="005C283B">
        <w:rPr>
          <w:lang w:val="en-US"/>
        </w:rPr>
        <w:t xml:space="preserve"> of dextran, respectively</w:t>
      </w:r>
      <w:r w:rsidR="009512AE" w:rsidRPr="005C283B">
        <w:rPr>
          <w:lang w:val="en-US"/>
        </w:rPr>
        <w:t xml:space="preserve">. </w:t>
      </w:r>
      <w:r w:rsidR="007E3402" w:rsidRPr="005C283B">
        <w:rPr>
          <w:lang w:val="en-US"/>
        </w:rPr>
        <w:t xml:space="preserve">(d, e) </w:t>
      </w:r>
      <w:r w:rsidR="009512AE" w:rsidRPr="005C283B">
        <w:rPr>
          <w:lang w:val="en-US"/>
        </w:rPr>
        <w:t xml:space="preserve">The bands at </w:t>
      </w:r>
      <w:r w:rsidR="00423C61" w:rsidRPr="005C283B">
        <w:rPr>
          <w:lang w:val="en-US"/>
        </w:rPr>
        <w:t>~</w:t>
      </w:r>
      <w:r w:rsidR="00A955F9" w:rsidRPr="005C283B">
        <w:rPr>
          <w:lang w:val="en-US"/>
        </w:rPr>
        <w:t>1,600</w:t>
      </w:r>
      <w:r w:rsidR="00423C61" w:rsidRPr="005C283B">
        <w:rPr>
          <w:lang w:val="en-US"/>
        </w:rPr>
        <w:t>-</w:t>
      </w:r>
      <w:r w:rsidR="009512AE" w:rsidRPr="005C283B">
        <w:rPr>
          <w:lang w:val="en-US"/>
        </w:rPr>
        <w:t>1,6</w:t>
      </w:r>
      <w:r w:rsidR="00716549" w:rsidRPr="005C283B">
        <w:rPr>
          <w:lang w:val="en-US"/>
        </w:rPr>
        <w:t>4</w:t>
      </w:r>
      <w:r w:rsidR="009512AE" w:rsidRPr="005C283B">
        <w:rPr>
          <w:lang w:val="en-US"/>
        </w:rPr>
        <w:t>0 cm</w:t>
      </w:r>
      <w:r w:rsidR="009512AE" w:rsidRPr="005C283B">
        <w:rPr>
          <w:vertAlign w:val="superscript"/>
          <w:lang w:val="en-US"/>
        </w:rPr>
        <w:t>–1</w:t>
      </w:r>
      <w:r w:rsidR="009512AE" w:rsidRPr="005C283B">
        <w:rPr>
          <w:lang w:val="en-US"/>
        </w:rPr>
        <w:t xml:space="preserve"> is the characteristic amide I bands from proteins (α-helices), which is also attributed to the carbonyl stretching frequency characteristic to protein secondary structures. The band at 1,5</w:t>
      </w:r>
      <w:r w:rsidR="00716549" w:rsidRPr="005C283B">
        <w:rPr>
          <w:lang w:val="en-US"/>
        </w:rPr>
        <w:t>20</w:t>
      </w:r>
      <w:r w:rsidR="009512AE" w:rsidRPr="005C283B">
        <w:rPr>
          <w:lang w:val="en-US"/>
        </w:rPr>
        <w:t xml:space="preserve"> cm</w:t>
      </w:r>
      <w:r w:rsidR="009512AE" w:rsidRPr="005C283B">
        <w:rPr>
          <w:vertAlign w:val="superscript"/>
          <w:lang w:val="en-US"/>
        </w:rPr>
        <w:t>–1</w:t>
      </w:r>
      <w:r w:rsidR="009512AE" w:rsidRPr="005C283B">
        <w:rPr>
          <w:lang w:val="en-US"/>
        </w:rPr>
        <w:t xml:space="preserve"> is the characteristic amide II band</w:t>
      </w:r>
      <w:r w:rsidR="003C2FC2" w:rsidRPr="005C283B">
        <w:rPr>
          <w:lang w:val="en-US"/>
        </w:rPr>
        <w:t xml:space="preserve">. </w:t>
      </w:r>
      <w:r w:rsidR="003A3E52" w:rsidRPr="005C283B">
        <w:rPr>
          <w:lang w:val="en-US"/>
        </w:rPr>
        <w:t>The bands around 2,900cm</w:t>
      </w:r>
      <w:r w:rsidR="003A3E52" w:rsidRPr="005C283B">
        <w:rPr>
          <w:vertAlign w:val="superscript"/>
          <w:lang w:val="en-US"/>
        </w:rPr>
        <w:t>-1</w:t>
      </w:r>
      <w:r w:rsidR="003A3E52" w:rsidRPr="005C283B">
        <w:rPr>
          <w:lang w:val="en-US"/>
        </w:rPr>
        <w:t xml:space="preserve"> of protein G originate from glycerol u</w:t>
      </w:r>
      <w:r w:rsidR="006339D7" w:rsidRPr="005C283B">
        <w:rPr>
          <w:lang w:val="en-US"/>
        </w:rPr>
        <w:t>s</w:t>
      </w:r>
      <w:r w:rsidR="003A3E52" w:rsidRPr="005C283B">
        <w:rPr>
          <w:lang w:val="en-US"/>
        </w:rPr>
        <w:t>e</w:t>
      </w:r>
      <w:r w:rsidR="006339D7" w:rsidRPr="005C283B">
        <w:rPr>
          <w:lang w:val="en-US"/>
        </w:rPr>
        <w:t>d</w:t>
      </w:r>
      <w:r w:rsidR="003A3E52" w:rsidRPr="005C283B">
        <w:rPr>
          <w:lang w:val="en-US"/>
        </w:rPr>
        <w:t xml:space="preserve"> for protein stabilization.</w:t>
      </w:r>
      <w:r w:rsidR="00317B89" w:rsidRPr="005C283B">
        <w:rPr>
          <w:lang w:val="en-US"/>
        </w:rPr>
        <w:t xml:space="preserve"> </w:t>
      </w:r>
      <w:r w:rsidR="0006206A" w:rsidRPr="005C283B">
        <w:rPr>
          <w:lang w:val="en-US"/>
        </w:rPr>
        <w:fldChar w:fldCharType="begin" w:fldLock="1"/>
      </w:r>
      <w:r w:rsidR="00D36C1D" w:rsidRPr="005C283B">
        <w:rPr>
          <w:lang w:val="en-US"/>
        </w:rPr>
        <w:instrText>ADDIN CSL_CITATION {"citationItems":[{"id":"ITEM-1","itemData":{"DOI":"10.1007/s11051-013-1874-0","ISSN":"1572896X","abstract":"Nanoparticle physicochemical properties such as surface charge are considered to play an important role in cellular uptake and particle-cell interactions. In order to systematically evaluate the role of surface charge on the uptake of iron oxide nanoparticles, we prepared carboxymethyl-substituted dextrans with different degrees of substitution, ranging from 38 to 5 groups per chain, and reacted them using carbodiimide chemistry with amine-silane-coated iron oxide nanoparticles with narrow size distributions in the range of 33-45 nm. Surface charge of carboxymethyl-substituted dextran-coated nanoparticles ranged from -50 to 5 mV as determined by zeta potential measurements, and was dependent on the number of carboxymethyl groups incorporated in the dextran chains. Nanoparticles were incubated with CaCo-2 human colon cancer cells. Nanoparticle-cell interactions were observed by confocal laser scanning microscopy and uptake was quantified by elemental analysis using inductively coupled plasma mass spectroscopy. Mechanisms of internalization were inferred using pharmacological inhibitors for fluid-phase, clathrin-mediated, and caveola-mediated endocytosis. Results showed increased uptake for nanoparticles with greater negative charge. Internalization patterns suggest that uptake of the most negatively charged particles occurs via non-specific interactions. © 2013 Springer Science+Business Media Dordrecht.","author":[{"dropping-particle":"","family":"Ayala","given":"Vanessa","non-dropping-particle":"","parse-names":false,"suffix":""},{"dropping-particle":"","family":"Herrera","given":"Adriana P.","non-dropping-particle":"","parse-names":false,"suffix":""},{"dropping-particle":"","family":"Latorre-Esteves","given":"Magda","non-dropping-particle":"","parse-names":false,"suffix":""},{"dropping-particle":"","family":"Torres-Lugo","given":"Madeline","non-dropping-particle":"","parse-names":false,"suffix":""},{"dropping-particle":"","family":"Rinaldi","given":"Carlos","non-dropping-particle":"","parse-names":false,"suffix":""}],"container-title":"Journal of Nanoparticle Research","id":"ITEM-1","issue":"8","issued":{"date-parts":[["2013","8","1"]]},"page":"1-14","publisher":"Kluwer Academic Publishers","title":"Effect of surface charge on the colloidal stability and in vitro uptake of carboxymethyl dextran-coated iron oxide nanoparticles","type":"article-journal","volume":"15"},"uris":["http://www.mendeley.com/documents/?uuid=53611021-b270-33c7-a0bf-c415226af381"]},{"id":"ITEM-2","itemData":{"DOI":"10.1039/c1jm13093e","ISSN":"09599428","abstract":"Transparent polymer nanocomposites with high refractive index were prepared by grafting polymer chains onto anatase TiO2 nanoparticles via a combination of phosphate ligand engineering and alkyne-azide \"click\" chemistry. Highly crystalline TiO2 nanoparticles with 5 nm diameter were synthesized by a solvothermal method and used as high refractive index filler. The synthesized phosphate-azide ligand anchors strongly onto the TiO2 nanoparticle surface and the azide end group allows for attachment of poly(glycidyl methacrylate) (PGMA) polymer chains through an alkyne-azide \"click\" reaction. The refractive index of the composite material increased linearly from 1.5 up to 1.8 by increasing the loading of TiO2 particles to 30 vol % (60 wt %). UV-vis spectra show that the nanocomposites exhibited a transparency around 90% throughout the visible light range. It was also found that the PGMA-grafted TiO2 nanoparticles can be well dispersed into a commercial epoxy resin, forming transparent high refractive index TiO2-epxoy nanocomposites. © 2011 The Royal Society of Chemistry.","author":[{"dropping-particle":"","family":"Tao","given":"Peng","non-dropping-particle":"","parse-names":false,"suffix":""},{"dropping-particle":"","family":"Li","given":"Yu","non-dropping-particle":"","parse-names":false,"suffix":""},{"dropping-particle":"","family":"Rungta","given":"Atri","non-dropping-particle":"","parse-names":false,"suffix":""},{"dropping-particle":"","family":"Viswanath","given":"Anand","non-dropping-particle":"","parse-names":false,"suffix":""},{"dropping-particle":"","family":"Gao","given":"Jianing","non-dropping-particle":"","parse-names":false,"suffix":""},{"dropping-particle":"","family":"Benicewicz","given":"Brian C.","non-dropping-particle":"","parse-names":false,"suffix":""},{"dropping-particle":"","family":"Siegel","given":"Richard W.","non-dropping-particle":"","parse-names":false,"suffix":""},{"dropping-particle":"","family":"Schadler","given":"Linda S.","non-dropping-particle":"","parse-names":false,"suffix":""}],"container-title":"Journal of Materials Chemistry","id":"ITEM-2","issue":"46","issued":{"date-parts":[["2011","12","14"]]},"page":"18623-18629","publisher":"The Royal Society of Chemistry","title":"TiO2 nanocomposites with high refractive index and transparency","type":"article-journal","volume":"21"},"uris":["http://www.mendeley.com/documents/?uuid=e28bd975-283f-3507-8d1b-d9e2d1e634db"]},{"id":"ITEM-3","itemData":{"DOI":"10.1021/acs.inorgchem.6b02479","ISSN":"1520510X","PMID":"28054771","abstract":"Lanthanide-doped upconversion nanoparticles with a suitable surface coating are appealing for biomedical applications. Because high-quality upconversion nanoparticles are typically prepared in an organic solvent and passivated by hydrophobic oleate ligands, a convenient and reliable method for the surface modification of upconversion nanoparticles is thus highly desired to satisfy downstream biological investigations. In this work, we describe a facile and versatile strategy for displacing native oleate ligands on upconversion nanoparticles with a diversity of hydrophilic molecules. The ligand-exchange procedure involves the removal of original oleate ligands followed by the attachment of new ligands in a separate step. The successful coating of relevant ligands was confirmed by Fourier transform infrared spectroscopy, thermogravimetry analysis, and ζ-potential measurement. The surface-modified nanoparticles display high stability and good biocompatibility, as revealed by electron microscopy, photoluminescence spectroscopy, and cytotoxicity assessment. Our study demonstrates that functional biomolecules such as biotin can be directly immobilized on the nanoparticle surface using this approach for the quick and effective detection of streptavidin.","author":[{"dropping-particle":"","family":"Kong","given":"Wei","non-dropping-particle":"","parse-names":false,"suffix":""},{"dropping-particle":"","family":"Sun","given":"Tianying","non-dropping-particle":"","parse-names":false,"suffix":""},{"dropping-particle":"","family":"Chen","given":"Bing","non-dropping-particle":"","parse-names":false,"suffix":""},{"dropping-particle":"","family":"Chen","given":"Xian","non-dropping-particle":"","parse-names":false,"suffix":""},{"dropping-particle":"","family":"Ai","given":"Fujin","non-dropping-particle":"","parse-names":false,"suffix":""},{"dropping-particle":"","family":"Zhu","given":"Xiaoyue","non-dropping-particle":"","parse-names":false,"suffix":""},{"dropping-particle":"","family":"Li","given":"Mingyu","non-dropping-particle":"","parse-names":false,"suffix":""},{"dropping-particle":"","family":"Zhang","given":"Wenjun","non-dropping-particle":"","parse-names":false,"suffix":""},{"dropping-particle":"","family":"Zhu","given":"Guangyu","non-dropping-particle":"","parse-names":false,"suffix":""},{"dropping-particle":"","family":"Wang","given":"Feng","non-dropping-particle":"","parse-names":false,"suffix":""}],"container-title":"Inorganic Chemistry","id":"ITEM-3","issue":"2","issued":{"date-parts":[["2017","1","17"]]},"page":"872-877","publisher":"American Chemical Society","title":"A general strategy for ligand exchange on upconversion nanoparticles","type":"article-journal","volume":"56"},"uris":["http://www.mendeley.com/documents/?uuid=89ce0f9d-6b9f-3201-8aec-8826c852a926"]},{"id":"ITEM-4","itemData":{"DOI":"10.1016/j.bbamem.2013.01.014","ISSN":"00052736","PMID":"23357359","abstract":"Protein misfolding and aggregation are the hallmark of a number of diseases including Alzheimer's disease, Parkinson's disease, Huntington's disease, amyotrophic lateral sclerosis, and the prion diseases. In all cases, a naturally-occurring protein misfolds and forms aggregates that are thought to disrupt cell function through a wide range of mechanisms that are yet to be fully unraveled. Fourier transform infrared (FTIR) spectroscopy is a technique that is sensitive to the secondary structure of proteins and has been widely used to investigate the process of misfolding and aggregate formation. This review focuses on how FTIR spectroscopy and spectroscopic microscopy are being used to evaluate the structural changes in disease-related proteins both in vitro and directly within cells and tissues. Finally, ongoing technological advances will be presented that are enabling time-resolved FTIR imaging of protein aggregation directly within living cells, which can provide insight into the structural intermediates, time scale, and mechanisms of cell toxicity associated with aggregate formation. This article is part of a Special Issue entitled: FTIR in membrane proteins and peptide studies. © 2013 Elsevier B.V.","author":[{"dropping-particle":"","family":"Miller","given":"Lisa M.","non-dropping-particle":"","parse-names":false,"suffix":""},{"dropping-particle":"","family":"Bourassa","given":"Megan W.","non-dropping-particle":"","parse-names":false,"suffix":""},{"dropping-particle":"","family":"Smith","given":"Randy J.","non-dropping-particle":"","parse-names":false,"suffix":""}],"container-title":"Biochimica et Biophysica Acta - Biomembranes","id":"ITEM-4","issue":"10","issued":{"date-parts":[["2013","10","1"]]},"page":"2339-2346","publisher":"Elsevier","title":"FTIR spectroscopic imaging of protein aggregation in living cells","type":"article","volume":"1828"},"uris":["http://www.mendeley.com/documents/?uuid=6e0d597e-396b-3582-b036-5cfd8bf554ff"]}],"mendeley":{"formattedCitation":"(&lt;i&gt;3&lt;/i&gt;–&lt;i&gt;6&lt;/i&gt;)","plainTextFormattedCitation":"(3–6)","previouslyFormattedCitation":"(&lt;i&gt;3&lt;/i&gt;–&lt;i&gt;6&lt;/i&gt;)"},"properties":{"noteIndex":0},"schema":"https://github.com/citation-style-language/schema/raw/master/csl-citation.json"}</w:instrText>
      </w:r>
      <w:r w:rsidR="0006206A" w:rsidRPr="005C283B">
        <w:rPr>
          <w:lang w:val="en-US"/>
        </w:rPr>
        <w:fldChar w:fldCharType="separate"/>
      </w:r>
      <w:r w:rsidR="00D36C1D" w:rsidRPr="005C283B">
        <w:rPr>
          <w:noProof/>
          <w:lang w:val="en-US"/>
        </w:rPr>
        <w:t>(</w:t>
      </w:r>
      <w:r w:rsidR="00D36C1D" w:rsidRPr="005C283B">
        <w:rPr>
          <w:i/>
          <w:noProof/>
          <w:lang w:val="en-US"/>
        </w:rPr>
        <w:t>3</w:t>
      </w:r>
      <w:r w:rsidR="00D36C1D" w:rsidRPr="005C283B">
        <w:rPr>
          <w:noProof/>
          <w:lang w:val="en-US"/>
        </w:rPr>
        <w:t>–</w:t>
      </w:r>
      <w:r w:rsidR="00D36C1D" w:rsidRPr="005C283B">
        <w:rPr>
          <w:i/>
          <w:noProof/>
          <w:lang w:val="en-US"/>
        </w:rPr>
        <w:t>6</w:t>
      </w:r>
      <w:r w:rsidR="00D36C1D" w:rsidRPr="005C283B">
        <w:rPr>
          <w:noProof/>
          <w:lang w:val="en-US"/>
        </w:rPr>
        <w:t>)</w:t>
      </w:r>
      <w:r w:rsidR="0006206A" w:rsidRPr="005C283B">
        <w:rPr>
          <w:lang w:val="en-US"/>
        </w:rPr>
        <w:fldChar w:fldCharType="end"/>
      </w:r>
    </w:p>
    <w:p w14:paraId="06C6ED0E" w14:textId="77777777" w:rsidR="008948AD" w:rsidRPr="005C283B" w:rsidRDefault="008948AD" w:rsidP="009512AE">
      <w:pPr>
        <w:spacing w:line="240" w:lineRule="auto"/>
        <w:jc w:val="both"/>
        <w:rPr>
          <w:lang w:val="en-US"/>
        </w:rPr>
      </w:pPr>
    </w:p>
    <w:p w14:paraId="1D79FC00" w14:textId="77777777" w:rsidR="00FB6B13" w:rsidRPr="005C283B" w:rsidRDefault="00C56148" w:rsidP="00FC56E8">
      <w:pPr>
        <w:pStyle w:val="ListParagraph"/>
        <w:numPr>
          <w:ilvl w:val="0"/>
          <w:numId w:val="8"/>
        </w:numPr>
        <w:spacing w:line="240" w:lineRule="auto"/>
        <w:jc w:val="both"/>
        <w:rPr>
          <w:b/>
          <w:lang w:val="en-US"/>
        </w:rPr>
      </w:pPr>
      <w:r w:rsidRPr="005C283B">
        <w:rPr>
          <w:b/>
          <w:lang w:val="en-US"/>
        </w:rPr>
        <w:t>Dot-</w:t>
      </w:r>
      <w:r w:rsidR="00F960DF" w:rsidRPr="005C283B">
        <w:rPr>
          <w:b/>
          <w:lang w:val="en-US"/>
        </w:rPr>
        <w:t>blot r</w:t>
      </w:r>
      <w:r w:rsidR="00684BE3" w:rsidRPr="005C283B">
        <w:rPr>
          <w:b/>
          <w:lang w:val="en-US"/>
        </w:rPr>
        <w:t>eading</w:t>
      </w:r>
    </w:p>
    <w:p w14:paraId="6BC543F8" w14:textId="1C00EB3F" w:rsidR="00D74F54" w:rsidRPr="005C283B" w:rsidRDefault="00D74F54" w:rsidP="006244E3">
      <w:pPr>
        <w:spacing w:line="240" w:lineRule="auto"/>
        <w:jc w:val="both"/>
        <w:rPr>
          <w:lang w:val="en-US"/>
        </w:rPr>
      </w:pPr>
    </w:p>
    <w:p w14:paraId="7914FAB9" w14:textId="5E19C64E" w:rsidR="00ED12CA" w:rsidRPr="005C283B" w:rsidRDefault="00ED12CA" w:rsidP="006244E3">
      <w:pPr>
        <w:spacing w:line="240" w:lineRule="auto"/>
        <w:jc w:val="both"/>
        <w:rPr>
          <w:lang w:val="en-US"/>
        </w:rPr>
      </w:pPr>
      <w:r w:rsidRPr="005C283B">
        <w:rPr>
          <w:noProof/>
          <w:lang w:val="en-US"/>
        </w:rPr>
        <w:drawing>
          <wp:inline distT="0" distB="0" distL="0" distR="0" wp14:anchorId="68362238" wp14:editId="5E5AD7E8">
            <wp:extent cx="5756910" cy="26409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6910" cy="2640965"/>
                    </a:xfrm>
                    <a:prstGeom prst="rect">
                      <a:avLst/>
                    </a:prstGeom>
                    <a:noFill/>
                    <a:ln>
                      <a:noFill/>
                    </a:ln>
                  </pic:spPr>
                </pic:pic>
              </a:graphicData>
            </a:graphic>
          </wp:inline>
        </w:drawing>
      </w:r>
    </w:p>
    <w:p w14:paraId="09CD753C" w14:textId="40B2F43E" w:rsidR="0067151F" w:rsidRPr="005C283B" w:rsidRDefault="00AD7D69" w:rsidP="006244E3">
      <w:pPr>
        <w:spacing w:line="240" w:lineRule="auto"/>
        <w:jc w:val="both"/>
        <w:rPr>
          <w:lang w:val="en-US"/>
        </w:rPr>
      </w:pPr>
      <w:r w:rsidRPr="005C283B">
        <w:rPr>
          <w:lang w:val="en-US"/>
        </w:rPr>
        <w:t xml:space="preserve">Fig. </w:t>
      </w:r>
      <w:r w:rsidR="00FC0D0C" w:rsidRPr="005C283B">
        <w:rPr>
          <w:lang w:val="en-US"/>
        </w:rPr>
        <w:t>S</w:t>
      </w:r>
      <w:r w:rsidR="00A23B91" w:rsidRPr="005C283B">
        <w:rPr>
          <w:lang w:val="en-US"/>
        </w:rPr>
        <w:t>7</w:t>
      </w:r>
      <w:r w:rsidR="00FC0D0C" w:rsidRPr="005C283B">
        <w:rPr>
          <w:lang w:val="en-US"/>
        </w:rPr>
        <w:t xml:space="preserve"> </w:t>
      </w:r>
      <w:r w:rsidR="009F2FA1" w:rsidRPr="005C283B">
        <w:rPr>
          <w:lang w:val="en-US"/>
        </w:rPr>
        <w:t xml:space="preserve">The experimental setup design and properties. </w:t>
      </w:r>
      <w:r w:rsidR="00346D3D" w:rsidRPr="005C283B">
        <w:rPr>
          <w:lang w:val="en-US"/>
        </w:rPr>
        <w:t>(A)</w:t>
      </w:r>
      <w:r w:rsidRPr="005C283B">
        <w:rPr>
          <w:lang w:val="en-US"/>
        </w:rPr>
        <w:t xml:space="preserve"> Schematic view of the </w:t>
      </w:r>
      <w:r w:rsidR="009F2FA1" w:rsidRPr="005C283B">
        <w:rPr>
          <w:lang w:val="en-US"/>
        </w:rPr>
        <w:t xml:space="preserve">up-conversion imaging </w:t>
      </w:r>
      <w:r w:rsidRPr="005C283B">
        <w:rPr>
          <w:lang w:val="en-US"/>
        </w:rPr>
        <w:t xml:space="preserve">microscope. The beam of 975 nm laser diode (3W) is reflected by a dichroic filter </w:t>
      </w:r>
      <w:r w:rsidR="009F2FA1" w:rsidRPr="005C283B">
        <w:rPr>
          <w:lang w:val="en-US"/>
        </w:rPr>
        <w:t>towards</w:t>
      </w:r>
      <w:r w:rsidRPr="005C283B">
        <w:rPr>
          <w:lang w:val="en-US"/>
        </w:rPr>
        <w:t xml:space="preserve"> the sample</w:t>
      </w:r>
      <w:r w:rsidR="009F2FA1" w:rsidRPr="005C283B">
        <w:rPr>
          <w:lang w:val="en-US"/>
        </w:rPr>
        <w:t>. T</w:t>
      </w:r>
      <w:r w:rsidR="0011520E" w:rsidRPr="005C283B">
        <w:rPr>
          <w:lang w:val="en-US"/>
        </w:rPr>
        <w:t>hen the up</w:t>
      </w:r>
      <w:r w:rsidR="00F960DF" w:rsidRPr="005C283B">
        <w:rPr>
          <w:lang w:val="en-US"/>
        </w:rPr>
        <w:t>-</w:t>
      </w:r>
      <w:r w:rsidR="0011520E" w:rsidRPr="005C283B">
        <w:rPr>
          <w:lang w:val="en-US"/>
        </w:rPr>
        <w:t xml:space="preserve">conversion emission passes through a </w:t>
      </w:r>
      <w:r w:rsidR="00346D3D" w:rsidRPr="005C283B">
        <w:rPr>
          <w:lang w:val="en-US"/>
        </w:rPr>
        <w:t xml:space="preserve">short-pass filter FF01-950/SP and the image </w:t>
      </w:r>
      <w:r w:rsidR="0011520E" w:rsidRPr="005C283B">
        <w:rPr>
          <w:lang w:val="en-US"/>
        </w:rPr>
        <w:t>is taken with use of EMCCD Rolera EM-C</w:t>
      </w:r>
      <w:r w:rsidR="0011520E" w:rsidRPr="005C283B">
        <w:rPr>
          <w:vertAlign w:val="superscript"/>
          <w:lang w:val="en-US"/>
        </w:rPr>
        <w:t>2</w:t>
      </w:r>
      <w:r w:rsidR="0011520E" w:rsidRPr="005C283B">
        <w:rPr>
          <w:lang w:val="en-US"/>
        </w:rPr>
        <w:t>.</w:t>
      </w:r>
      <w:r w:rsidR="009F2FA1" w:rsidRPr="005C283B">
        <w:rPr>
          <w:lang w:val="en-US"/>
        </w:rPr>
        <w:t xml:space="preserve"> (</w:t>
      </w:r>
      <w:r w:rsidR="00CA5DE9" w:rsidRPr="005C283B">
        <w:rPr>
          <w:lang w:val="en-US"/>
        </w:rPr>
        <w:t>B</w:t>
      </w:r>
      <w:r w:rsidR="008E733D" w:rsidRPr="005C283B">
        <w:rPr>
          <w:lang w:val="en-US"/>
        </w:rPr>
        <w:t>) Emission spectra of as-</w:t>
      </w:r>
      <w:r w:rsidR="00886239" w:rsidRPr="005C283B">
        <w:rPr>
          <w:lang w:val="en-US"/>
        </w:rPr>
        <w:t>synthesized</w:t>
      </w:r>
      <w:r w:rsidR="008E733D" w:rsidRPr="005C283B">
        <w:rPr>
          <w:lang w:val="en-US"/>
        </w:rPr>
        <w:t xml:space="preserve"> hexagonal (green) and cubic (orange) nanoparticles</w:t>
      </w:r>
      <w:r w:rsidR="009F2FA1" w:rsidRPr="005C283B">
        <w:rPr>
          <w:lang w:val="en-US"/>
        </w:rPr>
        <w:t xml:space="preserve">; transmission </w:t>
      </w:r>
      <w:r w:rsidR="008E733D" w:rsidRPr="005C283B">
        <w:rPr>
          <w:lang w:val="en-US"/>
        </w:rPr>
        <w:t>spectra of dichroic</w:t>
      </w:r>
      <w:r w:rsidR="00C277B2" w:rsidRPr="005C283B">
        <w:rPr>
          <w:lang w:val="en-US"/>
        </w:rPr>
        <w:t xml:space="preserve"> (FF750-SD</w:t>
      </w:r>
      <w:r w:rsidR="00307F63" w:rsidRPr="005C283B">
        <w:rPr>
          <w:lang w:val="en-US"/>
        </w:rPr>
        <w:t>i01-25)</w:t>
      </w:r>
      <w:r w:rsidR="008E733D" w:rsidRPr="005C283B">
        <w:rPr>
          <w:lang w:val="en-US"/>
        </w:rPr>
        <w:t xml:space="preserve"> and emission filters</w:t>
      </w:r>
      <w:r w:rsidR="00307F63" w:rsidRPr="005C283B">
        <w:rPr>
          <w:lang w:val="en-US"/>
        </w:rPr>
        <w:t xml:space="preserve"> (FF01-950/SP)</w:t>
      </w:r>
      <w:r w:rsidR="008E733D" w:rsidRPr="005C283B">
        <w:rPr>
          <w:lang w:val="en-US"/>
        </w:rPr>
        <w:t xml:space="preserve"> used for the imaging.</w:t>
      </w:r>
      <w:r w:rsidR="009F2FA1" w:rsidRPr="005C283B">
        <w:rPr>
          <w:lang w:val="en-US"/>
        </w:rPr>
        <w:t xml:space="preserve"> Absorption spectrum of Yb</w:t>
      </w:r>
      <w:r w:rsidR="009F2FA1" w:rsidRPr="005C283B">
        <w:rPr>
          <w:vertAlign w:val="superscript"/>
          <w:lang w:val="en-US"/>
        </w:rPr>
        <w:t>3+</w:t>
      </w:r>
      <w:r w:rsidR="009F2FA1" w:rsidRPr="005C283B">
        <w:rPr>
          <w:lang w:val="en-US"/>
        </w:rPr>
        <w:t xml:space="preserve"> in NaYF</w:t>
      </w:r>
      <w:r w:rsidR="009F2FA1" w:rsidRPr="005C283B">
        <w:rPr>
          <w:vertAlign w:val="subscript"/>
          <w:lang w:val="en-US"/>
        </w:rPr>
        <w:t>4</w:t>
      </w:r>
      <w:r w:rsidR="009F2FA1" w:rsidRPr="005C283B">
        <w:rPr>
          <w:lang w:val="en-US"/>
        </w:rPr>
        <w:t xml:space="preserve"> is provided for comparison</w:t>
      </w:r>
      <w:r w:rsidR="00307F63" w:rsidRPr="005C283B">
        <w:rPr>
          <w:lang w:val="en-US"/>
        </w:rPr>
        <w:t xml:space="preserve"> (upside down)</w:t>
      </w:r>
      <w:r w:rsidR="009F2FA1" w:rsidRPr="005C283B">
        <w:rPr>
          <w:lang w:val="en-US"/>
        </w:rPr>
        <w:t>.</w:t>
      </w:r>
    </w:p>
    <w:p w14:paraId="2A174741" w14:textId="128A12E8" w:rsidR="007A4844" w:rsidRPr="005C283B" w:rsidRDefault="00F960DF" w:rsidP="00F960DF">
      <w:pPr>
        <w:spacing w:line="240" w:lineRule="auto"/>
        <w:jc w:val="both"/>
        <w:rPr>
          <w:lang w:val="en-US"/>
        </w:rPr>
      </w:pPr>
      <w:r w:rsidRPr="005C283B">
        <w:rPr>
          <w:lang w:val="en-US"/>
        </w:rPr>
        <w:t xml:space="preserve">To quantify the dot’s intensity </w:t>
      </w:r>
      <w:r w:rsidR="00684BE3" w:rsidRPr="005C283B">
        <w:rPr>
          <w:lang w:val="en-US"/>
        </w:rPr>
        <w:t xml:space="preserve">a program in lab view was </w:t>
      </w:r>
      <w:r w:rsidRPr="005C283B">
        <w:rPr>
          <w:lang w:val="en-US"/>
        </w:rPr>
        <w:t>developed in-house</w:t>
      </w:r>
      <w:r w:rsidR="00684BE3" w:rsidRPr="005C283B">
        <w:rPr>
          <w:lang w:val="en-US"/>
        </w:rPr>
        <w:t xml:space="preserve">, in which loaded pictures </w:t>
      </w:r>
      <w:r w:rsidR="002A69C7" w:rsidRPr="005C283B">
        <w:rPr>
          <w:lang w:val="en-US"/>
        </w:rPr>
        <w:t xml:space="preserve">of UC dot-blots </w:t>
      </w:r>
      <w:r w:rsidR="00684BE3" w:rsidRPr="005C283B">
        <w:rPr>
          <w:lang w:val="en-US"/>
        </w:rPr>
        <w:t xml:space="preserve">are converted to 8bit pictures </w:t>
      </w:r>
      <w:r w:rsidR="00C82369" w:rsidRPr="005C283B">
        <w:rPr>
          <w:lang w:val="en-US"/>
        </w:rPr>
        <w:t xml:space="preserve">(grayscale images) </w:t>
      </w:r>
      <w:r w:rsidR="00684BE3" w:rsidRPr="005C283B">
        <w:rPr>
          <w:lang w:val="en-US"/>
        </w:rPr>
        <w:t>and used for analysis</w:t>
      </w:r>
      <w:r w:rsidR="00004BA4" w:rsidRPr="005C283B">
        <w:rPr>
          <w:lang w:val="en-US"/>
        </w:rPr>
        <w:t>.</w:t>
      </w:r>
      <w:r w:rsidR="00684BE3" w:rsidRPr="005C283B">
        <w:rPr>
          <w:lang w:val="en-US"/>
        </w:rPr>
        <w:t xml:space="preserve"> </w:t>
      </w:r>
      <w:r w:rsidR="0004199F" w:rsidRPr="005C283B">
        <w:rPr>
          <w:lang w:val="en-US"/>
        </w:rPr>
        <w:t>First</w:t>
      </w:r>
      <w:r w:rsidRPr="005C283B">
        <w:rPr>
          <w:lang w:val="en-US"/>
        </w:rPr>
        <w:t>,</w:t>
      </w:r>
      <w:r w:rsidR="0004199F" w:rsidRPr="005C283B">
        <w:rPr>
          <w:lang w:val="en-US"/>
        </w:rPr>
        <w:t xml:space="preserve"> the region of interest </w:t>
      </w:r>
      <w:r w:rsidR="003060FF" w:rsidRPr="005C283B">
        <w:rPr>
          <w:lang w:val="en-US"/>
        </w:rPr>
        <w:t>is</w:t>
      </w:r>
      <w:r w:rsidR="0004199F" w:rsidRPr="005C283B">
        <w:rPr>
          <w:lang w:val="en-US"/>
        </w:rPr>
        <w:t xml:space="preserve"> defined (ROI)</w:t>
      </w:r>
      <w:r w:rsidR="003060FF" w:rsidRPr="005C283B">
        <w:rPr>
          <w:lang w:val="en-US"/>
        </w:rPr>
        <w:t xml:space="preserve"> </w:t>
      </w:r>
      <w:r w:rsidR="008F64E8" w:rsidRPr="005C283B">
        <w:rPr>
          <w:lang w:val="en-US"/>
        </w:rPr>
        <w:t>manually and p</w:t>
      </w:r>
      <w:r w:rsidR="00684BE3" w:rsidRPr="005C283B">
        <w:rPr>
          <w:lang w:val="en-US"/>
        </w:rPr>
        <w:t xml:space="preserve">ixels in one line </w:t>
      </w:r>
      <w:r w:rsidR="008F64E8" w:rsidRPr="005C283B">
        <w:rPr>
          <w:lang w:val="en-US"/>
        </w:rPr>
        <w:t xml:space="preserve">(along b axis) </w:t>
      </w:r>
      <w:r w:rsidR="00684BE3" w:rsidRPr="005C283B">
        <w:rPr>
          <w:lang w:val="en-US"/>
        </w:rPr>
        <w:t>are summed up</w:t>
      </w:r>
      <w:r w:rsidR="00886C69" w:rsidRPr="005C283B">
        <w:rPr>
          <w:lang w:val="en-US"/>
        </w:rPr>
        <w:t xml:space="preserve"> </w:t>
      </w:r>
      <w:r w:rsidR="008F64E8" w:rsidRPr="005C283B">
        <w:rPr>
          <w:lang w:val="en-US"/>
        </w:rPr>
        <w:t>(Fig.</w:t>
      </w:r>
      <w:r w:rsidR="00FC0D0C" w:rsidRPr="005C283B">
        <w:rPr>
          <w:lang w:val="en-US"/>
        </w:rPr>
        <w:t xml:space="preserve">S7 </w:t>
      </w:r>
      <w:r w:rsidR="0085767D" w:rsidRPr="005C283B">
        <w:rPr>
          <w:lang w:val="en-US"/>
        </w:rPr>
        <w:t>B</w:t>
      </w:r>
      <w:r w:rsidR="008F64E8" w:rsidRPr="005C283B">
        <w:rPr>
          <w:lang w:val="en-US"/>
        </w:rPr>
        <w:t xml:space="preserve">) to let define the position of cursors C1 and C2 which demarcate the background borders. Then </w:t>
      </w:r>
      <w:r w:rsidR="00886C69" w:rsidRPr="005C283B">
        <w:rPr>
          <w:lang w:val="en-US"/>
        </w:rPr>
        <w:t>total intensity</w:t>
      </w:r>
      <w:r w:rsidR="00886239" w:rsidRPr="005C283B">
        <w:rPr>
          <w:lang w:val="en-US"/>
        </w:rPr>
        <w:t xml:space="preserve"> minus background</w:t>
      </w:r>
      <w:r w:rsidR="00886C69" w:rsidRPr="005C283B">
        <w:rPr>
          <w:lang w:val="en-US"/>
        </w:rPr>
        <w:t xml:space="preserve"> is </w:t>
      </w:r>
      <w:r w:rsidRPr="005C283B">
        <w:rPr>
          <w:lang w:val="en-US"/>
        </w:rPr>
        <w:t>calculated</w:t>
      </w:r>
      <w:r w:rsidR="00886C69" w:rsidRPr="005C283B">
        <w:rPr>
          <w:lang w:val="en-US"/>
        </w:rPr>
        <w:t>.</w:t>
      </w:r>
      <w:r w:rsidR="00886239" w:rsidRPr="005C283B">
        <w:rPr>
          <w:lang w:val="en-US"/>
        </w:rPr>
        <w:t xml:space="preserve"> </w:t>
      </w:r>
      <w:r w:rsidR="007A4844" w:rsidRPr="005C283B">
        <w:rPr>
          <w:lang w:val="en-US"/>
        </w:rPr>
        <w:t xml:space="preserve"> Linear equation for a line going through </w:t>
      </w:r>
      <w:r w:rsidR="008F64E8" w:rsidRPr="005C283B">
        <w:rPr>
          <w:lang w:val="en-US"/>
        </w:rPr>
        <w:t>these</w:t>
      </w:r>
      <w:r w:rsidR="007A4844" w:rsidRPr="005C283B">
        <w:rPr>
          <w:lang w:val="en-US"/>
        </w:rPr>
        <w:t xml:space="preserve"> points:</w:t>
      </w:r>
    </w:p>
    <w:p w14:paraId="5A1554E4" w14:textId="77777777" w:rsidR="0091491D" w:rsidRPr="005C283B" w:rsidRDefault="005C283B" w:rsidP="007A4844">
      <w:pPr>
        <w:spacing w:line="240" w:lineRule="auto"/>
        <w:jc w:val="both"/>
        <w:rPr>
          <w:lang w:val="en-US"/>
        </w:rPr>
      </w:pPr>
      <m:oMathPara>
        <m:oMath>
          <m:d>
            <m:dPr>
              <m:ctrlPr>
                <w:rPr>
                  <w:rFonts w:ascii="Cambria Math" w:hAnsi="Cambria Math"/>
                  <w:b/>
                  <w:bCs/>
                  <w:i/>
                  <w:iCs/>
                </w:rPr>
              </m:ctrlPr>
            </m:dPr>
            <m:e>
              <m:r>
                <m:rPr>
                  <m:sty m:val="bi"/>
                </m:rPr>
                <w:rPr>
                  <w:rFonts w:ascii="Cambria Math" w:hAnsi="Cambria Math"/>
                </w:rPr>
                <m:t>x</m:t>
              </m:r>
              <m:r>
                <m:rPr>
                  <m:sty m:val="bi"/>
                </m:rPr>
                <w:rPr>
                  <w:rFonts w:ascii="Cambria Math" w:hAnsi="Cambria Math"/>
                  <w:lang w:val="en-US"/>
                </w:rPr>
                <m:t>-</m:t>
              </m:r>
              <m:sSub>
                <m:sSubPr>
                  <m:ctrlPr>
                    <w:rPr>
                      <w:rFonts w:ascii="Cambria Math" w:hAnsi="Cambria Math"/>
                      <w:b/>
                      <w:bCs/>
                      <w:i/>
                      <w:iCs/>
                    </w:rPr>
                  </m:ctrlPr>
                </m:sSubPr>
                <m:e>
                  <m:r>
                    <m:rPr>
                      <m:sty m:val="bi"/>
                    </m:rPr>
                    <w:rPr>
                      <w:rFonts w:ascii="Cambria Math" w:hAnsi="Cambria Math"/>
                    </w:rPr>
                    <m:t>x</m:t>
                  </m:r>
                </m:e>
                <m:sub>
                  <m:r>
                    <m:rPr>
                      <m:sty m:val="bi"/>
                    </m:rPr>
                    <w:rPr>
                      <w:rFonts w:ascii="Cambria Math" w:hAnsi="Cambria Math"/>
                    </w:rPr>
                    <m:t>C</m:t>
                  </m:r>
                  <m:r>
                    <m:rPr>
                      <m:sty m:val="bi"/>
                    </m:rPr>
                    <w:rPr>
                      <w:rFonts w:ascii="Cambria Math" w:hAnsi="Cambria Math"/>
                    </w:rPr>
                    <m:t>1</m:t>
                  </m:r>
                </m:sub>
              </m:sSub>
            </m:e>
          </m:d>
          <m:d>
            <m:dPr>
              <m:ctrlPr>
                <w:rPr>
                  <w:rFonts w:ascii="Cambria Math" w:hAnsi="Cambria Math"/>
                  <w:b/>
                  <w:bCs/>
                  <w:i/>
                  <w:iCs/>
                </w:rPr>
              </m:ctrlPr>
            </m:dPr>
            <m:e>
              <m:sSub>
                <m:sSubPr>
                  <m:ctrlPr>
                    <w:rPr>
                      <w:rFonts w:ascii="Cambria Math" w:hAnsi="Cambria Math"/>
                      <w:b/>
                      <w:bCs/>
                      <w:i/>
                      <w:iCs/>
                    </w:rPr>
                  </m:ctrlPr>
                </m:sSubPr>
                <m:e>
                  <m:r>
                    <m:rPr>
                      <m:sty m:val="bi"/>
                    </m:rPr>
                    <w:rPr>
                      <w:rFonts w:ascii="Cambria Math" w:hAnsi="Cambria Math"/>
                    </w:rPr>
                    <m:t>y</m:t>
                  </m:r>
                </m:e>
                <m:sub>
                  <m:r>
                    <m:rPr>
                      <m:sty m:val="bi"/>
                    </m:rPr>
                    <w:rPr>
                      <w:rFonts w:ascii="Cambria Math" w:hAnsi="Cambria Math"/>
                    </w:rPr>
                    <m:t>C</m:t>
                  </m:r>
                  <m:r>
                    <m:rPr>
                      <m:sty m:val="bi"/>
                    </m:rPr>
                    <w:rPr>
                      <w:rFonts w:ascii="Cambria Math" w:hAnsi="Cambria Math"/>
                    </w:rPr>
                    <m:t>2</m:t>
                  </m:r>
                </m:sub>
              </m:sSub>
              <m:r>
                <m:rPr>
                  <m:sty m:val="bi"/>
                </m:rPr>
                <w:rPr>
                  <w:rFonts w:ascii="Cambria Math" w:hAnsi="Cambria Math"/>
                  <w:lang w:val="en-US"/>
                </w:rPr>
                <m:t>-</m:t>
              </m:r>
              <m:sSub>
                <m:sSubPr>
                  <m:ctrlPr>
                    <w:rPr>
                      <w:rFonts w:ascii="Cambria Math" w:hAnsi="Cambria Math"/>
                      <w:b/>
                      <w:bCs/>
                      <w:i/>
                      <w:iCs/>
                    </w:rPr>
                  </m:ctrlPr>
                </m:sSubPr>
                <m:e>
                  <m:r>
                    <m:rPr>
                      <m:sty m:val="bi"/>
                    </m:rPr>
                    <w:rPr>
                      <w:rFonts w:ascii="Cambria Math" w:hAnsi="Cambria Math"/>
                    </w:rPr>
                    <m:t>y</m:t>
                  </m:r>
                </m:e>
                <m:sub>
                  <m:r>
                    <m:rPr>
                      <m:sty m:val="bi"/>
                    </m:rPr>
                    <w:rPr>
                      <w:rFonts w:ascii="Cambria Math" w:hAnsi="Cambria Math"/>
                    </w:rPr>
                    <m:t>C</m:t>
                  </m:r>
                  <m:r>
                    <m:rPr>
                      <m:sty m:val="bi"/>
                    </m:rPr>
                    <w:rPr>
                      <w:rFonts w:ascii="Cambria Math" w:hAnsi="Cambria Math"/>
                    </w:rPr>
                    <m:t>1</m:t>
                  </m:r>
                </m:sub>
              </m:sSub>
            </m:e>
          </m:d>
          <m:r>
            <m:rPr>
              <m:sty m:val="bi"/>
            </m:rPr>
            <w:rPr>
              <w:rFonts w:ascii="Cambria Math" w:hAnsi="Cambria Math"/>
              <w:lang w:val="en-US"/>
            </w:rPr>
            <m:t>-(</m:t>
          </m:r>
          <m:r>
            <m:rPr>
              <m:sty m:val="bi"/>
            </m:rPr>
            <w:rPr>
              <w:rFonts w:ascii="Cambria Math" w:hAnsi="Cambria Math"/>
            </w:rPr>
            <m:t>y</m:t>
          </m:r>
          <m:r>
            <m:rPr>
              <m:sty m:val="bi"/>
            </m:rPr>
            <w:rPr>
              <w:rFonts w:ascii="Cambria Math" w:hAnsi="Cambria Math"/>
              <w:lang w:val="en-US"/>
            </w:rPr>
            <m:t>-</m:t>
          </m:r>
          <m:sSub>
            <m:sSubPr>
              <m:ctrlPr>
                <w:rPr>
                  <w:rFonts w:ascii="Cambria Math" w:hAnsi="Cambria Math"/>
                  <w:b/>
                  <w:bCs/>
                  <w:i/>
                  <w:iCs/>
                </w:rPr>
              </m:ctrlPr>
            </m:sSubPr>
            <m:e>
              <m:r>
                <m:rPr>
                  <m:sty m:val="bi"/>
                </m:rPr>
                <w:rPr>
                  <w:rFonts w:ascii="Cambria Math" w:hAnsi="Cambria Math"/>
                </w:rPr>
                <m:t>y</m:t>
              </m:r>
            </m:e>
            <m:sub>
              <m:r>
                <m:rPr>
                  <m:sty m:val="bi"/>
                </m:rPr>
                <w:rPr>
                  <w:rFonts w:ascii="Cambria Math" w:hAnsi="Cambria Math"/>
                </w:rPr>
                <m:t>C</m:t>
              </m:r>
              <m:r>
                <m:rPr>
                  <m:sty m:val="bi"/>
                </m:rPr>
                <w:rPr>
                  <w:rFonts w:ascii="Cambria Math" w:hAnsi="Cambria Math"/>
                </w:rPr>
                <m:t>1</m:t>
              </m:r>
            </m:sub>
          </m:sSub>
          <m:r>
            <m:rPr>
              <m:sty m:val="bi"/>
            </m:rPr>
            <w:rPr>
              <w:rFonts w:ascii="Cambria Math" w:hAnsi="Cambria Math"/>
              <w:lang w:val="en-US"/>
            </w:rPr>
            <m:t>)(</m:t>
          </m:r>
          <m:sSub>
            <m:sSubPr>
              <m:ctrlPr>
                <w:rPr>
                  <w:rFonts w:ascii="Cambria Math" w:hAnsi="Cambria Math"/>
                  <w:b/>
                  <w:bCs/>
                  <w:i/>
                  <w:iCs/>
                </w:rPr>
              </m:ctrlPr>
            </m:sSubPr>
            <m:e>
              <m:r>
                <m:rPr>
                  <m:sty m:val="bi"/>
                </m:rPr>
                <w:rPr>
                  <w:rFonts w:ascii="Cambria Math" w:hAnsi="Cambria Math"/>
                </w:rPr>
                <m:t>x</m:t>
              </m:r>
            </m:e>
            <m:sub>
              <m:r>
                <m:rPr>
                  <m:sty m:val="bi"/>
                </m:rPr>
                <w:rPr>
                  <w:rFonts w:ascii="Cambria Math" w:hAnsi="Cambria Math"/>
                </w:rPr>
                <m:t>C</m:t>
              </m:r>
              <m:r>
                <m:rPr>
                  <m:sty m:val="bi"/>
                </m:rPr>
                <w:rPr>
                  <w:rFonts w:ascii="Cambria Math" w:hAnsi="Cambria Math"/>
                </w:rPr>
                <m:t>2</m:t>
              </m:r>
            </m:sub>
          </m:sSub>
          <m:r>
            <m:rPr>
              <m:sty m:val="bi"/>
            </m:rPr>
            <w:rPr>
              <w:rFonts w:ascii="Cambria Math" w:hAnsi="Cambria Math"/>
              <w:lang w:val="en-US"/>
            </w:rPr>
            <m:t>-</m:t>
          </m:r>
          <m:sSub>
            <m:sSubPr>
              <m:ctrlPr>
                <w:rPr>
                  <w:rFonts w:ascii="Cambria Math" w:hAnsi="Cambria Math"/>
                  <w:b/>
                  <w:bCs/>
                  <w:i/>
                  <w:iCs/>
                </w:rPr>
              </m:ctrlPr>
            </m:sSubPr>
            <m:e>
              <m:r>
                <m:rPr>
                  <m:sty m:val="bi"/>
                </m:rPr>
                <w:rPr>
                  <w:rFonts w:ascii="Cambria Math" w:hAnsi="Cambria Math"/>
                </w:rPr>
                <m:t>x</m:t>
              </m:r>
            </m:e>
            <m:sub>
              <m:r>
                <m:rPr>
                  <m:sty m:val="bi"/>
                </m:rPr>
                <w:rPr>
                  <w:rFonts w:ascii="Cambria Math" w:hAnsi="Cambria Math"/>
                </w:rPr>
                <m:t>C</m:t>
              </m:r>
              <m:r>
                <m:rPr>
                  <m:sty m:val="bi"/>
                </m:rPr>
                <w:rPr>
                  <w:rFonts w:ascii="Cambria Math" w:hAnsi="Cambria Math"/>
                </w:rPr>
                <m:t>1</m:t>
              </m:r>
            </m:sub>
          </m:sSub>
          <m:r>
            <m:rPr>
              <m:sty m:val="bi"/>
            </m:rPr>
            <w:rPr>
              <w:rFonts w:ascii="Cambria Math" w:hAnsi="Cambria Math"/>
              <w:lang w:val="en-US"/>
            </w:rPr>
            <m:t>)= </m:t>
          </m:r>
          <m:r>
            <m:rPr>
              <m:sty m:val="bi"/>
            </m:rPr>
            <w:rPr>
              <w:rFonts w:ascii="Cambria Math" w:hAnsi="Cambria Math"/>
            </w:rPr>
            <m:t>0</m:t>
          </m:r>
        </m:oMath>
      </m:oMathPara>
    </w:p>
    <w:p w14:paraId="7F668538" w14:textId="279DA79D" w:rsidR="007A4844" w:rsidRPr="005C283B" w:rsidRDefault="007A4844" w:rsidP="007A4844">
      <w:pPr>
        <w:spacing w:line="240" w:lineRule="auto"/>
        <w:jc w:val="both"/>
        <w:rPr>
          <w:lang w:val="en-US"/>
        </w:rPr>
      </w:pPr>
      <w:r w:rsidRPr="005C283B">
        <w:rPr>
          <w:lang w:val="en-US"/>
        </w:rPr>
        <w:t>x</w:t>
      </w:r>
      <w:r w:rsidRPr="005C283B">
        <w:rPr>
          <w:vertAlign w:val="subscript"/>
          <w:lang w:val="en-US"/>
        </w:rPr>
        <w:t>C1</w:t>
      </w:r>
      <w:r w:rsidRPr="005C283B">
        <w:rPr>
          <w:lang w:val="en-US"/>
        </w:rPr>
        <w:t>, y</w:t>
      </w:r>
      <w:r w:rsidRPr="005C283B">
        <w:rPr>
          <w:vertAlign w:val="subscript"/>
          <w:lang w:val="en-US"/>
        </w:rPr>
        <w:t>C1</w:t>
      </w:r>
      <w:r w:rsidRPr="005C283B">
        <w:rPr>
          <w:lang w:val="en-US"/>
        </w:rPr>
        <w:t xml:space="preserve"> and x</w:t>
      </w:r>
      <w:r w:rsidRPr="005C283B">
        <w:rPr>
          <w:vertAlign w:val="subscript"/>
          <w:lang w:val="en-US"/>
        </w:rPr>
        <w:t>C2</w:t>
      </w:r>
      <w:r w:rsidRPr="005C283B">
        <w:rPr>
          <w:lang w:val="en-US"/>
        </w:rPr>
        <w:t>,y</w:t>
      </w:r>
      <w:r w:rsidRPr="005C283B">
        <w:rPr>
          <w:vertAlign w:val="subscript"/>
          <w:lang w:val="en-US"/>
        </w:rPr>
        <w:t>C2</w:t>
      </w:r>
      <w:r w:rsidRPr="005C283B">
        <w:rPr>
          <w:lang w:val="en-US"/>
        </w:rPr>
        <w:t xml:space="preserve"> are coordinates shown on Fig </w:t>
      </w:r>
      <w:r w:rsidR="002D7521" w:rsidRPr="005C283B">
        <w:rPr>
          <w:lang w:val="en-US"/>
        </w:rPr>
        <w:t>S</w:t>
      </w:r>
      <w:r w:rsidR="00BF5774" w:rsidRPr="005C283B">
        <w:rPr>
          <w:lang w:val="en-US"/>
        </w:rPr>
        <w:t>7</w:t>
      </w:r>
      <w:r w:rsidRPr="005C283B">
        <w:rPr>
          <w:lang w:val="en-US"/>
        </w:rPr>
        <w:t xml:space="preserve"> (</w:t>
      </w:r>
      <w:r w:rsidR="00066031" w:rsidRPr="005C283B">
        <w:rPr>
          <w:lang w:val="en-US"/>
        </w:rPr>
        <w:t>B</w:t>
      </w:r>
      <w:r w:rsidRPr="005C283B">
        <w:rPr>
          <w:lang w:val="en-US"/>
        </w:rPr>
        <w:t>)</w:t>
      </w:r>
      <w:r w:rsidR="0091491D" w:rsidRPr="005C283B">
        <w:rPr>
          <w:lang w:val="en-US"/>
        </w:rPr>
        <w:t xml:space="preserve">. </w:t>
      </w:r>
      <w:r w:rsidRPr="005C283B">
        <w:rPr>
          <w:lang w:val="en-US"/>
        </w:rPr>
        <w:t xml:space="preserve">Based on this equation a line to </w:t>
      </w:r>
      <w:r w:rsidR="008F64E8" w:rsidRPr="005C283B">
        <w:rPr>
          <w:lang w:val="en-US"/>
        </w:rPr>
        <w:t>evaluate</w:t>
      </w:r>
      <w:r w:rsidRPr="005C283B">
        <w:rPr>
          <w:lang w:val="en-US"/>
        </w:rPr>
        <w:t xml:space="preserve"> background from signal is created and area under it (restricted by C1 and C2 lines) is integrated, and subtracted from total ROI intensity value. The final value </w:t>
      </w:r>
      <w:r w:rsidR="008F64E8" w:rsidRPr="005C283B">
        <w:rPr>
          <w:lang w:val="en-US"/>
        </w:rPr>
        <w:t xml:space="preserve">used for further analysis comes from </w:t>
      </w:r>
      <w:r w:rsidRPr="005C283B">
        <w:rPr>
          <w:lang w:val="en-US"/>
        </w:rPr>
        <w:t xml:space="preserve">the signal </w:t>
      </w:r>
      <w:r w:rsidR="008F64E8" w:rsidRPr="005C283B">
        <w:rPr>
          <w:lang w:val="en-US"/>
        </w:rPr>
        <w:t xml:space="preserve">originating </w:t>
      </w:r>
      <w:r w:rsidRPr="005C283B">
        <w:rPr>
          <w:lang w:val="en-US"/>
        </w:rPr>
        <w:t xml:space="preserve">from the dot. </w:t>
      </w:r>
    </w:p>
    <w:p w14:paraId="1B119FBF" w14:textId="77777777" w:rsidR="0091491D" w:rsidRPr="005C283B" w:rsidRDefault="0091491D" w:rsidP="007A4844">
      <w:pPr>
        <w:spacing w:line="240" w:lineRule="auto"/>
        <w:jc w:val="both"/>
        <w:rPr>
          <w:lang w:val="en-US"/>
        </w:rPr>
      </w:pPr>
      <m:oMathPara>
        <m:oMathParaPr>
          <m:jc m:val="center"/>
        </m:oMathParaPr>
        <m:oMath>
          <m:r>
            <m:rPr>
              <m:sty m:val="bi"/>
            </m:rPr>
            <w:rPr>
              <w:rFonts w:ascii="Cambria Math" w:hAnsi="Cambria Math"/>
            </w:rPr>
            <m:t>S= </m:t>
          </m:r>
          <m:nary>
            <m:naryPr>
              <m:chr m:val="∑"/>
              <m:supHide m:val="1"/>
              <m:ctrlPr>
                <w:rPr>
                  <w:rFonts w:ascii="Cambria Math" w:hAnsi="Cambria Math"/>
                  <w:b/>
                  <w:bCs/>
                  <w:i/>
                  <w:iCs/>
                </w:rPr>
              </m:ctrlPr>
            </m:naryPr>
            <m:sub>
              <m:r>
                <m:rPr>
                  <m:sty m:val="bi"/>
                </m:rPr>
                <w:rPr>
                  <w:rFonts w:ascii="Cambria Math" w:hAnsi="Cambria Math"/>
                </w:rPr>
                <m:t>a</m:t>
              </m:r>
            </m:sub>
            <m:sup/>
            <m:e>
              <m:nary>
                <m:naryPr>
                  <m:chr m:val="∑"/>
                  <m:supHide m:val="1"/>
                  <m:ctrlPr>
                    <w:rPr>
                      <w:rFonts w:ascii="Cambria Math" w:hAnsi="Cambria Math"/>
                      <w:b/>
                      <w:bCs/>
                      <w:i/>
                      <w:iCs/>
                    </w:rPr>
                  </m:ctrlPr>
                </m:naryPr>
                <m:sub>
                  <m:r>
                    <m:rPr>
                      <m:sty m:val="bi"/>
                    </m:rPr>
                    <w:rPr>
                      <w:rFonts w:ascii="Cambria Math" w:hAnsi="Cambria Math"/>
                    </w:rPr>
                    <m:t>b</m:t>
                  </m:r>
                </m:sub>
                <m:sup/>
                <m:e>
                  <m:sSub>
                    <m:sSubPr>
                      <m:ctrlPr>
                        <w:rPr>
                          <w:rFonts w:ascii="Cambria Math" w:hAnsi="Cambria Math"/>
                          <w:b/>
                          <w:bCs/>
                          <w:i/>
                          <w:iCs/>
                        </w:rPr>
                      </m:ctrlPr>
                    </m:sSubPr>
                    <m:e>
                      <m:r>
                        <m:rPr>
                          <m:sty m:val="bi"/>
                        </m:rPr>
                        <w:rPr>
                          <w:rFonts w:ascii="Cambria Math" w:hAnsi="Cambria Math"/>
                        </w:rPr>
                        <m:t>I</m:t>
                      </m:r>
                    </m:e>
                    <m:sub>
                      <m:r>
                        <m:rPr>
                          <m:sty m:val="bi"/>
                        </m:rPr>
                        <w:rPr>
                          <w:rFonts w:ascii="Cambria Math" w:hAnsi="Cambria Math"/>
                        </w:rPr>
                        <m:t>ROI</m:t>
                      </m:r>
                    </m:sub>
                  </m:sSub>
                  <m:d>
                    <m:dPr>
                      <m:ctrlPr>
                        <w:rPr>
                          <w:rFonts w:ascii="Cambria Math" w:hAnsi="Cambria Math"/>
                          <w:b/>
                          <w:bCs/>
                          <w:i/>
                          <w:iCs/>
                        </w:rPr>
                      </m:ctrlPr>
                    </m:dPr>
                    <m:e>
                      <m:r>
                        <m:rPr>
                          <m:sty m:val="bi"/>
                        </m:rPr>
                        <w:rPr>
                          <w:rFonts w:ascii="Cambria Math" w:hAnsi="Cambria Math"/>
                        </w:rPr>
                        <m:t>a,b</m:t>
                      </m:r>
                    </m:e>
                  </m:d>
                  <m:r>
                    <m:rPr>
                      <m:sty m:val="bi"/>
                    </m:rPr>
                    <w:rPr>
                      <w:rFonts w:ascii="Cambria Math" w:hAnsi="Cambria Math"/>
                    </w:rPr>
                    <m:t>-B</m:t>
                  </m:r>
                </m:e>
              </m:nary>
            </m:e>
          </m:nary>
        </m:oMath>
      </m:oMathPara>
    </w:p>
    <w:p w14:paraId="0E2A132B" w14:textId="77777777" w:rsidR="008F64E8" w:rsidRPr="005C283B" w:rsidRDefault="008F64E8" w:rsidP="008F64E8">
      <w:pPr>
        <w:spacing w:line="240" w:lineRule="auto"/>
        <w:jc w:val="both"/>
        <w:rPr>
          <w:lang w:val="en-US"/>
        </w:rPr>
      </w:pPr>
      <w:r w:rsidRPr="005C283B">
        <w:rPr>
          <w:lang w:val="en-US"/>
        </w:rPr>
        <w:t xml:space="preserve">Since the UC process is relatively weak, long acquisition times </w:t>
      </w:r>
      <w:r w:rsidR="00B31F1E" w:rsidRPr="005C283B">
        <w:rPr>
          <w:lang w:val="en-US"/>
        </w:rPr>
        <w:t>for single image were required</w:t>
      </w:r>
      <w:r w:rsidRPr="005C283B">
        <w:rPr>
          <w:lang w:val="en-US"/>
        </w:rPr>
        <w:t>. While there was no autofluorescence of the subject of interest under 980 nm excitation, non-specific binding or light scattering were major factors responsible for background signal.</w:t>
      </w:r>
    </w:p>
    <w:p w14:paraId="7F2E159C" w14:textId="77777777" w:rsidR="008F64E8" w:rsidRPr="005C283B" w:rsidRDefault="008F64E8" w:rsidP="00694951">
      <w:pPr>
        <w:spacing w:line="240" w:lineRule="auto"/>
        <w:jc w:val="center"/>
        <w:rPr>
          <w:color w:val="0070C0"/>
          <w:lang w:val="en-US"/>
        </w:rPr>
      </w:pPr>
    </w:p>
    <w:p w14:paraId="25FFFC55" w14:textId="77777777" w:rsidR="00D43CF2" w:rsidRPr="005C283B" w:rsidRDefault="00874AA3" w:rsidP="00694951">
      <w:pPr>
        <w:spacing w:line="240" w:lineRule="auto"/>
        <w:jc w:val="center"/>
        <w:rPr>
          <w:color w:val="0070C0"/>
          <w:lang w:val="en-US"/>
        </w:rPr>
      </w:pPr>
      <w:r w:rsidRPr="005C283B">
        <w:rPr>
          <w:noProof/>
          <w:color w:val="0070C0"/>
          <w:lang w:val="en-US"/>
        </w:rPr>
        <w:drawing>
          <wp:inline distT="0" distB="0" distL="0" distR="0" wp14:anchorId="389EF44D" wp14:editId="450EF7A1">
            <wp:extent cx="5762625" cy="2990850"/>
            <wp:effectExtent l="19050" t="0" r="9525" b="0"/>
            <wp:docPr id="15" name="Obraz 2" descr="H:\Dropbox\! AKTUALNE AB\NAOMIS_DotBlot\scheme pomia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ropbox\! AKTUALNE AB\NAOMIS_DotBlot\scheme pomiar 2.jpg"/>
                    <pic:cNvPicPr>
                      <a:picLocks noChangeAspect="1" noChangeArrowheads="1"/>
                    </pic:cNvPicPr>
                  </pic:nvPicPr>
                  <pic:blipFill>
                    <a:blip r:embed="rId15" cstate="print"/>
                    <a:srcRect b="48099"/>
                    <a:stretch>
                      <a:fillRect/>
                    </a:stretch>
                  </pic:blipFill>
                  <pic:spPr bwMode="auto">
                    <a:xfrm>
                      <a:off x="0" y="0"/>
                      <a:ext cx="5762625" cy="2990850"/>
                    </a:xfrm>
                    <a:prstGeom prst="rect">
                      <a:avLst/>
                    </a:prstGeom>
                    <a:noFill/>
                    <a:ln w="9525">
                      <a:noFill/>
                      <a:miter lim="800000"/>
                      <a:headEnd/>
                      <a:tailEnd/>
                    </a:ln>
                  </pic:spPr>
                </pic:pic>
              </a:graphicData>
            </a:graphic>
          </wp:inline>
        </w:drawing>
      </w:r>
    </w:p>
    <w:p w14:paraId="688009B1" w14:textId="3200EB03" w:rsidR="00C349F6" w:rsidRPr="005C283B" w:rsidRDefault="00874AA3" w:rsidP="006244E3">
      <w:pPr>
        <w:spacing w:line="240" w:lineRule="auto"/>
        <w:jc w:val="both"/>
        <w:rPr>
          <w:lang w:val="en-US"/>
        </w:rPr>
      </w:pPr>
      <w:r w:rsidRPr="005C283B">
        <w:rPr>
          <w:lang w:val="en-US"/>
        </w:rPr>
        <w:t>Fig.</w:t>
      </w:r>
      <w:r w:rsidR="00EC1652" w:rsidRPr="005C283B">
        <w:rPr>
          <w:lang w:val="en-US"/>
        </w:rPr>
        <w:t xml:space="preserve"> </w:t>
      </w:r>
      <w:r w:rsidR="00FC0D0C" w:rsidRPr="005C283B">
        <w:rPr>
          <w:lang w:val="en-US"/>
        </w:rPr>
        <w:t>S</w:t>
      </w:r>
      <w:r w:rsidR="00A23B91" w:rsidRPr="005C283B">
        <w:rPr>
          <w:lang w:val="en-US"/>
        </w:rPr>
        <w:t>8</w:t>
      </w:r>
      <w:r w:rsidR="00FC0D0C" w:rsidRPr="005C283B">
        <w:rPr>
          <w:lang w:val="en-US"/>
        </w:rPr>
        <w:t xml:space="preserve">  </w:t>
      </w:r>
      <w:r w:rsidR="00E754B4" w:rsidRPr="005C283B">
        <w:rPr>
          <w:lang w:val="en-US"/>
        </w:rPr>
        <w:t>Schematically shown</w:t>
      </w:r>
      <w:r w:rsidR="00E24F0B" w:rsidRPr="005C283B">
        <w:rPr>
          <w:lang w:val="en-US"/>
        </w:rPr>
        <w:t xml:space="preserve"> algorithm for signal quantification.</w:t>
      </w:r>
      <w:r w:rsidR="003531CA" w:rsidRPr="005C283B">
        <w:rPr>
          <w:lang w:val="en-US"/>
        </w:rPr>
        <w:t xml:space="preserve"> </w:t>
      </w:r>
      <w:r w:rsidR="00ED7974" w:rsidRPr="005C283B">
        <w:rPr>
          <w:lang w:val="en-US"/>
        </w:rPr>
        <w:t>(</w:t>
      </w:r>
      <w:r w:rsidR="0091491D" w:rsidRPr="005C283B">
        <w:rPr>
          <w:lang w:val="en-US"/>
        </w:rPr>
        <w:t>A</w:t>
      </w:r>
      <w:r w:rsidR="00ED7974" w:rsidRPr="005C283B">
        <w:rPr>
          <w:lang w:val="en-US"/>
        </w:rPr>
        <w:t>)</w:t>
      </w:r>
      <w:r w:rsidR="00EC6CFC" w:rsidRPr="005C283B">
        <w:rPr>
          <w:lang w:val="en-US"/>
        </w:rPr>
        <w:t xml:space="preserve"> Graph showing intensity of the pixels </w:t>
      </w:r>
      <w:r w:rsidRPr="005C283B">
        <w:rPr>
          <w:lang w:val="en-US"/>
        </w:rPr>
        <w:t xml:space="preserve">I(a,b) </w:t>
      </w:r>
      <w:r w:rsidR="00EC6CFC" w:rsidRPr="005C283B">
        <w:rPr>
          <w:lang w:val="en-US"/>
        </w:rPr>
        <w:t xml:space="preserve">for the chosen </w:t>
      </w:r>
      <w:r w:rsidRPr="005C283B">
        <w:rPr>
          <w:lang w:val="en-US"/>
        </w:rPr>
        <w:t>region of interest (</w:t>
      </w:r>
      <w:r w:rsidR="00EC6CFC" w:rsidRPr="005C283B">
        <w:rPr>
          <w:lang w:val="en-US"/>
        </w:rPr>
        <w:t>ROI</w:t>
      </w:r>
      <w:r w:rsidRPr="005C283B">
        <w:rPr>
          <w:lang w:val="en-US"/>
        </w:rPr>
        <w:t>)</w:t>
      </w:r>
      <w:r w:rsidR="00EC6CFC" w:rsidRPr="005C283B">
        <w:rPr>
          <w:lang w:val="en-US"/>
        </w:rPr>
        <w:t xml:space="preserve">. </w:t>
      </w:r>
      <w:r w:rsidR="00ED7974" w:rsidRPr="005C283B">
        <w:rPr>
          <w:lang w:val="en-US"/>
        </w:rPr>
        <w:t xml:space="preserve">The </w:t>
      </w:r>
      <w:r w:rsidRPr="005C283B">
        <w:rPr>
          <w:lang w:val="en-US"/>
        </w:rPr>
        <w:t xml:space="preserve">intensity along </w:t>
      </w:r>
      <w:r w:rsidR="00ED7974" w:rsidRPr="005C283B">
        <w:rPr>
          <w:lang w:val="en-US"/>
        </w:rPr>
        <w:t xml:space="preserve">a-axis </w:t>
      </w:r>
      <w:r w:rsidRPr="005C283B">
        <w:rPr>
          <w:lang w:val="en-US"/>
        </w:rPr>
        <w:t xml:space="preserve">being a sum over b-axis </w:t>
      </w:r>
      <w:r w:rsidR="00ED7974" w:rsidRPr="005C283B">
        <w:rPr>
          <w:lang w:val="en-US"/>
        </w:rPr>
        <w:t>P(a)</w:t>
      </w:r>
      <w:r w:rsidRPr="005C283B">
        <w:rPr>
          <w:lang w:val="en-US"/>
        </w:rPr>
        <w:t>=</w:t>
      </w:r>
      <w:r w:rsidR="00F75690" w:rsidRPr="005C283B">
        <w:rPr>
          <w:lang w:val="en-US"/>
        </w:rPr>
        <w:t>Ʃ</w:t>
      </w:r>
      <w:r w:rsidRPr="005C283B">
        <w:rPr>
          <w:lang w:val="en-US"/>
        </w:rPr>
        <w:t xml:space="preserve"> I(a,b). The </w:t>
      </w:r>
      <w:r w:rsidR="00EC6CFC" w:rsidRPr="005C283B">
        <w:rPr>
          <w:lang w:val="en-US"/>
        </w:rPr>
        <w:t>C</w:t>
      </w:r>
      <w:r w:rsidR="00EC6CFC" w:rsidRPr="005C283B">
        <w:rPr>
          <w:vertAlign w:val="subscript"/>
          <w:lang w:val="en-US"/>
        </w:rPr>
        <w:t>1</w:t>
      </w:r>
      <w:r w:rsidR="00EC6CFC" w:rsidRPr="005C283B">
        <w:rPr>
          <w:lang w:val="en-US"/>
        </w:rPr>
        <w:t xml:space="preserve"> and C</w:t>
      </w:r>
      <w:r w:rsidR="00EC6CFC" w:rsidRPr="005C283B">
        <w:rPr>
          <w:vertAlign w:val="subscript"/>
          <w:lang w:val="en-US"/>
        </w:rPr>
        <w:t>2</w:t>
      </w:r>
      <w:r w:rsidR="00EC6CFC" w:rsidRPr="005C283B">
        <w:rPr>
          <w:lang w:val="en-US"/>
        </w:rPr>
        <w:t xml:space="preserve"> are cursors used to subtract the background</w:t>
      </w:r>
      <w:r w:rsidRPr="005C283B">
        <w:rPr>
          <w:lang w:val="en-US"/>
        </w:rPr>
        <w:t xml:space="preserve"> from signal</w:t>
      </w:r>
      <w:r w:rsidR="00870E25" w:rsidRPr="005C283B">
        <w:rPr>
          <w:lang w:val="en-US"/>
        </w:rPr>
        <w:t xml:space="preserve"> (B)</w:t>
      </w:r>
      <w:r w:rsidRPr="005C283B">
        <w:rPr>
          <w:lang w:val="en-US"/>
        </w:rPr>
        <w:t xml:space="preserve">. </w:t>
      </w:r>
      <w:r w:rsidR="0091491D" w:rsidRPr="005C283B">
        <w:rPr>
          <w:lang w:val="en-US"/>
        </w:rPr>
        <w:t xml:space="preserve"> </w:t>
      </w:r>
    </w:p>
    <w:p w14:paraId="1300A9B7" w14:textId="77777777" w:rsidR="008A115E" w:rsidRPr="005C283B" w:rsidRDefault="008A115E" w:rsidP="00F539CD">
      <w:pPr>
        <w:keepNext/>
        <w:spacing w:line="240" w:lineRule="auto"/>
        <w:jc w:val="center"/>
        <w:rPr>
          <w:lang w:val="en-US"/>
        </w:rPr>
      </w:pPr>
    </w:p>
    <w:p w14:paraId="4AFC9C13" w14:textId="77777777" w:rsidR="00A776B7" w:rsidRPr="005C283B" w:rsidRDefault="00A776B7" w:rsidP="00923F9A">
      <w:pPr>
        <w:rPr>
          <w:lang w:val="en-US"/>
        </w:rPr>
      </w:pPr>
    </w:p>
    <w:p w14:paraId="57FC59DF" w14:textId="658CFE33" w:rsidR="00A776B7" w:rsidRPr="005C283B" w:rsidRDefault="008A0B48" w:rsidP="008A0B48">
      <w:pPr>
        <w:pStyle w:val="ListParagraph"/>
        <w:numPr>
          <w:ilvl w:val="0"/>
          <w:numId w:val="8"/>
        </w:numPr>
        <w:rPr>
          <w:b/>
          <w:lang w:val="en-US"/>
        </w:rPr>
      </w:pPr>
      <w:r w:rsidRPr="005C283B">
        <w:rPr>
          <w:b/>
          <w:lang w:val="en-US"/>
        </w:rPr>
        <w:t>References</w:t>
      </w:r>
    </w:p>
    <w:p w14:paraId="5150AE2D" w14:textId="1F36CA38" w:rsidR="00DE4404" w:rsidRPr="005C283B" w:rsidRDefault="00DE4404" w:rsidP="00DE4404">
      <w:pPr>
        <w:pStyle w:val="ListParagraph"/>
        <w:ind w:left="360"/>
        <w:rPr>
          <w:b/>
          <w:lang w:val="en-US"/>
        </w:rPr>
      </w:pPr>
    </w:p>
    <w:p w14:paraId="231447AF" w14:textId="3809B4BB" w:rsidR="00D36C1D" w:rsidRPr="005C283B" w:rsidRDefault="00DE4404" w:rsidP="00D36C1D">
      <w:pPr>
        <w:widowControl w:val="0"/>
        <w:autoSpaceDE w:val="0"/>
        <w:autoSpaceDN w:val="0"/>
        <w:adjustRightInd w:val="0"/>
        <w:spacing w:line="240" w:lineRule="auto"/>
        <w:ind w:left="640" w:hanging="640"/>
        <w:rPr>
          <w:rFonts w:ascii="Calibri" w:hAnsi="Calibri" w:cs="Calibri"/>
          <w:noProof/>
          <w:szCs w:val="24"/>
          <w:lang w:val="en-US"/>
        </w:rPr>
      </w:pPr>
      <w:r w:rsidRPr="005C283B">
        <w:rPr>
          <w:b/>
          <w:lang w:val="en-US"/>
        </w:rPr>
        <w:fldChar w:fldCharType="begin" w:fldLock="1"/>
      </w:r>
      <w:r w:rsidRPr="005C283B">
        <w:rPr>
          <w:b/>
          <w:lang w:val="en-US"/>
        </w:rPr>
        <w:instrText xml:space="preserve">ADDIN Mendeley Bibliography CSL_BIBLIOGRAPHY </w:instrText>
      </w:r>
      <w:r w:rsidRPr="005C283B">
        <w:rPr>
          <w:b/>
          <w:lang w:val="en-US"/>
        </w:rPr>
        <w:fldChar w:fldCharType="separate"/>
      </w:r>
      <w:r w:rsidR="00D36C1D" w:rsidRPr="005C283B">
        <w:rPr>
          <w:rFonts w:ascii="Calibri" w:hAnsi="Calibri" w:cs="Calibri"/>
          <w:noProof/>
          <w:szCs w:val="24"/>
          <w:lang w:val="en-US"/>
        </w:rPr>
        <w:t xml:space="preserve">1. </w:t>
      </w:r>
      <w:r w:rsidR="00D36C1D" w:rsidRPr="005C283B">
        <w:rPr>
          <w:rFonts w:ascii="Calibri" w:hAnsi="Calibri" w:cs="Calibri"/>
          <w:noProof/>
          <w:szCs w:val="24"/>
          <w:lang w:val="en-US"/>
        </w:rPr>
        <w:tab/>
        <w:t>John-Christopher  Boyer,  and Louis A.  Cuccia, J. A. Capobianco*, Synthesis of Colloidal Upconverting NaYF4:  Er3+/Yb3+ and Tm3+/Yb3+ Monodisperse Nanocrystals (2007), doi:10.1021/NL070235+.</w:t>
      </w:r>
    </w:p>
    <w:p w14:paraId="5C0EC922" w14:textId="77777777" w:rsidR="00D36C1D" w:rsidRPr="005C283B" w:rsidRDefault="00D36C1D" w:rsidP="00D36C1D">
      <w:pPr>
        <w:widowControl w:val="0"/>
        <w:autoSpaceDE w:val="0"/>
        <w:autoSpaceDN w:val="0"/>
        <w:adjustRightInd w:val="0"/>
        <w:spacing w:line="240" w:lineRule="auto"/>
        <w:ind w:left="640" w:hanging="640"/>
        <w:rPr>
          <w:rFonts w:ascii="Calibri" w:hAnsi="Calibri" w:cs="Calibri"/>
          <w:noProof/>
          <w:szCs w:val="24"/>
          <w:lang w:val="en-US"/>
        </w:rPr>
      </w:pPr>
      <w:r w:rsidRPr="005C283B">
        <w:rPr>
          <w:rFonts w:ascii="Calibri" w:hAnsi="Calibri" w:cs="Calibri"/>
          <w:noProof/>
          <w:szCs w:val="24"/>
          <w:lang w:val="en-US"/>
        </w:rPr>
        <w:t xml:space="preserve">2. </w:t>
      </w:r>
      <w:r w:rsidRPr="005C283B">
        <w:rPr>
          <w:rFonts w:ascii="Calibri" w:hAnsi="Calibri" w:cs="Calibri"/>
          <w:noProof/>
          <w:szCs w:val="24"/>
          <w:lang w:val="en-US"/>
        </w:rPr>
        <w:tab/>
        <w:t xml:space="preserve">K. A. Abel, J. C. Boyer, F. C. J. M. Van Veggel, Hard proof of the NaYF4/NaGdF4 nanocrystal core/shell structure. </w:t>
      </w:r>
      <w:r w:rsidRPr="005C283B">
        <w:rPr>
          <w:rFonts w:ascii="Calibri" w:hAnsi="Calibri" w:cs="Calibri"/>
          <w:i/>
          <w:iCs/>
          <w:noProof/>
          <w:szCs w:val="24"/>
          <w:lang w:val="en-US"/>
        </w:rPr>
        <w:t>J. Am. Chem. Soc.</w:t>
      </w:r>
      <w:r w:rsidRPr="005C283B">
        <w:rPr>
          <w:rFonts w:ascii="Calibri" w:hAnsi="Calibri" w:cs="Calibri"/>
          <w:noProof/>
          <w:szCs w:val="24"/>
          <w:lang w:val="en-US"/>
        </w:rPr>
        <w:t xml:space="preserve"> </w:t>
      </w:r>
      <w:r w:rsidRPr="005C283B">
        <w:rPr>
          <w:rFonts w:ascii="Calibri" w:hAnsi="Calibri" w:cs="Calibri"/>
          <w:b/>
          <w:bCs/>
          <w:noProof/>
          <w:szCs w:val="24"/>
          <w:lang w:val="en-US"/>
        </w:rPr>
        <w:t>131</w:t>
      </w:r>
      <w:r w:rsidRPr="005C283B">
        <w:rPr>
          <w:rFonts w:ascii="Calibri" w:hAnsi="Calibri" w:cs="Calibri"/>
          <w:noProof/>
          <w:szCs w:val="24"/>
          <w:lang w:val="en-US"/>
        </w:rPr>
        <w:t>, 14644–14645 (2009).</w:t>
      </w:r>
    </w:p>
    <w:p w14:paraId="3E46FEE9" w14:textId="77777777" w:rsidR="00D36C1D" w:rsidRPr="005C283B" w:rsidRDefault="00D36C1D" w:rsidP="00D36C1D">
      <w:pPr>
        <w:widowControl w:val="0"/>
        <w:autoSpaceDE w:val="0"/>
        <w:autoSpaceDN w:val="0"/>
        <w:adjustRightInd w:val="0"/>
        <w:spacing w:line="240" w:lineRule="auto"/>
        <w:ind w:left="640" w:hanging="640"/>
        <w:rPr>
          <w:rFonts w:ascii="Calibri" w:hAnsi="Calibri" w:cs="Calibri"/>
          <w:noProof/>
          <w:szCs w:val="24"/>
          <w:lang w:val="en-US"/>
        </w:rPr>
      </w:pPr>
      <w:r w:rsidRPr="005C283B">
        <w:rPr>
          <w:rFonts w:ascii="Calibri" w:hAnsi="Calibri" w:cs="Calibri"/>
          <w:noProof/>
          <w:szCs w:val="24"/>
          <w:lang w:val="en-US"/>
        </w:rPr>
        <w:t xml:space="preserve">3. </w:t>
      </w:r>
      <w:r w:rsidRPr="005C283B">
        <w:rPr>
          <w:rFonts w:ascii="Calibri" w:hAnsi="Calibri" w:cs="Calibri"/>
          <w:noProof/>
          <w:szCs w:val="24"/>
          <w:lang w:val="en-US"/>
        </w:rPr>
        <w:tab/>
        <w:t xml:space="preserve">V. Ayala, A. P. Herrera, M. Latorre-Esteves, M. Torres-Lugo, C. Rinaldi, Effect of surface charge on the colloidal stability and in vitro uptake of carboxymethyl dextran-coated iron oxide nanoparticles. </w:t>
      </w:r>
      <w:r w:rsidRPr="005C283B">
        <w:rPr>
          <w:rFonts w:ascii="Calibri" w:hAnsi="Calibri" w:cs="Calibri"/>
          <w:i/>
          <w:iCs/>
          <w:noProof/>
          <w:szCs w:val="24"/>
          <w:lang w:val="en-US"/>
        </w:rPr>
        <w:t>J. Nanoparticle Res.</w:t>
      </w:r>
      <w:r w:rsidRPr="005C283B">
        <w:rPr>
          <w:rFonts w:ascii="Calibri" w:hAnsi="Calibri" w:cs="Calibri"/>
          <w:noProof/>
          <w:szCs w:val="24"/>
          <w:lang w:val="en-US"/>
        </w:rPr>
        <w:t xml:space="preserve"> </w:t>
      </w:r>
      <w:r w:rsidRPr="005C283B">
        <w:rPr>
          <w:rFonts w:ascii="Calibri" w:hAnsi="Calibri" w:cs="Calibri"/>
          <w:b/>
          <w:bCs/>
          <w:noProof/>
          <w:szCs w:val="24"/>
          <w:lang w:val="en-US"/>
        </w:rPr>
        <w:t>15</w:t>
      </w:r>
      <w:r w:rsidRPr="005C283B">
        <w:rPr>
          <w:rFonts w:ascii="Calibri" w:hAnsi="Calibri" w:cs="Calibri"/>
          <w:noProof/>
          <w:szCs w:val="24"/>
          <w:lang w:val="en-US"/>
        </w:rPr>
        <w:t>, 1–14 (2013).</w:t>
      </w:r>
    </w:p>
    <w:p w14:paraId="44ADF727" w14:textId="77777777" w:rsidR="00D36C1D" w:rsidRPr="005C283B" w:rsidRDefault="00D36C1D" w:rsidP="00D36C1D">
      <w:pPr>
        <w:widowControl w:val="0"/>
        <w:autoSpaceDE w:val="0"/>
        <w:autoSpaceDN w:val="0"/>
        <w:adjustRightInd w:val="0"/>
        <w:spacing w:line="240" w:lineRule="auto"/>
        <w:ind w:left="640" w:hanging="640"/>
        <w:rPr>
          <w:rFonts w:ascii="Calibri" w:hAnsi="Calibri" w:cs="Calibri"/>
          <w:noProof/>
          <w:szCs w:val="24"/>
          <w:lang w:val="en-US"/>
        </w:rPr>
      </w:pPr>
      <w:r w:rsidRPr="005C283B">
        <w:rPr>
          <w:rFonts w:ascii="Calibri" w:hAnsi="Calibri" w:cs="Calibri"/>
          <w:noProof/>
          <w:szCs w:val="24"/>
          <w:lang w:val="en-US"/>
        </w:rPr>
        <w:t xml:space="preserve">4. </w:t>
      </w:r>
      <w:r w:rsidRPr="005C283B">
        <w:rPr>
          <w:rFonts w:ascii="Calibri" w:hAnsi="Calibri" w:cs="Calibri"/>
          <w:noProof/>
          <w:szCs w:val="24"/>
          <w:lang w:val="en-US"/>
        </w:rPr>
        <w:tab/>
        <w:t xml:space="preserve">P. Tao, Y. Li, A. Rungta, A. Viswanath, J. Gao, B. C. Benicewicz, R. W. Siegel, L. S. Schadler, TiO2 nanocomposites with high refractive index and transparency. </w:t>
      </w:r>
      <w:r w:rsidRPr="005C283B">
        <w:rPr>
          <w:rFonts w:ascii="Calibri" w:hAnsi="Calibri" w:cs="Calibri"/>
          <w:i/>
          <w:iCs/>
          <w:noProof/>
          <w:szCs w:val="24"/>
          <w:lang w:val="en-US"/>
        </w:rPr>
        <w:t>J. Mater. Chem.</w:t>
      </w:r>
      <w:r w:rsidRPr="005C283B">
        <w:rPr>
          <w:rFonts w:ascii="Calibri" w:hAnsi="Calibri" w:cs="Calibri"/>
          <w:noProof/>
          <w:szCs w:val="24"/>
          <w:lang w:val="en-US"/>
        </w:rPr>
        <w:t xml:space="preserve"> </w:t>
      </w:r>
      <w:r w:rsidRPr="005C283B">
        <w:rPr>
          <w:rFonts w:ascii="Calibri" w:hAnsi="Calibri" w:cs="Calibri"/>
          <w:b/>
          <w:bCs/>
          <w:noProof/>
          <w:szCs w:val="24"/>
          <w:lang w:val="en-US"/>
        </w:rPr>
        <w:t>21</w:t>
      </w:r>
      <w:r w:rsidRPr="005C283B">
        <w:rPr>
          <w:rFonts w:ascii="Calibri" w:hAnsi="Calibri" w:cs="Calibri"/>
          <w:noProof/>
          <w:szCs w:val="24"/>
          <w:lang w:val="en-US"/>
        </w:rPr>
        <w:t>, 18623–18629 (2011).</w:t>
      </w:r>
    </w:p>
    <w:p w14:paraId="60EF6A15" w14:textId="77777777" w:rsidR="00D36C1D" w:rsidRPr="005C283B" w:rsidRDefault="00D36C1D" w:rsidP="00D36C1D">
      <w:pPr>
        <w:widowControl w:val="0"/>
        <w:autoSpaceDE w:val="0"/>
        <w:autoSpaceDN w:val="0"/>
        <w:adjustRightInd w:val="0"/>
        <w:spacing w:line="240" w:lineRule="auto"/>
        <w:ind w:left="640" w:hanging="640"/>
        <w:rPr>
          <w:rFonts w:ascii="Calibri" w:hAnsi="Calibri" w:cs="Calibri"/>
          <w:noProof/>
          <w:szCs w:val="24"/>
          <w:lang w:val="en-US"/>
        </w:rPr>
      </w:pPr>
      <w:r w:rsidRPr="005C283B">
        <w:rPr>
          <w:rFonts w:ascii="Calibri" w:hAnsi="Calibri" w:cs="Calibri"/>
          <w:noProof/>
          <w:szCs w:val="24"/>
          <w:lang w:val="en-US"/>
        </w:rPr>
        <w:t xml:space="preserve">5. </w:t>
      </w:r>
      <w:r w:rsidRPr="005C283B">
        <w:rPr>
          <w:rFonts w:ascii="Calibri" w:hAnsi="Calibri" w:cs="Calibri"/>
          <w:noProof/>
          <w:szCs w:val="24"/>
          <w:lang w:val="en-US"/>
        </w:rPr>
        <w:tab/>
        <w:t xml:space="preserve">W. Kong, T. Sun, B. Chen, X. Chen, F. Ai, X. Zhu, M. Li, W. Zhang, G. Zhu, F. Wang, A general strategy for ligand exchange on upconversion nanoparticles. </w:t>
      </w:r>
      <w:r w:rsidRPr="005C283B">
        <w:rPr>
          <w:rFonts w:ascii="Calibri" w:hAnsi="Calibri" w:cs="Calibri"/>
          <w:i/>
          <w:iCs/>
          <w:noProof/>
          <w:szCs w:val="24"/>
          <w:lang w:val="en-US"/>
        </w:rPr>
        <w:t>Inorg. Chem.</w:t>
      </w:r>
      <w:r w:rsidRPr="005C283B">
        <w:rPr>
          <w:rFonts w:ascii="Calibri" w:hAnsi="Calibri" w:cs="Calibri"/>
          <w:noProof/>
          <w:szCs w:val="24"/>
          <w:lang w:val="en-US"/>
        </w:rPr>
        <w:t xml:space="preserve"> </w:t>
      </w:r>
      <w:r w:rsidRPr="005C283B">
        <w:rPr>
          <w:rFonts w:ascii="Calibri" w:hAnsi="Calibri" w:cs="Calibri"/>
          <w:b/>
          <w:bCs/>
          <w:noProof/>
          <w:szCs w:val="24"/>
          <w:lang w:val="en-US"/>
        </w:rPr>
        <w:t>56</w:t>
      </w:r>
      <w:r w:rsidRPr="005C283B">
        <w:rPr>
          <w:rFonts w:ascii="Calibri" w:hAnsi="Calibri" w:cs="Calibri"/>
          <w:noProof/>
          <w:szCs w:val="24"/>
          <w:lang w:val="en-US"/>
        </w:rPr>
        <w:t>, 872–877 (2017).</w:t>
      </w:r>
    </w:p>
    <w:p w14:paraId="5BC59C71" w14:textId="77777777" w:rsidR="00D36C1D" w:rsidRPr="005C283B" w:rsidRDefault="00D36C1D" w:rsidP="00D36C1D">
      <w:pPr>
        <w:widowControl w:val="0"/>
        <w:autoSpaceDE w:val="0"/>
        <w:autoSpaceDN w:val="0"/>
        <w:adjustRightInd w:val="0"/>
        <w:spacing w:line="240" w:lineRule="auto"/>
        <w:ind w:left="640" w:hanging="640"/>
        <w:rPr>
          <w:rFonts w:ascii="Calibri" w:hAnsi="Calibri" w:cs="Calibri"/>
          <w:noProof/>
        </w:rPr>
      </w:pPr>
      <w:r w:rsidRPr="005C283B">
        <w:rPr>
          <w:rFonts w:ascii="Calibri" w:hAnsi="Calibri" w:cs="Calibri"/>
          <w:noProof/>
          <w:szCs w:val="24"/>
          <w:lang w:val="en-US"/>
        </w:rPr>
        <w:t xml:space="preserve">6. </w:t>
      </w:r>
      <w:r w:rsidRPr="005C283B">
        <w:rPr>
          <w:rFonts w:ascii="Calibri" w:hAnsi="Calibri" w:cs="Calibri"/>
          <w:noProof/>
          <w:szCs w:val="24"/>
          <w:lang w:val="en-US"/>
        </w:rPr>
        <w:tab/>
        <w:t xml:space="preserve">L. M. Miller, M. W. Bourassa, R. J. Smith, FTIR spectroscopic imaging of protein aggregation in living cells. </w:t>
      </w:r>
      <w:r w:rsidRPr="005C283B">
        <w:rPr>
          <w:rFonts w:ascii="Calibri" w:hAnsi="Calibri" w:cs="Calibri"/>
          <w:i/>
          <w:iCs/>
          <w:noProof/>
          <w:szCs w:val="24"/>
        </w:rPr>
        <w:t>Biochim. Biophys. Acta - Biomembr.</w:t>
      </w:r>
      <w:r w:rsidRPr="005C283B">
        <w:rPr>
          <w:rFonts w:ascii="Calibri" w:hAnsi="Calibri" w:cs="Calibri"/>
          <w:noProof/>
          <w:szCs w:val="24"/>
        </w:rPr>
        <w:t xml:space="preserve"> </w:t>
      </w:r>
      <w:r w:rsidRPr="005C283B">
        <w:rPr>
          <w:rFonts w:ascii="Calibri" w:hAnsi="Calibri" w:cs="Calibri"/>
          <w:b/>
          <w:bCs/>
          <w:noProof/>
          <w:szCs w:val="24"/>
        </w:rPr>
        <w:t>1828</w:t>
      </w:r>
      <w:r w:rsidRPr="005C283B">
        <w:rPr>
          <w:rFonts w:ascii="Calibri" w:hAnsi="Calibri" w:cs="Calibri"/>
          <w:noProof/>
          <w:szCs w:val="24"/>
        </w:rPr>
        <w:t xml:space="preserve"> (2013), pp. 2339–2346.</w:t>
      </w:r>
    </w:p>
    <w:p w14:paraId="13F87FF7" w14:textId="5D1E5A31" w:rsidR="00DE4404" w:rsidRPr="00DE4404" w:rsidRDefault="00DE4404" w:rsidP="00DE4404">
      <w:pPr>
        <w:pStyle w:val="ListParagraph"/>
        <w:ind w:left="360"/>
        <w:rPr>
          <w:b/>
          <w:lang w:val="en-US"/>
        </w:rPr>
      </w:pPr>
      <w:r w:rsidRPr="005C283B">
        <w:rPr>
          <w:b/>
          <w:lang w:val="en-US"/>
        </w:rPr>
        <w:fldChar w:fldCharType="end"/>
      </w:r>
    </w:p>
    <w:sectPr w:rsidR="00DE4404" w:rsidRPr="00DE4404" w:rsidSect="00CE78B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B20F2" w14:textId="77777777" w:rsidR="000814E4" w:rsidRDefault="000814E4" w:rsidP="00615A9F">
      <w:pPr>
        <w:spacing w:after="0" w:line="240" w:lineRule="auto"/>
      </w:pPr>
      <w:r>
        <w:separator/>
      </w:r>
    </w:p>
  </w:endnote>
  <w:endnote w:type="continuationSeparator" w:id="0">
    <w:p w14:paraId="567ECD70" w14:textId="77777777" w:rsidR="000814E4" w:rsidRDefault="000814E4" w:rsidP="0061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224FB" w14:textId="77777777" w:rsidR="000814E4" w:rsidRDefault="000814E4" w:rsidP="00615A9F">
      <w:pPr>
        <w:spacing w:after="0" w:line="240" w:lineRule="auto"/>
      </w:pPr>
      <w:r>
        <w:separator/>
      </w:r>
    </w:p>
  </w:footnote>
  <w:footnote w:type="continuationSeparator" w:id="0">
    <w:p w14:paraId="093F89A0" w14:textId="77777777" w:rsidR="000814E4" w:rsidRDefault="000814E4" w:rsidP="00615A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A7DB1"/>
    <w:multiLevelType w:val="multilevel"/>
    <w:tmpl w:val="FF1A1162"/>
    <w:lvl w:ilvl="0">
      <w:start w:val="1"/>
      <w:numFmt w:val="decimal"/>
      <w:lvlText w:val="%1."/>
      <w:lvlJc w:val="left"/>
      <w:pPr>
        <w:ind w:left="4754" w:hanging="360"/>
      </w:pPr>
      <w:rPr>
        <w:rFonts w:hint="default"/>
      </w:rPr>
    </w:lvl>
    <w:lvl w:ilvl="1">
      <w:start w:val="4"/>
      <w:numFmt w:val="decimal"/>
      <w:lvlText w:val="%1.%2."/>
      <w:lvlJc w:val="left"/>
      <w:pPr>
        <w:ind w:left="5186" w:hanging="432"/>
      </w:pPr>
      <w:rPr>
        <w:rFonts w:hint="default"/>
        <w:vertAlign w:val="baseline"/>
      </w:rPr>
    </w:lvl>
    <w:lvl w:ilvl="2">
      <w:start w:val="1"/>
      <w:numFmt w:val="decimal"/>
      <w:lvlText w:val="%1.%2.%3."/>
      <w:lvlJc w:val="left"/>
      <w:pPr>
        <w:ind w:left="5618" w:hanging="504"/>
      </w:pPr>
      <w:rPr>
        <w:rFonts w:hint="default"/>
      </w:rPr>
    </w:lvl>
    <w:lvl w:ilvl="3">
      <w:start w:val="1"/>
      <w:numFmt w:val="decimal"/>
      <w:lvlText w:val="%1.%2.%3.%4."/>
      <w:lvlJc w:val="left"/>
      <w:pPr>
        <w:ind w:left="6122" w:hanging="648"/>
      </w:pPr>
      <w:rPr>
        <w:rFonts w:hint="default"/>
      </w:rPr>
    </w:lvl>
    <w:lvl w:ilvl="4">
      <w:start w:val="1"/>
      <w:numFmt w:val="decimal"/>
      <w:lvlText w:val="%1.%2.%3.%4.%5."/>
      <w:lvlJc w:val="left"/>
      <w:pPr>
        <w:ind w:left="6626" w:hanging="792"/>
      </w:pPr>
      <w:rPr>
        <w:rFonts w:hint="default"/>
      </w:rPr>
    </w:lvl>
    <w:lvl w:ilvl="5">
      <w:start w:val="1"/>
      <w:numFmt w:val="decimal"/>
      <w:lvlText w:val="%1.%2.%3.%4.%5.%6."/>
      <w:lvlJc w:val="left"/>
      <w:pPr>
        <w:ind w:left="7130" w:hanging="936"/>
      </w:pPr>
      <w:rPr>
        <w:rFonts w:hint="default"/>
      </w:rPr>
    </w:lvl>
    <w:lvl w:ilvl="6">
      <w:start w:val="1"/>
      <w:numFmt w:val="decimal"/>
      <w:lvlText w:val="%1.%2.%3.%4.%5.%6.%7."/>
      <w:lvlJc w:val="left"/>
      <w:pPr>
        <w:ind w:left="7634" w:hanging="1080"/>
      </w:pPr>
      <w:rPr>
        <w:rFonts w:hint="default"/>
      </w:rPr>
    </w:lvl>
    <w:lvl w:ilvl="7">
      <w:start w:val="1"/>
      <w:numFmt w:val="decimal"/>
      <w:lvlText w:val="%1.%2.%3.%4.%5.%6.%7.%8."/>
      <w:lvlJc w:val="left"/>
      <w:pPr>
        <w:ind w:left="8138" w:hanging="1224"/>
      </w:pPr>
      <w:rPr>
        <w:rFonts w:hint="default"/>
      </w:rPr>
    </w:lvl>
    <w:lvl w:ilvl="8">
      <w:start w:val="1"/>
      <w:numFmt w:val="decimal"/>
      <w:lvlText w:val="%1.%2.%3.%4.%5.%6.%7.%8.%9."/>
      <w:lvlJc w:val="left"/>
      <w:pPr>
        <w:ind w:left="8714" w:hanging="1440"/>
      </w:pPr>
      <w:rPr>
        <w:rFonts w:hint="default"/>
      </w:rPr>
    </w:lvl>
  </w:abstractNum>
  <w:abstractNum w:abstractNumId="1" w15:restartNumberingAfterBreak="0">
    <w:nsid w:val="18AB003E"/>
    <w:multiLevelType w:val="multilevel"/>
    <w:tmpl w:val="48C4EA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2652767"/>
    <w:multiLevelType w:val="hybridMultilevel"/>
    <w:tmpl w:val="36BC23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2F41EC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0B4F2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A8001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37169F"/>
    <w:multiLevelType w:val="multilevel"/>
    <w:tmpl w:val="72EC24B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53E7A8D"/>
    <w:multiLevelType w:val="multilevel"/>
    <w:tmpl w:val="265C1A68"/>
    <w:lvl w:ilvl="0">
      <w:start w:val="1"/>
      <w:numFmt w:val="decimal"/>
      <w:lvlText w:val="%1."/>
      <w:lvlJc w:val="left"/>
      <w:pPr>
        <w:ind w:left="360" w:hanging="360"/>
      </w:pPr>
      <w:rPr>
        <w:rFonts w:hint="default"/>
      </w:rPr>
    </w:lvl>
    <w:lvl w:ilvl="1">
      <w:start w:val="3"/>
      <w:numFmt w:val="decimal"/>
      <w:lvlText w:val="%1.%2."/>
      <w:lvlJc w:val="left"/>
      <w:pPr>
        <w:ind w:left="858" w:hanging="432"/>
      </w:pPr>
      <w:rPr>
        <w:rFonts w:hint="default"/>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63F69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6CF25C3"/>
    <w:multiLevelType w:val="hybridMultilevel"/>
    <w:tmpl w:val="B14096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8"/>
  </w:num>
  <w:num w:numId="5">
    <w:abstractNumId w:val="4"/>
  </w:num>
  <w:num w:numId="6">
    <w:abstractNumId w:val="7"/>
  </w:num>
  <w:num w:numId="7">
    <w:abstractNumId w:val="0"/>
  </w:num>
  <w:num w:numId="8">
    <w:abstractNumId w:val="6"/>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Biomateriali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6E293F"/>
    <w:rsid w:val="000030D2"/>
    <w:rsid w:val="00004BA4"/>
    <w:rsid w:val="000060B9"/>
    <w:rsid w:val="00006492"/>
    <w:rsid w:val="00006AAC"/>
    <w:rsid w:val="000127DF"/>
    <w:rsid w:val="000146B3"/>
    <w:rsid w:val="00015537"/>
    <w:rsid w:val="000169E7"/>
    <w:rsid w:val="00016C07"/>
    <w:rsid w:val="00020985"/>
    <w:rsid w:val="0002568D"/>
    <w:rsid w:val="000259AC"/>
    <w:rsid w:val="00032D1E"/>
    <w:rsid w:val="00032E1C"/>
    <w:rsid w:val="00032E2B"/>
    <w:rsid w:val="00034B08"/>
    <w:rsid w:val="00034DA7"/>
    <w:rsid w:val="0003783F"/>
    <w:rsid w:val="0004077E"/>
    <w:rsid w:val="0004199F"/>
    <w:rsid w:val="0004435C"/>
    <w:rsid w:val="00046520"/>
    <w:rsid w:val="0004759B"/>
    <w:rsid w:val="00047C2A"/>
    <w:rsid w:val="000507BF"/>
    <w:rsid w:val="00052324"/>
    <w:rsid w:val="0005383B"/>
    <w:rsid w:val="00054DFC"/>
    <w:rsid w:val="000557D2"/>
    <w:rsid w:val="00057D00"/>
    <w:rsid w:val="0006206A"/>
    <w:rsid w:val="000621BA"/>
    <w:rsid w:val="00065346"/>
    <w:rsid w:val="00066031"/>
    <w:rsid w:val="000660FC"/>
    <w:rsid w:val="00066D92"/>
    <w:rsid w:val="00067F2D"/>
    <w:rsid w:val="00067FA7"/>
    <w:rsid w:val="00070220"/>
    <w:rsid w:val="000706D4"/>
    <w:rsid w:val="00071878"/>
    <w:rsid w:val="00072169"/>
    <w:rsid w:val="00072A4B"/>
    <w:rsid w:val="00074619"/>
    <w:rsid w:val="00074999"/>
    <w:rsid w:val="00080102"/>
    <w:rsid w:val="000814E4"/>
    <w:rsid w:val="000827D6"/>
    <w:rsid w:val="0008459A"/>
    <w:rsid w:val="00096108"/>
    <w:rsid w:val="000A2487"/>
    <w:rsid w:val="000A2630"/>
    <w:rsid w:val="000A3144"/>
    <w:rsid w:val="000A355A"/>
    <w:rsid w:val="000A5841"/>
    <w:rsid w:val="000A7919"/>
    <w:rsid w:val="000A7982"/>
    <w:rsid w:val="000B12D3"/>
    <w:rsid w:val="000B285B"/>
    <w:rsid w:val="000C110D"/>
    <w:rsid w:val="000C418E"/>
    <w:rsid w:val="000D1D83"/>
    <w:rsid w:val="000D5127"/>
    <w:rsid w:val="000E09AD"/>
    <w:rsid w:val="000E1D7E"/>
    <w:rsid w:val="000E4BB1"/>
    <w:rsid w:val="000E5B41"/>
    <w:rsid w:val="000E62A8"/>
    <w:rsid w:val="000E735A"/>
    <w:rsid w:val="000E73D4"/>
    <w:rsid w:val="000E7D19"/>
    <w:rsid w:val="000F050E"/>
    <w:rsid w:val="000F0A0C"/>
    <w:rsid w:val="000F2830"/>
    <w:rsid w:val="000F29DA"/>
    <w:rsid w:val="000F4FF7"/>
    <w:rsid w:val="000F7930"/>
    <w:rsid w:val="000F7D7F"/>
    <w:rsid w:val="000F7DCB"/>
    <w:rsid w:val="00103D60"/>
    <w:rsid w:val="001051A5"/>
    <w:rsid w:val="0011520E"/>
    <w:rsid w:val="00115C5F"/>
    <w:rsid w:val="00116C4C"/>
    <w:rsid w:val="0011784A"/>
    <w:rsid w:val="00121A24"/>
    <w:rsid w:val="001252B4"/>
    <w:rsid w:val="00125ADE"/>
    <w:rsid w:val="00126DB4"/>
    <w:rsid w:val="0012778B"/>
    <w:rsid w:val="00130A33"/>
    <w:rsid w:val="00131650"/>
    <w:rsid w:val="001318C6"/>
    <w:rsid w:val="00133267"/>
    <w:rsid w:val="001335B9"/>
    <w:rsid w:val="00133A19"/>
    <w:rsid w:val="00133C47"/>
    <w:rsid w:val="00134DE2"/>
    <w:rsid w:val="00134E24"/>
    <w:rsid w:val="0013697E"/>
    <w:rsid w:val="00137364"/>
    <w:rsid w:val="00142580"/>
    <w:rsid w:val="001432B7"/>
    <w:rsid w:val="00145378"/>
    <w:rsid w:val="001453B9"/>
    <w:rsid w:val="00150C8F"/>
    <w:rsid w:val="00153814"/>
    <w:rsid w:val="00155233"/>
    <w:rsid w:val="00162765"/>
    <w:rsid w:val="00173D23"/>
    <w:rsid w:val="001806B9"/>
    <w:rsid w:val="001810C9"/>
    <w:rsid w:val="00182984"/>
    <w:rsid w:val="00182A27"/>
    <w:rsid w:val="00184085"/>
    <w:rsid w:val="0018527A"/>
    <w:rsid w:val="001861C7"/>
    <w:rsid w:val="00186B71"/>
    <w:rsid w:val="001870D5"/>
    <w:rsid w:val="0019148B"/>
    <w:rsid w:val="00193BC8"/>
    <w:rsid w:val="00195BF3"/>
    <w:rsid w:val="00196AE6"/>
    <w:rsid w:val="00197823"/>
    <w:rsid w:val="001A20A4"/>
    <w:rsid w:val="001A2DE5"/>
    <w:rsid w:val="001B1F0A"/>
    <w:rsid w:val="001B3E5F"/>
    <w:rsid w:val="001C024C"/>
    <w:rsid w:val="001C0919"/>
    <w:rsid w:val="001C1BEB"/>
    <w:rsid w:val="001C1CE7"/>
    <w:rsid w:val="001C3865"/>
    <w:rsid w:val="001C39EB"/>
    <w:rsid w:val="001C5D14"/>
    <w:rsid w:val="001C6357"/>
    <w:rsid w:val="001D4258"/>
    <w:rsid w:val="001D42A3"/>
    <w:rsid w:val="001D5B0A"/>
    <w:rsid w:val="001D70A4"/>
    <w:rsid w:val="001D75FC"/>
    <w:rsid w:val="001E1AE9"/>
    <w:rsid w:val="001E24F8"/>
    <w:rsid w:val="001E4121"/>
    <w:rsid w:val="001F0794"/>
    <w:rsid w:val="001F1872"/>
    <w:rsid w:val="001F380E"/>
    <w:rsid w:val="001F78F3"/>
    <w:rsid w:val="00202706"/>
    <w:rsid w:val="00202B84"/>
    <w:rsid w:val="00202CF2"/>
    <w:rsid w:val="00207538"/>
    <w:rsid w:val="00220156"/>
    <w:rsid w:val="00221516"/>
    <w:rsid w:val="002219A3"/>
    <w:rsid w:val="00221B19"/>
    <w:rsid w:val="00223D86"/>
    <w:rsid w:val="002253E0"/>
    <w:rsid w:val="0022551D"/>
    <w:rsid w:val="00225CA5"/>
    <w:rsid w:val="002274C0"/>
    <w:rsid w:val="00233161"/>
    <w:rsid w:val="00233491"/>
    <w:rsid w:val="00236ACD"/>
    <w:rsid w:val="0023799B"/>
    <w:rsid w:val="00240A4C"/>
    <w:rsid w:val="00244665"/>
    <w:rsid w:val="002447CA"/>
    <w:rsid w:val="00245E68"/>
    <w:rsid w:val="00246266"/>
    <w:rsid w:val="00246F9B"/>
    <w:rsid w:val="0024730D"/>
    <w:rsid w:val="00247C63"/>
    <w:rsid w:val="002513B0"/>
    <w:rsid w:val="0025152D"/>
    <w:rsid w:val="00252FC9"/>
    <w:rsid w:val="0025562A"/>
    <w:rsid w:val="002569A3"/>
    <w:rsid w:val="0025758A"/>
    <w:rsid w:val="00257AE6"/>
    <w:rsid w:val="00260277"/>
    <w:rsid w:val="00262102"/>
    <w:rsid w:val="00263054"/>
    <w:rsid w:val="002644A5"/>
    <w:rsid w:val="00266E14"/>
    <w:rsid w:val="00267F55"/>
    <w:rsid w:val="00270760"/>
    <w:rsid w:val="00271F4F"/>
    <w:rsid w:val="00280220"/>
    <w:rsid w:val="00280AD1"/>
    <w:rsid w:val="00290290"/>
    <w:rsid w:val="002943B2"/>
    <w:rsid w:val="00296C59"/>
    <w:rsid w:val="0029752D"/>
    <w:rsid w:val="002A0507"/>
    <w:rsid w:val="002A38A0"/>
    <w:rsid w:val="002A6011"/>
    <w:rsid w:val="002A64C0"/>
    <w:rsid w:val="002A69C7"/>
    <w:rsid w:val="002B2C94"/>
    <w:rsid w:val="002B5BDE"/>
    <w:rsid w:val="002B5E49"/>
    <w:rsid w:val="002B76E5"/>
    <w:rsid w:val="002C1BEF"/>
    <w:rsid w:val="002C3BAF"/>
    <w:rsid w:val="002C45DE"/>
    <w:rsid w:val="002C6D61"/>
    <w:rsid w:val="002D3A52"/>
    <w:rsid w:val="002D7521"/>
    <w:rsid w:val="002E1D65"/>
    <w:rsid w:val="002E2169"/>
    <w:rsid w:val="002E3DD4"/>
    <w:rsid w:val="002E4A05"/>
    <w:rsid w:val="002E7674"/>
    <w:rsid w:val="002F0516"/>
    <w:rsid w:val="002F0847"/>
    <w:rsid w:val="002F1A05"/>
    <w:rsid w:val="002F293B"/>
    <w:rsid w:val="002F5BA5"/>
    <w:rsid w:val="003060FF"/>
    <w:rsid w:val="00307F63"/>
    <w:rsid w:val="00317B89"/>
    <w:rsid w:val="003204D0"/>
    <w:rsid w:val="00320CD9"/>
    <w:rsid w:val="003273D0"/>
    <w:rsid w:val="0033189A"/>
    <w:rsid w:val="003339E6"/>
    <w:rsid w:val="0033453C"/>
    <w:rsid w:val="0033484D"/>
    <w:rsid w:val="003375C6"/>
    <w:rsid w:val="00344567"/>
    <w:rsid w:val="00346D3D"/>
    <w:rsid w:val="003478A8"/>
    <w:rsid w:val="00352360"/>
    <w:rsid w:val="003531CA"/>
    <w:rsid w:val="00355237"/>
    <w:rsid w:val="00357D4C"/>
    <w:rsid w:val="00357F0B"/>
    <w:rsid w:val="00361A47"/>
    <w:rsid w:val="003620C3"/>
    <w:rsid w:val="00362653"/>
    <w:rsid w:val="00364A4E"/>
    <w:rsid w:val="003653D7"/>
    <w:rsid w:val="00370989"/>
    <w:rsid w:val="00371D5C"/>
    <w:rsid w:val="00380044"/>
    <w:rsid w:val="00380948"/>
    <w:rsid w:val="00382B87"/>
    <w:rsid w:val="00383AEA"/>
    <w:rsid w:val="0038696E"/>
    <w:rsid w:val="00394675"/>
    <w:rsid w:val="00394935"/>
    <w:rsid w:val="00395211"/>
    <w:rsid w:val="00395685"/>
    <w:rsid w:val="00395BFE"/>
    <w:rsid w:val="0039748C"/>
    <w:rsid w:val="003A0DDE"/>
    <w:rsid w:val="003A1CE9"/>
    <w:rsid w:val="003A312D"/>
    <w:rsid w:val="003A3E52"/>
    <w:rsid w:val="003A50A7"/>
    <w:rsid w:val="003A6863"/>
    <w:rsid w:val="003A7969"/>
    <w:rsid w:val="003A7ED6"/>
    <w:rsid w:val="003B159D"/>
    <w:rsid w:val="003B19B0"/>
    <w:rsid w:val="003C2981"/>
    <w:rsid w:val="003C2FC2"/>
    <w:rsid w:val="003C73A8"/>
    <w:rsid w:val="003D3DBF"/>
    <w:rsid w:val="003D4024"/>
    <w:rsid w:val="003D65A0"/>
    <w:rsid w:val="003D6ABE"/>
    <w:rsid w:val="003D6C16"/>
    <w:rsid w:val="003E1FB8"/>
    <w:rsid w:val="003E243B"/>
    <w:rsid w:val="003E2942"/>
    <w:rsid w:val="003E43A4"/>
    <w:rsid w:val="003E4402"/>
    <w:rsid w:val="003E51F5"/>
    <w:rsid w:val="003E650E"/>
    <w:rsid w:val="003E7F04"/>
    <w:rsid w:val="003F2162"/>
    <w:rsid w:val="003F2D99"/>
    <w:rsid w:val="003F343C"/>
    <w:rsid w:val="003F3CE3"/>
    <w:rsid w:val="003F3E96"/>
    <w:rsid w:val="003F6802"/>
    <w:rsid w:val="003F7258"/>
    <w:rsid w:val="0040580A"/>
    <w:rsid w:val="00405BE5"/>
    <w:rsid w:val="00411346"/>
    <w:rsid w:val="00414842"/>
    <w:rsid w:val="0041516F"/>
    <w:rsid w:val="0041520D"/>
    <w:rsid w:val="00416DC3"/>
    <w:rsid w:val="004208D4"/>
    <w:rsid w:val="00422939"/>
    <w:rsid w:val="00423C61"/>
    <w:rsid w:val="004259E0"/>
    <w:rsid w:val="00425E30"/>
    <w:rsid w:val="00426E6B"/>
    <w:rsid w:val="00427337"/>
    <w:rsid w:val="00431209"/>
    <w:rsid w:val="0043154E"/>
    <w:rsid w:val="004324AC"/>
    <w:rsid w:val="004346C7"/>
    <w:rsid w:val="004365FD"/>
    <w:rsid w:val="004422CD"/>
    <w:rsid w:val="00442D77"/>
    <w:rsid w:val="004437CB"/>
    <w:rsid w:val="00443840"/>
    <w:rsid w:val="0044406E"/>
    <w:rsid w:val="00446A14"/>
    <w:rsid w:val="00446F7E"/>
    <w:rsid w:val="00451760"/>
    <w:rsid w:val="004519AD"/>
    <w:rsid w:val="00451A96"/>
    <w:rsid w:val="004546EC"/>
    <w:rsid w:val="0045584C"/>
    <w:rsid w:val="00456922"/>
    <w:rsid w:val="00457659"/>
    <w:rsid w:val="00460E44"/>
    <w:rsid w:val="0046196A"/>
    <w:rsid w:val="00462678"/>
    <w:rsid w:val="0046390D"/>
    <w:rsid w:val="00466F14"/>
    <w:rsid w:val="004707EE"/>
    <w:rsid w:val="00471008"/>
    <w:rsid w:val="0047163D"/>
    <w:rsid w:val="004719A3"/>
    <w:rsid w:val="00471D2B"/>
    <w:rsid w:val="004742F6"/>
    <w:rsid w:val="004756B3"/>
    <w:rsid w:val="0047653B"/>
    <w:rsid w:val="00477C6D"/>
    <w:rsid w:val="0048258B"/>
    <w:rsid w:val="00486004"/>
    <w:rsid w:val="00491757"/>
    <w:rsid w:val="00494417"/>
    <w:rsid w:val="004A0F8D"/>
    <w:rsid w:val="004A1AD2"/>
    <w:rsid w:val="004A1E44"/>
    <w:rsid w:val="004A2586"/>
    <w:rsid w:val="004A2E10"/>
    <w:rsid w:val="004A3C04"/>
    <w:rsid w:val="004A5A14"/>
    <w:rsid w:val="004A65F7"/>
    <w:rsid w:val="004B25D4"/>
    <w:rsid w:val="004B3301"/>
    <w:rsid w:val="004B4982"/>
    <w:rsid w:val="004B7912"/>
    <w:rsid w:val="004B7DD5"/>
    <w:rsid w:val="004C2BAD"/>
    <w:rsid w:val="004C6177"/>
    <w:rsid w:val="004D014F"/>
    <w:rsid w:val="004D02B5"/>
    <w:rsid w:val="004D162B"/>
    <w:rsid w:val="004D3D8F"/>
    <w:rsid w:val="004D47CF"/>
    <w:rsid w:val="004D55E5"/>
    <w:rsid w:val="004D772C"/>
    <w:rsid w:val="004D7B4A"/>
    <w:rsid w:val="004E03A0"/>
    <w:rsid w:val="004E17E8"/>
    <w:rsid w:val="004E1839"/>
    <w:rsid w:val="004E53EC"/>
    <w:rsid w:val="004E571B"/>
    <w:rsid w:val="004E609C"/>
    <w:rsid w:val="004E6455"/>
    <w:rsid w:val="004F1E14"/>
    <w:rsid w:val="004F2399"/>
    <w:rsid w:val="004F5A46"/>
    <w:rsid w:val="004F653E"/>
    <w:rsid w:val="004F6ABD"/>
    <w:rsid w:val="0050333C"/>
    <w:rsid w:val="00505779"/>
    <w:rsid w:val="005069BB"/>
    <w:rsid w:val="00507D05"/>
    <w:rsid w:val="00507F73"/>
    <w:rsid w:val="005106D7"/>
    <w:rsid w:val="00510F92"/>
    <w:rsid w:val="00511843"/>
    <w:rsid w:val="00512636"/>
    <w:rsid w:val="0051713E"/>
    <w:rsid w:val="00521E97"/>
    <w:rsid w:val="00524C06"/>
    <w:rsid w:val="005253A4"/>
    <w:rsid w:val="00526775"/>
    <w:rsid w:val="0052719F"/>
    <w:rsid w:val="00527BEA"/>
    <w:rsid w:val="0053588D"/>
    <w:rsid w:val="00541ED2"/>
    <w:rsid w:val="005425B9"/>
    <w:rsid w:val="00542BF8"/>
    <w:rsid w:val="00545301"/>
    <w:rsid w:val="005456B5"/>
    <w:rsid w:val="00547FDC"/>
    <w:rsid w:val="00550A6E"/>
    <w:rsid w:val="00550D36"/>
    <w:rsid w:val="00552B45"/>
    <w:rsid w:val="00552ECF"/>
    <w:rsid w:val="0055335B"/>
    <w:rsid w:val="00553EB2"/>
    <w:rsid w:val="005553B2"/>
    <w:rsid w:val="005574C4"/>
    <w:rsid w:val="00560AB1"/>
    <w:rsid w:val="00561B97"/>
    <w:rsid w:val="00562B83"/>
    <w:rsid w:val="0056350D"/>
    <w:rsid w:val="00563A19"/>
    <w:rsid w:val="00564450"/>
    <w:rsid w:val="00564D95"/>
    <w:rsid w:val="00566F83"/>
    <w:rsid w:val="0057051F"/>
    <w:rsid w:val="00571E04"/>
    <w:rsid w:val="00574F7D"/>
    <w:rsid w:val="00577AA3"/>
    <w:rsid w:val="00580E77"/>
    <w:rsid w:val="0058112A"/>
    <w:rsid w:val="005826A8"/>
    <w:rsid w:val="0058309F"/>
    <w:rsid w:val="00584E71"/>
    <w:rsid w:val="005851D0"/>
    <w:rsid w:val="005900D9"/>
    <w:rsid w:val="0059066C"/>
    <w:rsid w:val="00593AAA"/>
    <w:rsid w:val="00596B1D"/>
    <w:rsid w:val="005A0A5F"/>
    <w:rsid w:val="005A465A"/>
    <w:rsid w:val="005A5040"/>
    <w:rsid w:val="005A78EF"/>
    <w:rsid w:val="005B1E3F"/>
    <w:rsid w:val="005B4B1C"/>
    <w:rsid w:val="005B5312"/>
    <w:rsid w:val="005B5324"/>
    <w:rsid w:val="005B57A4"/>
    <w:rsid w:val="005B65B2"/>
    <w:rsid w:val="005C097A"/>
    <w:rsid w:val="005C0EB8"/>
    <w:rsid w:val="005C22CF"/>
    <w:rsid w:val="005C283B"/>
    <w:rsid w:val="005C4C6E"/>
    <w:rsid w:val="005C6C0E"/>
    <w:rsid w:val="005C711A"/>
    <w:rsid w:val="005D003C"/>
    <w:rsid w:val="005D4259"/>
    <w:rsid w:val="005D6266"/>
    <w:rsid w:val="005D6D87"/>
    <w:rsid w:val="005D6EDC"/>
    <w:rsid w:val="005E1CD6"/>
    <w:rsid w:val="005E2933"/>
    <w:rsid w:val="005E3A71"/>
    <w:rsid w:val="005E5388"/>
    <w:rsid w:val="005E59A7"/>
    <w:rsid w:val="005E64E5"/>
    <w:rsid w:val="005F2DED"/>
    <w:rsid w:val="005F3AEC"/>
    <w:rsid w:val="006005AD"/>
    <w:rsid w:val="0060481E"/>
    <w:rsid w:val="00604CF0"/>
    <w:rsid w:val="00606B0E"/>
    <w:rsid w:val="0060703D"/>
    <w:rsid w:val="006076AE"/>
    <w:rsid w:val="00610AD4"/>
    <w:rsid w:val="00614DD9"/>
    <w:rsid w:val="00615A9F"/>
    <w:rsid w:val="006212F1"/>
    <w:rsid w:val="00621B28"/>
    <w:rsid w:val="0062227B"/>
    <w:rsid w:val="006236E1"/>
    <w:rsid w:val="006244E3"/>
    <w:rsid w:val="0062592B"/>
    <w:rsid w:val="00625DC0"/>
    <w:rsid w:val="00631959"/>
    <w:rsid w:val="006339D7"/>
    <w:rsid w:val="00640FCC"/>
    <w:rsid w:val="00643324"/>
    <w:rsid w:val="006437D6"/>
    <w:rsid w:val="00643FCA"/>
    <w:rsid w:val="006468FE"/>
    <w:rsid w:val="00646A0C"/>
    <w:rsid w:val="0065094D"/>
    <w:rsid w:val="00651C40"/>
    <w:rsid w:val="00652C99"/>
    <w:rsid w:val="006555DA"/>
    <w:rsid w:val="00660684"/>
    <w:rsid w:val="006620D2"/>
    <w:rsid w:val="006626B1"/>
    <w:rsid w:val="006637D7"/>
    <w:rsid w:val="00663B7B"/>
    <w:rsid w:val="00663B84"/>
    <w:rsid w:val="0066436D"/>
    <w:rsid w:val="00666505"/>
    <w:rsid w:val="0067151F"/>
    <w:rsid w:val="00671A42"/>
    <w:rsid w:val="00673F6D"/>
    <w:rsid w:val="0067472F"/>
    <w:rsid w:val="0067525A"/>
    <w:rsid w:val="0067540E"/>
    <w:rsid w:val="00675B37"/>
    <w:rsid w:val="00675CF3"/>
    <w:rsid w:val="00681107"/>
    <w:rsid w:val="00682C91"/>
    <w:rsid w:val="00684BE3"/>
    <w:rsid w:val="0068600B"/>
    <w:rsid w:val="00686B13"/>
    <w:rsid w:val="00686D35"/>
    <w:rsid w:val="00687BD8"/>
    <w:rsid w:val="00693762"/>
    <w:rsid w:val="00693B77"/>
    <w:rsid w:val="00693B95"/>
    <w:rsid w:val="00694951"/>
    <w:rsid w:val="00694B29"/>
    <w:rsid w:val="00697457"/>
    <w:rsid w:val="006A0326"/>
    <w:rsid w:val="006A3ACF"/>
    <w:rsid w:val="006A6579"/>
    <w:rsid w:val="006A7C5F"/>
    <w:rsid w:val="006B01F0"/>
    <w:rsid w:val="006B0EBB"/>
    <w:rsid w:val="006B2751"/>
    <w:rsid w:val="006B3B21"/>
    <w:rsid w:val="006B3F99"/>
    <w:rsid w:val="006B49BC"/>
    <w:rsid w:val="006B5423"/>
    <w:rsid w:val="006B576D"/>
    <w:rsid w:val="006B61EB"/>
    <w:rsid w:val="006B7579"/>
    <w:rsid w:val="006C582B"/>
    <w:rsid w:val="006C6E3D"/>
    <w:rsid w:val="006D1057"/>
    <w:rsid w:val="006D1F14"/>
    <w:rsid w:val="006D256F"/>
    <w:rsid w:val="006D4A0C"/>
    <w:rsid w:val="006E01BA"/>
    <w:rsid w:val="006E1A6F"/>
    <w:rsid w:val="006E1F09"/>
    <w:rsid w:val="006E293F"/>
    <w:rsid w:val="006E4D09"/>
    <w:rsid w:val="006E4D7A"/>
    <w:rsid w:val="006E660D"/>
    <w:rsid w:val="006F0C64"/>
    <w:rsid w:val="006F427B"/>
    <w:rsid w:val="006F5C2F"/>
    <w:rsid w:val="006F6C88"/>
    <w:rsid w:val="007012C9"/>
    <w:rsid w:val="007030CF"/>
    <w:rsid w:val="00703E90"/>
    <w:rsid w:val="007044C3"/>
    <w:rsid w:val="007060FA"/>
    <w:rsid w:val="00707546"/>
    <w:rsid w:val="00710ED4"/>
    <w:rsid w:val="007164BB"/>
    <w:rsid w:val="00716549"/>
    <w:rsid w:val="00716E4F"/>
    <w:rsid w:val="00717CAA"/>
    <w:rsid w:val="007201D5"/>
    <w:rsid w:val="00720258"/>
    <w:rsid w:val="007204B6"/>
    <w:rsid w:val="007228F3"/>
    <w:rsid w:val="00724587"/>
    <w:rsid w:val="00725789"/>
    <w:rsid w:val="00726CBD"/>
    <w:rsid w:val="00734C07"/>
    <w:rsid w:val="007446C2"/>
    <w:rsid w:val="00745051"/>
    <w:rsid w:val="007452DA"/>
    <w:rsid w:val="00746BD1"/>
    <w:rsid w:val="007508F1"/>
    <w:rsid w:val="00751952"/>
    <w:rsid w:val="00754642"/>
    <w:rsid w:val="00755A18"/>
    <w:rsid w:val="00756AAC"/>
    <w:rsid w:val="00760023"/>
    <w:rsid w:val="00760CA7"/>
    <w:rsid w:val="00761FAF"/>
    <w:rsid w:val="00762045"/>
    <w:rsid w:val="0076233A"/>
    <w:rsid w:val="0076237D"/>
    <w:rsid w:val="00763B0E"/>
    <w:rsid w:val="00765AEC"/>
    <w:rsid w:val="00765DBB"/>
    <w:rsid w:val="00766551"/>
    <w:rsid w:val="007670B4"/>
    <w:rsid w:val="00767DC3"/>
    <w:rsid w:val="007741D8"/>
    <w:rsid w:val="00774885"/>
    <w:rsid w:val="00775088"/>
    <w:rsid w:val="00777407"/>
    <w:rsid w:val="00780D6D"/>
    <w:rsid w:val="00782B68"/>
    <w:rsid w:val="00783D56"/>
    <w:rsid w:val="007859B4"/>
    <w:rsid w:val="00785D35"/>
    <w:rsid w:val="00785DEC"/>
    <w:rsid w:val="00787395"/>
    <w:rsid w:val="00792285"/>
    <w:rsid w:val="007926FC"/>
    <w:rsid w:val="00792C90"/>
    <w:rsid w:val="00794D76"/>
    <w:rsid w:val="007A4844"/>
    <w:rsid w:val="007A5A7D"/>
    <w:rsid w:val="007A747E"/>
    <w:rsid w:val="007B2CB2"/>
    <w:rsid w:val="007B53AD"/>
    <w:rsid w:val="007B5C4B"/>
    <w:rsid w:val="007B6348"/>
    <w:rsid w:val="007B7BEF"/>
    <w:rsid w:val="007C4875"/>
    <w:rsid w:val="007C60CE"/>
    <w:rsid w:val="007C74B9"/>
    <w:rsid w:val="007D0462"/>
    <w:rsid w:val="007D05A1"/>
    <w:rsid w:val="007D1A74"/>
    <w:rsid w:val="007D7E7F"/>
    <w:rsid w:val="007E3402"/>
    <w:rsid w:val="007E3B33"/>
    <w:rsid w:val="007E5B4D"/>
    <w:rsid w:val="007E5ED6"/>
    <w:rsid w:val="007E6809"/>
    <w:rsid w:val="007E68A4"/>
    <w:rsid w:val="007E7C60"/>
    <w:rsid w:val="007F0192"/>
    <w:rsid w:val="007F073E"/>
    <w:rsid w:val="007F13EA"/>
    <w:rsid w:val="007F3B62"/>
    <w:rsid w:val="007F6E16"/>
    <w:rsid w:val="007F7D68"/>
    <w:rsid w:val="00801FAA"/>
    <w:rsid w:val="00802BD6"/>
    <w:rsid w:val="00805391"/>
    <w:rsid w:val="0080545A"/>
    <w:rsid w:val="00806B35"/>
    <w:rsid w:val="00807B60"/>
    <w:rsid w:val="00810430"/>
    <w:rsid w:val="008116B6"/>
    <w:rsid w:val="00813C2B"/>
    <w:rsid w:val="0081409A"/>
    <w:rsid w:val="00823CD1"/>
    <w:rsid w:val="00825D1E"/>
    <w:rsid w:val="00826126"/>
    <w:rsid w:val="00827C41"/>
    <w:rsid w:val="0083066C"/>
    <w:rsid w:val="008321BC"/>
    <w:rsid w:val="00834A54"/>
    <w:rsid w:val="00840B63"/>
    <w:rsid w:val="00843240"/>
    <w:rsid w:val="00845216"/>
    <w:rsid w:val="00850BC9"/>
    <w:rsid w:val="00851708"/>
    <w:rsid w:val="00853592"/>
    <w:rsid w:val="00855D44"/>
    <w:rsid w:val="0085767D"/>
    <w:rsid w:val="00861F6B"/>
    <w:rsid w:val="00863191"/>
    <w:rsid w:val="008656F9"/>
    <w:rsid w:val="00865CB2"/>
    <w:rsid w:val="008704D0"/>
    <w:rsid w:val="00870E25"/>
    <w:rsid w:val="00874AA3"/>
    <w:rsid w:val="00876949"/>
    <w:rsid w:val="0088474D"/>
    <w:rsid w:val="008850F3"/>
    <w:rsid w:val="00886239"/>
    <w:rsid w:val="00886C69"/>
    <w:rsid w:val="008948AD"/>
    <w:rsid w:val="00894939"/>
    <w:rsid w:val="0089652B"/>
    <w:rsid w:val="008A0B48"/>
    <w:rsid w:val="008A115E"/>
    <w:rsid w:val="008A11A8"/>
    <w:rsid w:val="008A1725"/>
    <w:rsid w:val="008A2402"/>
    <w:rsid w:val="008A5393"/>
    <w:rsid w:val="008B13A2"/>
    <w:rsid w:val="008B49E2"/>
    <w:rsid w:val="008C19B7"/>
    <w:rsid w:val="008C1E63"/>
    <w:rsid w:val="008C264F"/>
    <w:rsid w:val="008C2ECC"/>
    <w:rsid w:val="008C3FF4"/>
    <w:rsid w:val="008C4218"/>
    <w:rsid w:val="008C4404"/>
    <w:rsid w:val="008C440E"/>
    <w:rsid w:val="008D2E3B"/>
    <w:rsid w:val="008E23ED"/>
    <w:rsid w:val="008E733D"/>
    <w:rsid w:val="008F2129"/>
    <w:rsid w:val="008F44DB"/>
    <w:rsid w:val="008F4E72"/>
    <w:rsid w:val="008F5888"/>
    <w:rsid w:val="008F64E8"/>
    <w:rsid w:val="00902C3F"/>
    <w:rsid w:val="00902EE1"/>
    <w:rsid w:val="00903083"/>
    <w:rsid w:val="009044D6"/>
    <w:rsid w:val="0090643D"/>
    <w:rsid w:val="0091491D"/>
    <w:rsid w:val="009168EB"/>
    <w:rsid w:val="00922307"/>
    <w:rsid w:val="00923F9A"/>
    <w:rsid w:val="0092459A"/>
    <w:rsid w:val="00924904"/>
    <w:rsid w:val="009271D6"/>
    <w:rsid w:val="00930688"/>
    <w:rsid w:val="00933315"/>
    <w:rsid w:val="00936713"/>
    <w:rsid w:val="00940CEC"/>
    <w:rsid w:val="00941531"/>
    <w:rsid w:val="00945396"/>
    <w:rsid w:val="00945B3B"/>
    <w:rsid w:val="009512AE"/>
    <w:rsid w:val="00954D6C"/>
    <w:rsid w:val="00955C7B"/>
    <w:rsid w:val="009568A9"/>
    <w:rsid w:val="00960D43"/>
    <w:rsid w:val="00960DEE"/>
    <w:rsid w:val="00962062"/>
    <w:rsid w:val="0096441B"/>
    <w:rsid w:val="009645D4"/>
    <w:rsid w:val="0097065B"/>
    <w:rsid w:val="009718F0"/>
    <w:rsid w:val="0097370E"/>
    <w:rsid w:val="00973F18"/>
    <w:rsid w:val="00976584"/>
    <w:rsid w:val="00976616"/>
    <w:rsid w:val="00977D21"/>
    <w:rsid w:val="00981655"/>
    <w:rsid w:val="00982F8D"/>
    <w:rsid w:val="00984584"/>
    <w:rsid w:val="00986060"/>
    <w:rsid w:val="009874C9"/>
    <w:rsid w:val="009877CB"/>
    <w:rsid w:val="00990A3A"/>
    <w:rsid w:val="00990CF3"/>
    <w:rsid w:val="00990F48"/>
    <w:rsid w:val="009926EA"/>
    <w:rsid w:val="00994702"/>
    <w:rsid w:val="009956ED"/>
    <w:rsid w:val="00995AD0"/>
    <w:rsid w:val="00996DAA"/>
    <w:rsid w:val="009A06A4"/>
    <w:rsid w:val="009A18AF"/>
    <w:rsid w:val="009A25C0"/>
    <w:rsid w:val="009A79E1"/>
    <w:rsid w:val="009B0F30"/>
    <w:rsid w:val="009B1745"/>
    <w:rsid w:val="009B20FA"/>
    <w:rsid w:val="009B7135"/>
    <w:rsid w:val="009C0C1A"/>
    <w:rsid w:val="009C2626"/>
    <w:rsid w:val="009C26FF"/>
    <w:rsid w:val="009C36BE"/>
    <w:rsid w:val="009C6F73"/>
    <w:rsid w:val="009D066D"/>
    <w:rsid w:val="009D3395"/>
    <w:rsid w:val="009D347D"/>
    <w:rsid w:val="009D5AFA"/>
    <w:rsid w:val="009D6A12"/>
    <w:rsid w:val="009D78E6"/>
    <w:rsid w:val="009F2FA1"/>
    <w:rsid w:val="009F3C42"/>
    <w:rsid w:val="009F4381"/>
    <w:rsid w:val="009F439E"/>
    <w:rsid w:val="009F6202"/>
    <w:rsid w:val="009F73FF"/>
    <w:rsid w:val="00A003AA"/>
    <w:rsid w:val="00A007D9"/>
    <w:rsid w:val="00A106F6"/>
    <w:rsid w:val="00A10C34"/>
    <w:rsid w:val="00A115BB"/>
    <w:rsid w:val="00A11C63"/>
    <w:rsid w:val="00A12192"/>
    <w:rsid w:val="00A12FC9"/>
    <w:rsid w:val="00A15840"/>
    <w:rsid w:val="00A229EF"/>
    <w:rsid w:val="00A22A87"/>
    <w:rsid w:val="00A23B91"/>
    <w:rsid w:val="00A27032"/>
    <w:rsid w:val="00A31A8E"/>
    <w:rsid w:val="00A322DC"/>
    <w:rsid w:val="00A35CE9"/>
    <w:rsid w:val="00A36A0D"/>
    <w:rsid w:val="00A41FC6"/>
    <w:rsid w:val="00A435B3"/>
    <w:rsid w:val="00A50490"/>
    <w:rsid w:val="00A50716"/>
    <w:rsid w:val="00A5123D"/>
    <w:rsid w:val="00A54CB6"/>
    <w:rsid w:val="00A5702A"/>
    <w:rsid w:val="00A57115"/>
    <w:rsid w:val="00A57DD1"/>
    <w:rsid w:val="00A60F68"/>
    <w:rsid w:val="00A6118F"/>
    <w:rsid w:val="00A61D71"/>
    <w:rsid w:val="00A630D5"/>
    <w:rsid w:val="00A662C2"/>
    <w:rsid w:val="00A670CE"/>
    <w:rsid w:val="00A70D94"/>
    <w:rsid w:val="00A71578"/>
    <w:rsid w:val="00A725A1"/>
    <w:rsid w:val="00A725D6"/>
    <w:rsid w:val="00A73259"/>
    <w:rsid w:val="00A7654E"/>
    <w:rsid w:val="00A776B7"/>
    <w:rsid w:val="00A82281"/>
    <w:rsid w:val="00A82A88"/>
    <w:rsid w:val="00A82ABC"/>
    <w:rsid w:val="00A91F72"/>
    <w:rsid w:val="00A955F9"/>
    <w:rsid w:val="00AA24B5"/>
    <w:rsid w:val="00AA2512"/>
    <w:rsid w:val="00AA4B47"/>
    <w:rsid w:val="00AB5754"/>
    <w:rsid w:val="00AC05DA"/>
    <w:rsid w:val="00AC1FC0"/>
    <w:rsid w:val="00AD15D4"/>
    <w:rsid w:val="00AD1DDA"/>
    <w:rsid w:val="00AD23E6"/>
    <w:rsid w:val="00AD4100"/>
    <w:rsid w:val="00AD7CB2"/>
    <w:rsid w:val="00AD7D69"/>
    <w:rsid w:val="00AE02AF"/>
    <w:rsid w:val="00AE05D7"/>
    <w:rsid w:val="00AE21A2"/>
    <w:rsid w:val="00AE4373"/>
    <w:rsid w:val="00AE4646"/>
    <w:rsid w:val="00AE4AB5"/>
    <w:rsid w:val="00AE4E67"/>
    <w:rsid w:val="00AE518F"/>
    <w:rsid w:val="00AE76A0"/>
    <w:rsid w:val="00AE7B30"/>
    <w:rsid w:val="00AE7DF7"/>
    <w:rsid w:val="00AF076B"/>
    <w:rsid w:val="00AF278F"/>
    <w:rsid w:val="00AF3739"/>
    <w:rsid w:val="00AF610C"/>
    <w:rsid w:val="00B004E5"/>
    <w:rsid w:val="00B03C20"/>
    <w:rsid w:val="00B07D70"/>
    <w:rsid w:val="00B1750F"/>
    <w:rsid w:val="00B17BE9"/>
    <w:rsid w:val="00B20504"/>
    <w:rsid w:val="00B24E42"/>
    <w:rsid w:val="00B27AEB"/>
    <w:rsid w:val="00B31F1E"/>
    <w:rsid w:val="00B32879"/>
    <w:rsid w:val="00B3539B"/>
    <w:rsid w:val="00B36E6B"/>
    <w:rsid w:val="00B37499"/>
    <w:rsid w:val="00B451F2"/>
    <w:rsid w:val="00B45CF5"/>
    <w:rsid w:val="00B474BF"/>
    <w:rsid w:val="00B5204D"/>
    <w:rsid w:val="00B54123"/>
    <w:rsid w:val="00B54608"/>
    <w:rsid w:val="00B55F28"/>
    <w:rsid w:val="00B610D1"/>
    <w:rsid w:val="00B64909"/>
    <w:rsid w:val="00B674FB"/>
    <w:rsid w:val="00B7046F"/>
    <w:rsid w:val="00B71A46"/>
    <w:rsid w:val="00B71A8D"/>
    <w:rsid w:val="00B7485F"/>
    <w:rsid w:val="00B7498B"/>
    <w:rsid w:val="00B756F9"/>
    <w:rsid w:val="00B769A3"/>
    <w:rsid w:val="00B77119"/>
    <w:rsid w:val="00B77FA9"/>
    <w:rsid w:val="00B81951"/>
    <w:rsid w:val="00B836FC"/>
    <w:rsid w:val="00B83C2D"/>
    <w:rsid w:val="00B83CE1"/>
    <w:rsid w:val="00B83EA6"/>
    <w:rsid w:val="00B9121E"/>
    <w:rsid w:val="00B91FB5"/>
    <w:rsid w:val="00B932E3"/>
    <w:rsid w:val="00B93EC2"/>
    <w:rsid w:val="00B9489E"/>
    <w:rsid w:val="00B973A3"/>
    <w:rsid w:val="00B97EDC"/>
    <w:rsid w:val="00BA111D"/>
    <w:rsid w:val="00BA1CD2"/>
    <w:rsid w:val="00BA38C3"/>
    <w:rsid w:val="00BA3D21"/>
    <w:rsid w:val="00BA3DC3"/>
    <w:rsid w:val="00BA4A52"/>
    <w:rsid w:val="00BA4FA6"/>
    <w:rsid w:val="00BA5865"/>
    <w:rsid w:val="00BB26A2"/>
    <w:rsid w:val="00BB2DFD"/>
    <w:rsid w:val="00BB3A3A"/>
    <w:rsid w:val="00BB79B3"/>
    <w:rsid w:val="00BB79BD"/>
    <w:rsid w:val="00BC07D6"/>
    <w:rsid w:val="00BC10BA"/>
    <w:rsid w:val="00BC207F"/>
    <w:rsid w:val="00BC5877"/>
    <w:rsid w:val="00BC5F69"/>
    <w:rsid w:val="00BC61D1"/>
    <w:rsid w:val="00BC77D7"/>
    <w:rsid w:val="00BD4A5D"/>
    <w:rsid w:val="00BD4EB0"/>
    <w:rsid w:val="00BD583D"/>
    <w:rsid w:val="00BD5C38"/>
    <w:rsid w:val="00BD613C"/>
    <w:rsid w:val="00BD7343"/>
    <w:rsid w:val="00BD76AE"/>
    <w:rsid w:val="00BE1933"/>
    <w:rsid w:val="00BE44AA"/>
    <w:rsid w:val="00BE6E3A"/>
    <w:rsid w:val="00BF1878"/>
    <w:rsid w:val="00BF3069"/>
    <w:rsid w:val="00BF5774"/>
    <w:rsid w:val="00BF6075"/>
    <w:rsid w:val="00BF6D07"/>
    <w:rsid w:val="00C0065A"/>
    <w:rsid w:val="00C02239"/>
    <w:rsid w:val="00C0536E"/>
    <w:rsid w:val="00C06639"/>
    <w:rsid w:val="00C06882"/>
    <w:rsid w:val="00C06D9E"/>
    <w:rsid w:val="00C07CC5"/>
    <w:rsid w:val="00C11EEE"/>
    <w:rsid w:val="00C1381B"/>
    <w:rsid w:val="00C23636"/>
    <w:rsid w:val="00C238D8"/>
    <w:rsid w:val="00C24A9F"/>
    <w:rsid w:val="00C277B2"/>
    <w:rsid w:val="00C27FA5"/>
    <w:rsid w:val="00C32630"/>
    <w:rsid w:val="00C32927"/>
    <w:rsid w:val="00C349F6"/>
    <w:rsid w:val="00C34BBE"/>
    <w:rsid w:val="00C362CD"/>
    <w:rsid w:val="00C401BF"/>
    <w:rsid w:val="00C406CF"/>
    <w:rsid w:val="00C40C29"/>
    <w:rsid w:val="00C419AE"/>
    <w:rsid w:val="00C43D89"/>
    <w:rsid w:val="00C50461"/>
    <w:rsid w:val="00C522E0"/>
    <w:rsid w:val="00C544B6"/>
    <w:rsid w:val="00C5465E"/>
    <w:rsid w:val="00C55F3F"/>
    <w:rsid w:val="00C56148"/>
    <w:rsid w:val="00C61DF6"/>
    <w:rsid w:val="00C63F17"/>
    <w:rsid w:val="00C71580"/>
    <w:rsid w:val="00C721E9"/>
    <w:rsid w:val="00C74106"/>
    <w:rsid w:val="00C75370"/>
    <w:rsid w:val="00C756A0"/>
    <w:rsid w:val="00C75D0F"/>
    <w:rsid w:val="00C760CC"/>
    <w:rsid w:val="00C774C9"/>
    <w:rsid w:val="00C77A24"/>
    <w:rsid w:val="00C8144C"/>
    <w:rsid w:val="00C82369"/>
    <w:rsid w:val="00C82ACC"/>
    <w:rsid w:val="00C84DE5"/>
    <w:rsid w:val="00C87B7E"/>
    <w:rsid w:val="00CA2581"/>
    <w:rsid w:val="00CA311C"/>
    <w:rsid w:val="00CA374F"/>
    <w:rsid w:val="00CA5DE9"/>
    <w:rsid w:val="00CA7BA2"/>
    <w:rsid w:val="00CA7C26"/>
    <w:rsid w:val="00CB03A7"/>
    <w:rsid w:val="00CB3F8E"/>
    <w:rsid w:val="00CB4304"/>
    <w:rsid w:val="00CB5FC0"/>
    <w:rsid w:val="00CB689E"/>
    <w:rsid w:val="00CB7AF7"/>
    <w:rsid w:val="00CC0481"/>
    <w:rsid w:val="00CC0D9B"/>
    <w:rsid w:val="00CC1A6C"/>
    <w:rsid w:val="00CC4738"/>
    <w:rsid w:val="00CC7E11"/>
    <w:rsid w:val="00CE0755"/>
    <w:rsid w:val="00CE2A98"/>
    <w:rsid w:val="00CE43BD"/>
    <w:rsid w:val="00CE78BF"/>
    <w:rsid w:val="00CE7D15"/>
    <w:rsid w:val="00CF0476"/>
    <w:rsid w:val="00D03DE1"/>
    <w:rsid w:val="00D10288"/>
    <w:rsid w:val="00D11F23"/>
    <w:rsid w:val="00D15F4A"/>
    <w:rsid w:val="00D16026"/>
    <w:rsid w:val="00D1795D"/>
    <w:rsid w:val="00D179E8"/>
    <w:rsid w:val="00D220B2"/>
    <w:rsid w:val="00D23015"/>
    <w:rsid w:val="00D231AD"/>
    <w:rsid w:val="00D23AEA"/>
    <w:rsid w:val="00D26CCC"/>
    <w:rsid w:val="00D27189"/>
    <w:rsid w:val="00D35242"/>
    <w:rsid w:val="00D3598C"/>
    <w:rsid w:val="00D35F99"/>
    <w:rsid w:val="00D363B6"/>
    <w:rsid w:val="00D36C1D"/>
    <w:rsid w:val="00D4131F"/>
    <w:rsid w:val="00D41B1D"/>
    <w:rsid w:val="00D439A7"/>
    <w:rsid w:val="00D43CF2"/>
    <w:rsid w:val="00D5368D"/>
    <w:rsid w:val="00D55A6A"/>
    <w:rsid w:val="00D57625"/>
    <w:rsid w:val="00D62154"/>
    <w:rsid w:val="00D62380"/>
    <w:rsid w:val="00D63312"/>
    <w:rsid w:val="00D65578"/>
    <w:rsid w:val="00D67D73"/>
    <w:rsid w:val="00D71241"/>
    <w:rsid w:val="00D71935"/>
    <w:rsid w:val="00D74F54"/>
    <w:rsid w:val="00D76315"/>
    <w:rsid w:val="00D77967"/>
    <w:rsid w:val="00D80034"/>
    <w:rsid w:val="00D823D7"/>
    <w:rsid w:val="00D83D0A"/>
    <w:rsid w:val="00D841BB"/>
    <w:rsid w:val="00D872E8"/>
    <w:rsid w:val="00D876C6"/>
    <w:rsid w:val="00D915B1"/>
    <w:rsid w:val="00D94D84"/>
    <w:rsid w:val="00D95B00"/>
    <w:rsid w:val="00DA2751"/>
    <w:rsid w:val="00DA396D"/>
    <w:rsid w:val="00DA397D"/>
    <w:rsid w:val="00DA6617"/>
    <w:rsid w:val="00DA7689"/>
    <w:rsid w:val="00DB18CB"/>
    <w:rsid w:val="00DB1C70"/>
    <w:rsid w:val="00DB6504"/>
    <w:rsid w:val="00DB6E7C"/>
    <w:rsid w:val="00DB7601"/>
    <w:rsid w:val="00DB7739"/>
    <w:rsid w:val="00DC0D54"/>
    <w:rsid w:val="00DC12BD"/>
    <w:rsid w:val="00DC24DA"/>
    <w:rsid w:val="00DC3402"/>
    <w:rsid w:val="00DD0798"/>
    <w:rsid w:val="00DD1B4D"/>
    <w:rsid w:val="00DD3DED"/>
    <w:rsid w:val="00DD68E4"/>
    <w:rsid w:val="00DE05EA"/>
    <w:rsid w:val="00DE0ED0"/>
    <w:rsid w:val="00DE1476"/>
    <w:rsid w:val="00DE2217"/>
    <w:rsid w:val="00DE4404"/>
    <w:rsid w:val="00DE4DFD"/>
    <w:rsid w:val="00DE76CD"/>
    <w:rsid w:val="00DF45E3"/>
    <w:rsid w:val="00E00689"/>
    <w:rsid w:val="00E0383F"/>
    <w:rsid w:val="00E038E2"/>
    <w:rsid w:val="00E0432D"/>
    <w:rsid w:val="00E04F28"/>
    <w:rsid w:val="00E13868"/>
    <w:rsid w:val="00E2045B"/>
    <w:rsid w:val="00E21D5B"/>
    <w:rsid w:val="00E22642"/>
    <w:rsid w:val="00E23EF7"/>
    <w:rsid w:val="00E24F0B"/>
    <w:rsid w:val="00E25853"/>
    <w:rsid w:val="00E26BAC"/>
    <w:rsid w:val="00E27D8B"/>
    <w:rsid w:val="00E40186"/>
    <w:rsid w:val="00E406B5"/>
    <w:rsid w:val="00E42070"/>
    <w:rsid w:val="00E437C8"/>
    <w:rsid w:val="00E45ED2"/>
    <w:rsid w:val="00E5351D"/>
    <w:rsid w:val="00E543FE"/>
    <w:rsid w:val="00E55489"/>
    <w:rsid w:val="00E5675C"/>
    <w:rsid w:val="00E56FDA"/>
    <w:rsid w:val="00E574F5"/>
    <w:rsid w:val="00E602A3"/>
    <w:rsid w:val="00E618BC"/>
    <w:rsid w:val="00E61929"/>
    <w:rsid w:val="00E622FC"/>
    <w:rsid w:val="00E625D1"/>
    <w:rsid w:val="00E64752"/>
    <w:rsid w:val="00E6549E"/>
    <w:rsid w:val="00E65AB9"/>
    <w:rsid w:val="00E71A4A"/>
    <w:rsid w:val="00E7419D"/>
    <w:rsid w:val="00E754B4"/>
    <w:rsid w:val="00E86C64"/>
    <w:rsid w:val="00E9064F"/>
    <w:rsid w:val="00E91A4A"/>
    <w:rsid w:val="00EA72F0"/>
    <w:rsid w:val="00EB00EA"/>
    <w:rsid w:val="00EB26C3"/>
    <w:rsid w:val="00EB6DF0"/>
    <w:rsid w:val="00EB7D1E"/>
    <w:rsid w:val="00EC1652"/>
    <w:rsid w:val="00EC16D8"/>
    <w:rsid w:val="00EC1824"/>
    <w:rsid w:val="00EC5538"/>
    <w:rsid w:val="00EC5BFC"/>
    <w:rsid w:val="00EC6721"/>
    <w:rsid w:val="00EC6CFC"/>
    <w:rsid w:val="00EC7E7B"/>
    <w:rsid w:val="00ED12CA"/>
    <w:rsid w:val="00ED39C5"/>
    <w:rsid w:val="00ED4BA7"/>
    <w:rsid w:val="00ED5847"/>
    <w:rsid w:val="00ED7974"/>
    <w:rsid w:val="00EE0D54"/>
    <w:rsid w:val="00EE4CA4"/>
    <w:rsid w:val="00EE5F67"/>
    <w:rsid w:val="00EE7255"/>
    <w:rsid w:val="00EF0027"/>
    <w:rsid w:val="00EF08F8"/>
    <w:rsid w:val="00EF0E2C"/>
    <w:rsid w:val="00EF437A"/>
    <w:rsid w:val="00EF6FAD"/>
    <w:rsid w:val="00EF753A"/>
    <w:rsid w:val="00EF7E13"/>
    <w:rsid w:val="00F0243A"/>
    <w:rsid w:val="00F02A2A"/>
    <w:rsid w:val="00F031A3"/>
    <w:rsid w:val="00F0406D"/>
    <w:rsid w:val="00F0535F"/>
    <w:rsid w:val="00F116C8"/>
    <w:rsid w:val="00F12FAE"/>
    <w:rsid w:val="00F14373"/>
    <w:rsid w:val="00F15A9D"/>
    <w:rsid w:val="00F15D8E"/>
    <w:rsid w:val="00F17691"/>
    <w:rsid w:val="00F21DFC"/>
    <w:rsid w:val="00F2237C"/>
    <w:rsid w:val="00F264A0"/>
    <w:rsid w:val="00F356A3"/>
    <w:rsid w:val="00F36A73"/>
    <w:rsid w:val="00F4104E"/>
    <w:rsid w:val="00F42F53"/>
    <w:rsid w:val="00F50260"/>
    <w:rsid w:val="00F521C9"/>
    <w:rsid w:val="00F53597"/>
    <w:rsid w:val="00F539CD"/>
    <w:rsid w:val="00F54267"/>
    <w:rsid w:val="00F55375"/>
    <w:rsid w:val="00F55FB7"/>
    <w:rsid w:val="00F57E79"/>
    <w:rsid w:val="00F60B97"/>
    <w:rsid w:val="00F6291F"/>
    <w:rsid w:val="00F67F61"/>
    <w:rsid w:val="00F71436"/>
    <w:rsid w:val="00F717EA"/>
    <w:rsid w:val="00F737CF"/>
    <w:rsid w:val="00F7519E"/>
    <w:rsid w:val="00F753EC"/>
    <w:rsid w:val="00F75690"/>
    <w:rsid w:val="00F76DF5"/>
    <w:rsid w:val="00F80A62"/>
    <w:rsid w:val="00F80DF4"/>
    <w:rsid w:val="00F8135A"/>
    <w:rsid w:val="00F82581"/>
    <w:rsid w:val="00F84A73"/>
    <w:rsid w:val="00F85317"/>
    <w:rsid w:val="00F85645"/>
    <w:rsid w:val="00F85932"/>
    <w:rsid w:val="00F92EF3"/>
    <w:rsid w:val="00F948C6"/>
    <w:rsid w:val="00F95478"/>
    <w:rsid w:val="00F960DF"/>
    <w:rsid w:val="00F9633F"/>
    <w:rsid w:val="00FA1276"/>
    <w:rsid w:val="00FA3603"/>
    <w:rsid w:val="00FA41AE"/>
    <w:rsid w:val="00FA556B"/>
    <w:rsid w:val="00FB6B13"/>
    <w:rsid w:val="00FC0067"/>
    <w:rsid w:val="00FC0D0C"/>
    <w:rsid w:val="00FC12C7"/>
    <w:rsid w:val="00FC41A8"/>
    <w:rsid w:val="00FC4497"/>
    <w:rsid w:val="00FC45F8"/>
    <w:rsid w:val="00FC56E8"/>
    <w:rsid w:val="00FC57AB"/>
    <w:rsid w:val="00FC6081"/>
    <w:rsid w:val="00FD01D5"/>
    <w:rsid w:val="00FD207A"/>
    <w:rsid w:val="00FD2377"/>
    <w:rsid w:val="00FD3897"/>
    <w:rsid w:val="00FD4DB1"/>
    <w:rsid w:val="00FD5AA8"/>
    <w:rsid w:val="00FD61A1"/>
    <w:rsid w:val="00FD719D"/>
    <w:rsid w:val="00FE0289"/>
    <w:rsid w:val="00FE1778"/>
    <w:rsid w:val="00FE7F63"/>
    <w:rsid w:val="00FF0B00"/>
    <w:rsid w:val="00FF1035"/>
    <w:rsid w:val="00FF3592"/>
    <w:rsid w:val="00FF4742"/>
    <w:rsid w:val="00FF5EFB"/>
    <w:rsid w:val="00FF67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59915E"/>
  <w15:docId w15:val="{64FC25F1-4724-4E60-B1B6-88F61551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C0C1A"/>
    <w:pPr>
      <w:spacing w:after="200" w:line="240" w:lineRule="auto"/>
    </w:pPr>
    <w:rPr>
      <w:b/>
      <w:bCs/>
      <w:color w:val="5B9BD5" w:themeColor="accent1"/>
      <w:sz w:val="18"/>
      <w:szCs w:val="18"/>
    </w:rPr>
  </w:style>
  <w:style w:type="paragraph" w:styleId="ListParagraph">
    <w:name w:val="List Paragraph"/>
    <w:basedOn w:val="Normal"/>
    <w:uiPriority w:val="34"/>
    <w:qFormat/>
    <w:rsid w:val="00462678"/>
    <w:pPr>
      <w:ind w:left="720"/>
      <w:contextualSpacing/>
    </w:pPr>
  </w:style>
  <w:style w:type="table" w:styleId="TableGrid">
    <w:name w:val="Table Grid"/>
    <w:basedOn w:val="TableNormal"/>
    <w:uiPriority w:val="39"/>
    <w:rsid w:val="00EC1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3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35B"/>
    <w:rPr>
      <w:rFonts w:ascii="Tahoma" w:hAnsi="Tahoma" w:cs="Tahoma"/>
      <w:sz w:val="16"/>
      <w:szCs w:val="16"/>
    </w:rPr>
  </w:style>
  <w:style w:type="character" w:styleId="CommentReference">
    <w:name w:val="annotation reference"/>
    <w:basedOn w:val="DefaultParagraphFont"/>
    <w:uiPriority w:val="99"/>
    <w:semiHidden/>
    <w:unhideWhenUsed/>
    <w:rsid w:val="00355237"/>
    <w:rPr>
      <w:sz w:val="16"/>
      <w:szCs w:val="16"/>
    </w:rPr>
  </w:style>
  <w:style w:type="paragraph" w:styleId="CommentText">
    <w:name w:val="annotation text"/>
    <w:basedOn w:val="Normal"/>
    <w:link w:val="CommentTextChar"/>
    <w:uiPriority w:val="99"/>
    <w:semiHidden/>
    <w:unhideWhenUsed/>
    <w:rsid w:val="00355237"/>
    <w:pPr>
      <w:spacing w:line="240" w:lineRule="auto"/>
    </w:pPr>
    <w:rPr>
      <w:sz w:val="20"/>
      <w:szCs w:val="20"/>
    </w:rPr>
  </w:style>
  <w:style w:type="character" w:customStyle="1" w:styleId="CommentTextChar">
    <w:name w:val="Comment Text Char"/>
    <w:basedOn w:val="DefaultParagraphFont"/>
    <w:link w:val="CommentText"/>
    <w:uiPriority w:val="99"/>
    <w:semiHidden/>
    <w:rsid w:val="00355237"/>
    <w:rPr>
      <w:sz w:val="20"/>
      <w:szCs w:val="20"/>
    </w:rPr>
  </w:style>
  <w:style w:type="paragraph" w:styleId="CommentSubject">
    <w:name w:val="annotation subject"/>
    <w:basedOn w:val="CommentText"/>
    <w:next w:val="CommentText"/>
    <w:link w:val="CommentSubjectChar"/>
    <w:uiPriority w:val="99"/>
    <w:semiHidden/>
    <w:unhideWhenUsed/>
    <w:rsid w:val="00355237"/>
    <w:rPr>
      <w:b/>
      <w:bCs/>
    </w:rPr>
  </w:style>
  <w:style w:type="character" w:customStyle="1" w:styleId="CommentSubjectChar">
    <w:name w:val="Comment Subject Char"/>
    <w:basedOn w:val="CommentTextChar"/>
    <w:link w:val="CommentSubject"/>
    <w:uiPriority w:val="99"/>
    <w:semiHidden/>
    <w:rsid w:val="00355237"/>
    <w:rPr>
      <w:b/>
      <w:bCs/>
      <w:sz w:val="20"/>
      <w:szCs w:val="20"/>
    </w:rPr>
  </w:style>
  <w:style w:type="paragraph" w:styleId="NormalWeb">
    <w:name w:val="Normal (Web)"/>
    <w:basedOn w:val="Normal"/>
    <w:uiPriority w:val="99"/>
    <w:semiHidden/>
    <w:unhideWhenUsed/>
    <w:rsid w:val="003A6863"/>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Hyperlink">
    <w:name w:val="Hyperlink"/>
    <w:basedOn w:val="DefaultParagraphFont"/>
    <w:uiPriority w:val="99"/>
    <w:unhideWhenUsed/>
    <w:rsid w:val="00A776B7"/>
    <w:rPr>
      <w:color w:val="0563C1" w:themeColor="hyperlink"/>
      <w:u w:val="single"/>
    </w:rPr>
  </w:style>
  <w:style w:type="character" w:styleId="SubtleEmphasis">
    <w:name w:val="Subtle Emphasis"/>
    <w:basedOn w:val="DefaultParagraphFont"/>
    <w:uiPriority w:val="19"/>
    <w:qFormat/>
    <w:rsid w:val="00B77119"/>
    <w:rPr>
      <w:i/>
      <w:iCs/>
      <w:color w:val="808080" w:themeColor="text1" w:themeTint="7F"/>
    </w:rPr>
  </w:style>
  <w:style w:type="paragraph" w:styleId="Revision">
    <w:name w:val="Revision"/>
    <w:hidden/>
    <w:uiPriority w:val="99"/>
    <w:semiHidden/>
    <w:rsid w:val="00C1381B"/>
    <w:pPr>
      <w:spacing w:after="0" w:line="240" w:lineRule="auto"/>
    </w:pPr>
  </w:style>
  <w:style w:type="character" w:styleId="BookTitle">
    <w:name w:val="Book Title"/>
    <w:basedOn w:val="DefaultParagraphFont"/>
    <w:uiPriority w:val="33"/>
    <w:qFormat/>
    <w:rsid w:val="0039748C"/>
    <w:rPr>
      <w:b/>
      <w:bCs/>
      <w:smallCaps/>
      <w:spacing w:val="5"/>
    </w:rPr>
  </w:style>
  <w:style w:type="character" w:customStyle="1" w:styleId="UnresolvedMention">
    <w:name w:val="Unresolved Mention"/>
    <w:basedOn w:val="DefaultParagraphFont"/>
    <w:uiPriority w:val="99"/>
    <w:semiHidden/>
    <w:unhideWhenUsed/>
    <w:rsid w:val="00C277B2"/>
    <w:rPr>
      <w:color w:val="605E5C"/>
      <w:shd w:val="clear" w:color="auto" w:fill="E1DFDD"/>
    </w:rPr>
  </w:style>
  <w:style w:type="paragraph" w:styleId="Header">
    <w:name w:val="header"/>
    <w:basedOn w:val="Normal"/>
    <w:link w:val="HeaderChar"/>
    <w:uiPriority w:val="99"/>
    <w:unhideWhenUsed/>
    <w:rsid w:val="00615A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5A9F"/>
  </w:style>
  <w:style w:type="paragraph" w:styleId="Footer">
    <w:name w:val="footer"/>
    <w:basedOn w:val="Normal"/>
    <w:link w:val="FooterChar"/>
    <w:uiPriority w:val="99"/>
    <w:unhideWhenUsed/>
    <w:rsid w:val="00615A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5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322470">
      <w:bodyDiv w:val="1"/>
      <w:marLeft w:val="0"/>
      <w:marRight w:val="0"/>
      <w:marTop w:val="0"/>
      <w:marBottom w:val="0"/>
      <w:divBdr>
        <w:top w:val="none" w:sz="0" w:space="0" w:color="auto"/>
        <w:left w:val="none" w:sz="0" w:space="0" w:color="auto"/>
        <w:bottom w:val="none" w:sz="0" w:space="0" w:color="auto"/>
        <w:right w:val="none" w:sz="0" w:space="0" w:color="auto"/>
      </w:divBdr>
    </w:div>
    <w:div w:id="1566912024">
      <w:bodyDiv w:val="1"/>
      <w:marLeft w:val="0"/>
      <w:marRight w:val="0"/>
      <w:marTop w:val="0"/>
      <w:marBottom w:val="0"/>
      <w:divBdr>
        <w:top w:val="none" w:sz="0" w:space="0" w:color="auto"/>
        <w:left w:val="none" w:sz="0" w:space="0" w:color="auto"/>
        <w:bottom w:val="none" w:sz="0" w:space="0" w:color="auto"/>
        <w:right w:val="none" w:sz="0" w:space="0" w:color="auto"/>
      </w:divBdr>
      <w:divsChild>
        <w:div w:id="175926682">
          <w:marLeft w:val="0"/>
          <w:marRight w:val="0"/>
          <w:marTop w:val="0"/>
          <w:marBottom w:val="0"/>
          <w:divBdr>
            <w:top w:val="none" w:sz="0" w:space="0" w:color="auto"/>
            <w:left w:val="none" w:sz="0" w:space="0" w:color="auto"/>
            <w:bottom w:val="none" w:sz="0" w:space="0" w:color="auto"/>
            <w:right w:val="none" w:sz="0" w:space="0" w:color="auto"/>
          </w:divBdr>
        </w:div>
        <w:div w:id="1730306232">
          <w:marLeft w:val="0"/>
          <w:marRight w:val="0"/>
          <w:marTop w:val="0"/>
          <w:marBottom w:val="0"/>
          <w:divBdr>
            <w:top w:val="none" w:sz="0" w:space="0" w:color="auto"/>
            <w:left w:val="none" w:sz="0" w:space="0" w:color="auto"/>
            <w:bottom w:val="none" w:sz="0" w:space="0" w:color="auto"/>
            <w:right w:val="none" w:sz="0" w:space="0" w:color="auto"/>
          </w:divBdr>
        </w:div>
        <w:div w:id="616370079">
          <w:marLeft w:val="0"/>
          <w:marRight w:val="0"/>
          <w:marTop w:val="0"/>
          <w:marBottom w:val="0"/>
          <w:divBdr>
            <w:top w:val="none" w:sz="0" w:space="0" w:color="auto"/>
            <w:left w:val="none" w:sz="0" w:space="0" w:color="auto"/>
            <w:bottom w:val="none" w:sz="0" w:space="0" w:color="auto"/>
            <w:right w:val="none" w:sz="0" w:space="0" w:color="auto"/>
          </w:divBdr>
        </w:div>
        <w:div w:id="1635479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t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E7AFB-5E6A-47E0-8C92-E1789384D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4288</Words>
  <Characters>24442</Characters>
  <Application>Microsoft Office Word</Application>
  <DocSecurity>0</DocSecurity>
  <Lines>203</Lines>
  <Paragraphs>57</Paragraphs>
  <ScaleCrop>false</ScaleCrop>
  <HeadingPairs>
    <vt:vector size="2" baseType="variant">
      <vt:variant>
        <vt:lpstr>Tytuł</vt:lpstr>
      </vt:variant>
      <vt:variant>
        <vt:i4>1</vt:i4>
      </vt:variant>
    </vt:vector>
  </HeadingPairs>
  <TitlesOfParts>
    <vt:vector size="1" baseType="lpstr">
      <vt:lpstr/>
    </vt:vector>
  </TitlesOfParts>
  <Company>dom</Company>
  <LinksUpToDate>false</LinksUpToDate>
  <CharactersWithSpaces>28673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dc:creator>
  <cp:lastModifiedBy>Paul Alexander D.</cp:lastModifiedBy>
  <cp:revision>17</cp:revision>
  <cp:lastPrinted>2016-04-13T08:52:00Z</cp:lastPrinted>
  <dcterms:created xsi:type="dcterms:W3CDTF">2021-03-26T15:16:00Z</dcterms:created>
  <dcterms:modified xsi:type="dcterms:W3CDTF">2021-04-11T02:03:00Z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http://www.zotero.org/styles/acs-nano</vt:lpwstr>
  </property>
  <property fmtid="{D5CDD505-2E9C-101B-9397-08002B2CF9AE}" pid="3" name="Mendeley Recent Style Name 0_1">
    <vt:lpwstr>ACS Nano</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http://www.zotero.org/styles/chemistry-of-materials</vt:lpwstr>
  </property>
  <property fmtid="{D5CDD505-2E9C-101B-9397-08002B2CF9AE}" pid="9" name="Mendeley Recent Style Name 3_1">
    <vt:lpwstr>Chemistry of Materials</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http://www.zotero.org/styles/journal-of-luminescence</vt:lpwstr>
  </property>
  <property fmtid="{D5CDD505-2E9C-101B-9397-08002B2CF9AE}" pid="13" name="Mendeley Recent Style Name 5_1">
    <vt:lpwstr>Journal of Luminescence</vt:lpwstr>
  </property>
  <property fmtid="{D5CDD505-2E9C-101B-9397-08002B2CF9AE}" pid="14" name="Mendeley Recent Style Id 6_1">
    <vt:lpwstr>http://www.zotero.org/styles/journal-of-materials-chemistry-c</vt:lpwstr>
  </property>
  <property fmtid="{D5CDD505-2E9C-101B-9397-08002B2CF9AE}" pid="15" name="Mendeley Recent Style Name 6_1">
    <vt:lpwstr>Journal of Materials Chemistry C</vt:lpwstr>
  </property>
  <property fmtid="{D5CDD505-2E9C-101B-9397-08002B2CF9AE}" pid="16" name="Mendeley Recent Style Id 7_1">
    <vt:lpwstr>http://www.zotero.org/styles/journal-of-nanostructure-in-chemistry</vt:lpwstr>
  </property>
  <property fmtid="{D5CDD505-2E9C-101B-9397-08002B2CF9AE}" pid="17" name="Mendeley Recent Style Name 7_1">
    <vt:lpwstr>Journal of Nanostructure in Chemistry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74c0958b-ebfc-3080-9230-5e3ca7eb1b3e</vt:lpwstr>
  </property>
  <property fmtid="{D5CDD505-2E9C-101B-9397-08002B2CF9AE}" pid="24" name="Mendeley Citation Style_1">
    <vt:lpwstr>http://www.zotero.org/styles/science</vt:lpwstr>
  </property>
</Properties>
</file>