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E3" w:rsidRPr="006A75BF" w:rsidRDefault="00F016E3" w:rsidP="00F016E3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F591B">
        <w:rPr>
          <w:rFonts w:ascii="Arial" w:hAnsi="Arial" w:cs="Arial"/>
          <w:b/>
          <w:sz w:val="24"/>
          <w:szCs w:val="24"/>
        </w:rPr>
        <w:t>Supplementary Table 1</w:t>
      </w:r>
      <w:r w:rsidRPr="006A75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Demographics and baseline c</w:t>
      </w:r>
      <w:r w:rsidRPr="006A75BF">
        <w:rPr>
          <w:rFonts w:ascii="Arial" w:hAnsi="Arial" w:cs="Arial"/>
          <w:sz w:val="24"/>
          <w:szCs w:val="24"/>
        </w:rPr>
        <w:t>haracteristics (S</w:t>
      </w:r>
      <w:r>
        <w:rPr>
          <w:rFonts w:ascii="Arial" w:hAnsi="Arial" w:cs="Arial"/>
          <w:sz w:val="24"/>
          <w:szCs w:val="24"/>
        </w:rPr>
        <w:t>AD s</w:t>
      </w:r>
      <w:r w:rsidRPr="006A75BF">
        <w:rPr>
          <w:rFonts w:ascii="Arial" w:hAnsi="Arial" w:cs="Arial"/>
          <w:sz w:val="24"/>
          <w:szCs w:val="24"/>
        </w:rPr>
        <w:t>tudy)</w:t>
      </w:r>
    </w:p>
    <w:tbl>
      <w:tblPr>
        <w:tblStyle w:val="TableGrid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4"/>
        <w:gridCol w:w="2375"/>
        <w:gridCol w:w="2374"/>
        <w:gridCol w:w="2375"/>
      </w:tblGrid>
      <w:tr w:rsidR="00F016E3" w:rsidRPr="00932C72" w:rsidTr="008A7309"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:rsidR="00F016E3" w:rsidRPr="00FF591B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</w:pP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t>Cohort 1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(n = 9)</w:t>
            </w: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F016E3" w:rsidRPr="00FF591B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</w:pP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t xml:space="preserve">Cohort 2 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(n = 9)</w:t>
            </w: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:rsidR="00F016E3" w:rsidRPr="00FF591B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</w:pP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t>Total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(N = 18)</w:t>
            </w:r>
          </w:p>
        </w:tc>
      </w:tr>
      <w:tr w:rsidR="00F016E3" w:rsidRPr="00932C72" w:rsidTr="008A7309">
        <w:tc>
          <w:tcPr>
            <w:tcW w:w="2374" w:type="dxa"/>
            <w:tcBorders>
              <w:top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Gender (n, %)</w:t>
            </w:r>
          </w:p>
        </w:tc>
        <w:tc>
          <w:tcPr>
            <w:tcW w:w="2375" w:type="dxa"/>
            <w:tcBorders>
              <w:top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316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Male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8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7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15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316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Female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1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2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3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Race (n, %)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</w:tr>
      <w:tr w:rsidR="00F016E3" w:rsidRPr="00932C72" w:rsidTr="008A7309">
        <w:tc>
          <w:tcPr>
            <w:tcW w:w="2374" w:type="dxa"/>
          </w:tcPr>
          <w:p w:rsidR="00F016E3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316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White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8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8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16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316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Black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1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1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2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Age, y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hAnsi="Arial" w:cs="Arial"/>
                <w:sz w:val="20"/>
                <w:szCs w:val="20"/>
              </w:rPr>
              <w:t>60.9 (8.8)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hAnsi="Arial" w:cs="Arial"/>
                <w:sz w:val="20"/>
                <w:szCs w:val="20"/>
              </w:rPr>
              <w:t>59.2 (12.2)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hAnsi="Arial" w:cs="Arial"/>
                <w:sz w:val="20"/>
                <w:szCs w:val="20"/>
              </w:rPr>
              <w:t>60.1 (10.4)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316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range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48-74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44-76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44-76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Weight, kg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84.8 (20.1)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77.3 (14.7)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81.0 (17.5)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316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range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57.7-126.6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56.1-104.5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56.1-126.6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BMI, kg/m</w:t>
            </w: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28.6 (4.9)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27.1 (5.0)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27.8 (4.9)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316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range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19.6-35.8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18.3-37.5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18.3-37.5</w:t>
            </w:r>
          </w:p>
        </w:tc>
      </w:tr>
      <w:tr w:rsidR="00F016E3" w:rsidRPr="00932C72" w:rsidTr="008A7309"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Height, cm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 xml:space="preserve">171.6 (8.7) </w:t>
            </w:r>
          </w:p>
        </w:tc>
        <w:tc>
          <w:tcPr>
            <w:tcW w:w="2374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169.1 (8.8)</w:t>
            </w:r>
          </w:p>
        </w:tc>
        <w:tc>
          <w:tcPr>
            <w:tcW w:w="2375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170.3 (8.6)</w:t>
            </w:r>
          </w:p>
        </w:tc>
      </w:tr>
      <w:tr w:rsidR="00F016E3" w:rsidRPr="00932C72" w:rsidTr="008A7309">
        <w:tc>
          <w:tcPr>
            <w:tcW w:w="2374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316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range</w:t>
            </w: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157.0-188.0</w:t>
            </w:r>
          </w:p>
        </w:tc>
        <w:tc>
          <w:tcPr>
            <w:tcW w:w="2374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150.0-181.0</w:t>
            </w:r>
          </w:p>
        </w:tc>
        <w:tc>
          <w:tcPr>
            <w:tcW w:w="2375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085D2B">
              <w:rPr>
                <w:rFonts w:ascii="Arial" w:eastAsia="Calibri" w:hAnsi="Arial" w:cs="Arial"/>
                <w:spacing w:val="1"/>
                <w:sz w:val="20"/>
                <w:szCs w:val="20"/>
              </w:rPr>
              <w:t>150.0-188.0</w:t>
            </w:r>
          </w:p>
        </w:tc>
      </w:tr>
    </w:tbl>
    <w:p w:rsidR="00F016E3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Unless otherwise specified, v</w:t>
      </w:r>
      <w:r w:rsidRPr="00932C72">
        <w:rPr>
          <w:rFonts w:ascii="Arial" w:hAnsi="Arial" w:cs="Arial"/>
          <w:sz w:val="20"/>
          <w:szCs w:val="20"/>
        </w:rPr>
        <w:t xml:space="preserve">alues </w:t>
      </w:r>
      <w:r>
        <w:rPr>
          <w:rFonts w:ascii="Arial" w:hAnsi="Arial" w:cs="Arial"/>
          <w:sz w:val="20"/>
          <w:szCs w:val="20"/>
        </w:rPr>
        <w:t xml:space="preserve">are </w:t>
      </w:r>
      <w:r w:rsidRPr="00932C72">
        <w:rPr>
          <w:rFonts w:ascii="Arial" w:hAnsi="Arial" w:cs="Arial"/>
          <w:sz w:val="20"/>
          <w:szCs w:val="20"/>
        </w:rPr>
        <w:t>presented as mean (standard deviation).</w:t>
      </w:r>
    </w:p>
    <w:p w:rsidR="00F016E3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BMI was defined as weight</w:t>
      </w:r>
      <w:proofErr w:type="gramStart"/>
      <w:r w:rsidRPr="00932C72">
        <w:rPr>
          <w:rFonts w:ascii="Arial" w:hAnsi="Arial" w:cs="Arial"/>
          <w:sz w:val="20"/>
          <w:szCs w:val="20"/>
        </w:rPr>
        <w:t>/(</w:t>
      </w:r>
      <w:proofErr w:type="gramEnd"/>
      <w:r w:rsidRPr="00932C72">
        <w:rPr>
          <w:rFonts w:ascii="Arial" w:hAnsi="Arial" w:cs="Arial"/>
          <w:sz w:val="20"/>
          <w:szCs w:val="20"/>
        </w:rPr>
        <w:t>height × 0.01)</w:t>
      </w:r>
      <w:r w:rsidRPr="00932C72">
        <w:rPr>
          <w:rFonts w:ascii="Arial" w:hAnsi="Arial" w:cs="Arial"/>
          <w:sz w:val="20"/>
          <w:szCs w:val="20"/>
          <w:vertAlign w:val="superscript"/>
        </w:rPr>
        <w:t>2</w:t>
      </w:r>
      <w:r w:rsidRPr="00932C72">
        <w:rPr>
          <w:rFonts w:ascii="Arial" w:hAnsi="Arial" w:cs="Arial"/>
          <w:sz w:val="20"/>
          <w:szCs w:val="20"/>
        </w:rPr>
        <w:t>.</w:t>
      </w:r>
    </w:p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 w:rsidRPr="00932C72">
        <w:rPr>
          <w:rFonts w:ascii="Arial" w:hAnsi="Arial" w:cs="Arial"/>
          <w:sz w:val="20"/>
          <w:szCs w:val="20"/>
        </w:rPr>
        <w:t>BMI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body mass index; SAD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single-ascending dose.</w:t>
      </w:r>
      <w:proofErr w:type="gramEnd"/>
    </w:p>
    <w:p w:rsidR="00F016E3" w:rsidRPr="00932C72" w:rsidRDefault="00F016E3" w:rsidP="00F016E3">
      <w:pPr>
        <w:tabs>
          <w:tab w:val="left" w:pos="1168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F016E3" w:rsidRPr="00932C72" w:rsidRDefault="00F016E3" w:rsidP="00F016E3">
      <w:pPr>
        <w:rPr>
          <w:rFonts w:ascii="Arial" w:eastAsia="Times New Roman" w:hAnsi="Arial" w:cs="Arial"/>
          <w:sz w:val="20"/>
          <w:szCs w:val="20"/>
        </w:rPr>
      </w:pPr>
      <w:r w:rsidRPr="00932C72">
        <w:rPr>
          <w:rFonts w:ascii="Arial" w:hAnsi="Arial" w:cs="Arial"/>
          <w:sz w:val="24"/>
          <w:szCs w:val="24"/>
        </w:rPr>
        <w:br w:type="page"/>
      </w:r>
    </w:p>
    <w:p w:rsidR="00F016E3" w:rsidRPr="00932C72" w:rsidRDefault="00F016E3" w:rsidP="00F016E3">
      <w:pPr>
        <w:rPr>
          <w:rFonts w:ascii="Arial" w:hAnsi="Arial" w:cs="Arial"/>
          <w:sz w:val="24"/>
          <w:szCs w:val="24"/>
        </w:rPr>
      </w:pPr>
    </w:p>
    <w:p w:rsidR="00F016E3" w:rsidRPr="006A75BF" w:rsidRDefault="00F016E3" w:rsidP="00F016E3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F591B">
        <w:rPr>
          <w:rFonts w:ascii="Arial" w:hAnsi="Arial" w:cs="Arial"/>
          <w:b/>
          <w:sz w:val="24"/>
          <w:szCs w:val="24"/>
        </w:rPr>
        <w:t>Supplementary Table 2</w:t>
      </w:r>
      <w:r w:rsidRPr="00932C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Demographics and baseline characteristics (MAD s</w:t>
      </w:r>
      <w:r w:rsidRPr="006A75BF">
        <w:rPr>
          <w:rFonts w:ascii="Arial" w:hAnsi="Arial" w:cs="Arial"/>
          <w:sz w:val="24"/>
          <w:szCs w:val="24"/>
        </w:rPr>
        <w:t>tudy)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3"/>
        <w:gridCol w:w="1481"/>
        <w:gridCol w:w="1571"/>
        <w:gridCol w:w="1427"/>
        <w:gridCol w:w="1427"/>
        <w:gridCol w:w="1427"/>
      </w:tblGrid>
      <w:tr w:rsidR="00F016E3" w:rsidRPr="00932C72" w:rsidTr="008A7309">
        <w:tc>
          <w:tcPr>
            <w:tcW w:w="1693" w:type="dxa"/>
            <w:tcBorders>
              <w:top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single" w:sz="4" w:space="0" w:color="auto"/>
            </w:tcBorders>
            <w:vAlign w:val="bottom"/>
          </w:tcPr>
          <w:p w:rsidR="00F016E3" w:rsidRPr="00FF591B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</w:pP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t>L-dopa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(n = 50)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vAlign w:val="bottom"/>
          </w:tcPr>
          <w:p w:rsidR="00F016E3" w:rsidRPr="00FF591B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</w:pP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t xml:space="preserve">PF-06649751 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5 mg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(n = 9)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F016E3" w:rsidRPr="00FF591B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</w:pP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t>PF-06649751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15 mg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(n = 11)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F016E3" w:rsidRPr="00FF591B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</w:pP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t xml:space="preserve">PF-06649751 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LID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(n = 6)</w:t>
            </w: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F016E3" w:rsidRPr="00FF591B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</w:pP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t xml:space="preserve">PF-06649751 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25 mg</w:t>
            </w:r>
            <w:r w:rsidRPr="00FF591B">
              <w:rPr>
                <w:rFonts w:ascii="Arial" w:eastAsia="Calibri" w:hAnsi="Arial" w:cs="Arial"/>
                <w:b/>
                <w:spacing w:val="1"/>
                <w:sz w:val="20"/>
                <w:szCs w:val="20"/>
              </w:rPr>
              <w:br/>
              <w:t>(n = 19)</w:t>
            </w:r>
          </w:p>
        </w:tc>
      </w:tr>
      <w:tr w:rsidR="00F016E3" w:rsidRPr="00932C72" w:rsidTr="008A7309">
        <w:tc>
          <w:tcPr>
            <w:tcW w:w="1693" w:type="dxa"/>
            <w:tcBorders>
              <w:top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Gender (n, %)</w:t>
            </w:r>
          </w:p>
        </w:tc>
        <w:tc>
          <w:tcPr>
            <w:tcW w:w="1481" w:type="dxa"/>
            <w:tcBorders>
              <w:top w:val="single" w:sz="4" w:space="0" w:color="auto"/>
            </w:tcBorders>
            <w:vAlign w:val="bottom"/>
          </w:tcPr>
          <w:p w:rsidR="00F016E3" w:rsidRPr="00932C72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vAlign w:val="bottom"/>
          </w:tcPr>
          <w:p w:rsidR="00F016E3" w:rsidRPr="00932C72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F016E3" w:rsidRPr="00932C72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F016E3" w:rsidRPr="00932C72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  <w:vAlign w:val="bottom"/>
          </w:tcPr>
          <w:p w:rsidR="00F016E3" w:rsidRPr="00932C72" w:rsidRDefault="00F016E3" w:rsidP="008A7309">
            <w:pPr>
              <w:tabs>
                <w:tab w:val="center" w:pos="4513"/>
                <w:tab w:val="right" w:pos="9026"/>
              </w:tabs>
              <w:spacing w:line="360" w:lineRule="auto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Male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31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3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6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5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13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Female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19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6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5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1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6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bookmarkStart w:id="0" w:name="OLE_LINK2"/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Race (n, %)</w:t>
            </w:r>
            <w:bookmarkEnd w:id="0"/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White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 xml:space="preserve">44 (88.0) 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>8 (88.9)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>9 (81.8)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>5 (83.3)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>17 (89.5)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Black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 xml:space="preserve">5 (10.0) 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>1 (11.1)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>1 (9.1)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>1 (16.7)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2F0FF3">
              <w:rPr>
                <w:rFonts w:ascii="Arial" w:eastAsia="Calibri" w:hAnsi="Arial" w:cs="Arial"/>
                <w:spacing w:val="1"/>
                <w:sz w:val="20"/>
                <w:szCs w:val="20"/>
              </w:rPr>
              <w:t>2 (10.5)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Asian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1 (2.0)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0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1 (</w:t>
            </w: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9.1</w:t>
            </w: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0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0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Age, y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hAnsi="Arial" w:cs="Arial"/>
                <w:sz w:val="20"/>
                <w:szCs w:val="20"/>
              </w:rPr>
              <w:t>64.2 (6.9)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hAnsi="Arial" w:cs="Arial"/>
                <w:sz w:val="20"/>
                <w:szCs w:val="20"/>
              </w:rPr>
              <w:t>62.7 (7.2)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hAnsi="Arial" w:cs="Arial"/>
                <w:sz w:val="20"/>
                <w:szCs w:val="20"/>
              </w:rPr>
              <w:t>62.5 (8.2)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hAnsi="Arial" w:cs="Arial"/>
                <w:sz w:val="20"/>
                <w:szCs w:val="20"/>
              </w:rPr>
              <w:t>67.0 (4.2)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hAnsi="Arial" w:cs="Arial"/>
                <w:sz w:val="20"/>
                <w:szCs w:val="20"/>
              </w:rPr>
              <w:t>64.9 (6.1)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range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5A10">
              <w:rPr>
                <w:rFonts w:ascii="Arial" w:hAnsi="Arial" w:cs="Arial"/>
                <w:sz w:val="20"/>
                <w:szCs w:val="20"/>
              </w:rPr>
              <w:t xml:space="preserve">44-76 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5A10">
              <w:rPr>
                <w:rFonts w:ascii="Arial" w:hAnsi="Arial" w:cs="Arial"/>
                <w:sz w:val="20"/>
                <w:szCs w:val="20"/>
              </w:rPr>
              <w:t>44-67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5A10">
              <w:rPr>
                <w:rFonts w:ascii="Arial" w:hAnsi="Arial" w:cs="Arial"/>
                <w:sz w:val="20"/>
                <w:szCs w:val="20"/>
              </w:rPr>
              <w:t>44-73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5A10">
              <w:rPr>
                <w:rFonts w:ascii="Arial" w:hAnsi="Arial" w:cs="Arial"/>
                <w:sz w:val="20"/>
                <w:szCs w:val="20"/>
              </w:rPr>
              <w:t>63-75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45A10">
              <w:rPr>
                <w:rFonts w:ascii="Arial" w:hAnsi="Arial" w:cs="Arial"/>
                <w:sz w:val="20"/>
                <w:szCs w:val="20"/>
              </w:rPr>
              <w:t>54-76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Weight, kg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82.6 (16.5)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79.6 (20.7)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77.5 (15.6)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88.3 (24.5)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82.4 (10.9)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range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 xml:space="preserve">50.5-137.0 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51.2-106.0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50.5-103.9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70.3-137.0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64.4-110.5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BMI, kg/m</w:t>
            </w: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28.7 (4.8)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29.6 (5.5)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27.2 (5.3)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27.5 (6.0)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28.5 (4.1)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range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 xml:space="preserve">19.7-37.7 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20.8-37.6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19.7-37.0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21.7-37.7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21.5-37.5</w:t>
            </w:r>
          </w:p>
        </w:tc>
      </w:tr>
      <w:tr w:rsidR="00F016E3" w:rsidRPr="00932C72" w:rsidTr="008A7309">
        <w:tc>
          <w:tcPr>
            <w:tcW w:w="1693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Height, cm</w:t>
            </w:r>
          </w:p>
        </w:tc>
        <w:tc>
          <w:tcPr>
            <w:tcW w:w="148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 xml:space="preserve">169.7 (11.7) </w:t>
            </w:r>
          </w:p>
        </w:tc>
        <w:tc>
          <w:tcPr>
            <w:tcW w:w="1571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163.3 (11.9)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168.7 (10.6)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179.0 (13.7)</w:t>
            </w:r>
          </w:p>
        </w:tc>
        <w:tc>
          <w:tcPr>
            <w:tcW w:w="1427" w:type="dxa"/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932C72">
              <w:rPr>
                <w:rFonts w:ascii="Arial" w:eastAsia="Calibri" w:hAnsi="Arial" w:cs="Arial"/>
                <w:spacing w:val="1"/>
                <w:sz w:val="20"/>
                <w:szCs w:val="20"/>
              </w:rPr>
              <w:t>170.5 (10.6)</w:t>
            </w:r>
          </w:p>
        </w:tc>
      </w:tr>
      <w:tr w:rsidR="00F016E3" w:rsidRPr="00932C72" w:rsidTr="008A7309">
        <w:tc>
          <w:tcPr>
            <w:tcW w:w="1693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 w:firstLine="205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>
              <w:rPr>
                <w:rFonts w:ascii="Arial" w:eastAsia="Calibri" w:hAnsi="Arial" w:cs="Arial"/>
                <w:spacing w:val="1"/>
                <w:sz w:val="20"/>
                <w:szCs w:val="20"/>
              </w:rPr>
              <w:t>range</w:t>
            </w:r>
          </w:p>
        </w:tc>
        <w:tc>
          <w:tcPr>
            <w:tcW w:w="1481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 xml:space="preserve">147.0-192.5 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147.0-188.0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152.4-189.0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152.0-190.5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:rsidR="00F016E3" w:rsidRPr="00932C72" w:rsidRDefault="00F016E3" w:rsidP="008A7309">
            <w:pPr>
              <w:widowControl w:val="0"/>
              <w:tabs>
                <w:tab w:val="center" w:pos="4513"/>
                <w:tab w:val="right" w:pos="9026"/>
              </w:tabs>
              <w:spacing w:line="360" w:lineRule="auto"/>
              <w:ind w:left="108"/>
              <w:jc w:val="center"/>
              <w:rPr>
                <w:rFonts w:ascii="Arial" w:eastAsia="Calibri" w:hAnsi="Arial" w:cs="Arial"/>
                <w:spacing w:val="1"/>
                <w:sz w:val="20"/>
                <w:szCs w:val="20"/>
              </w:rPr>
            </w:pPr>
            <w:r w:rsidRPr="00145A10">
              <w:rPr>
                <w:rFonts w:ascii="Arial" w:eastAsia="Calibri" w:hAnsi="Arial" w:cs="Arial"/>
                <w:spacing w:val="1"/>
                <w:sz w:val="20"/>
                <w:szCs w:val="20"/>
              </w:rPr>
              <w:t>152.4-192.5</w:t>
            </w:r>
          </w:p>
        </w:tc>
      </w:tr>
    </w:tbl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Unless otherwise specified, v</w:t>
      </w:r>
      <w:r w:rsidRPr="00932C72">
        <w:rPr>
          <w:rFonts w:ascii="Arial" w:hAnsi="Arial" w:cs="Arial"/>
          <w:sz w:val="20"/>
          <w:szCs w:val="20"/>
        </w:rPr>
        <w:t xml:space="preserve">alues </w:t>
      </w:r>
      <w:r>
        <w:rPr>
          <w:rFonts w:ascii="Arial" w:hAnsi="Arial" w:cs="Arial"/>
          <w:sz w:val="20"/>
          <w:szCs w:val="20"/>
        </w:rPr>
        <w:t xml:space="preserve">are </w:t>
      </w:r>
      <w:r w:rsidRPr="00932C72">
        <w:rPr>
          <w:rFonts w:ascii="Arial" w:hAnsi="Arial" w:cs="Arial"/>
          <w:sz w:val="20"/>
          <w:szCs w:val="20"/>
        </w:rPr>
        <w:t>presented as mean (standard deviation).</w:t>
      </w:r>
    </w:p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BMI was defined as weight</w:t>
      </w:r>
      <w:proofErr w:type="gramStart"/>
      <w:r w:rsidRPr="00932C72">
        <w:rPr>
          <w:rFonts w:ascii="Arial" w:hAnsi="Arial" w:cs="Arial"/>
          <w:sz w:val="20"/>
          <w:szCs w:val="20"/>
        </w:rPr>
        <w:t>/(</w:t>
      </w:r>
      <w:proofErr w:type="gramEnd"/>
      <w:r w:rsidRPr="00932C72">
        <w:rPr>
          <w:rFonts w:ascii="Arial" w:hAnsi="Arial" w:cs="Arial"/>
          <w:sz w:val="20"/>
          <w:szCs w:val="20"/>
        </w:rPr>
        <w:t>height × 0.01)</w:t>
      </w:r>
      <w:r w:rsidRPr="00932C72">
        <w:rPr>
          <w:rFonts w:ascii="Arial" w:hAnsi="Arial" w:cs="Arial"/>
          <w:sz w:val="20"/>
          <w:szCs w:val="20"/>
          <w:vertAlign w:val="superscript"/>
        </w:rPr>
        <w:t>2</w:t>
      </w:r>
      <w:r w:rsidRPr="00932C72">
        <w:rPr>
          <w:rFonts w:ascii="Arial" w:hAnsi="Arial" w:cs="Arial"/>
          <w:sz w:val="20"/>
          <w:szCs w:val="20"/>
        </w:rPr>
        <w:t>.</w:t>
      </w:r>
    </w:p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For each cohort, L-dopa treatment group refers to Period 1, Days 1–2, and PF-06649751 treatment group refers to Period 2, Days 3–24 and follow-up.</w:t>
      </w:r>
    </w:p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L-dopa treatment group was pooled Period 1, Days 1–2 across all cohorts.</w:t>
      </w:r>
    </w:p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 w:rsidRPr="00932C72">
        <w:rPr>
          <w:rFonts w:ascii="Arial" w:hAnsi="Arial" w:cs="Arial"/>
          <w:sz w:val="20"/>
          <w:szCs w:val="20"/>
        </w:rPr>
        <w:t>BMI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body mass index; L-dopa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levodopa; LID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L-dopa–induced dyskinesia; MAD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multiple-ascending dose.</w:t>
      </w:r>
      <w:proofErr w:type="gramEnd"/>
    </w:p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F016E3" w:rsidRPr="00932C72" w:rsidRDefault="00F016E3" w:rsidP="00F016E3">
      <w:pPr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932C72">
        <w:rPr>
          <w:rFonts w:ascii="Arial" w:eastAsia="Times New Roman" w:hAnsi="Arial" w:cs="Arial"/>
          <w:sz w:val="20"/>
          <w:szCs w:val="20"/>
        </w:rPr>
        <w:br w:type="page"/>
      </w:r>
    </w:p>
    <w:p w:rsidR="00F016E3" w:rsidRPr="006A75BF" w:rsidRDefault="00F016E3" w:rsidP="00F016E3">
      <w:pPr>
        <w:spacing w:after="0" w:line="480" w:lineRule="auto"/>
        <w:ind w:left="-6"/>
        <w:rPr>
          <w:rFonts w:ascii="Arial" w:hAnsi="Arial" w:cs="Arial"/>
        </w:rPr>
      </w:pPr>
      <w:r w:rsidRPr="00FF591B">
        <w:rPr>
          <w:rFonts w:ascii="Arial" w:hAnsi="Arial" w:cs="Arial"/>
          <w:b/>
          <w:sz w:val="24"/>
          <w:szCs w:val="24"/>
        </w:rPr>
        <w:lastRenderedPageBreak/>
        <w:t>Supplementary Table 3</w:t>
      </w:r>
      <w:r>
        <w:rPr>
          <w:rFonts w:ascii="Arial" w:hAnsi="Arial" w:cs="Arial"/>
          <w:sz w:val="24"/>
          <w:szCs w:val="24"/>
        </w:rPr>
        <w:t xml:space="preserve"> Summary of plasma PF-06649751 pharmacokinetic parameters following single oral doses (SAD s</w:t>
      </w:r>
      <w:r w:rsidRPr="006A75BF">
        <w:rPr>
          <w:rFonts w:ascii="Arial" w:hAnsi="Arial" w:cs="Arial"/>
          <w:sz w:val="24"/>
          <w:szCs w:val="24"/>
        </w:rPr>
        <w:t>tudy)</w:t>
      </w:r>
    </w:p>
    <w:tbl>
      <w:tblPr>
        <w:tblStyle w:val="TableGrid10"/>
        <w:tblW w:w="9216" w:type="dxa"/>
        <w:tblInd w:w="-108" w:type="dxa"/>
        <w:tblCellMar>
          <w:top w:w="17" w:type="dxa"/>
          <w:right w:w="115" w:type="dxa"/>
        </w:tblCellMar>
        <w:tblLook w:val="04A0" w:firstRow="1" w:lastRow="0" w:firstColumn="1" w:lastColumn="0" w:noHBand="0" w:noVBand="1"/>
      </w:tblPr>
      <w:tblGrid>
        <w:gridCol w:w="1618"/>
        <w:gridCol w:w="1236"/>
        <w:gridCol w:w="1238"/>
        <w:gridCol w:w="1267"/>
        <w:gridCol w:w="1351"/>
        <w:gridCol w:w="1195"/>
        <w:gridCol w:w="1311"/>
      </w:tblGrid>
      <w:tr w:rsidR="00F016E3" w:rsidRPr="00932C72" w:rsidTr="008A7309">
        <w:trPr>
          <w:trHeight w:val="240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Parameter,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</w:r>
            <w:proofErr w:type="spellStart"/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units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vertAlign w:val="superscript"/>
                <w:lang w:eastAsia="en-US"/>
              </w:rPr>
              <w:t>a</w:t>
            </w:r>
            <w:proofErr w:type="spellEnd"/>
          </w:p>
        </w:tc>
        <w:tc>
          <w:tcPr>
            <w:tcW w:w="12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1</w:t>
            </w:r>
          </w:p>
        </w:tc>
        <w:tc>
          <w:tcPr>
            <w:tcW w:w="12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2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F016E3" w:rsidRPr="00932C72" w:rsidTr="008A7309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0.75 mg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1.5 mg</w:t>
            </w:r>
          </w:p>
        </w:tc>
        <w:tc>
          <w:tcPr>
            <w:tcW w:w="12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3 mg</w:t>
            </w:r>
          </w:p>
        </w:tc>
        <w:tc>
          <w:tcPr>
            <w:tcW w:w="1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3 mg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6 mg 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9 mg</w:t>
            </w:r>
          </w:p>
        </w:tc>
      </w:tr>
      <w:tr w:rsidR="00F016E3" w:rsidRPr="00932C72" w:rsidTr="008A7309">
        <w:trPr>
          <w:trHeight w:val="252"/>
        </w:trPr>
        <w:tc>
          <w:tcPr>
            <w:tcW w:w="161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N, n</w:t>
            </w:r>
          </w:p>
        </w:tc>
        <w:tc>
          <w:tcPr>
            <w:tcW w:w="123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6, 1</w:t>
            </w: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6, 1</w:t>
            </w:r>
          </w:p>
        </w:tc>
        <w:tc>
          <w:tcPr>
            <w:tcW w:w="12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6, 2</w:t>
            </w:r>
          </w:p>
        </w:tc>
        <w:tc>
          <w:tcPr>
            <w:tcW w:w="13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6, 3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6, 0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6, 1</w:t>
            </w:r>
          </w:p>
        </w:tc>
      </w:tr>
      <w:tr w:rsidR="00F016E3" w:rsidRPr="00932C72" w:rsidTr="008A7309">
        <w:trPr>
          <w:trHeight w:val="461"/>
        </w:trPr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AUC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inf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br/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ng•h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/mL)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716.8 (22)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</w:tr>
      <w:tr w:rsidR="00F016E3" w:rsidRPr="00932C72" w:rsidTr="008A7309">
        <w:trPr>
          <w:trHeight w:val="458"/>
        </w:trPr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AUC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last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br/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ng•h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/mL)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161.0 (38)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355.2 (21)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585.9 (33)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628.7 (28)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1238 (44)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1690 (34)</w:t>
            </w:r>
          </w:p>
        </w:tc>
      </w:tr>
      <w:tr w:rsidR="00F016E3" w:rsidRPr="00932C72" w:rsidTr="008A7309">
        <w:trPr>
          <w:trHeight w:val="238"/>
        </w:trPr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max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 xml:space="preserve">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ng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/mL)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.46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(29)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14.27 (26)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21.64 (31)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26.49 (30)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44.37 (26)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66.29 (42)</w:t>
            </w:r>
          </w:p>
        </w:tc>
      </w:tr>
      <w:tr w:rsidR="00F016E3" w:rsidRPr="00932C72" w:rsidTr="008A7309">
        <w:trPr>
          <w:trHeight w:val="453"/>
        </w:trPr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T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max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 xml:space="preserve">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(h)</w:t>
            </w: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4.00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(2.00–4.02)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3.01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(1.50–6.00)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3.00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(2.00–8.00)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4.00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(2.00–6.00)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3.00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(2.00–6.02)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3.00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br/>
              <w:t>(2.00–6.00)</w:t>
            </w:r>
          </w:p>
        </w:tc>
      </w:tr>
      <w:tr w:rsidR="00F016E3" w:rsidRPr="00932C72" w:rsidTr="008A7309">
        <w:trPr>
          <w:trHeight w:val="218"/>
        </w:trPr>
        <w:tc>
          <w:tcPr>
            <w:tcW w:w="161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t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 xml:space="preserve">½ 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(h)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16.13 ± 3.48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NR</w:t>
            </w:r>
          </w:p>
        </w:tc>
      </w:tr>
    </w:tbl>
    <w:p w:rsidR="00F016E3" w:rsidRPr="00932C72" w:rsidRDefault="00F016E3" w:rsidP="00F016E3">
      <w:pPr>
        <w:spacing w:after="0" w:line="360" w:lineRule="auto"/>
        <w:ind w:right="99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Summary statistics were not reported because fewer than 3 subjects have reportable parameter values.</w:t>
      </w:r>
    </w:p>
    <w:p w:rsidR="00F016E3" w:rsidRPr="00932C72" w:rsidRDefault="00F016E3" w:rsidP="00F016E3">
      <w:pPr>
        <w:spacing w:after="0" w:line="360" w:lineRule="auto"/>
        <w:ind w:right="99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932C72">
        <w:rPr>
          <w:rFonts w:ascii="Arial" w:hAnsi="Arial" w:cs="Arial"/>
          <w:sz w:val="20"/>
          <w:szCs w:val="20"/>
          <w:vertAlign w:val="superscript"/>
        </w:rPr>
        <w:t>a</w:t>
      </w:r>
      <w:r w:rsidRPr="00932C72">
        <w:rPr>
          <w:rFonts w:ascii="Arial" w:hAnsi="Arial" w:cs="Arial"/>
          <w:sz w:val="20"/>
          <w:szCs w:val="20"/>
        </w:rPr>
        <w:t>Geometric</w:t>
      </w:r>
      <w:proofErr w:type="spellEnd"/>
      <w:proofErr w:type="gramEnd"/>
      <w:r w:rsidRPr="00932C72">
        <w:rPr>
          <w:rFonts w:ascii="Arial" w:hAnsi="Arial" w:cs="Arial"/>
          <w:sz w:val="20"/>
          <w:szCs w:val="20"/>
        </w:rPr>
        <w:t xml:space="preserve"> mean (geometric %CV) for all, except median (range) for </w:t>
      </w:r>
      <w:proofErr w:type="spellStart"/>
      <w:r w:rsidRPr="00932C72">
        <w:rPr>
          <w:rFonts w:ascii="Arial" w:hAnsi="Arial" w:cs="Arial"/>
          <w:sz w:val="20"/>
          <w:szCs w:val="20"/>
        </w:rPr>
        <w:t>T</w:t>
      </w:r>
      <w:r w:rsidRPr="00932C72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Pr="00932C72">
        <w:rPr>
          <w:rFonts w:ascii="Arial" w:hAnsi="Arial" w:cs="Arial"/>
          <w:sz w:val="20"/>
          <w:szCs w:val="20"/>
        </w:rPr>
        <w:t xml:space="preserve"> and arithmetic mean (± SD) for t</w:t>
      </w:r>
      <w:r w:rsidRPr="00932C72">
        <w:rPr>
          <w:rFonts w:ascii="Arial" w:hAnsi="Arial" w:cs="Arial"/>
          <w:sz w:val="20"/>
          <w:szCs w:val="20"/>
          <w:vertAlign w:val="subscript"/>
        </w:rPr>
        <w:t>½</w:t>
      </w:r>
      <w:r w:rsidRPr="00932C72">
        <w:rPr>
          <w:rFonts w:ascii="Arial" w:hAnsi="Arial" w:cs="Arial"/>
          <w:sz w:val="20"/>
          <w:szCs w:val="20"/>
        </w:rPr>
        <w:t>.</w:t>
      </w:r>
    </w:p>
    <w:p w:rsidR="00F016E3" w:rsidRPr="00932C72" w:rsidRDefault="00F016E3" w:rsidP="00F016E3">
      <w:pPr>
        <w:spacing w:after="0" w:line="360" w:lineRule="auto"/>
        <w:ind w:right="99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%CV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percent coefficient of variation; AUC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area under the concentration–time curve; </w:t>
      </w:r>
      <w:proofErr w:type="spellStart"/>
      <w:r w:rsidRPr="00932C72">
        <w:rPr>
          <w:rFonts w:ascii="Arial" w:hAnsi="Arial" w:cs="Arial"/>
          <w:sz w:val="20"/>
          <w:szCs w:val="20"/>
        </w:rPr>
        <w:t>C</w:t>
      </w:r>
      <w:r w:rsidRPr="00932C72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maximum observed concentration; n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number of subjects with reportable </w:t>
      </w:r>
      <w:proofErr w:type="spellStart"/>
      <w:r w:rsidRPr="00932C72">
        <w:rPr>
          <w:rFonts w:ascii="Arial" w:hAnsi="Arial" w:cs="Arial"/>
          <w:sz w:val="20"/>
          <w:szCs w:val="20"/>
        </w:rPr>
        <w:t>AUC</w:t>
      </w:r>
      <w:r w:rsidRPr="00932C72">
        <w:rPr>
          <w:rFonts w:ascii="Arial" w:hAnsi="Arial" w:cs="Arial"/>
          <w:sz w:val="20"/>
          <w:szCs w:val="20"/>
          <w:vertAlign w:val="subscript"/>
        </w:rPr>
        <w:t>inf</w:t>
      </w:r>
      <w:proofErr w:type="spellEnd"/>
      <w:r w:rsidRPr="00932C72">
        <w:rPr>
          <w:rFonts w:ascii="Arial" w:hAnsi="Arial" w:cs="Arial"/>
          <w:sz w:val="20"/>
          <w:szCs w:val="20"/>
        </w:rPr>
        <w:t xml:space="preserve">, CL/F, </w:t>
      </w:r>
      <w:proofErr w:type="spellStart"/>
      <w:r w:rsidRPr="00932C72">
        <w:rPr>
          <w:rFonts w:ascii="Arial" w:hAnsi="Arial" w:cs="Arial"/>
          <w:sz w:val="20"/>
          <w:szCs w:val="20"/>
        </w:rPr>
        <w:t>V</w:t>
      </w:r>
      <w:r w:rsidRPr="00932C72">
        <w:rPr>
          <w:rFonts w:ascii="Arial" w:hAnsi="Arial" w:cs="Arial"/>
          <w:sz w:val="20"/>
          <w:szCs w:val="20"/>
          <w:vertAlign w:val="subscript"/>
        </w:rPr>
        <w:t>z</w:t>
      </w:r>
      <w:proofErr w:type="spellEnd"/>
      <w:r w:rsidRPr="00932C72">
        <w:rPr>
          <w:rFonts w:ascii="Arial" w:hAnsi="Arial" w:cs="Arial"/>
          <w:sz w:val="20"/>
          <w:szCs w:val="20"/>
        </w:rPr>
        <w:t>/F, and t</w:t>
      </w:r>
      <w:r w:rsidRPr="00932C72">
        <w:rPr>
          <w:rFonts w:ascii="Arial" w:hAnsi="Arial" w:cs="Arial"/>
          <w:sz w:val="20"/>
          <w:szCs w:val="20"/>
          <w:vertAlign w:val="subscript"/>
        </w:rPr>
        <w:t>½</w:t>
      </w:r>
      <w:r w:rsidRPr="00932C72">
        <w:rPr>
          <w:rFonts w:ascii="Arial" w:hAnsi="Arial" w:cs="Arial"/>
          <w:sz w:val="20"/>
          <w:szCs w:val="20"/>
        </w:rPr>
        <w:t>; N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number of subjects in the treatment group and contributing to the mean; NR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not reported; SAD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single-ascending dose; SD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standard deviation; t</w:t>
      </w:r>
      <w:r w:rsidRPr="00932C72">
        <w:rPr>
          <w:rFonts w:ascii="Arial" w:hAnsi="Arial" w:cs="Arial"/>
          <w:sz w:val="20"/>
          <w:szCs w:val="20"/>
          <w:vertAlign w:val="subscript"/>
        </w:rPr>
        <w:t>½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half-life; </w:t>
      </w:r>
      <w:proofErr w:type="spellStart"/>
      <w:r w:rsidRPr="00932C72">
        <w:rPr>
          <w:rFonts w:ascii="Arial" w:hAnsi="Arial" w:cs="Arial"/>
          <w:sz w:val="20"/>
          <w:szCs w:val="20"/>
        </w:rPr>
        <w:t>T</w:t>
      </w:r>
      <w:r w:rsidRPr="00932C72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time to </w:t>
      </w:r>
      <w:proofErr w:type="spellStart"/>
      <w:r w:rsidRPr="00932C72">
        <w:rPr>
          <w:rFonts w:ascii="Arial" w:hAnsi="Arial" w:cs="Arial"/>
          <w:sz w:val="20"/>
          <w:szCs w:val="20"/>
        </w:rPr>
        <w:t>C</w:t>
      </w:r>
      <w:r w:rsidRPr="00932C72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Pr="00932C72">
        <w:rPr>
          <w:rFonts w:ascii="Arial" w:hAnsi="Arial" w:cs="Arial"/>
          <w:sz w:val="20"/>
          <w:szCs w:val="20"/>
        </w:rPr>
        <w:t>.</w:t>
      </w:r>
    </w:p>
    <w:p w:rsidR="00F016E3" w:rsidRPr="00932C72" w:rsidRDefault="00F016E3" w:rsidP="00F016E3">
      <w:pPr>
        <w:spacing w:after="0" w:line="360" w:lineRule="auto"/>
        <w:ind w:right="99"/>
        <w:rPr>
          <w:rFonts w:ascii="Arial" w:hAnsi="Arial" w:cs="Arial"/>
          <w:sz w:val="20"/>
          <w:szCs w:val="20"/>
        </w:rPr>
      </w:pPr>
    </w:p>
    <w:p w:rsidR="00F016E3" w:rsidRPr="00932C72" w:rsidRDefault="00F016E3" w:rsidP="00F016E3">
      <w:pPr>
        <w:rPr>
          <w:rFonts w:ascii="Arial" w:eastAsia="Times New Roman" w:hAnsi="Arial" w:cs="Arial"/>
          <w:sz w:val="20"/>
          <w:szCs w:val="20"/>
        </w:rPr>
      </w:pPr>
    </w:p>
    <w:p w:rsidR="00F016E3" w:rsidRPr="00932C72" w:rsidRDefault="00F016E3" w:rsidP="00F016E3">
      <w:pPr>
        <w:rPr>
          <w:rFonts w:ascii="Arial" w:hAnsi="Arial" w:cs="Arial"/>
          <w:b/>
        </w:rPr>
      </w:pPr>
      <w:r w:rsidRPr="00932C72">
        <w:rPr>
          <w:rFonts w:ascii="Arial" w:hAnsi="Arial" w:cs="Arial"/>
          <w:b/>
        </w:rPr>
        <w:br w:type="page"/>
      </w:r>
    </w:p>
    <w:p w:rsidR="00F016E3" w:rsidRPr="006A75BF" w:rsidRDefault="00F016E3" w:rsidP="00F016E3">
      <w:pPr>
        <w:spacing w:after="0" w:line="480" w:lineRule="auto"/>
        <w:ind w:hanging="17"/>
        <w:rPr>
          <w:rFonts w:ascii="Arial" w:hAnsi="Arial" w:cs="Arial"/>
        </w:rPr>
      </w:pPr>
      <w:r w:rsidRPr="00FF591B">
        <w:rPr>
          <w:rFonts w:ascii="Arial" w:hAnsi="Arial" w:cs="Arial"/>
          <w:b/>
          <w:sz w:val="24"/>
          <w:szCs w:val="24"/>
        </w:rPr>
        <w:lastRenderedPageBreak/>
        <w:t>Supplementary Table 4</w:t>
      </w:r>
      <w:r>
        <w:rPr>
          <w:rFonts w:ascii="Arial" w:hAnsi="Arial" w:cs="Arial"/>
          <w:sz w:val="24"/>
          <w:szCs w:val="24"/>
        </w:rPr>
        <w:t xml:space="preserve"> Summary of plasma PF-06649751 pharmacokinetic p</w:t>
      </w:r>
      <w:r w:rsidRPr="006A75BF">
        <w:rPr>
          <w:rFonts w:ascii="Arial" w:hAnsi="Arial" w:cs="Arial"/>
          <w:sz w:val="24"/>
          <w:szCs w:val="24"/>
        </w:rPr>
        <w:t xml:space="preserve">arameters at Day 22 </w:t>
      </w:r>
      <w:r>
        <w:rPr>
          <w:rFonts w:ascii="Arial" w:hAnsi="Arial" w:cs="Arial"/>
          <w:sz w:val="24"/>
          <w:szCs w:val="24"/>
        </w:rPr>
        <w:t>following multiple oral doses (MAD s</w:t>
      </w:r>
      <w:r w:rsidRPr="006A75BF">
        <w:rPr>
          <w:rFonts w:ascii="Arial" w:hAnsi="Arial" w:cs="Arial"/>
          <w:sz w:val="24"/>
          <w:szCs w:val="24"/>
        </w:rPr>
        <w:t>tudy)</w:t>
      </w:r>
    </w:p>
    <w:tbl>
      <w:tblPr>
        <w:tblStyle w:val="TableGrid10"/>
        <w:tblW w:w="9216" w:type="dxa"/>
        <w:tblInd w:w="-108" w:type="dxa"/>
        <w:tblCellMar>
          <w:top w:w="15" w:type="dxa"/>
          <w:right w:w="115" w:type="dxa"/>
        </w:tblCellMar>
        <w:tblLook w:val="04A0" w:firstRow="1" w:lastRow="0" w:firstColumn="1" w:lastColumn="0" w:noHBand="0" w:noVBand="1"/>
      </w:tblPr>
      <w:tblGrid>
        <w:gridCol w:w="2326"/>
        <w:gridCol w:w="1824"/>
        <w:gridCol w:w="1759"/>
        <w:gridCol w:w="1709"/>
        <w:gridCol w:w="1598"/>
      </w:tblGrid>
      <w:tr w:rsidR="00F016E3" w:rsidRPr="00932C72" w:rsidTr="008A7309">
        <w:trPr>
          <w:trHeight w:val="701"/>
        </w:trPr>
        <w:tc>
          <w:tcPr>
            <w:tcW w:w="2326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Parameter, </w:t>
            </w:r>
            <w:proofErr w:type="spellStart"/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unit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vertAlign w:val="superscript"/>
                <w:lang w:eastAsia="en-US"/>
              </w:rPr>
              <w:t>a</w:t>
            </w:r>
            <w:proofErr w:type="spellEnd"/>
          </w:p>
        </w:tc>
        <w:tc>
          <w:tcPr>
            <w:tcW w:w="18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3: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5 mg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4: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15 mg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5: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LID</w:t>
            </w:r>
          </w:p>
        </w:tc>
        <w:tc>
          <w:tcPr>
            <w:tcW w:w="15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6: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25 mg</w:t>
            </w:r>
          </w:p>
        </w:tc>
      </w:tr>
      <w:tr w:rsidR="00F016E3" w:rsidRPr="00932C72" w:rsidTr="008A7309">
        <w:trPr>
          <w:trHeight w:val="240"/>
        </w:trPr>
        <w:tc>
          <w:tcPr>
            <w:tcW w:w="23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Dose</w:t>
            </w:r>
          </w:p>
        </w:tc>
        <w:tc>
          <w:tcPr>
            <w:tcW w:w="18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5 mg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15 mg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15 mg</w:t>
            </w:r>
          </w:p>
        </w:tc>
        <w:tc>
          <w:tcPr>
            <w:tcW w:w="15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25 mg</w:t>
            </w:r>
          </w:p>
        </w:tc>
      </w:tr>
      <w:tr w:rsidR="00F016E3" w:rsidRPr="00932C72" w:rsidTr="008A7309">
        <w:trPr>
          <w:trHeight w:val="254"/>
        </w:trPr>
        <w:tc>
          <w:tcPr>
            <w:tcW w:w="232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18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75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7</w:t>
            </w:r>
          </w:p>
        </w:tc>
      </w:tr>
      <w:tr w:rsidR="00F016E3" w:rsidRPr="00932C72" w:rsidTr="008A7309">
        <w:trPr>
          <w:trHeight w:val="237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max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ng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/mL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118.5 (33)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325.4 (46)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241.2 (26)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401.6 (41)</w:t>
            </w:r>
          </w:p>
        </w:tc>
      </w:tr>
      <w:tr w:rsidR="00F016E3" w:rsidRPr="00932C72" w:rsidTr="008A7309">
        <w:trPr>
          <w:trHeight w:val="2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T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max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, h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2.00 (1.00–4.00)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4.00 (2.00–12.0)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2.02 (2.00–4.00)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4.03 (1.97–8.00)</w:t>
            </w:r>
          </w:p>
        </w:tc>
      </w:tr>
      <w:tr w:rsidR="00F016E3" w:rsidRPr="00932C72" w:rsidTr="008A7309">
        <w:trPr>
          <w:trHeight w:val="2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min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ng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/mL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6</w:t>
            </w: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8.1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(44)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197.9 (78)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120.8 (68)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215.1 (63)</w:t>
            </w:r>
          </w:p>
        </w:tc>
      </w:tr>
      <w:tr w:rsidR="00F016E3" w:rsidRPr="00932C72" w:rsidTr="008A7309">
        <w:trPr>
          <w:trHeight w:val="230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max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dn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), 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ng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/mL/mg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23.70 (33)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21.68 (46)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16.05 (26)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16.07 (41)</w:t>
            </w:r>
          </w:p>
        </w:tc>
      </w:tr>
      <w:tr w:rsidR="00F016E3" w:rsidRPr="00932C72" w:rsidTr="008A7309">
        <w:trPr>
          <w:trHeight w:val="229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AUC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tau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ng•h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/mL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2105 (35)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5993 (61)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4271 (40)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7182 (52)</w:t>
            </w:r>
          </w:p>
        </w:tc>
      </w:tr>
      <w:tr w:rsidR="00F016E3" w:rsidRPr="00932C72" w:rsidTr="008A7309">
        <w:trPr>
          <w:trHeight w:val="452"/>
        </w:trPr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 w:right="129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AUC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vertAlign w:val="subscript"/>
                <w:lang w:eastAsia="en-US"/>
              </w:rPr>
              <w:t>tau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(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dn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), </w:t>
            </w:r>
            <w:proofErr w:type="spellStart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ng•h</w:t>
            </w:r>
            <w:proofErr w:type="spellEnd"/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/mL/mg</w:t>
            </w: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420.7 (35)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399.3 (61)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285.2 (39)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287.3 (52)</w:t>
            </w:r>
          </w:p>
        </w:tc>
      </w:tr>
      <w:tr w:rsidR="00F016E3" w:rsidRPr="00932C72" w:rsidTr="008A7309">
        <w:trPr>
          <w:trHeight w:val="218"/>
        </w:trPr>
        <w:tc>
          <w:tcPr>
            <w:tcW w:w="23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CL/F, L/h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2.38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(35)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2.50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(61)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3.51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(40)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3.48</w:t>
            </w: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 (52)</w:t>
            </w:r>
          </w:p>
        </w:tc>
      </w:tr>
    </w:tbl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Data of 2 subjects from Cohort 4 were excluded because they received a different dosing regimen.</w:t>
      </w:r>
    </w:p>
    <w:p w:rsidR="00F016E3" w:rsidRPr="00932C72" w:rsidRDefault="00F016E3" w:rsidP="00F016E3">
      <w:pPr>
        <w:spacing w:after="0" w:line="360" w:lineRule="auto"/>
        <w:ind w:left="-5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For Cohort 6, subjects that received 6 mg on Day 7, 18 mg on Day 13, and 25 mg on Day 22 are included.</w:t>
      </w:r>
    </w:p>
    <w:p w:rsidR="00F016E3" w:rsidRPr="00932C72" w:rsidRDefault="00F016E3" w:rsidP="00F016E3">
      <w:pPr>
        <w:tabs>
          <w:tab w:val="center" w:pos="3339"/>
        </w:tabs>
        <w:spacing w:after="0" w:line="360" w:lineRule="auto"/>
        <w:ind w:left="-15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932C72">
        <w:rPr>
          <w:rFonts w:ascii="Arial" w:hAnsi="Arial" w:cs="Arial"/>
          <w:sz w:val="20"/>
          <w:szCs w:val="20"/>
          <w:vertAlign w:val="superscript"/>
        </w:rPr>
        <w:t>a</w:t>
      </w:r>
      <w:r w:rsidRPr="00932C72">
        <w:rPr>
          <w:rFonts w:ascii="Arial" w:hAnsi="Arial" w:cs="Arial"/>
          <w:sz w:val="20"/>
          <w:szCs w:val="20"/>
        </w:rPr>
        <w:t>Geometric</w:t>
      </w:r>
      <w:proofErr w:type="spellEnd"/>
      <w:proofErr w:type="gramEnd"/>
      <w:r w:rsidRPr="00932C72">
        <w:rPr>
          <w:rFonts w:ascii="Arial" w:hAnsi="Arial" w:cs="Arial"/>
          <w:sz w:val="20"/>
          <w:szCs w:val="20"/>
        </w:rPr>
        <w:t xml:space="preserve"> mean (geometric %CV) for all, except median (range) for </w:t>
      </w:r>
      <w:proofErr w:type="spellStart"/>
      <w:r w:rsidRPr="00932C72">
        <w:rPr>
          <w:rFonts w:ascii="Arial" w:hAnsi="Arial" w:cs="Arial"/>
          <w:sz w:val="20"/>
          <w:szCs w:val="20"/>
        </w:rPr>
        <w:t>T</w:t>
      </w:r>
      <w:r w:rsidRPr="00932C72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Pr="00932C72">
        <w:rPr>
          <w:rFonts w:ascii="Arial" w:hAnsi="Arial" w:cs="Arial"/>
          <w:sz w:val="20"/>
          <w:szCs w:val="20"/>
        </w:rPr>
        <w:t>.</w:t>
      </w:r>
    </w:p>
    <w:p w:rsidR="00F016E3" w:rsidRPr="00932C72" w:rsidRDefault="00F016E3" w:rsidP="00F016E3">
      <w:pPr>
        <w:spacing w:after="0" w:line="360" w:lineRule="auto"/>
        <w:ind w:left="-5" w:right="128"/>
        <w:rPr>
          <w:rFonts w:ascii="Arial" w:hAnsi="Arial" w:cs="Arial"/>
          <w:sz w:val="20"/>
          <w:szCs w:val="20"/>
        </w:rPr>
        <w:sectPr w:rsidR="00F016E3" w:rsidRPr="00932C72" w:rsidSect="001F2D8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932C72">
        <w:rPr>
          <w:rFonts w:ascii="Arial" w:hAnsi="Arial" w:cs="Arial"/>
          <w:sz w:val="20"/>
          <w:szCs w:val="20"/>
        </w:rPr>
        <w:t>%CV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percent coefficient of variation; </w:t>
      </w:r>
      <w:proofErr w:type="spellStart"/>
      <w:r w:rsidRPr="00932C72">
        <w:rPr>
          <w:rFonts w:ascii="Arial" w:hAnsi="Arial" w:cs="Arial"/>
          <w:sz w:val="20"/>
          <w:szCs w:val="20"/>
        </w:rPr>
        <w:t>AUC</w:t>
      </w:r>
      <w:r w:rsidRPr="00932C72">
        <w:rPr>
          <w:rFonts w:ascii="Arial" w:hAnsi="Arial" w:cs="Arial"/>
          <w:sz w:val="20"/>
          <w:szCs w:val="20"/>
          <w:vertAlign w:val="subscript"/>
        </w:rPr>
        <w:t>tau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area under the concentration–time profile from time 0 to time tau, the dosing interval, where tau = 24 hours (QD dosing); </w:t>
      </w:r>
      <w:proofErr w:type="spellStart"/>
      <w:r w:rsidRPr="00932C72">
        <w:rPr>
          <w:rFonts w:ascii="Arial" w:hAnsi="Arial" w:cs="Arial"/>
          <w:sz w:val="20"/>
          <w:szCs w:val="20"/>
        </w:rPr>
        <w:t>AUC</w:t>
      </w:r>
      <w:r w:rsidRPr="00932C72">
        <w:rPr>
          <w:rFonts w:ascii="Arial" w:hAnsi="Arial" w:cs="Arial"/>
          <w:sz w:val="20"/>
          <w:szCs w:val="20"/>
          <w:vertAlign w:val="subscript"/>
        </w:rPr>
        <w:t>tau</w:t>
      </w:r>
      <w:proofErr w:type="spellEnd"/>
      <w:r w:rsidRPr="00932C72">
        <w:rPr>
          <w:rFonts w:ascii="Arial" w:hAnsi="Arial" w:cs="Arial"/>
          <w:sz w:val="20"/>
          <w:szCs w:val="20"/>
        </w:rPr>
        <w:t>(</w:t>
      </w:r>
      <w:proofErr w:type="spellStart"/>
      <w:r w:rsidRPr="00932C72">
        <w:rPr>
          <w:rFonts w:ascii="Arial" w:hAnsi="Arial" w:cs="Arial"/>
          <w:sz w:val="20"/>
          <w:szCs w:val="20"/>
        </w:rPr>
        <w:t>dn</w:t>
      </w:r>
      <w:proofErr w:type="spellEnd"/>
      <w:r w:rsidRPr="00932C7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dose-normalized </w:t>
      </w:r>
      <w:proofErr w:type="spellStart"/>
      <w:r w:rsidRPr="00932C72">
        <w:rPr>
          <w:rFonts w:ascii="Arial" w:hAnsi="Arial" w:cs="Arial"/>
          <w:sz w:val="20"/>
          <w:szCs w:val="20"/>
        </w:rPr>
        <w:t>AUC</w:t>
      </w:r>
      <w:r w:rsidRPr="00932C72">
        <w:rPr>
          <w:rFonts w:ascii="Arial" w:hAnsi="Arial" w:cs="Arial"/>
          <w:sz w:val="20"/>
          <w:szCs w:val="20"/>
          <w:vertAlign w:val="subscript"/>
        </w:rPr>
        <w:t>tau</w:t>
      </w:r>
      <w:proofErr w:type="spellEnd"/>
      <w:r w:rsidRPr="00932C72">
        <w:rPr>
          <w:rFonts w:ascii="Arial" w:hAnsi="Arial" w:cs="Arial"/>
          <w:sz w:val="20"/>
          <w:szCs w:val="20"/>
        </w:rPr>
        <w:t>; CL/F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apparent clearance; </w:t>
      </w:r>
      <w:proofErr w:type="spellStart"/>
      <w:r w:rsidRPr="00932C72">
        <w:rPr>
          <w:rFonts w:ascii="Arial" w:hAnsi="Arial" w:cs="Arial"/>
          <w:sz w:val="20"/>
          <w:szCs w:val="20"/>
        </w:rPr>
        <w:t>C</w:t>
      </w:r>
      <w:r w:rsidRPr="00932C72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maximum observed concentration; </w:t>
      </w:r>
      <w:proofErr w:type="spellStart"/>
      <w:r w:rsidRPr="00932C72">
        <w:rPr>
          <w:rFonts w:ascii="Arial" w:hAnsi="Arial" w:cs="Arial"/>
          <w:sz w:val="20"/>
          <w:szCs w:val="20"/>
        </w:rPr>
        <w:t>C</w:t>
      </w:r>
      <w:r w:rsidRPr="00932C72">
        <w:rPr>
          <w:rFonts w:ascii="Arial" w:hAnsi="Arial" w:cs="Arial"/>
          <w:sz w:val="20"/>
          <w:szCs w:val="20"/>
          <w:vertAlign w:val="subscript"/>
        </w:rPr>
        <w:t>min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lowest concentration observed during the dosing interval; (</w:t>
      </w:r>
      <w:proofErr w:type="spellStart"/>
      <w:r w:rsidRPr="00932C72">
        <w:rPr>
          <w:rFonts w:ascii="Arial" w:hAnsi="Arial" w:cs="Arial"/>
          <w:sz w:val="20"/>
          <w:szCs w:val="20"/>
        </w:rPr>
        <w:t>dn</w:t>
      </w:r>
      <w:proofErr w:type="spellEnd"/>
      <w:r w:rsidRPr="00932C7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dose-normalized to 1-mg dose; LID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L-dopa–induced dyskinesia; MAD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multiple-ascending-dose; N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number of subjects in the treatment group and contributing to the mean; QD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once daily; </w:t>
      </w:r>
      <w:proofErr w:type="spellStart"/>
      <w:r w:rsidRPr="00932C72">
        <w:rPr>
          <w:rFonts w:ascii="Arial" w:hAnsi="Arial" w:cs="Arial"/>
          <w:sz w:val="20"/>
          <w:szCs w:val="20"/>
        </w:rPr>
        <w:t>T</w:t>
      </w:r>
      <w:r w:rsidRPr="00932C72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time to </w:t>
      </w:r>
      <w:proofErr w:type="spellStart"/>
      <w:r w:rsidRPr="00932C72">
        <w:rPr>
          <w:rFonts w:ascii="Arial" w:hAnsi="Arial" w:cs="Arial"/>
          <w:sz w:val="20"/>
          <w:szCs w:val="20"/>
        </w:rPr>
        <w:t>C</w:t>
      </w:r>
      <w:r w:rsidRPr="00932C72">
        <w:rPr>
          <w:rFonts w:ascii="Arial" w:hAnsi="Arial" w:cs="Arial"/>
          <w:sz w:val="20"/>
          <w:szCs w:val="20"/>
          <w:vertAlign w:val="subscript"/>
        </w:rPr>
        <w:t>max</w:t>
      </w:r>
      <w:proofErr w:type="spellEnd"/>
      <w:r w:rsidRPr="00932C72">
        <w:rPr>
          <w:rFonts w:ascii="Arial" w:hAnsi="Arial" w:cs="Arial"/>
          <w:sz w:val="20"/>
          <w:szCs w:val="20"/>
        </w:rPr>
        <w:t>.</w:t>
      </w:r>
    </w:p>
    <w:p w:rsidR="00F016E3" w:rsidRPr="006A75BF" w:rsidRDefault="00F016E3" w:rsidP="00F016E3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FF591B">
        <w:rPr>
          <w:rFonts w:ascii="Arial" w:hAnsi="Arial" w:cs="Arial"/>
          <w:b/>
          <w:sz w:val="24"/>
          <w:szCs w:val="24"/>
        </w:rPr>
        <w:lastRenderedPageBreak/>
        <w:t>Supplementary Table 5</w:t>
      </w:r>
      <w:r w:rsidRPr="006A75BF">
        <w:rPr>
          <w:rFonts w:ascii="Arial" w:hAnsi="Arial" w:cs="Arial"/>
          <w:sz w:val="24"/>
          <w:szCs w:val="24"/>
        </w:rPr>
        <w:t xml:space="preserve"> All-caus</w:t>
      </w:r>
      <w:r>
        <w:rPr>
          <w:rFonts w:ascii="Arial" w:hAnsi="Arial" w:cs="Arial"/>
          <w:sz w:val="24"/>
          <w:szCs w:val="24"/>
        </w:rPr>
        <w:t>ality TEAEs in the SAD and MAD studies (t</w:t>
      </w:r>
      <w:r w:rsidRPr="006A75BF">
        <w:rPr>
          <w:rFonts w:ascii="Arial" w:hAnsi="Arial" w:cs="Arial"/>
          <w:sz w:val="24"/>
          <w:szCs w:val="24"/>
        </w:rPr>
        <w:t>reatment-</w:t>
      </w:r>
      <w:proofErr w:type="spellStart"/>
      <w:r w:rsidRPr="006A75BF">
        <w:rPr>
          <w:rFonts w:ascii="Arial" w:hAnsi="Arial" w:cs="Arial"/>
          <w:sz w:val="24"/>
          <w:szCs w:val="24"/>
        </w:rPr>
        <w:t>related</w:t>
      </w:r>
      <w:r w:rsidRPr="00947ADA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 w:rsidRPr="006A75BF">
        <w:rPr>
          <w:rFonts w:ascii="Arial" w:hAnsi="Arial" w:cs="Arial"/>
          <w:sz w:val="24"/>
          <w:szCs w:val="24"/>
        </w:rPr>
        <w:t>)</w:t>
      </w:r>
    </w:p>
    <w:tbl>
      <w:tblPr>
        <w:tblStyle w:val="TableGrid10"/>
        <w:tblW w:w="5000" w:type="pct"/>
        <w:tblInd w:w="0" w:type="dxa"/>
        <w:tblCellMar>
          <w:top w:w="17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1940"/>
        <w:gridCol w:w="1939"/>
        <w:gridCol w:w="42"/>
        <w:gridCol w:w="1939"/>
        <w:gridCol w:w="45"/>
        <w:gridCol w:w="1939"/>
        <w:gridCol w:w="42"/>
        <w:gridCol w:w="1939"/>
        <w:gridCol w:w="1908"/>
        <w:gridCol w:w="68"/>
      </w:tblGrid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SAD Study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Number of subjects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Placebo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PF-06649751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0.75 mg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PF-06649751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1.5 mg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3 mg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6 mg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9 mg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Number of evaluable subjects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6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Number of AEs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9 (4)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1 (0) 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(2)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15 (13)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14 (13)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5 (3)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Subjects with AEs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6 (3) 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(0)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2 (2)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7 (6)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 (4)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 (2)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Subjects with SAEs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Subjects with severe AEs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Discontinuations due to AEs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Dose reductions or temporary discontinuations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0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MAD Study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F016E3" w:rsidRPr="00932C72" w:rsidTr="008A7309">
        <w:trPr>
          <w:gridAfter w:val="1"/>
          <w:wAfter w:w="24" w:type="pct"/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lastRenderedPageBreak/>
              <w:t>Number of subjects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L-dopa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3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 5 mg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4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 15 mg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5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 LID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6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 25 mg</w:t>
            </w:r>
          </w:p>
        </w:tc>
      </w:tr>
      <w:tr w:rsidR="00F016E3" w:rsidRPr="00932C72" w:rsidTr="008A7309">
        <w:trPr>
          <w:gridAfter w:val="1"/>
          <w:wAfter w:w="24" w:type="pct"/>
          <w:trHeight w:val="252"/>
        </w:trPr>
        <w:tc>
          <w:tcPr>
            <w:tcW w:w="807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Number of evaluable subjects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50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9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11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6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19</w:t>
            </w:r>
          </w:p>
        </w:tc>
      </w:tr>
      <w:tr w:rsidR="00F016E3" w:rsidRPr="00932C72" w:rsidTr="008A7309">
        <w:trPr>
          <w:gridAfter w:val="1"/>
          <w:wAfter w:w="24" w:type="pct"/>
          <w:trHeight w:val="461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Number of AEs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13 (4)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43 (32)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26 (24)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27 (17)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63 (48)</w:t>
            </w:r>
          </w:p>
        </w:tc>
      </w:tr>
      <w:tr w:rsidR="00F016E3" w:rsidRPr="00932C72" w:rsidTr="008A7309">
        <w:trPr>
          <w:gridAfter w:val="1"/>
          <w:wAfter w:w="24" w:type="pct"/>
          <w:trHeight w:val="458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Subjects with AEs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9 (4)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9 (8)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7 (7)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5 (5)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15 (14)</w:t>
            </w:r>
          </w:p>
        </w:tc>
      </w:tr>
      <w:tr w:rsidR="00F016E3" w:rsidRPr="00932C72" w:rsidTr="008A7309">
        <w:trPr>
          <w:gridAfter w:val="1"/>
          <w:wAfter w:w="24" w:type="pct"/>
          <w:trHeight w:val="238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Subjects with SAEs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(0)</w:t>
            </w:r>
          </w:p>
        </w:tc>
      </w:tr>
      <w:tr w:rsidR="00F016E3" w:rsidRPr="00932C72" w:rsidTr="008A7309">
        <w:trPr>
          <w:gridAfter w:val="1"/>
          <w:wAfter w:w="24" w:type="pct"/>
          <w:trHeight w:val="238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Subjects with severe AEs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3 (2)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Discontinuations due to AEs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7 (5)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Dose reductions or temporary discontinuations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3 (3)</w:t>
            </w:r>
          </w:p>
        </w:tc>
      </w:tr>
    </w:tbl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947ADA">
        <w:rPr>
          <w:rFonts w:ascii="Arial" w:hAnsi="Arial" w:cs="Arial"/>
          <w:sz w:val="20"/>
          <w:szCs w:val="20"/>
          <w:vertAlign w:val="superscript"/>
        </w:rPr>
        <w:t>a</w:t>
      </w:r>
      <w:r w:rsidRPr="00932C72">
        <w:rPr>
          <w:rFonts w:ascii="Arial" w:hAnsi="Arial" w:cs="Arial"/>
          <w:sz w:val="20"/>
          <w:szCs w:val="20"/>
        </w:rPr>
        <w:t>As</w:t>
      </w:r>
      <w:proofErr w:type="spellEnd"/>
      <w:proofErr w:type="gramEnd"/>
      <w:r w:rsidRPr="00932C72">
        <w:rPr>
          <w:rFonts w:ascii="Arial" w:hAnsi="Arial" w:cs="Arial"/>
          <w:sz w:val="20"/>
          <w:szCs w:val="20"/>
        </w:rPr>
        <w:t xml:space="preserve"> judged by the investigator. </w:t>
      </w:r>
    </w:p>
    <w:p w:rsidR="00F016E3" w:rsidRPr="00932C72" w:rsidRDefault="00F016E3" w:rsidP="00F016E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932C72">
        <w:rPr>
          <w:rFonts w:ascii="Arial" w:hAnsi="Arial" w:cs="Arial"/>
          <w:sz w:val="20"/>
          <w:szCs w:val="20"/>
        </w:rPr>
        <w:t>AE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adverse event; L-dopa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levodopa; LID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L-dopa–induced dyskinesia; MAD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multiple-ascending dose; SAD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single-ascending dose; SAE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serious adverse event; TEAE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treatment-emergent adverse event.</w:t>
      </w:r>
    </w:p>
    <w:p w:rsidR="00F016E3" w:rsidRDefault="00F016E3" w:rsidP="00F016E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F016E3" w:rsidRPr="006A75BF" w:rsidRDefault="00F016E3" w:rsidP="00F016E3">
      <w:pPr>
        <w:rPr>
          <w:rFonts w:ascii="Arial" w:hAnsi="Arial" w:cs="Arial"/>
          <w:caps/>
          <w:sz w:val="24"/>
          <w:szCs w:val="24"/>
        </w:rPr>
      </w:pPr>
      <w:r w:rsidRPr="00FF591B">
        <w:rPr>
          <w:rFonts w:ascii="Arial" w:hAnsi="Arial" w:cs="Arial"/>
          <w:b/>
          <w:sz w:val="24"/>
          <w:szCs w:val="24"/>
        </w:rPr>
        <w:lastRenderedPageBreak/>
        <w:t>Supplementary Table 6</w:t>
      </w:r>
      <w:r>
        <w:rPr>
          <w:rFonts w:ascii="Arial" w:hAnsi="Arial" w:cs="Arial"/>
          <w:sz w:val="24"/>
          <w:szCs w:val="24"/>
        </w:rPr>
        <w:t xml:space="preserve"> Incidence of all-causality (treatment-</w:t>
      </w:r>
      <w:proofErr w:type="spellStart"/>
      <w:r>
        <w:rPr>
          <w:rFonts w:ascii="Arial" w:hAnsi="Arial" w:cs="Arial"/>
          <w:sz w:val="24"/>
          <w:szCs w:val="24"/>
        </w:rPr>
        <w:t>related</w:t>
      </w:r>
      <w:r w:rsidRPr="00947ADA">
        <w:rPr>
          <w:rFonts w:ascii="Arial" w:hAnsi="Arial" w:cs="Arial"/>
          <w:sz w:val="24"/>
          <w:szCs w:val="24"/>
          <w:vertAlign w:val="superscript"/>
        </w:rPr>
        <w:t>a</w:t>
      </w:r>
      <w:proofErr w:type="spellEnd"/>
      <w:r>
        <w:rPr>
          <w:rFonts w:ascii="Arial" w:hAnsi="Arial" w:cs="Arial"/>
          <w:sz w:val="24"/>
          <w:szCs w:val="24"/>
        </w:rPr>
        <w:t>) treatment-emergent adverse events occurring in ≥2 s</w:t>
      </w:r>
      <w:r w:rsidRPr="006A75BF">
        <w:rPr>
          <w:rFonts w:ascii="Arial" w:hAnsi="Arial" w:cs="Arial"/>
          <w:sz w:val="24"/>
          <w:szCs w:val="24"/>
        </w:rPr>
        <w:t>ubjects</w:t>
      </w:r>
    </w:p>
    <w:tbl>
      <w:tblPr>
        <w:tblStyle w:val="TableGrid10"/>
        <w:tblW w:w="5000" w:type="pct"/>
        <w:tblInd w:w="0" w:type="dxa"/>
        <w:tblCellMar>
          <w:top w:w="17" w:type="dxa"/>
          <w:right w:w="115" w:type="dxa"/>
        </w:tblCellMar>
        <w:tblLook w:val="04A0" w:firstRow="1" w:lastRow="0" w:firstColumn="1" w:lastColumn="0" w:noHBand="0" w:noVBand="1"/>
      </w:tblPr>
      <w:tblGrid>
        <w:gridCol w:w="2272"/>
        <w:gridCol w:w="1940"/>
        <w:gridCol w:w="1939"/>
        <w:gridCol w:w="42"/>
        <w:gridCol w:w="1939"/>
        <w:gridCol w:w="45"/>
        <w:gridCol w:w="1939"/>
        <w:gridCol w:w="42"/>
        <w:gridCol w:w="1939"/>
        <w:gridCol w:w="1908"/>
        <w:gridCol w:w="68"/>
      </w:tblGrid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SAD Study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Placebo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17)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PF-06649751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0.75 mg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6)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PF-06649751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1.5 mg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6)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3 mg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12)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6 mg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6)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PF-06649751 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9 mg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6)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Nausea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2 (2)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2 (2)</w:t>
            </w: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(1)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Vomiting</w:t>
            </w:r>
          </w:p>
        </w:tc>
        <w:tc>
          <w:tcPr>
            <w:tcW w:w="689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689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932C72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eastAsiaTheme="minorHAnsi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702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Headache</w:t>
            </w:r>
          </w:p>
        </w:tc>
        <w:tc>
          <w:tcPr>
            <w:tcW w:w="689" w:type="pct"/>
            <w:tcBorders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4 (2)</w:t>
            </w:r>
          </w:p>
        </w:tc>
        <w:tc>
          <w:tcPr>
            <w:tcW w:w="689" w:type="pct"/>
            <w:tcBorders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 xml:space="preserve">0 </w:t>
            </w:r>
          </w:p>
        </w:tc>
        <w:tc>
          <w:tcPr>
            <w:tcW w:w="704" w:type="pct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(1)</w:t>
            </w:r>
          </w:p>
        </w:tc>
        <w:tc>
          <w:tcPr>
            <w:tcW w:w="705" w:type="pct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 (2)</w:t>
            </w:r>
          </w:p>
        </w:tc>
        <w:tc>
          <w:tcPr>
            <w:tcW w:w="704" w:type="pct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1 (1)</w:t>
            </w:r>
          </w:p>
        </w:tc>
        <w:tc>
          <w:tcPr>
            <w:tcW w:w="702" w:type="pct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3 (1)</w:t>
            </w:r>
          </w:p>
        </w:tc>
      </w:tr>
      <w:tr w:rsidR="00F016E3" w:rsidRPr="00932C72" w:rsidTr="008A7309">
        <w:trPr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MAD Study</w:t>
            </w: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F016E3" w:rsidRPr="00932C72" w:rsidTr="008A7309">
        <w:trPr>
          <w:gridAfter w:val="1"/>
          <w:wAfter w:w="24" w:type="pct"/>
          <w:trHeight w:val="240"/>
        </w:trPr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932C72" w:rsidRDefault="00F016E3" w:rsidP="008A7309">
            <w:pPr>
              <w:spacing w:line="360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L-dopa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50)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3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 5 mg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9)</w:t>
            </w:r>
          </w:p>
        </w:tc>
        <w:tc>
          <w:tcPr>
            <w:tcW w:w="705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4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 15 mg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11)</w:t>
            </w:r>
          </w:p>
        </w:tc>
        <w:tc>
          <w:tcPr>
            <w:tcW w:w="70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5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 LID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6)</w:t>
            </w:r>
          </w:p>
        </w:tc>
        <w:tc>
          <w:tcPr>
            <w:tcW w:w="136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016E3" w:rsidRPr="00FF591B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Cohort 6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PF-06649751 25 mg</w:t>
            </w:r>
            <w:r w:rsidRPr="00FF591B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br/>
              <w:t>(n = 19)</w:t>
            </w:r>
          </w:p>
        </w:tc>
      </w:tr>
      <w:tr w:rsidR="00F016E3" w:rsidRPr="00932C72" w:rsidTr="008A7309">
        <w:trPr>
          <w:gridAfter w:val="1"/>
          <w:wAfter w:w="24" w:type="pct"/>
          <w:trHeight w:val="461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Abdominal discomfort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(0)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(0)</w:t>
            </w:r>
          </w:p>
        </w:tc>
      </w:tr>
      <w:tr w:rsidR="00F016E3" w:rsidRPr="00932C72" w:rsidTr="008A7309">
        <w:trPr>
          <w:gridAfter w:val="1"/>
          <w:wAfter w:w="24" w:type="pct"/>
          <w:trHeight w:val="458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Constipation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(0)</w:t>
            </w:r>
          </w:p>
        </w:tc>
      </w:tr>
      <w:tr w:rsidR="00F016E3" w:rsidRPr="00932C72" w:rsidTr="008A7309">
        <w:trPr>
          <w:gridAfter w:val="1"/>
          <w:wAfter w:w="24" w:type="pct"/>
          <w:trHeight w:val="238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Nausea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4 (2)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3 (3)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8 (8)</w:t>
            </w:r>
          </w:p>
        </w:tc>
      </w:tr>
      <w:tr w:rsidR="00F016E3" w:rsidRPr="00932C72" w:rsidTr="008A7309">
        <w:trPr>
          <w:gridAfter w:val="1"/>
          <w:wAfter w:w="24" w:type="pct"/>
          <w:trHeight w:val="238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Vomiting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4 (3)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Neck pain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(0)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(0)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(0)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lastRenderedPageBreak/>
              <w:t>Dizziness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 xml:space="preserve">0  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(1)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5 (5)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 xml:space="preserve">Headache 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6 (5)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7 (7)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3 (3)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8 (7)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 xml:space="preserve">Somnolence 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(0)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(1)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 xml:space="preserve">Abnormal dreams </w:t>
            </w:r>
          </w:p>
        </w:tc>
        <w:tc>
          <w:tcPr>
            <w:tcW w:w="689" w:type="pct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3 (3)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3 (3)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689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705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  <w:tc>
          <w:tcPr>
            <w:tcW w:w="1367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Agitation</w:t>
            </w:r>
          </w:p>
        </w:tc>
        <w:tc>
          <w:tcPr>
            <w:tcW w:w="689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5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1367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Anxiety</w:t>
            </w:r>
          </w:p>
        </w:tc>
        <w:tc>
          <w:tcPr>
            <w:tcW w:w="689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(0)</w:t>
            </w:r>
          </w:p>
        </w:tc>
        <w:tc>
          <w:tcPr>
            <w:tcW w:w="705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1367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Insomnia</w:t>
            </w:r>
          </w:p>
        </w:tc>
        <w:tc>
          <w:tcPr>
            <w:tcW w:w="689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3 (0)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3 (3)</w:t>
            </w:r>
          </w:p>
        </w:tc>
        <w:tc>
          <w:tcPr>
            <w:tcW w:w="705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1367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 xml:space="preserve">Nightmare </w:t>
            </w:r>
          </w:p>
        </w:tc>
        <w:tc>
          <w:tcPr>
            <w:tcW w:w="689" w:type="pct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1 (1)</w:t>
            </w:r>
          </w:p>
        </w:tc>
        <w:tc>
          <w:tcPr>
            <w:tcW w:w="705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1367" w:type="pct"/>
            <w:gridSpan w:val="2"/>
            <w:tcBorders>
              <w:left w:val="nil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</w:tr>
      <w:tr w:rsidR="00F016E3" w:rsidRPr="00932C72" w:rsidTr="008A7309">
        <w:trPr>
          <w:gridAfter w:val="1"/>
          <w:wAfter w:w="24" w:type="pct"/>
          <w:trHeight w:val="453"/>
        </w:trPr>
        <w:tc>
          <w:tcPr>
            <w:tcW w:w="8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108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 xml:space="preserve">Hyperhidrosis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2 (2)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ind w:left="22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  <w:tc>
          <w:tcPr>
            <w:tcW w:w="13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16E3" w:rsidRPr="00932C72" w:rsidRDefault="00F016E3" w:rsidP="008A7309">
            <w:pPr>
              <w:spacing w:line="360" w:lineRule="auto"/>
              <w:jc w:val="center"/>
              <w:rPr>
                <w:rFonts w:ascii="Arial" w:eastAsiaTheme="minorHAnsi" w:hAnsi="Arial" w:cs="Arial"/>
                <w:sz w:val="20"/>
                <w:lang w:eastAsia="en-US"/>
              </w:rPr>
            </w:pPr>
            <w:r w:rsidRPr="00932C72">
              <w:rPr>
                <w:rFonts w:ascii="Arial" w:eastAsiaTheme="minorHAnsi" w:hAnsi="Arial" w:cs="Arial"/>
                <w:sz w:val="20"/>
                <w:lang w:eastAsia="en-US"/>
              </w:rPr>
              <w:t>0</w:t>
            </w:r>
          </w:p>
        </w:tc>
      </w:tr>
    </w:tbl>
    <w:p w:rsidR="00F016E3" w:rsidRPr="00932C72" w:rsidRDefault="00F016E3" w:rsidP="00F016E3">
      <w:pPr>
        <w:spacing w:after="0"/>
        <w:rPr>
          <w:rFonts w:ascii="Arial" w:eastAsia="Times New Roman" w:hAnsi="Arial" w:cs="Arial"/>
          <w:sz w:val="20"/>
          <w:szCs w:val="20"/>
        </w:rPr>
      </w:pPr>
      <w:proofErr w:type="spellStart"/>
      <w:proofErr w:type="gramStart"/>
      <w:r w:rsidRPr="00947ADA">
        <w:rPr>
          <w:rFonts w:ascii="Arial" w:hAnsi="Arial" w:cs="Arial"/>
          <w:sz w:val="20"/>
          <w:szCs w:val="20"/>
          <w:vertAlign w:val="superscript"/>
        </w:rPr>
        <w:t>a</w:t>
      </w:r>
      <w:r w:rsidRPr="00932C72">
        <w:rPr>
          <w:rFonts w:ascii="Arial" w:hAnsi="Arial" w:cs="Arial"/>
          <w:sz w:val="20"/>
          <w:szCs w:val="20"/>
        </w:rPr>
        <w:t>As</w:t>
      </w:r>
      <w:proofErr w:type="spellEnd"/>
      <w:proofErr w:type="gramEnd"/>
      <w:r w:rsidRPr="00932C72">
        <w:rPr>
          <w:rFonts w:ascii="Arial" w:hAnsi="Arial" w:cs="Arial"/>
          <w:sz w:val="20"/>
          <w:szCs w:val="20"/>
        </w:rPr>
        <w:t xml:space="preserve"> judged by the investigator.</w:t>
      </w:r>
    </w:p>
    <w:p w:rsidR="00F016E3" w:rsidRPr="00932C72" w:rsidRDefault="00F016E3" w:rsidP="00F016E3">
      <w:pPr>
        <w:spacing w:after="0"/>
        <w:rPr>
          <w:rFonts w:ascii="Arial" w:eastAsia="Times New Roman" w:hAnsi="Arial" w:cs="Arial"/>
          <w:sz w:val="20"/>
          <w:szCs w:val="20"/>
        </w:rPr>
      </w:pPr>
      <w:r w:rsidRPr="00932C72">
        <w:rPr>
          <w:rFonts w:ascii="Arial" w:eastAsia="Times New Roman" w:hAnsi="Arial" w:cs="Arial"/>
          <w:sz w:val="20"/>
          <w:szCs w:val="20"/>
        </w:rPr>
        <w:t>Subjects were counted only once per treatment in each row. Medical Dictionary for Regulatory Activities (Version 18.1) coding dictionary applied.</w:t>
      </w:r>
    </w:p>
    <w:p w:rsidR="00F016E3" w:rsidRPr="00932C72" w:rsidRDefault="00F016E3" w:rsidP="00F016E3">
      <w:pPr>
        <w:spacing w:after="0"/>
        <w:rPr>
          <w:rFonts w:ascii="Arial" w:eastAsia="Times New Roman" w:hAnsi="Arial" w:cs="Arial"/>
          <w:sz w:val="20"/>
          <w:szCs w:val="20"/>
        </w:rPr>
      </w:pPr>
      <w:r w:rsidRPr="00932C72">
        <w:rPr>
          <w:rFonts w:ascii="Arial" w:eastAsia="Times New Roman" w:hAnsi="Arial" w:cs="Arial"/>
          <w:sz w:val="20"/>
          <w:szCs w:val="20"/>
        </w:rPr>
        <w:t>MAD Study: For each cohort, L-dopa treatment group refers to Period 1, Days 1–2 and PF-06649751 treatment group refers to Period 2, Days 3–24 and follow-up.</w:t>
      </w:r>
    </w:p>
    <w:p w:rsidR="00F016E3" w:rsidRPr="00C22117" w:rsidRDefault="00F016E3" w:rsidP="00F016E3">
      <w:pPr>
        <w:spacing w:after="0"/>
        <w:rPr>
          <w:rFonts w:ascii="Arial" w:eastAsia="Times New Roman" w:hAnsi="Arial" w:cs="Arial"/>
        </w:rPr>
      </w:pPr>
      <w:proofErr w:type="gramStart"/>
      <w:r w:rsidRPr="00932C72">
        <w:rPr>
          <w:rFonts w:ascii="Arial" w:hAnsi="Arial" w:cs="Arial"/>
          <w:sz w:val="20"/>
          <w:szCs w:val="20"/>
        </w:rPr>
        <w:t>L-dopa</w:t>
      </w:r>
      <w:r>
        <w:rPr>
          <w:rFonts w:ascii="Arial" w:hAnsi="Arial" w:cs="Arial"/>
          <w:sz w:val="20"/>
          <w:szCs w:val="20"/>
        </w:rPr>
        <w:t>,</w:t>
      </w:r>
      <w:r w:rsidRPr="00932C72">
        <w:rPr>
          <w:rFonts w:ascii="Arial" w:hAnsi="Arial" w:cs="Arial"/>
          <w:sz w:val="20"/>
          <w:szCs w:val="20"/>
        </w:rPr>
        <w:t xml:space="preserve"> levodopa;</w:t>
      </w:r>
      <w:r w:rsidRPr="00932C72">
        <w:rPr>
          <w:rFonts w:ascii="Arial" w:eastAsia="Times New Roman" w:hAnsi="Arial" w:cs="Arial"/>
          <w:sz w:val="20"/>
          <w:szCs w:val="20"/>
        </w:rPr>
        <w:t xml:space="preserve"> LID, L-dopa induced dyskinesia; MAD, multiple-ascending dose; SAD, single-ascending dose.</w:t>
      </w:r>
      <w:proofErr w:type="gramEnd"/>
    </w:p>
    <w:p w:rsidR="008A2411" w:rsidRDefault="008A2411">
      <w:bookmarkStart w:id="1" w:name="_GoBack"/>
      <w:bookmarkEnd w:id="1"/>
    </w:p>
    <w:sectPr w:rsidR="008A2411" w:rsidSect="00896674">
      <w:footerReference w:type="default" r:id="rId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73513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5BE9" w:rsidRDefault="00F016E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D5BE9" w:rsidRDefault="00F016E3">
    <w:pPr>
      <w:pStyle w:val="Footer"/>
    </w:pPr>
  </w:p>
  <w:p w:rsidR="00DD5BE9" w:rsidRDefault="00F016E3"/>
  <w:p w:rsidR="00DD5BE9" w:rsidRDefault="00F016E3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C28"/>
    <w:rsid w:val="00251807"/>
    <w:rsid w:val="002620D2"/>
    <w:rsid w:val="00265F18"/>
    <w:rsid w:val="002C1912"/>
    <w:rsid w:val="003D7C28"/>
    <w:rsid w:val="004E2B28"/>
    <w:rsid w:val="005319A2"/>
    <w:rsid w:val="00617C90"/>
    <w:rsid w:val="006E67FF"/>
    <w:rsid w:val="00885199"/>
    <w:rsid w:val="008A2411"/>
    <w:rsid w:val="009E068B"/>
    <w:rsid w:val="00B02AC1"/>
    <w:rsid w:val="00E12084"/>
    <w:rsid w:val="00F016E3"/>
    <w:rsid w:val="00F761B5"/>
    <w:rsid w:val="00FB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6E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1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6E3"/>
    <w:rPr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F01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Grid1"/>
    <w:rsid w:val="00F016E3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F01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6E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16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6E3"/>
    <w:rPr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F01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Grid1"/>
    <w:rsid w:val="00F016E3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F01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1136</Words>
  <Characters>6479</Characters>
  <Application>Microsoft Office Word</Application>
  <DocSecurity>0</DocSecurity>
  <Lines>53</Lines>
  <Paragraphs>15</Paragraphs>
  <ScaleCrop>false</ScaleCrop>
  <Company>Springer-SBM</Company>
  <LinksUpToDate>false</LinksUpToDate>
  <CharactersWithSpaces>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Dearden, Deborah, Springer Healthcare UK</dc:creator>
  <cp:keywords/>
  <dc:description/>
  <cp:lastModifiedBy>Dearden, Deborah, Springer Healthcare UK</cp:lastModifiedBy>
  <cp:revision>2</cp:revision>
  <dcterms:created xsi:type="dcterms:W3CDTF">2018-10-11T09:20:00Z</dcterms:created>
  <dcterms:modified xsi:type="dcterms:W3CDTF">2018-10-11T09:20:00Z</dcterms:modified>
</cp:coreProperties>
</file>