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DFA" w:rsidRDefault="00705DFA" w:rsidP="00705DFA">
      <w:pPr>
        <w:pStyle w:val="Heading1"/>
      </w:pPr>
      <w:r>
        <w:t>Supplementary Material</w:t>
      </w:r>
    </w:p>
    <w:p w:rsidR="00705DFA" w:rsidRPr="00705DFA" w:rsidRDefault="00705DFA" w:rsidP="00705DFA">
      <w:pPr>
        <w:spacing w:after="0" w:line="480" w:lineRule="auto"/>
        <w:rPr>
          <w:rFonts w:ascii="Arial" w:hAnsi="Arial" w:cs="Arial"/>
          <w:b/>
          <w:sz w:val="24"/>
          <w:szCs w:val="24"/>
        </w:rPr>
      </w:pPr>
      <w:r w:rsidRPr="0074507B">
        <w:rPr>
          <w:rFonts w:ascii="Arial" w:hAnsi="Arial" w:cs="Arial"/>
          <w:b/>
          <w:sz w:val="24"/>
          <w:szCs w:val="24"/>
        </w:rPr>
        <w:t xml:space="preserve">Table </w:t>
      </w:r>
      <w:r>
        <w:rPr>
          <w:rFonts w:ascii="Arial" w:hAnsi="Arial" w:cs="Arial"/>
          <w:b/>
          <w:sz w:val="24"/>
          <w:szCs w:val="24"/>
        </w:rPr>
        <w:t>S</w:t>
      </w:r>
      <w:r w:rsidRPr="0074507B">
        <w:rPr>
          <w:rFonts w:ascii="Arial" w:hAnsi="Arial" w:cs="Arial"/>
          <w:b/>
          <w:sz w:val="24"/>
          <w:szCs w:val="24"/>
        </w:rPr>
        <w:t xml:space="preserve">1 </w:t>
      </w:r>
      <w:r>
        <w:rPr>
          <w:rFonts w:ascii="Arial" w:hAnsi="Arial" w:cs="Arial"/>
          <w:sz w:val="24"/>
          <w:szCs w:val="24"/>
        </w:rPr>
        <w:t>I</w:t>
      </w:r>
      <w:r w:rsidRPr="0074507B">
        <w:rPr>
          <w:rFonts w:ascii="Arial" w:hAnsi="Arial" w:cs="Arial"/>
          <w:sz w:val="24"/>
          <w:szCs w:val="24"/>
        </w:rPr>
        <w:t xml:space="preserve">nclusion and exclusion criteria for the NEURO-TTRansform </w:t>
      </w:r>
      <w:proofErr w:type="spellStart"/>
      <w:r w:rsidRPr="0074507B">
        <w:rPr>
          <w:rFonts w:ascii="Arial" w:hAnsi="Arial" w:cs="Arial"/>
          <w:sz w:val="24"/>
          <w:szCs w:val="24"/>
        </w:rPr>
        <w:t>study</w:t>
      </w:r>
      <w:r w:rsidRPr="0074507B">
        <w:rPr>
          <w:rFonts w:ascii="Arial" w:hAnsi="Arial" w:cs="Arial"/>
          <w:sz w:val="24"/>
          <w:szCs w:val="24"/>
          <w:vertAlign w:val="superscript"/>
        </w:rPr>
        <w:t>a</w:t>
      </w:r>
      <w:proofErr w:type="spellEnd"/>
      <w:r w:rsidRPr="0074507B">
        <w:rPr>
          <w:rFonts w:ascii="Arial" w:hAnsi="Arial" w:cs="Arial"/>
          <w:sz w:val="24"/>
          <w:szCs w:val="24"/>
        </w:rPr>
        <w:t xml:space="preserve"> </w:t>
      </w:r>
    </w:p>
    <w:p w:rsidR="00705DFA" w:rsidRDefault="00705DFA"/>
    <w:tbl>
      <w:tblPr>
        <w:tblStyle w:val="TableGrid"/>
        <w:tblW w:w="0" w:type="auto"/>
        <w:tblLook w:val="04A0" w:firstRow="1" w:lastRow="0" w:firstColumn="1" w:lastColumn="0" w:noHBand="0" w:noVBand="1"/>
      </w:tblPr>
      <w:tblGrid>
        <w:gridCol w:w="9350"/>
      </w:tblGrid>
      <w:tr w:rsidR="00705DFA" w:rsidTr="00705DFA">
        <w:tc>
          <w:tcPr>
            <w:tcW w:w="9350" w:type="dxa"/>
          </w:tcPr>
          <w:p w:rsidR="00705DFA" w:rsidRPr="0074507B" w:rsidRDefault="00705DFA" w:rsidP="00705DFA">
            <w:pPr>
              <w:spacing w:before="60" w:after="60" w:line="360" w:lineRule="auto"/>
              <w:rPr>
                <w:rFonts w:ascii="Arial" w:hAnsi="Arial" w:cs="Arial"/>
                <w:b/>
                <w:sz w:val="20"/>
                <w:szCs w:val="20"/>
              </w:rPr>
            </w:pPr>
            <w:r w:rsidRPr="0074507B">
              <w:rPr>
                <w:rFonts w:ascii="Arial" w:hAnsi="Arial" w:cs="Arial"/>
                <w:b/>
                <w:sz w:val="20"/>
                <w:szCs w:val="20"/>
              </w:rPr>
              <w:t>Inclusion criteria</w:t>
            </w:r>
          </w:p>
        </w:tc>
      </w:tr>
      <w:tr w:rsidR="00705DFA" w:rsidTr="000E5A3A">
        <w:tc>
          <w:tcPr>
            <w:tcW w:w="9350" w:type="dxa"/>
            <w:vAlign w:val="center"/>
          </w:tcPr>
          <w:p w:rsidR="00705DFA" w:rsidRPr="0074507B" w:rsidRDefault="00705DFA" w:rsidP="000E5A3A">
            <w:pPr>
              <w:spacing w:line="360" w:lineRule="auto"/>
              <w:ind w:firstLine="330"/>
              <w:rPr>
                <w:rFonts w:ascii="Arial" w:hAnsi="Arial" w:cs="Arial"/>
                <w:sz w:val="20"/>
                <w:szCs w:val="20"/>
              </w:rPr>
            </w:pPr>
            <w:r w:rsidRPr="0074507B">
              <w:rPr>
                <w:rFonts w:ascii="Arial" w:hAnsi="Arial" w:cs="Arial"/>
                <w:sz w:val="20"/>
                <w:szCs w:val="20"/>
              </w:rPr>
              <w:t>Age: 18–82 years</w:t>
            </w:r>
          </w:p>
        </w:tc>
      </w:tr>
      <w:tr w:rsidR="00705DFA" w:rsidTr="000E5A3A">
        <w:tc>
          <w:tcPr>
            <w:tcW w:w="9350" w:type="dxa"/>
            <w:vAlign w:val="center"/>
          </w:tcPr>
          <w:p w:rsidR="00705DFA" w:rsidRPr="0074507B" w:rsidRDefault="00705DFA" w:rsidP="000E5A3A">
            <w:pPr>
              <w:spacing w:line="360" w:lineRule="auto"/>
              <w:ind w:left="420" w:hanging="90"/>
              <w:rPr>
                <w:rFonts w:ascii="Arial" w:hAnsi="Arial" w:cs="Arial"/>
                <w:sz w:val="20"/>
                <w:szCs w:val="20"/>
              </w:rPr>
            </w:pPr>
            <w:r w:rsidRPr="0074507B">
              <w:rPr>
                <w:rFonts w:ascii="Arial" w:hAnsi="Arial" w:cs="Arial"/>
                <w:sz w:val="20"/>
                <w:szCs w:val="20"/>
              </w:rPr>
              <w:t xml:space="preserve">ATTR-PN as defined by meeting all </w:t>
            </w:r>
            <w:r>
              <w:rPr>
                <w:rFonts w:ascii="Arial" w:hAnsi="Arial" w:cs="Arial"/>
                <w:sz w:val="20"/>
                <w:szCs w:val="20"/>
              </w:rPr>
              <w:t>three</w:t>
            </w:r>
            <w:r w:rsidRPr="0074507B">
              <w:rPr>
                <w:rFonts w:ascii="Arial" w:hAnsi="Arial" w:cs="Arial"/>
                <w:sz w:val="20"/>
                <w:szCs w:val="20"/>
              </w:rPr>
              <w:t xml:space="preserve"> of the following criteria:</w:t>
            </w:r>
          </w:p>
          <w:p w:rsidR="00705DFA" w:rsidRPr="0074507B" w:rsidRDefault="00705DFA" w:rsidP="000E5A3A">
            <w:pPr>
              <w:numPr>
                <w:ilvl w:val="1"/>
                <w:numId w:val="1"/>
              </w:numPr>
              <w:tabs>
                <w:tab w:val="clear" w:pos="1440"/>
                <w:tab w:val="num" w:pos="780"/>
              </w:tabs>
              <w:spacing w:line="360" w:lineRule="auto"/>
              <w:ind w:left="780" w:hanging="270"/>
              <w:rPr>
                <w:rFonts w:ascii="Arial" w:hAnsi="Arial" w:cs="Arial"/>
                <w:sz w:val="20"/>
                <w:szCs w:val="20"/>
              </w:rPr>
            </w:pPr>
            <w:r w:rsidRPr="0074507B">
              <w:rPr>
                <w:rFonts w:ascii="Arial" w:hAnsi="Arial" w:cs="Arial"/>
                <w:sz w:val="20"/>
                <w:szCs w:val="20"/>
              </w:rPr>
              <w:t xml:space="preserve">Stage 1 (ambulatory without assistance) or stage 2 (ambulatory with assistance) according to the FAP or </w:t>
            </w:r>
            <w:proofErr w:type="spellStart"/>
            <w:r w:rsidRPr="0074507B">
              <w:rPr>
                <w:rFonts w:ascii="Arial" w:hAnsi="Arial" w:cs="Arial"/>
                <w:sz w:val="20"/>
                <w:szCs w:val="20"/>
              </w:rPr>
              <w:t>Coutinho</w:t>
            </w:r>
            <w:proofErr w:type="spellEnd"/>
            <w:r w:rsidRPr="0074507B">
              <w:rPr>
                <w:rFonts w:ascii="Arial" w:hAnsi="Arial" w:cs="Arial"/>
                <w:sz w:val="20"/>
                <w:szCs w:val="20"/>
              </w:rPr>
              <w:t xml:space="preserve"> stage</w:t>
            </w:r>
          </w:p>
          <w:p w:rsidR="00705DFA" w:rsidRPr="0074507B" w:rsidRDefault="00705DFA" w:rsidP="000E5A3A">
            <w:pPr>
              <w:numPr>
                <w:ilvl w:val="1"/>
                <w:numId w:val="1"/>
              </w:numPr>
              <w:tabs>
                <w:tab w:val="clear" w:pos="1440"/>
                <w:tab w:val="num" w:pos="780"/>
              </w:tabs>
              <w:spacing w:line="360" w:lineRule="auto"/>
              <w:ind w:left="780" w:hanging="270"/>
              <w:rPr>
                <w:rFonts w:ascii="Arial" w:hAnsi="Arial" w:cs="Arial"/>
                <w:sz w:val="20"/>
                <w:szCs w:val="20"/>
              </w:rPr>
            </w:pPr>
            <w:r w:rsidRPr="0074507B">
              <w:rPr>
                <w:rFonts w:ascii="Arial" w:hAnsi="Arial" w:cs="Arial"/>
                <w:sz w:val="20"/>
                <w:szCs w:val="20"/>
              </w:rPr>
              <w:t>Documented genetic mutation in the TTR gene</w:t>
            </w:r>
          </w:p>
          <w:p w:rsidR="00705DFA" w:rsidRPr="0074507B" w:rsidRDefault="00705DFA" w:rsidP="000E5A3A">
            <w:pPr>
              <w:pStyle w:val="ListParagraph"/>
              <w:numPr>
                <w:ilvl w:val="1"/>
                <w:numId w:val="1"/>
              </w:numPr>
              <w:tabs>
                <w:tab w:val="num" w:pos="780"/>
              </w:tabs>
              <w:spacing w:line="360" w:lineRule="auto"/>
              <w:ind w:left="780" w:hanging="270"/>
              <w:rPr>
                <w:rFonts w:ascii="Arial" w:hAnsi="Arial" w:cs="Arial"/>
                <w:b/>
                <w:sz w:val="20"/>
                <w:szCs w:val="20"/>
              </w:rPr>
            </w:pPr>
            <w:r w:rsidRPr="0074507B">
              <w:rPr>
                <w:rFonts w:ascii="Arial" w:hAnsi="Arial" w:cs="Arial"/>
                <w:sz w:val="20"/>
                <w:szCs w:val="20"/>
              </w:rPr>
              <w:t xml:space="preserve">Symptoms and signs consistent with neuropathy associated with </w:t>
            </w:r>
            <w:r>
              <w:rPr>
                <w:rFonts w:ascii="Arial" w:hAnsi="Arial" w:cs="Arial"/>
                <w:sz w:val="20"/>
                <w:szCs w:val="20"/>
              </w:rPr>
              <w:t>ATTR</w:t>
            </w:r>
            <w:r w:rsidRPr="0074507B">
              <w:rPr>
                <w:rFonts w:ascii="Arial" w:hAnsi="Arial" w:cs="Arial"/>
                <w:sz w:val="20"/>
                <w:szCs w:val="20"/>
              </w:rPr>
              <w:t>, including NIS ≥ 10 and ≤ 130</w:t>
            </w:r>
          </w:p>
        </w:tc>
      </w:tr>
      <w:tr w:rsidR="00705DFA" w:rsidTr="000E5A3A">
        <w:tc>
          <w:tcPr>
            <w:tcW w:w="9350" w:type="dxa"/>
            <w:vAlign w:val="center"/>
          </w:tcPr>
          <w:p w:rsidR="00705DFA" w:rsidRPr="0074507B" w:rsidRDefault="00705DFA" w:rsidP="000E5A3A">
            <w:pPr>
              <w:spacing w:line="360" w:lineRule="auto"/>
              <w:ind w:left="330"/>
              <w:rPr>
                <w:rFonts w:ascii="Arial" w:hAnsi="Arial" w:cs="Arial"/>
                <w:b/>
                <w:sz w:val="20"/>
                <w:szCs w:val="20"/>
              </w:rPr>
            </w:pPr>
            <w:r>
              <w:rPr>
                <w:rFonts w:ascii="Arial" w:hAnsi="Arial" w:cs="Arial"/>
                <w:sz w:val="20"/>
                <w:szCs w:val="20"/>
              </w:rPr>
              <w:t>W</w:t>
            </w:r>
            <w:r w:rsidRPr="0074507B">
              <w:rPr>
                <w:rFonts w:ascii="Arial" w:hAnsi="Arial" w:cs="Arial"/>
                <w:sz w:val="20"/>
                <w:szCs w:val="20"/>
              </w:rPr>
              <w:t>ritten informed consent and any authorizations required by local law</w:t>
            </w:r>
            <w:r>
              <w:rPr>
                <w:rFonts w:ascii="Arial" w:hAnsi="Arial" w:cs="Arial"/>
                <w:sz w:val="20"/>
                <w:szCs w:val="20"/>
              </w:rPr>
              <w:t xml:space="preserve"> provided</w:t>
            </w:r>
          </w:p>
        </w:tc>
      </w:tr>
      <w:tr w:rsidR="00705DFA" w:rsidTr="000E5A3A">
        <w:tc>
          <w:tcPr>
            <w:tcW w:w="9350" w:type="dxa"/>
            <w:vAlign w:val="center"/>
          </w:tcPr>
          <w:p w:rsidR="00705DFA" w:rsidRPr="0074507B" w:rsidRDefault="00705DFA" w:rsidP="000E5A3A">
            <w:pPr>
              <w:spacing w:line="360" w:lineRule="auto"/>
              <w:ind w:left="330"/>
              <w:rPr>
                <w:rFonts w:ascii="Arial" w:hAnsi="Arial" w:cs="Arial"/>
                <w:sz w:val="20"/>
                <w:szCs w:val="20"/>
              </w:rPr>
            </w:pPr>
            <w:r w:rsidRPr="0074507B">
              <w:rPr>
                <w:rFonts w:ascii="Arial" w:hAnsi="Arial" w:cs="Arial"/>
                <w:sz w:val="20"/>
                <w:szCs w:val="20"/>
              </w:rPr>
              <w:t>Willingness to adhere to vitamin A supplementation</w:t>
            </w:r>
          </w:p>
        </w:tc>
      </w:tr>
      <w:tr w:rsidR="00705DFA" w:rsidTr="000E5A3A">
        <w:tc>
          <w:tcPr>
            <w:tcW w:w="9350" w:type="dxa"/>
            <w:vAlign w:val="center"/>
          </w:tcPr>
          <w:p w:rsidR="00705DFA" w:rsidRPr="0074507B" w:rsidRDefault="00705DFA" w:rsidP="000E5A3A">
            <w:pPr>
              <w:spacing w:line="360" w:lineRule="auto"/>
              <w:ind w:left="330"/>
              <w:rPr>
                <w:rFonts w:ascii="Arial" w:hAnsi="Arial" w:cs="Arial"/>
                <w:sz w:val="20"/>
                <w:szCs w:val="20"/>
              </w:rPr>
            </w:pPr>
            <w:r w:rsidRPr="0074507B">
              <w:rPr>
                <w:rFonts w:ascii="Arial" w:hAnsi="Arial" w:cs="Arial"/>
                <w:sz w:val="20"/>
                <w:szCs w:val="20"/>
              </w:rPr>
              <w:t>Male</w:t>
            </w:r>
            <w:r>
              <w:rPr>
                <w:rFonts w:ascii="Arial" w:hAnsi="Arial" w:cs="Arial"/>
                <w:sz w:val="20"/>
                <w:szCs w:val="20"/>
              </w:rPr>
              <w:t xml:space="preserve"> patients</w:t>
            </w:r>
            <w:r w:rsidRPr="0074507B">
              <w:rPr>
                <w:rFonts w:ascii="Arial" w:hAnsi="Arial" w:cs="Arial"/>
                <w:sz w:val="20"/>
                <w:szCs w:val="20"/>
              </w:rPr>
              <w:t xml:space="preserve"> must be surgically sterile or abstinent; if engaged in sexual relations with a female of child-bearing potential, the patient must be using an acceptable contraceptive method from the time of signing the informed consent form until at least 24 weeks after the last dose of the study drug</w:t>
            </w:r>
          </w:p>
        </w:tc>
      </w:tr>
      <w:tr w:rsidR="00705DFA" w:rsidTr="000E5A3A">
        <w:tc>
          <w:tcPr>
            <w:tcW w:w="9350" w:type="dxa"/>
            <w:vAlign w:val="center"/>
          </w:tcPr>
          <w:p w:rsidR="00705DFA" w:rsidRPr="0074507B" w:rsidRDefault="00705DFA" w:rsidP="000E5A3A">
            <w:pPr>
              <w:spacing w:line="360" w:lineRule="auto"/>
              <w:ind w:firstLine="330"/>
              <w:rPr>
                <w:rFonts w:ascii="Arial" w:hAnsi="Arial" w:cs="Arial"/>
                <w:b/>
                <w:sz w:val="20"/>
                <w:szCs w:val="20"/>
              </w:rPr>
            </w:pPr>
            <w:r w:rsidRPr="0074507B">
              <w:rPr>
                <w:rFonts w:ascii="Arial" w:hAnsi="Arial" w:cs="Arial"/>
                <w:sz w:val="20"/>
                <w:szCs w:val="20"/>
              </w:rPr>
              <w:t>Female</w:t>
            </w:r>
            <w:r>
              <w:rPr>
                <w:rFonts w:ascii="Arial" w:hAnsi="Arial" w:cs="Arial"/>
                <w:sz w:val="20"/>
                <w:szCs w:val="20"/>
              </w:rPr>
              <w:t xml:space="preserve"> patients</w:t>
            </w:r>
            <w:r w:rsidRPr="0074507B">
              <w:rPr>
                <w:rFonts w:ascii="Arial" w:hAnsi="Arial" w:cs="Arial"/>
                <w:sz w:val="20"/>
                <w:szCs w:val="20"/>
              </w:rPr>
              <w:t xml:space="preserve"> must </w:t>
            </w:r>
            <w:r>
              <w:rPr>
                <w:rFonts w:ascii="Arial" w:hAnsi="Arial" w:cs="Arial"/>
                <w:sz w:val="20"/>
                <w:szCs w:val="20"/>
              </w:rPr>
              <w:t xml:space="preserve">not </w:t>
            </w:r>
            <w:r w:rsidRPr="0074507B">
              <w:rPr>
                <w:rFonts w:ascii="Arial" w:hAnsi="Arial" w:cs="Arial"/>
                <w:sz w:val="20"/>
                <w:szCs w:val="20"/>
              </w:rPr>
              <w:t xml:space="preserve">be pregnant </w:t>
            </w:r>
            <w:r>
              <w:rPr>
                <w:rFonts w:ascii="Arial" w:hAnsi="Arial" w:cs="Arial"/>
                <w:sz w:val="20"/>
                <w:szCs w:val="20"/>
              </w:rPr>
              <w:t xml:space="preserve">or </w:t>
            </w:r>
            <w:r w:rsidRPr="0074507B">
              <w:rPr>
                <w:rFonts w:ascii="Arial" w:hAnsi="Arial" w:cs="Arial"/>
                <w:sz w:val="20"/>
                <w:szCs w:val="20"/>
              </w:rPr>
              <w:t xml:space="preserve">lactating and </w:t>
            </w:r>
            <w:r>
              <w:rPr>
                <w:rFonts w:ascii="Arial" w:hAnsi="Arial" w:cs="Arial"/>
                <w:sz w:val="20"/>
                <w:szCs w:val="20"/>
              </w:rPr>
              <w:t>must be one of the following</w:t>
            </w:r>
            <w:r w:rsidRPr="0074507B">
              <w:rPr>
                <w:rFonts w:ascii="Arial" w:hAnsi="Arial" w:cs="Arial"/>
                <w:sz w:val="20"/>
                <w:szCs w:val="20"/>
              </w:rPr>
              <w:t>:</w:t>
            </w:r>
          </w:p>
          <w:p w:rsidR="00705DFA" w:rsidRPr="0074507B" w:rsidRDefault="00705DFA" w:rsidP="000E5A3A">
            <w:pPr>
              <w:pStyle w:val="ListParagraph"/>
              <w:numPr>
                <w:ilvl w:val="0"/>
                <w:numId w:val="2"/>
              </w:numPr>
              <w:tabs>
                <w:tab w:val="clear" w:pos="1440"/>
                <w:tab w:val="num" w:pos="340"/>
              </w:tabs>
              <w:spacing w:line="360" w:lineRule="auto"/>
              <w:ind w:left="780" w:hanging="270"/>
              <w:rPr>
                <w:rFonts w:ascii="Arial" w:hAnsi="Arial" w:cs="Arial"/>
                <w:b/>
                <w:sz w:val="20"/>
                <w:szCs w:val="20"/>
              </w:rPr>
            </w:pPr>
            <w:proofErr w:type="spellStart"/>
            <w:r w:rsidRPr="0074507B">
              <w:rPr>
                <w:rFonts w:ascii="Arial" w:hAnsi="Arial" w:cs="Arial"/>
                <w:sz w:val="20"/>
                <w:szCs w:val="20"/>
              </w:rPr>
              <w:t>Abstinent</w:t>
            </w:r>
            <w:r w:rsidR="00D24ED8" w:rsidRPr="00D24ED8">
              <w:rPr>
                <w:rFonts w:ascii="Arial" w:hAnsi="Arial" w:cs="Arial"/>
                <w:sz w:val="20"/>
                <w:szCs w:val="20"/>
                <w:vertAlign w:val="superscript"/>
              </w:rPr>
              <w:t>b</w:t>
            </w:r>
            <w:proofErr w:type="spellEnd"/>
            <w:r w:rsidR="00D24ED8">
              <w:rPr>
                <w:rFonts w:ascii="Arial" w:hAnsi="Arial" w:cs="Arial"/>
                <w:sz w:val="20"/>
                <w:szCs w:val="20"/>
              </w:rPr>
              <w:t xml:space="preserve"> </w:t>
            </w:r>
          </w:p>
          <w:p w:rsidR="00705DFA" w:rsidRPr="0074507B" w:rsidRDefault="00705DFA" w:rsidP="000E5A3A">
            <w:pPr>
              <w:pStyle w:val="ListParagraph"/>
              <w:numPr>
                <w:ilvl w:val="0"/>
                <w:numId w:val="2"/>
              </w:numPr>
              <w:tabs>
                <w:tab w:val="clear" w:pos="1440"/>
                <w:tab w:val="num" w:pos="340"/>
              </w:tabs>
              <w:spacing w:line="360" w:lineRule="auto"/>
              <w:ind w:left="780" w:hanging="270"/>
              <w:rPr>
                <w:rFonts w:ascii="Arial" w:hAnsi="Arial" w:cs="Arial"/>
                <w:b/>
                <w:sz w:val="20"/>
                <w:szCs w:val="20"/>
              </w:rPr>
            </w:pPr>
            <w:r w:rsidRPr="0074507B">
              <w:rPr>
                <w:rFonts w:ascii="Arial" w:hAnsi="Arial" w:cs="Arial"/>
                <w:sz w:val="20"/>
                <w:szCs w:val="20"/>
              </w:rPr>
              <w:t xml:space="preserve">Surgically </w:t>
            </w:r>
            <w:proofErr w:type="spellStart"/>
            <w:r w:rsidRPr="0074507B">
              <w:rPr>
                <w:rFonts w:ascii="Arial" w:hAnsi="Arial" w:cs="Arial"/>
                <w:sz w:val="20"/>
                <w:szCs w:val="20"/>
              </w:rPr>
              <w:t>sterile</w:t>
            </w:r>
            <w:r w:rsidR="00D24ED8" w:rsidRPr="00D24ED8">
              <w:rPr>
                <w:rFonts w:ascii="Arial" w:hAnsi="Arial" w:cs="Arial"/>
                <w:sz w:val="20"/>
                <w:szCs w:val="20"/>
                <w:vertAlign w:val="superscript"/>
              </w:rPr>
              <w:t>c</w:t>
            </w:r>
            <w:proofErr w:type="spellEnd"/>
          </w:p>
          <w:p w:rsidR="00705DFA" w:rsidRPr="0074507B" w:rsidRDefault="00705DFA" w:rsidP="000E5A3A">
            <w:pPr>
              <w:pStyle w:val="ListParagraph"/>
              <w:numPr>
                <w:ilvl w:val="0"/>
                <w:numId w:val="2"/>
              </w:numPr>
              <w:tabs>
                <w:tab w:val="clear" w:pos="1440"/>
                <w:tab w:val="num" w:pos="340"/>
              </w:tabs>
              <w:spacing w:line="360" w:lineRule="auto"/>
              <w:ind w:left="780" w:hanging="270"/>
              <w:rPr>
                <w:rFonts w:ascii="Arial" w:hAnsi="Arial" w:cs="Arial"/>
                <w:b/>
                <w:sz w:val="20"/>
                <w:szCs w:val="20"/>
              </w:rPr>
            </w:pPr>
            <w:r w:rsidRPr="0074507B">
              <w:rPr>
                <w:rFonts w:ascii="Arial" w:hAnsi="Arial" w:cs="Arial"/>
                <w:sz w:val="20"/>
                <w:szCs w:val="20"/>
              </w:rPr>
              <w:t>Post-</w:t>
            </w:r>
            <w:proofErr w:type="spellStart"/>
            <w:r w:rsidRPr="0074507B">
              <w:rPr>
                <w:rFonts w:ascii="Arial" w:hAnsi="Arial" w:cs="Arial"/>
                <w:sz w:val="20"/>
                <w:szCs w:val="20"/>
              </w:rPr>
              <w:t>menopausal</w:t>
            </w:r>
            <w:r w:rsidR="00D24ED8" w:rsidRPr="00D24ED8">
              <w:rPr>
                <w:rFonts w:ascii="Arial" w:hAnsi="Arial" w:cs="Arial"/>
                <w:sz w:val="20"/>
                <w:szCs w:val="20"/>
                <w:vertAlign w:val="superscript"/>
              </w:rPr>
              <w:t>d</w:t>
            </w:r>
            <w:proofErr w:type="spellEnd"/>
            <w:r w:rsidR="00D24ED8">
              <w:rPr>
                <w:rFonts w:ascii="Arial" w:hAnsi="Arial" w:cs="Arial"/>
                <w:sz w:val="20"/>
                <w:szCs w:val="20"/>
              </w:rPr>
              <w:t xml:space="preserve"> </w:t>
            </w:r>
          </w:p>
          <w:p w:rsidR="00705DFA" w:rsidRPr="00705DFA" w:rsidRDefault="00705DFA" w:rsidP="000E5A3A">
            <w:pPr>
              <w:pStyle w:val="ListParagraph"/>
              <w:numPr>
                <w:ilvl w:val="0"/>
                <w:numId w:val="2"/>
              </w:numPr>
              <w:tabs>
                <w:tab w:val="clear" w:pos="1440"/>
                <w:tab w:val="num" w:pos="340"/>
              </w:tabs>
              <w:spacing w:line="360" w:lineRule="auto"/>
              <w:ind w:left="780" w:hanging="270"/>
              <w:rPr>
                <w:rFonts w:ascii="Arial" w:hAnsi="Arial" w:cs="Arial"/>
                <w:b/>
                <w:sz w:val="20"/>
                <w:szCs w:val="20"/>
              </w:rPr>
            </w:pPr>
            <w:r w:rsidRPr="0074507B">
              <w:rPr>
                <w:rFonts w:ascii="Arial" w:hAnsi="Arial" w:cs="Arial"/>
                <w:sz w:val="20"/>
                <w:szCs w:val="20"/>
              </w:rPr>
              <w:t xml:space="preserve">Using </w:t>
            </w:r>
            <w:proofErr w:type="spellStart"/>
            <w:r w:rsidR="00D24ED8">
              <w:rPr>
                <w:rFonts w:ascii="Arial" w:hAnsi="Arial" w:cs="Arial"/>
                <w:sz w:val="20"/>
                <w:szCs w:val="20"/>
              </w:rPr>
              <w:t>contraception</w:t>
            </w:r>
            <w:r w:rsidR="00D24ED8" w:rsidRPr="00D24ED8">
              <w:rPr>
                <w:rFonts w:ascii="Arial" w:hAnsi="Arial" w:cs="Arial"/>
                <w:sz w:val="20"/>
                <w:szCs w:val="20"/>
                <w:vertAlign w:val="superscript"/>
              </w:rPr>
              <w:t>e</w:t>
            </w:r>
            <w:proofErr w:type="spellEnd"/>
            <w:r w:rsidR="00D24ED8">
              <w:rPr>
                <w:rFonts w:ascii="Arial" w:hAnsi="Arial" w:cs="Arial"/>
                <w:sz w:val="20"/>
                <w:szCs w:val="20"/>
              </w:rPr>
              <w:t xml:space="preserve"> </w:t>
            </w:r>
          </w:p>
        </w:tc>
      </w:tr>
      <w:tr w:rsidR="00705DFA" w:rsidTr="00705DFA">
        <w:tc>
          <w:tcPr>
            <w:tcW w:w="9350" w:type="dxa"/>
          </w:tcPr>
          <w:p w:rsidR="00705DFA" w:rsidRPr="0074507B" w:rsidRDefault="00705DFA" w:rsidP="00705DFA">
            <w:pPr>
              <w:spacing w:before="60" w:after="60" w:line="360" w:lineRule="auto"/>
              <w:rPr>
                <w:rFonts w:ascii="Arial" w:hAnsi="Arial" w:cs="Arial"/>
                <w:b/>
                <w:sz w:val="20"/>
                <w:szCs w:val="20"/>
              </w:rPr>
            </w:pPr>
            <w:r w:rsidRPr="0074507B">
              <w:rPr>
                <w:rFonts w:ascii="Arial" w:hAnsi="Arial" w:cs="Arial"/>
                <w:b/>
                <w:sz w:val="20"/>
                <w:szCs w:val="20"/>
              </w:rPr>
              <w:t>Exclusion criteria</w:t>
            </w:r>
          </w:p>
        </w:tc>
      </w:tr>
      <w:tr w:rsidR="00705DFA" w:rsidTr="000506F6">
        <w:tc>
          <w:tcPr>
            <w:tcW w:w="9350" w:type="dxa"/>
            <w:vAlign w:val="center"/>
          </w:tcPr>
          <w:p w:rsidR="00705DFA" w:rsidRPr="0074507B" w:rsidRDefault="00705DFA" w:rsidP="000506F6">
            <w:pPr>
              <w:spacing w:line="360" w:lineRule="auto"/>
              <w:ind w:left="288" w:hanging="48"/>
              <w:rPr>
                <w:rFonts w:ascii="Arial" w:hAnsi="Arial" w:cs="Arial"/>
                <w:b/>
                <w:sz w:val="20"/>
                <w:szCs w:val="20"/>
              </w:rPr>
            </w:pPr>
            <w:r w:rsidRPr="0074507B">
              <w:rPr>
                <w:rFonts w:ascii="Arial" w:hAnsi="Arial" w:cs="Arial"/>
                <w:sz w:val="20"/>
                <w:szCs w:val="20"/>
              </w:rPr>
              <w:t xml:space="preserve">Clinically significant abnormalities in medical history or physical </w:t>
            </w:r>
            <w:proofErr w:type="spellStart"/>
            <w:r w:rsidR="00D24ED8">
              <w:rPr>
                <w:rFonts w:ascii="Arial" w:hAnsi="Arial" w:cs="Arial"/>
                <w:sz w:val="20"/>
                <w:szCs w:val="20"/>
              </w:rPr>
              <w:t>examination</w:t>
            </w:r>
            <w:r w:rsidR="00D24ED8" w:rsidRPr="00D24ED8">
              <w:rPr>
                <w:rFonts w:ascii="Arial" w:hAnsi="Arial" w:cs="Arial"/>
                <w:sz w:val="20"/>
                <w:szCs w:val="20"/>
                <w:vertAlign w:val="superscript"/>
              </w:rPr>
              <w:t>f</w:t>
            </w:r>
            <w:proofErr w:type="spellEnd"/>
            <w:r w:rsidR="00D24ED8">
              <w:rPr>
                <w:rFonts w:ascii="Arial" w:hAnsi="Arial" w:cs="Arial"/>
                <w:sz w:val="20"/>
                <w:szCs w:val="20"/>
              </w:rPr>
              <w:t xml:space="preserve"> </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Screening laboratory results as follows, or any other clinically significant abnormalities in screening laboratory values:</w:t>
            </w:r>
          </w:p>
          <w:p w:rsidR="00705DFA" w:rsidRPr="0074507B" w:rsidRDefault="00705DFA" w:rsidP="000E5A3A">
            <w:pPr>
              <w:numPr>
                <w:ilvl w:val="0"/>
                <w:numId w:val="3"/>
              </w:numPr>
              <w:spacing w:line="360" w:lineRule="auto"/>
              <w:ind w:left="780" w:hanging="270"/>
              <w:rPr>
                <w:rFonts w:ascii="Arial" w:hAnsi="Arial" w:cs="Arial"/>
                <w:sz w:val="20"/>
                <w:szCs w:val="20"/>
              </w:rPr>
            </w:pPr>
            <w:proofErr w:type="spellStart"/>
            <w:r w:rsidRPr="0074507B">
              <w:rPr>
                <w:rFonts w:ascii="Arial" w:hAnsi="Arial" w:cs="Arial"/>
                <w:sz w:val="20"/>
                <w:szCs w:val="20"/>
              </w:rPr>
              <w:t>UPC</w:t>
            </w:r>
            <w:r w:rsidRPr="00EF2482">
              <w:rPr>
                <w:rFonts w:ascii="Arial" w:hAnsi="Arial" w:cs="Arial"/>
                <w:sz w:val="20"/>
                <w:szCs w:val="20"/>
              </w:rPr>
              <w:t>R</w:t>
            </w:r>
            <w:r w:rsidR="00D24ED8" w:rsidRPr="00EF2482">
              <w:rPr>
                <w:rFonts w:ascii="Arial" w:hAnsi="Arial" w:cs="Arial"/>
                <w:sz w:val="20"/>
                <w:szCs w:val="20"/>
                <w:vertAlign w:val="superscript"/>
              </w:rPr>
              <w:t>g</w:t>
            </w:r>
            <w:proofErr w:type="spellEnd"/>
            <w:r w:rsidR="00D24ED8" w:rsidRPr="00EF2482">
              <w:rPr>
                <w:rFonts w:ascii="Arial" w:hAnsi="Arial" w:cs="Arial"/>
                <w:sz w:val="20"/>
                <w:szCs w:val="20"/>
                <w:vertAlign w:val="superscript"/>
              </w:rPr>
              <w:t xml:space="preserve"> </w:t>
            </w:r>
            <w:r w:rsidRPr="0074507B">
              <w:rPr>
                <w:rFonts w:ascii="Arial" w:hAnsi="Arial" w:cs="Arial"/>
                <w:sz w:val="20"/>
                <w:szCs w:val="20"/>
              </w:rPr>
              <w:t xml:space="preserve"> ≥ 1000 mg/g </w:t>
            </w:r>
          </w:p>
          <w:p w:rsidR="00705DFA" w:rsidRPr="0074507B" w:rsidRDefault="00705DFA" w:rsidP="000E5A3A">
            <w:pPr>
              <w:numPr>
                <w:ilvl w:val="0"/>
                <w:numId w:val="3"/>
              </w:numPr>
              <w:spacing w:line="360" w:lineRule="auto"/>
              <w:ind w:left="780" w:hanging="270"/>
              <w:rPr>
                <w:rFonts w:ascii="Arial" w:hAnsi="Arial" w:cs="Arial"/>
                <w:sz w:val="20"/>
                <w:szCs w:val="20"/>
              </w:rPr>
            </w:pPr>
            <w:proofErr w:type="spellStart"/>
            <w:r w:rsidRPr="0074507B">
              <w:rPr>
                <w:rFonts w:ascii="Arial" w:hAnsi="Arial" w:cs="Arial"/>
                <w:sz w:val="20"/>
                <w:szCs w:val="20"/>
              </w:rPr>
              <w:t>eGFR</w:t>
            </w:r>
            <w:proofErr w:type="spellEnd"/>
            <w:r w:rsidRPr="0074507B">
              <w:rPr>
                <w:rFonts w:ascii="Arial" w:hAnsi="Arial" w:cs="Arial"/>
                <w:sz w:val="20"/>
                <w:szCs w:val="20"/>
              </w:rPr>
              <w:t xml:space="preserve"> &lt; 45 mL/min/1.73 m</w:t>
            </w:r>
            <w:r w:rsidRPr="0074507B">
              <w:rPr>
                <w:rFonts w:ascii="Arial" w:hAnsi="Arial" w:cs="Arial"/>
                <w:sz w:val="20"/>
                <w:szCs w:val="20"/>
                <w:vertAlign w:val="superscript"/>
              </w:rPr>
              <w:t>2</w:t>
            </w:r>
            <w:r w:rsidRPr="0074507B">
              <w:rPr>
                <w:rFonts w:ascii="Arial" w:hAnsi="Arial" w:cs="Arial"/>
                <w:sz w:val="20"/>
                <w:szCs w:val="20"/>
              </w:rPr>
              <w:t xml:space="preserve"> </w:t>
            </w:r>
          </w:p>
          <w:p w:rsidR="00705DFA" w:rsidRPr="0074507B" w:rsidRDefault="00705DFA" w:rsidP="000E5A3A">
            <w:pPr>
              <w:numPr>
                <w:ilvl w:val="0"/>
                <w:numId w:val="3"/>
              </w:numPr>
              <w:spacing w:line="360" w:lineRule="auto"/>
              <w:ind w:left="780" w:hanging="270"/>
              <w:rPr>
                <w:rFonts w:ascii="Arial" w:hAnsi="Arial" w:cs="Arial"/>
                <w:sz w:val="20"/>
                <w:szCs w:val="20"/>
              </w:rPr>
            </w:pPr>
            <w:r w:rsidRPr="0074507B">
              <w:rPr>
                <w:rFonts w:ascii="Arial" w:hAnsi="Arial" w:cs="Arial"/>
                <w:sz w:val="20"/>
                <w:szCs w:val="20"/>
                <w:lang w:val="en-GB"/>
              </w:rPr>
              <w:t xml:space="preserve">Positive test for blood </w:t>
            </w:r>
            <w:r>
              <w:rPr>
                <w:rFonts w:ascii="Arial" w:hAnsi="Arial" w:cs="Arial"/>
                <w:sz w:val="20"/>
                <w:szCs w:val="20"/>
                <w:lang w:val="en-GB"/>
              </w:rPr>
              <w:t xml:space="preserve">of glomerular origin </w:t>
            </w:r>
            <w:r w:rsidRPr="0074507B">
              <w:rPr>
                <w:rFonts w:ascii="Arial" w:hAnsi="Arial" w:cs="Arial"/>
                <w:sz w:val="20"/>
                <w:szCs w:val="20"/>
                <w:lang w:val="en-GB"/>
              </w:rPr>
              <w:t>on urinalysis (≤</w:t>
            </w:r>
            <w:r>
              <w:rPr>
                <w:rFonts w:ascii="Arial" w:hAnsi="Arial" w:cs="Arial"/>
                <w:sz w:val="20"/>
                <w:szCs w:val="20"/>
                <w:lang w:val="en-GB"/>
              </w:rPr>
              <w:t xml:space="preserve"> </w:t>
            </w:r>
            <w:r w:rsidRPr="0074507B">
              <w:rPr>
                <w:rFonts w:ascii="Arial" w:hAnsi="Arial" w:cs="Arial"/>
                <w:sz w:val="20"/>
                <w:szCs w:val="20"/>
                <w:lang w:val="en-GB"/>
              </w:rPr>
              <w:t>5 RBC per high power field)</w:t>
            </w:r>
          </w:p>
          <w:p w:rsidR="00705DFA" w:rsidRPr="0074507B" w:rsidRDefault="00705DFA" w:rsidP="000E5A3A">
            <w:pPr>
              <w:numPr>
                <w:ilvl w:val="0"/>
                <w:numId w:val="3"/>
              </w:numPr>
              <w:spacing w:line="360" w:lineRule="auto"/>
              <w:ind w:left="780" w:hanging="270"/>
              <w:rPr>
                <w:rFonts w:ascii="Arial" w:hAnsi="Arial" w:cs="Arial"/>
                <w:sz w:val="20"/>
                <w:szCs w:val="20"/>
              </w:rPr>
            </w:pPr>
            <w:r w:rsidRPr="0074507B">
              <w:rPr>
                <w:rFonts w:ascii="Arial" w:hAnsi="Arial" w:cs="Arial"/>
                <w:sz w:val="20"/>
                <w:szCs w:val="20"/>
                <w:lang w:val="en-GB"/>
              </w:rPr>
              <w:t xml:space="preserve">Platelets &lt; </w:t>
            </w:r>
            <w:r w:rsidRPr="0074507B">
              <w:rPr>
                <w:rFonts w:ascii="Arial" w:hAnsi="Arial" w:cs="Arial"/>
                <w:sz w:val="20"/>
                <w:szCs w:val="20"/>
              </w:rPr>
              <w:t>125 × 10</w:t>
            </w:r>
            <w:r w:rsidRPr="0074507B">
              <w:rPr>
                <w:rFonts w:ascii="Arial" w:hAnsi="Arial" w:cs="Arial"/>
                <w:sz w:val="20"/>
                <w:szCs w:val="20"/>
                <w:vertAlign w:val="superscript"/>
              </w:rPr>
              <w:t>9</w:t>
            </w:r>
            <w:r w:rsidRPr="0074507B">
              <w:rPr>
                <w:rFonts w:ascii="Arial" w:hAnsi="Arial" w:cs="Arial"/>
                <w:sz w:val="20"/>
                <w:szCs w:val="20"/>
              </w:rPr>
              <w:t>/L</w:t>
            </w:r>
          </w:p>
          <w:p w:rsidR="00705DFA" w:rsidRPr="0074507B" w:rsidRDefault="00705DFA" w:rsidP="000E5A3A">
            <w:pPr>
              <w:numPr>
                <w:ilvl w:val="0"/>
                <w:numId w:val="3"/>
              </w:numPr>
              <w:spacing w:line="360" w:lineRule="auto"/>
              <w:ind w:left="780" w:hanging="270"/>
              <w:rPr>
                <w:rFonts w:ascii="Arial" w:hAnsi="Arial" w:cs="Arial"/>
                <w:sz w:val="20"/>
                <w:szCs w:val="20"/>
              </w:rPr>
            </w:pPr>
            <w:proofErr w:type="spellStart"/>
            <w:r w:rsidRPr="0074507B">
              <w:rPr>
                <w:rFonts w:ascii="Arial" w:eastAsia="TimesNewRomanPSMT" w:hAnsi="Arial" w:cs="Arial"/>
                <w:sz w:val="20"/>
                <w:szCs w:val="20"/>
              </w:rPr>
              <w:t>Bilirubi</w:t>
            </w:r>
            <w:r w:rsidRPr="00EF2482">
              <w:rPr>
                <w:rFonts w:ascii="Arial" w:eastAsia="TimesNewRomanPSMT" w:hAnsi="Arial" w:cs="Arial"/>
                <w:sz w:val="20"/>
                <w:szCs w:val="20"/>
              </w:rPr>
              <w:t>n</w:t>
            </w:r>
            <w:r w:rsidR="00D24ED8" w:rsidRPr="00EF2482">
              <w:rPr>
                <w:rFonts w:ascii="Arial" w:eastAsia="TimesNewRomanPSMT" w:hAnsi="Arial" w:cs="Arial"/>
                <w:sz w:val="20"/>
                <w:szCs w:val="20"/>
                <w:vertAlign w:val="superscript"/>
              </w:rPr>
              <w:t>h</w:t>
            </w:r>
            <w:proofErr w:type="spellEnd"/>
            <w:r w:rsidR="00D24ED8" w:rsidRPr="00EF2482">
              <w:rPr>
                <w:rFonts w:ascii="Arial" w:eastAsia="TimesNewRomanPSMT" w:hAnsi="Arial" w:cs="Arial"/>
                <w:sz w:val="20"/>
                <w:szCs w:val="20"/>
                <w:vertAlign w:val="superscript"/>
              </w:rPr>
              <w:t xml:space="preserve"> </w:t>
            </w:r>
            <w:r w:rsidRPr="0074507B">
              <w:rPr>
                <w:rFonts w:ascii="Arial" w:eastAsia="TimesNewRomanPSMT" w:hAnsi="Arial" w:cs="Arial"/>
                <w:sz w:val="20"/>
                <w:szCs w:val="20"/>
              </w:rPr>
              <w:t xml:space="preserve"> ≥ 1.5 × ULN</w:t>
            </w:r>
          </w:p>
          <w:p w:rsidR="00705DFA" w:rsidRPr="0074507B" w:rsidRDefault="00705DFA" w:rsidP="000E5A3A">
            <w:pPr>
              <w:numPr>
                <w:ilvl w:val="0"/>
                <w:numId w:val="3"/>
              </w:numPr>
              <w:spacing w:line="360" w:lineRule="auto"/>
              <w:ind w:left="780" w:hanging="270"/>
              <w:rPr>
                <w:rFonts w:ascii="Arial" w:hAnsi="Arial" w:cs="Arial"/>
                <w:sz w:val="20"/>
                <w:szCs w:val="20"/>
              </w:rPr>
            </w:pPr>
            <w:r w:rsidRPr="0074507B">
              <w:rPr>
                <w:rFonts w:ascii="Arial" w:eastAsia="TimesNewRomanPSMT" w:hAnsi="Arial" w:cs="Arial"/>
                <w:sz w:val="20"/>
                <w:szCs w:val="20"/>
              </w:rPr>
              <w:t>HbA1C ≥ 7%</w:t>
            </w:r>
          </w:p>
          <w:p w:rsidR="00705DFA" w:rsidRPr="0074507B" w:rsidRDefault="00705DFA" w:rsidP="000E5A3A">
            <w:pPr>
              <w:pStyle w:val="ListParagraph"/>
              <w:numPr>
                <w:ilvl w:val="0"/>
                <w:numId w:val="3"/>
              </w:numPr>
              <w:autoSpaceDE w:val="0"/>
              <w:autoSpaceDN w:val="0"/>
              <w:adjustRightInd w:val="0"/>
              <w:spacing w:line="360" w:lineRule="auto"/>
              <w:ind w:left="780" w:hanging="270"/>
              <w:rPr>
                <w:rFonts w:ascii="Arial" w:hAnsi="Arial" w:cs="Arial"/>
                <w:sz w:val="20"/>
                <w:szCs w:val="20"/>
              </w:rPr>
            </w:pPr>
            <w:r w:rsidRPr="0074507B">
              <w:rPr>
                <w:rFonts w:ascii="Arial" w:hAnsi="Arial" w:cs="Arial"/>
                <w:sz w:val="20"/>
                <w:szCs w:val="20"/>
              </w:rPr>
              <w:t xml:space="preserve">ALT/AST &gt; 2 × ULN </w:t>
            </w:r>
          </w:p>
          <w:p w:rsidR="00705DFA" w:rsidRPr="0074507B" w:rsidRDefault="00705DFA" w:rsidP="000E5A3A">
            <w:pPr>
              <w:pStyle w:val="ListParagraph"/>
              <w:numPr>
                <w:ilvl w:val="0"/>
                <w:numId w:val="3"/>
              </w:numPr>
              <w:autoSpaceDE w:val="0"/>
              <w:autoSpaceDN w:val="0"/>
              <w:adjustRightInd w:val="0"/>
              <w:spacing w:line="360" w:lineRule="auto"/>
              <w:ind w:left="780" w:hanging="270"/>
              <w:rPr>
                <w:rFonts w:ascii="Arial" w:hAnsi="Arial" w:cs="Arial"/>
                <w:sz w:val="20"/>
                <w:szCs w:val="20"/>
              </w:rPr>
            </w:pPr>
            <w:r w:rsidRPr="0074507B">
              <w:rPr>
                <w:rFonts w:ascii="Arial" w:hAnsi="Arial" w:cs="Arial"/>
                <w:sz w:val="20"/>
                <w:szCs w:val="20"/>
              </w:rPr>
              <w:t xml:space="preserve">Abnormal thyroid function tests </w:t>
            </w:r>
          </w:p>
        </w:tc>
      </w:tr>
      <w:tr w:rsidR="00705DFA" w:rsidTr="00705DFA">
        <w:tc>
          <w:tcPr>
            <w:tcW w:w="9350" w:type="dxa"/>
          </w:tcPr>
          <w:p w:rsidR="00705DFA" w:rsidRPr="0074507B" w:rsidRDefault="00705DFA" w:rsidP="000E5A3A">
            <w:pPr>
              <w:spacing w:line="360" w:lineRule="auto"/>
              <w:ind w:left="288"/>
              <w:rPr>
                <w:rFonts w:ascii="Arial" w:hAnsi="Arial" w:cs="Arial"/>
                <w:b/>
                <w:sz w:val="20"/>
                <w:szCs w:val="20"/>
              </w:rPr>
            </w:pPr>
            <w:r w:rsidRPr="0074507B">
              <w:rPr>
                <w:rFonts w:ascii="Arial" w:hAnsi="Arial" w:cs="Arial"/>
                <w:sz w:val="20"/>
                <w:szCs w:val="20"/>
              </w:rPr>
              <w:t>Uncontrolled hypertension (BP &gt; 160/100 mm Hg)</w:t>
            </w:r>
          </w:p>
        </w:tc>
      </w:tr>
      <w:tr w:rsidR="00705DFA" w:rsidTr="00705DFA">
        <w:tc>
          <w:tcPr>
            <w:tcW w:w="9350" w:type="dxa"/>
          </w:tcPr>
          <w:p w:rsidR="00705DFA" w:rsidRPr="0074507B" w:rsidRDefault="00705DFA" w:rsidP="000E5A3A">
            <w:pPr>
              <w:spacing w:line="360" w:lineRule="auto"/>
              <w:ind w:left="288"/>
              <w:rPr>
                <w:rFonts w:ascii="Arial" w:hAnsi="Arial" w:cs="Arial"/>
                <w:sz w:val="20"/>
                <w:szCs w:val="20"/>
              </w:rPr>
            </w:pPr>
            <w:r w:rsidRPr="0074507B">
              <w:rPr>
                <w:rFonts w:ascii="Arial" w:hAnsi="Arial" w:cs="Arial"/>
                <w:sz w:val="20"/>
                <w:szCs w:val="20"/>
              </w:rPr>
              <w:lastRenderedPageBreak/>
              <w:t xml:space="preserve">New York </w:t>
            </w:r>
            <w:r w:rsidRPr="0074507B">
              <w:rPr>
                <w:rFonts w:ascii="Arial" w:eastAsia="TimesNewRomanPSMT" w:hAnsi="Arial" w:cs="Arial"/>
                <w:sz w:val="20"/>
                <w:szCs w:val="20"/>
              </w:rPr>
              <w:t>Heart Association functional classification of ≥ 3</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Prior liver transplant or anticipated liver transplant within 1 year of screening</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Active infection requiring systemic antiviral or antimicrobial therapy that will not be</w:t>
            </w:r>
            <w:r>
              <w:rPr>
                <w:rFonts w:ascii="Arial" w:hAnsi="Arial" w:cs="Arial"/>
                <w:sz w:val="20"/>
                <w:szCs w:val="20"/>
              </w:rPr>
              <w:t xml:space="preserve"> </w:t>
            </w:r>
            <w:r w:rsidRPr="0074507B">
              <w:rPr>
                <w:rFonts w:ascii="Arial" w:hAnsi="Arial" w:cs="Arial"/>
                <w:sz w:val="20"/>
                <w:szCs w:val="20"/>
              </w:rPr>
              <w:t>completed prior to study day 1</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Known history of or positive test for HIV, hepatitis C, or chronic hepatitis B</w:t>
            </w:r>
          </w:p>
        </w:tc>
      </w:tr>
      <w:tr w:rsidR="00705DFA" w:rsidTr="00705DFA">
        <w:tc>
          <w:tcPr>
            <w:tcW w:w="9350" w:type="dxa"/>
          </w:tcPr>
          <w:p w:rsidR="00705DFA" w:rsidRPr="0074507B" w:rsidRDefault="00705DFA" w:rsidP="000E5A3A">
            <w:pPr>
              <w:spacing w:line="360" w:lineRule="auto"/>
              <w:ind w:left="288"/>
              <w:rPr>
                <w:rFonts w:ascii="Arial" w:hAnsi="Arial" w:cs="Arial"/>
                <w:sz w:val="20"/>
                <w:szCs w:val="20"/>
              </w:rPr>
            </w:pPr>
            <w:r w:rsidRPr="0074507B">
              <w:rPr>
                <w:rFonts w:ascii="Arial" w:hAnsi="Arial" w:cs="Arial"/>
                <w:sz w:val="20"/>
                <w:szCs w:val="20"/>
                <w:lang w:val="en-GB"/>
              </w:rPr>
              <w:t>Current or previous treatment with inotersen or patisiran or other oligonucleotide or RNA therapeutics (including siRNA)</w:t>
            </w:r>
          </w:p>
        </w:tc>
      </w:tr>
      <w:tr w:rsidR="00705DFA" w:rsidTr="00705DFA">
        <w:tc>
          <w:tcPr>
            <w:tcW w:w="9350" w:type="dxa"/>
          </w:tcPr>
          <w:p w:rsidR="00705DFA" w:rsidRPr="0074507B" w:rsidRDefault="00705DFA" w:rsidP="000E5A3A">
            <w:pPr>
              <w:spacing w:line="360" w:lineRule="auto"/>
              <w:ind w:left="288"/>
              <w:rPr>
                <w:rFonts w:ascii="Arial" w:hAnsi="Arial" w:cs="Arial"/>
                <w:sz w:val="20"/>
                <w:szCs w:val="20"/>
              </w:rPr>
            </w:pPr>
            <w:r w:rsidRPr="0074507B">
              <w:rPr>
                <w:rFonts w:ascii="Arial" w:hAnsi="Arial" w:cs="Arial"/>
                <w:sz w:val="20"/>
                <w:szCs w:val="20"/>
                <w:lang w:val="en-GB"/>
              </w:rPr>
              <w:t xml:space="preserve">Current treatment with </w:t>
            </w:r>
            <w:proofErr w:type="spellStart"/>
            <w:r w:rsidRPr="0074507B">
              <w:rPr>
                <w:rFonts w:ascii="Arial" w:hAnsi="Arial" w:cs="Arial"/>
                <w:sz w:val="20"/>
                <w:szCs w:val="20"/>
                <w:lang w:val="en-GB"/>
              </w:rPr>
              <w:t>tafamidis</w:t>
            </w:r>
            <w:proofErr w:type="spellEnd"/>
            <w:r w:rsidRPr="0074507B">
              <w:rPr>
                <w:rFonts w:ascii="Arial" w:hAnsi="Arial" w:cs="Arial"/>
                <w:sz w:val="20"/>
                <w:szCs w:val="20"/>
                <w:lang w:val="en-GB"/>
              </w:rPr>
              <w:t>, diflunisal</w:t>
            </w:r>
            <w:r>
              <w:rPr>
                <w:rFonts w:ascii="Arial" w:hAnsi="Arial" w:cs="Arial"/>
                <w:sz w:val="20"/>
                <w:szCs w:val="20"/>
                <w:lang w:val="en-GB"/>
              </w:rPr>
              <w:t>,</w:t>
            </w:r>
            <w:r w:rsidRPr="0074507B">
              <w:rPr>
                <w:rFonts w:ascii="Arial" w:hAnsi="Arial" w:cs="Arial"/>
                <w:sz w:val="20"/>
                <w:szCs w:val="20"/>
                <w:lang w:val="en-GB"/>
              </w:rPr>
              <w:t xml:space="preserve"> </w:t>
            </w:r>
            <w:r w:rsidRPr="0074507B">
              <w:rPr>
                <w:rFonts w:ascii="Arial" w:hAnsi="Arial" w:cs="Arial"/>
                <w:sz w:val="20"/>
                <w:szCs w:val="20"/>
              </w:rPr>
              <w:t>or doxycycline (alone or with taurourso</w:t>
            </w:r>
            <w:bookmarkStart w:id="0" w:name="_GoBack"/>
            <w:bookmarkEnd w:id="0"/>
            <w:r w:rsidRPr="0074507B">
              <w:rPr>
                <w:rFonts w:ascii="Arial" w:hAnsi="Arial" w:cs="Arial"/>
                <w:sz w:val="20"/>
                <w:szCs w:val="20"/>
              </w:rPr>
              <w:t>deoxycholic acid</w:t>
            </w:r>
            <w:r w:rsidRPr="00EF2482">
              <w:rPr>
                <w:rFonts w:ascii="Arial" w:hAnsi="Arial" w:cs="Arial"/>
                <w:sz w:val="20"/>
                <w:szCs w:val="20"/>
              </w:rPr>
              <w:t>)</w:t>
            </w:r>
            <w:proofErr w:type="spellStart"/>
            <w:r w:rsidRPr="00EF2482">
              <w:rPr>
                <w:rFonts w:ascii="Arial" w:hAnsi="Arial" w:cs="Arial"/>
                <w:sz w:val="20"/>
                <w:szCs w:val="20"/>
                <w:vertAlign w:val="superscript"/>
              </w:rPr>
              <w:t>i</w:t>
            </w:r>
            <w:proofErr w:type="spellEnd"/>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Treatment with another investigational drug, biological agent, or device within 3 months</w:t>
            </w:r>
            <w:r>
              <w:rPr>
                <w:rFonts w:ascii="Arial" w:hAnsi="Arial" w:cs="Arial"/>
                <w:sz w:val="20"/>
                <w:szCs w:val="20"/>
              </w:rPr>
              <w:t xml:space="preserve"> </w:t>
            </w:r>
            <w:r w:rsidRPr="0074507B">
              <w:rPr>
                <w:rFonts w:ascii="Arial" w:hAnsi="Arial" w:cs="Arial"/>
                <w:sz w:val="20"/>
                <w:szCs w:val="20"/>
              </w:rPr>
              <w:t>of screening</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 xml:space="preserve">Malignancy within 5 years, except for BCC or SCC of the skin, or CIS of the cervix that has been successfully treated </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History of bleeding, diathesis</w:t>
            </w:r>
            <w:r>
              <w:rPr>
                <w:rFonts w:ascii="Arial" w:hAnsi="Arial" w:cs="Arial"/>
                <w:sz w:val="20"/>
                <w:szCs w:val="20"/>
              </w:rPr>
              <w:t>,</w:t>
            </w:r>
            <w:r w:rsidRPr="0074507B">
              <w:rPr>
                <w:rFonts w:ascii="Arial" w:hAnsi="Arial" w:cs="Arial"/>
                <w:sz w:val="20"/>
                <w:szCs w:val="20"/>
              </w:rPr>
              <w:t xml:space="preserve"> or coagulopathy</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Recent history of or current drug or alcohol abuse</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Use of oral anticoagulants, unless the dose has been stable for 4 weeks prior to the first dose of study drug</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proofErr w:type="spellStart"/>
            <w:r w:rsidRPr="0074507B">
              <w:rPr>
                <w:rFonts w:ascii="Arial" w:eastAsia="TimesNewRomanPSMT" w:hAnsi="Arial" w:cs="Arial"/>
                <w:sz w:val="20"/>
                <w:szCs w:val="20"/>
              </w:rPr>
              <w:t>Karnofsky</w:t>
            </w:r>
            <w:proofErr w:type="spellEnd"/>
            <w:r w:rsidRPr="0074507B">
              <w:rPr>
                <w:rFonts w:ascii="Arial" w:eastAsia="TimesNewRomanPSMT" w:hAnsi="Arial" w:cs="Arial"/>
                <w:sz w:val="20"/>
                <w:szCs w:val="20"/>
              </w:rPr>
              <w:t xml:space="preserve"> performance status ≤ 50%</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Other causes of sensorimotor or autonomic neuropathy</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 xml:space="preserve">Known immunoglobulin light chain amyloidosis, leptomeningeal amyloidosis, multiple myeloma, </w:t>
            </w:r>
            <w:r>
              <w:rPr>
                <w:rFonts w:ascii="Arial" w:hAnsi="Arial" w:cs="Arial"/>
                <w:sz w:val="20"/>
                <w:szCs w:val="20"/>
              </w:rPr>
              <w:t xml:space="preserve">or </w:t>
            </w:r>
            <w:r w:rsidRPr="0074507B">
              <w:rPr>
                <w:rFonts w:ascii="Arial" w:hAnsi="Arial" w:cs="Arial"/>
                <w:sz w:val="20"/>
                <w:szCs w:val="20"/>
              </w:rPr>
              <w:t>type 1 or type 2 diabetes mellitus</w:t>
            </w:r>
          </w:p>
        </w:tc>
      </w:tr>
      <w:tr w:rsidR="00705DFA" w:rsidTr="00705DFA">
        <w:tc>
          <w:tcPr>
            <w:tcW w:w="9350" w:type="dxa"/>
          </w:tcPr>
          <w:p w:rsidR="00705DFA" w:rsidRPr="0074507B" w:rsidRDefault="00705DFA" w:rsidP="000E5A3A">
            <w:pPr>
              <w:autoSpaceDE w:val="0"/>
              <w:autoSpaceDN w:val="0"/>
              <w:adjustRightInd w:val="0"/>
              <w:spacing w:line="360" w:lineRule="auto"/>
              <w:ind w:left="288"/>
              <w:rPr>
                <w:rFonts w:ascii="Arial" w:hAnsi="Arial" w:cs="Arial"/>
                <w:sz w:val="20"/>
                <w:szCs w:val="20"/>
              </w:rPr>
            </w:pPr>
            <w:r w:rsidRPr="0074507B">
              <w:rPr>
                <w:rFonts w:ascii="Arial" w:hAnsi="Arial" w:cs="Arial"/>
                <w:sz w:val="20"/>
                <w:szCs w:val="20"/>
              </w:rPr>
              <w:t>MGUS and/or immunoglobulin</w:t>
            </w:r>
            <w:r>
              <w:rPr>
                <w:rFonts w:ascii="Arial" w:hAnsi="Arial" w:cs="Arial"/>
                <w:sz w:val="20"/>
                <w:szCs w:val="20"/>
              </w:rPr>
              <w:t xml:space="preserve"> </w:t>
            </w:r>
            <w:r w:rsidRPr="0074507B">
              <w:rPr>
                <w:rFonts w:ascii="Arial" w:hAnsi="Arial" w:cs="Arial"/>
                <w:sz w:val="20"/>
                <w:szCs w:val="20"/>
              </w:rPr>
              <w:t>free light chain ratio &lt; 0.26 and &gt; 1.65</w:t>
            </w:r>
          </w:p>
        </w:tc>
      </w:tr>
      <w:tr w:rsidR="00705DFA" w:rsidTr="00705DFA">
        <w:tc>
          <w:tcPr>
            <w:tcW w:w="9350" w:type="dxa"/>
          </w:tcPr>
          <w:p w:rsidR="00705DFA" w:rsidRPr="0074507B" w:rsidRDefault="00705DFA" w:rsidP="000E5A3A">
            <w:pPr>
              <w:spacing w:line="360" w:lineRule="auto"/>
              <w:ind w:left="288"/>
              <w:rPr>
                <w:rFonts w:ascii="Arial" w:hAnsi="Arial" w:cs="Arial"/>
                <w:sz w:val="20"/>
                <w:szCs w:val="20"/>
              </w:rPr>
            </w:pPr>
            <w:r w:rsidRPr="0074507B">
              <w:rPr>
                <w:rFonts w:ascii="Arial" w:hAnsi="Arial" w:cs="Arial"/>
                <w:sz w:val="20"/>
                <w:szCs w:val="20"/>
              </w:rPr>
              <w:t>Anticipated survival less than 2 years</w:t>
            </w:r>
          </w:p>
        </w:tc>
      </w:tr>
    </w:tbl>
    <w:p w:rsidR="000E5A3A" w:rsidRPr="0074507B" w:rsidRDefault="000E5A3A" w:rsidP="000E5A3A">
      <w:pPr>
        <w:autoSpaceDE w:val="0"/>
        <w:autoSpaceDN w:val="0"/>
        <w:adjustRightInd w:val="0"/>
        <w:spacing w:after="0" w:line="360" w:lineRule="auto"/>
        <w:rPr>
          <w:rFonts w:ascii="Arial" w:hAnsi="Arial" w:cs="Arial"/>
          <w:sz w:val="20"/>
          <w:szCs w:val="20"/>
        </w:rPr>
      </w:pPr>
      <w:proofErr w:type="gramStart"/>
      <w:r w:rsidRPr="001A4B09">
        <w:rPr>
          <w:rFonts w:ascii="Arial" w:hAnsi="Arial" w:cs="Arial"/>
          <w:i/>
          <w:sz w:val="20"/>
          <w:szCs w:val="20"/>
        </w:rPr>
        <w:t>ALT</w:t>
      </w:r>
      <w:r w:rsidRPr="0074507B">
        <w:rPr>
          <w:rFonts w:ascii="Arial" w:hAnsi="Arial" w:cs="Arial"/>
          <w:sz w:val="20"/>
          <w:szCs w:val="20"/>
        </w:rPr>
        <w:t xml:space="preserve"> </w:t>
      </w:r>
      <w:r w:rsidRPr="0074507B">
        <w:rPr>
          <w:rFonts w:ascii="Arial" w:hAnsi="Arial" w:cs="Arial"/>
          <w:sz w:val="20"/>
          <w:szCs w:val="20"/>
          <w:shd w:val="clear" w:color="auto" w:fill="FFFFFF"/>
        </w:rPr>
        <w:t>alanine aminotransferase</w:t>
      </w:r>
      <w:r>
        <w:rPr>
          <w:rFonts w:ascii="Arial" w:hAnsi="Arial" w:cs="Arial"/>
          <w:sz w:val="20"/>
          <w:szCs w:val="20"/>
        </w:rPr>
        <w:t>,</w:t>
      </w:r>
      <w:r w:rsidRPr="0074507B">
        <w:rPr>
          <w:rFonts w:ascii="Arial" w:hAnsi="Arial" w:cs="Arial"/>
          <w:sz w:val="20"/>
          <w:szCs w:val="20"/>
        </w:rPr>
        <w:t xml:space="preserve"> </w:t>
      </w:r>
      <w:r w:rsidRPr="001A4B09">
        <w:rPr>
          <w:rFonts w:ascii="Arial" w:hAnsi="Arial" w:cs="Arial"/>
          <w:i/>
          <w:sz w:val="20"/>
          <w:szCs w:val="20"/>
        </w:rPr>
        <w:t>AST</w:t>
      </w:r>
      <w:r w:rsidRPr="0074507B">
        <w:rPr>
          <w:rFonts w:ascii="Arial" w:hAnsi="Arial" w:cs="Arial"/>
          <w:sz w:val="20"/>
          <w:szCs w:val="20"/>
        </w:rPr>
        <w:t xml:space="preserve"> </w:t>
      </w:r>
      <w:r w:rsidRPr="0074507B">
        <w:rPr>
          <w:rFonts w:ascii="Arial" w:hAnsi="Arial" w:cs="Arial"/>
          <w:sz w:val="20"/>
          <w:szCs w:val="20"/>
          <w:shd w:val="clear" w:color="auto" w:fill="FFFFFF"/>
        </w:rPr>
        <w:t>aspartate aminotransferase</w:t>
      </w:r>
      <w:r>
        <w:rPr>
          <w:rFonts w:ascii="Arial" w:hAnsi="Arial" w:cs="Arial"/>
          <w:sz w:val="20"/>
          <w:szCs w:val="20"/>
        </w:rPr>
        <w:t>,</w:t>
      </w:r>
      <w:r w:rsidRPr="0074507B">
        <w:rPr>
          <w:rFonts w:ascii="Arial" w:hAnsi="Arial" w:cs="Arial"/>
          <w:sz w:val="20"/>
          <w:szCs w:val="20"/>
        </w:rPr>
        <w:t xml:space="preserve"> </w:t>
      </w:r>
      <w:r w:rsidRPr="001A4B09">
        <w:rPr>
          <w:rFonts w:ascii="Arial" w:hAnsi="Arial" w:cs="Arial"/>
          <w:i/>
          <w:sz w:val="20"/>
          <w:szCs w:val="20"/>
        </w:rPr>
        <w:t>ATTR-PN</w:t>
      </w:r>
      <w:r w:rsidRPr="0074507B">
        <w:rPr>
          <w:rFonts w:ascii="Arial" w:eastAsiaTheme="minorEastAsia" w:hAnsi="Arial" w:cs="Arial"/>
          <w:kern w:val="24"/>
          <w:sz w:val="20"/>
          <w:szCs w:val="20"/>
        </w:rPr>
        <w:t xml:space="preserve"> </w:t>
      </w:r>
      <w:r w:rsidRPr="00694973">
        <w:rPr>
          <w:rFonts w:ascii="Arial" w:hAnsi="Arial" w:cs="Arial"/>
          <w:sz w:val="20"/>
          <w:szCs w:val="20"/>
        </w:rPr>
        <w:t>transthyretin-mediated amyloid polyneuropathy</w:t>
      </w:r>
      <w:r>
        <w:rPr>
          <w:rFonts w:ascii="Arial" w:hAnsi="Arial" w:cs="Arial"/>
          <w:sz w:val="20"/>
          <w:szCs w:val="20"/>
        </w:rPr>
        <w:t>,</w:t>
      </w:r>
      <w:r w:rsidRPr="0074507B">
        <w:rPr>
          <w:rFonts w:ascii="Arial" w:hAnsi="Arial" w:cs="Arial"/>
          <w:sz w:val="20"/>
          <w:szCs w:val="20"/>
        </w:rPr>
        <w:t xml:space="preserve"> </w:t>
      </w:r>
      <w:r w:rsidRPr="001A4B09">
        <w:rPr>
          <w:rFonts w:ascii="Arial" w:hAnsi="Arial" w:cs="Arial"/>
          <w:i/>
          <w:sz w:val="20"/>
          <w:szCs w:val="20"/>
        </w:rPr>
        <w:t>BCC</w:t>
      </w:r>
      <w:r w:rsidRPr="0074507B">
        <w:rPr>
          <w:rFonts w:ascii="Arial" w:hAnsi="Arial" w:cs="Arial"/>
          <w:sz w:val="20"/>
          <w:szCs w:val="20"/>
        </w:rPr>
        <w:t xml:space="preserve"> basal cell carcinoma</w:t>
      </w:r>
      <w:r>
        <w:rPr>
          <w:rFonts w:ascii="Arial" w:hAnsi="Arial" w:cs="Arial"/>
          <w:sz w:val="20"/>
          <w:szCs w:val="20"/>
        </w:rPr>
        <w:t>,</w:t>
      </w:r>
      <w:r w:rsidRPr="0074507B">
        <w:rPr>
          <w:rFonts w:ascii="Arial" w:hAnsi="Arial" w:cs="Arial"/>
          <w:sz w:val="20"/>
          <w:szCs w:val="20"/>
        </w:rPr>
        <w:t xml:space="preserve"> </w:t>
      </w:r>
      <w:r w:rsidRPr="001A4B09">
        <w:rPr>
          <w:rFonts w:ascii="Arial" w:hAnsi="Arial" w:cs="Arial"/>
          <w:i/>
          <w:sz w:val="20"/>
          <w:szCs w:val="20"/>
        </w:rPr>
        <w:t>BP</w:t>
      </w:r>
      <w:r w:rsidRPr="0074507B">
        <w:rPr>
          <w:rFonts w:ascii="Arial" w:hAnsi="Arial" w:cs="Arial"/>
          <w:sz w:val="20"/>
          <w:szCs w:val="20"/>
        </w:rPr>
        <w:t xml:space="preserve"> blood pressure</w:t>
      </w:r>
      <w:r>
        <w:rPr>
          <w:rFonts w:ascii="Arial" w:hAnsi="Arial" w:cs="Arial"/>
          <w:sz w:val="20"/>
          <w:szCs w:val="20"/>
        </w:rPr>
        <w:t>,</w:t>
      </w:r>
      <w:r w:rsidRPr="0074507B">
        <w:rPr>
          <w:rFonts w:ascii="Arial" w:hAnsi="Arial" w:cs="Arial"/>
          <w:sz w:val="20"/>
          <w:szCs w:val="20"/>
        </w:rPr>
        <w:t xml:space="preserve"> </w:t>
      </w:r>
      <w:r w:rsidRPr="001A4B09">
        <w:rPr>
          <w:rFonts w:ascii="Arial" w:hAnsi="Arial" w:cs="Arial"/>
          <w:i/>
          <w:sz w:val="20"/>
          <w:szCs w:val="20"/>
        </w:rPr>
        <w:t>CIS</w:t>
      </w:r>
      <w:r w:rsidRPr="0074507B">
        <w:rPr>
          <w:rFonts w:ascii="Arial" w:hAnsi="Arial" w:cs="Arial"/>
          <w:sz w:val="20"/>
          <w:szCs w:val="20"/>
        </w:rPr>
        <w:t xml:space="preserve"> carcinoma in situ</w:t>
      </w:r>
      <w:r>
        <w:rPr>
          <w:rFonts w:ascii="Arial" w:eastAsia="TimesNewRomanPSMT" w:hAnsi="Arial" w:cs="Arial"/>
          <w:sz w:val="20"/>
          <w:szCs w:val="20"/>
        </w:rPr>
        <w:t>,</w:t>
      </w:r>
      <w:r w:rsidRPr="0074507B">
        <w:rPr>
          <w:rFonts w:ascii="Arial" w:eastAsia="TimesNewRomanPSMT" w:hAnsi="Arial" w:cs="Arial"/>
          <w:sz w:val="20"/>
          <w:szCs w:val="20"/>
        </w:rPr>
        <w:t xml:space="preserve"> </w:t>
      </w:r>
      <w:proofErr w:type="spellStart"/>
      <w:r w:rsidRPr="0030689E">
        <w:rPr>
          <w:rFonts w:ascii="Arial" w:hAnsi="Arial" w:cs="Arial"/>
          <w:i/>
          <w:sz w:val="20"/>
          <w:szCs w:val="20"/>
        </w:rPr>
        <w:t>eGFR</w:t>
      </w:r>
      <w:proofErr w:type="spellEnd"/>
      <w:r w:rsidRPr="0074507B">
        <w:rPr>
          <w:rFonts w:ascii="Arial" w:hAnsi="Arial" w:cs="Arial"/>
          <w:sz w:val="20"/>
          <w:szCs w:val="20"/>
        </w:rPr>
        <w:t xml:space="preserve"> estimated glomerular filtration rate</w:t>
      </w:r>
      <w:r>
        <w:rPr>
          <w:rFonts w:ascii="Arial" w:hAnsi="Arial" w:cs="Arial"/>
          <w:sz w:val="20"/>
          <w:szCs w:val="20"/>
        </w:rPr>
        <w:t>,</w:t>
      </w:r>
      <w:r w:rsidRPr="0074507B">
        <w:rPr>
          <w:rFonts w:ascii="Arial" w:hAnsi="Arial" w:cs="Arial"/>
          <w:sz w:val="20"/>
          <w:szCs w:val="20"/>
        </w:rPr>
        <w:t xml:space="preserve"> </w:t>
      </w:r>
      <w:r w:rsidRPr="0030689E">
        <w:rPr>
          <w:rFonts w:ascii="Arial" w:hAnsi="Arial" w:cs="Arial"/>
          <w:i/>
          <w:sz w:val="20"/>
          <w:szCs w:val="20"/>
        </w:rPr>
        <w:t>FAP</w:t>
      </w:r>
      <w:r w:rsidRPr="0074507B">
        <w:rPr>
          <w:rFonts w:ascii="Arial" w:hAnsi="Arial" w:cs="Arial"/>
          <w:sz w:val="20"/>
          <w:szCs w:val="20"/>
        </w:rPr>
        <w:t xml:space="preserve"> familial amyloid polyneuropathy</w:t>
      </w:r>
      <w:r>
        <w:rPr>
          <w:rFonts w:ascii="Arial" w:hAnsi="Arial" w:cs="Arial"/>
          <w:sz w:val="20"/>
          <w:szCs w:val="20"/>
        </w:rPr>
        <w:t>,</w:t>
      </w:r>
      <w:r w:rsidRPr="0074507B">
        <w:rPr>
          <w:rFonts w:ascii="Arial" w:hAnsi="Arial" w:cs="Arial"/>
          <w:sz w:val="20"/>
          <w:szCs w:val="20"/>
        </w:rPr>
        <w:t xml:space="preserve"> </w:t>
      </w:r>
      <w:r w:rsidRPr="0030689E">
        <w:rPr>
          <w:rFonts w:ascii="Arial" w:eastAsia="TimesNewRomanPSMT" w:hAnsi="Arial" w:cs="Arial"/>
          <w:i/>
          <w:sz w:val="20"/>
          <w:szCs w:val="20"/>
        </w:rPr>
        <w:t>HbA1C</w:t>
      </w:r>
      <w:r w:rsidRPr="0074507B">
        <w:rPr>
          <w:rFonts w:ascii="Arial" w:eastAsia="TimesNewRomanPSMT" w:hAnsi="Arial" w:cs="Arial"/>
          <w:sz w:val="20"/>
          <w:szCs w:val="20"/>
        </w:rPr>
        <w:t xml:space="preserve"> </w:t>
      </w:r>
      <w:r w:rsidRPr="0074507B">
        <w:rPr>
          <w:rFonts w:ascii="Arial" w:hAnsi="Arial" w:cs="Arial"/>
          <w:sz w:val="20"/>
          <w:szCs w:val="20"/>
          <w:shd w:val="clear" w:color="auto" w:fill="FFFFFF"/>
        </w:rPr>
        <w:t>hemoglobin subunit alpha</w:t>
      </w:r>
      <w:r>
        <w:rPr>
          <w:rFonts w:ascii="Arial" w:hAnsi="Arial" w:cs="Arial"/>
          <w:sz w:val="20"/>
          <w:szCs w:val="20"/>
          <w:shd w:val="clear" w:color="auto" w:fill="FFFFFF"/>
        </w:rPr>
        <w:t>-</w:t>
      </w:r>
      <w:r w:rsidRPr="0074507B">
        <w:rPr>
          <w:rFonts w:ascii="Arial" w:hAnsi="Arial" w:cs="Arial"/>
          <w:sz w:val="20"/>
          <w:szCs w:val="20"/>
          <w:shd w:val="clear" w:color="auto" w:fill="FFFFFF"/>
        </w:rPr>
        <w:t>1</w:t>
      </w:r>
      <w:r>
        <w:rPr>
          <w:rFonts w:ascii="Arial" w:hAnsi="Arial" w:cs="Arial"/>
          <w:sz w:val="20"/>
          <w:szCs w:val="20"/>
          <w:shd w:val="clear" w:color="auto" w:fill="FFFFFF"/>
        </w:rPr>
        <w:t>C</w:t>
      </w:r>
      <w:r>
        <w:rPr>
          <w:rFonts w:ascii="Arial" w:hAnsi="Arial" w:cs="Arial"/>
          <w:sz w:val="20"/>
          <w:szCs w:val="20"/>
        </w:rPr>
        <w:t>,</w:t>
      </w:r>
      <w:r w:rsidRPr="0074507B">
        <w:rPr>
          <w:rFonts w:ascii="Arial" w:hAnsi="Arial" w:cs="Arial"/>
          <w:sz w:val="20"/>
          <w:szCs w:val="20"/>
        </w:rPr>
        <w:t xml:space="preserve"> </w:t>
      </w:r>
      <w:r w:rsidRPr="002A743E">
        <w:rPr>
          <w:rFonts w:ascii="Arial" w:hAnsi="Arial" w:cs="Arial"/>
          <w:i/>
          <w:sz w:val="20"/>
          <w:szCs w:val="20"/>
        </w:rPr>
        <w:t>HIV</w:t>
      </w:r>
      <w:r w:rsidRPr="002A743E">
        <w:rPr>
          <w:rFonts w:ascii="Arial" w:hAnsi="Arial" w:cs="Arial"/>
          <w:sz w:val="20"/>
          <w:szCs w:val="20"/>
        </w:rPr>
        <w:t xml:space="preserve"> </w:t>
      </w:r>
      <w:r w:rsidRPr="002A743E">
        <w:rPr>
          <w:rFonts w:ascii="Arial" w:hAnsi="Arial" w:cs="Arial"/>
          <w:color w:val="202124"/>
          <w:sz w:val="20"/>
          <w:szCs w:val="20"/>
          <w:shd w:val="clear" w:color="auto" w:fill="FFFFFF"/>
        </w:rPr>
        <w:t>human immunodeficiency virus,</w:t>
      </w:r>
      <w:r>
        <w:rPr>
          <w:rFonts w:ascii="Arial" w:hAnsi="Arial" w:cs="Arial"/>
          <w:color w:val="202124"/>
          <w:shd w:val="clear" w:color="auto" w:fill="FFFFFF"/>
        </w:rPr>
        <w:t xml:space="preserve"> </w:t>
      </w:r>
      <w:r w:rsidRPr="0030689E">
        <w:rPr>
          <w:rFonts w:ascii="Arial" w:hAnsi="Arial" w:cs="Arial"/>
          <w:i/>
          <w:sz w:val="20"/>
          <w:szCs w:val="20"/>
        </w:rPr>
        <w:t>MGUS</w:t>
      </w:r>
      <w:r w:rsidRPr="0074507B">
        <w:rPr>
          <w:rFonts w:ascii="Arial" w:hAnsi="Arial" w:cs="Arial"/>
          <w:sz w:val="20"/>
          <w:szCs w:val="20"/>
        </w:rPr>
        <w:t xml:space="preserve"> monoclonal </w:t>
      </w:r>
      <w:proofErr w:type="spellStart"/>
      <w:r w:rsidRPr="0074507B">
        <w:rPr>
          <w:rFonts w:ascii="Arial" w:hAnsi="Arial" w:cs="Arial"/>
          <w:sz w:val="20"/>
          <w:szCs w:val="20"/>
        </w:rPr>
        <w:t>gammopathy</w:t>
      </w:r>
      <w:proofErr w:type="spellEnd"/>
      <w:r w:rsidRPr="0074507B">
        <w:rPr>
          <w:rFonts w:ascii="Arial" w:hAnsi="Arial" w:cs="Arial"/>
          <w:sz w:val="20"/>
          <w:szCs w:val="20"/>
        </w:rPr>
        <w:t xml:space="preserve"> of undetermined significance</w:t>
      </w:r>
      <w:r>
        <w:rPr>
          <w:rFonts w:ascii="Arial" w:hAnsi="Arial" w:cs="Arial"/>
          <w:sz w:val="20"/>
          <w:szCs w:val="20"/>
        </w:rPr>
        <w:t>,</w:t>
      </w:r>
      <w:r w:rsidRPr="0074507B">
        <w:rPr>
          <w:rFonts w:ascii="Arial" w:hAnsi="Arial" w:cs="Arial"/>
          <w:sz w:val="20"/>
          <w:szCs w:val="20"/>
        </w:rPr>
        <w:t xml:space="preserve"> </w:t>
      </w:r>
      <w:r w:rsidRPr="0030689E">
        <w:rPr>
          <w:rFonts w:ascii="Arial" w:hAnsi="Arial" w:cs="Arial"/>
          <w:i/>
          <w:sz w:val="20"/>
          <w:szCs w:val="20"/>
          <w:lang w:val="en-GB"/>
        </w:rPr>
        <w:t>NIS</w:t>
      </w:r>
      <w:r w:rsidRPr="0074507B">
        <w:rPr>
          <w:rFonts w:ascii="Arial" w:hAnsi="Arial" w:cs="Arial"/>
          <w:sz w:val="20"/>
          <w:szCs w:val="20"/>
          <w:lang w:val="en-GB"/>
        </w:rPr>
        <w:t xml:space="preserve"> Neuropathy Impairment Score</w:t>
      </w:r>
      <w:r>
        <w:rPr>
          <w:rFonts w:ascii="Arial" w:hAnsi="Arial" w:cs="Arial"/>
          <w:sz w:val="20"/>
          <w:szCs w:val="20"/>
          <w:lang w:val="en-GB"/>
        </w:rPr>
        <w:t>,</w:t>
      </w:r>
      <w:r w:rsidRPr="0074507B">
        <w:rPr>
          <w:rFonts w:ascii="Arial" w:hAnsi="Arial" w:cs="Arial"/>
          <w:sz w:val="20"/>
          <w:szCs w:val="20"/>
        </w:rPr>
        <w:t xml:space="preserve"> </w:t>
      </w:r>
      <w:r w:rsidRPr="0030689E">
        <w:rPr>
          <w:rFonts w:ascii="Arial" w:hAnsi="Arial" w:cs="Arial"/>
          <w:i/>
          <w:sz w:val="20"/>
          <w:szCs w:val="20"/>
        </w:rPr>
        <w:t>RBC</w:t>
      </w:r>
      <w:r w:rsidRPr="0074507B">
        <w:rPr>
          <w:rFonts w:ascii="Arial" w:hAnsi="Arial" w:cs="Arial"/>
          <w:sz w:val="20"/>
          <w:szCs w:val="20"/>
        </w:rPr>
        <w:t xml:space="preserve"> red blood cell</w:t>
      </w:r>
      <w:r>
        <w:rPr>
          <w:rFonts w:ascii="Arial" w:hAnsi="Arial" w:cs="Arial"/>
          <w:sz w:val="20"/>
          <w:szCs w:val="20"/>
        </w:rPr>
        <w:t>,</w:t>
      </w:r>
      <w:r w:rsidRPr="0074507B">
        <w:rPr>
          <w:rFonts w:ascii="Arial" w:hAnsi="Arial" w:cs="Arial"/>
          <w:sz w:val="20"/>
          <w:szCs w:val="20"/>
        </w:rPr>
        <w:t xml:space="preserve"> </w:t>
      </w:r>
      <w:r w:rsidRPr="0030689E">
        <w:rPr>
          <w:rFonts w:ascii="Arial" w:hAnsi="Arial" w:cs="Arial"/>
          <w:i/>
          <w:sz w:val="20"/>
          <w:szCs w:val="20"/>
          <w:lang w:val="en-GB"/>
        </w:rPr>
        <w:t>RNA</w:t>
      </w:r>
      <w:r w:rsidRPr="0074507B">
        <w:rPr>
          <w:rFonts w:ascii="Arial" w:hAnsi="Arial" w:cs="Arial"/>
          <w:sz w:val="20"/>
          <w:szCs w:val="20"/>
          <w:shd w:val="clear" w:color="auto" w:fill="FFFFFF"/>
        </w:rPr>
        <w:t xml:space="preserve"> ribonucleic acid</w:t>
      </w:r>
      <w:r>
        <w:rPr>
          <w:rFonts w:ascii="Arial" w:hAnsi="Arial" w:cs="Arial"/>
          <w:sz w:val="20"/>
          <w:szCs w:val="20"/>
          <w:shd w:val="clear" w:color="auto" w:fill="FFFFFF"/>
        </w:rPr>
        <w:t>,</w:t>
      </w:r>
      <w:r w:rsidRPr="0074507B">
        <w:rPr>
          <w:rFonts w:ascii="Arial" w:hAnsi="Arial" w:cs="Arial"/>
          <w:sz w:val="20"/>
          <w:szCs w:val="20"/>
        </w:rPr>
        <w:t xml:space="preserve"> </w:t>
      </w:r>
      <w:r w:rsidRPr="0030689E">
        <w:rPr>
          <w:rFonts w:ascii="Arial" w:hAnsi="Arial" w:cs="Arial"/>
          <w:i/>
          <w:sz w:val="20"/>
          <w:szCs w:val="20"/>
        </w:rPr>
        <w:t>SCC</w:t>
      </w:r>
      <w:r w:rsidRPr="0074507B">
        <w:rPr>
          <w:rFonts w:ascii="Arial" w:hAnsi="Arial" w:cs="Arial"/>
          <w:sz w:val="20"/>
          <w:szCs w:val="20"/>
        </w:rPr>
        <w:t xml:space="preserve"> squamous cell carcinoma</w:t>
      </w:r>
      <w:r>
        <w:rPr>
          <w:rFonts w:ascii="Arial" w:hAnsi="Arial" w:cs="Arial"/>
          <w:sz w:val="20"/>
          <w:szCs w:val="20"/>
        </w:rPr>
        <w:t>,</w:t>
      </w:r>
      <w:r w:rsidRPr="0074507B">
        <w:rPr>
          <w:rFonts w:ascii="Arial" w:hAnsi="Arial" w:cs="Arial"/>
          <w:sz w:val="20"/>
          <w:szCs w:val="20"/>
        </w:rPr>
        <w:t xml:space="preserve"> </w:t>
      </w:r>
      <w:r w:rsidRPr="0030689E">
        <w:rPr>
          <w:rFonts w:ascii="Arial" w:hAnsi="Arial" w:cs="Arial"/>
          <w:i/>
          <w:sz w:val="20"/>
          <w:szCs w:val="20"/>
          <w:lang w:val="en-GB"/>
        </w:rPr>
        <w:t>siRNA</w:t>
      </w:r>
      <w:r w:rsidRPr="0074507B">
        <w:rPr>
          <w:rFonts w:ascii="Arial" w:hAnsi="Arial" w:cs="Arial"/>
          <w:sz w:val="20"/>
          <w:szCs w:val="20"/>
        </w:rPr>
        <w:t xml:space="preserve"> small interfering </w:t>
      </w:r>
      <w:r w:rsidRPr="0074507B">
        <w:rPr>
          <w:rFonts w:ascii="Arial" w:hAnsi="Arial" w:cs="Arial"/>
          <w:sz w:val="20"/>
          <w:szCs w:val="20"/>
          <w:shd w:val="clear" w:color="auto" w:fill="FFFFFF"/>
        </w:rPr>
        <w:t>ribonucleic acid</w:t>
      </w:r>
      <w:r>
        <w:rPr>
          <w:rFonts w:ascii="Arial" w:hAnsi="Arial" w:cs="Arial"/>
          <w:sz w:val="20"/>
          <w:szCs w:val="20"/>
          <w:shd w:val="clear" w:color="auto" w:fill="FFFFFF"/>
        </w:rPr>
        <w:t>,</w:t>
      </w:r>
      <w:r w:rsidRPr="0074507B">
        <w:rPr>
          <w:rFonts w:ascii="Arial" w:hAnsi="Arial" w:cs="Arial"/>
          <w:sz w:val="20"/>
          <w:szCs w:val="20"/>
        </w:rPr>
        <w:t xml:space="preserve"> </w:t>
      </w:r>
      <w:r w:rsidRPr="0030689E">
        <w:rPr>
          <w:rFonts w:ascii="Arial" w:hAnsi="Arial" w:cs="Arial"/>
          <w:i/>
          <w:sz w:val="20"/>
          <w:szCs w:val="20"/>
        </w:rPr>
        <w:t>TTR</w:t>
      </w:r>
      <w:r w:rsidRPr="0074507B">
        <w:rPr>
          <w:rFonts w:ascii="Arial" w:hAnsi="Arial" w:cs="Arial"/>
          <w:sz w:val="20"/>
          <w:szCs w:val="20"/>
        </w:rPr>
        <w:t xml:space="preserve"> transthyretin</w:t>
      </w:r>
      <w:r>
        <w:rPr>
          <w:rFonts w:ascii="Arial" w:hAnsi="Arial" w:cs="Arial"/>
          <w:sz w:val="20"/>
          <w:szCs w:val="20"/>
        </w:rPr>
        <w:t>,</w:t>
      </w:r>
      <w:r w:rsidRPr="0074507B">
        <w:rPr>
          <w:rFonts w:ascii="Arial" w:hAnsi="Arial" w:cs="Arial"/>
          <w:sz w:val="20"/>
          <w:szCs w:val="20"/>
        </w:rPr>
        <w:t xml:space="preserve"> </w:t>
      </w:r>
      <w:r w:rsidRPr="0030689E">
        <w:rPr>
          <w:rFonts w:ascii="Arial" w:hAnsi="Arial" w:cs="Arial"/>
          <w:i/>
          <w:sz w:val="20"/>
          <w:szCs w:val="20"/>
        </w:rPr>
        <w:t>ULN</w:t>
      </w:r>
      <w:r w:rsidRPr="0074507B">
        <w:rPr>
          <w:rFonts w:ascii="Arial" w:hAnsi="Arial" w:cs="Arial"/>
          <w:sz w:val="20"/>
          <w:szCs w:val="20"/>
        </w:rPr>
        <w:t xml:space="preserve"> upper limit of normal</w:t>
      </w:r>
      <w:r>
        <w:rPr>
          <w:rFonts w:ascii="Arial" w:hAnsi="Arial" w:cs="Arial"/>
          <w:sz w:val="20"/>
          <w:szCs w:val="20"/>
        </w:rPr>
        <w:t>,</w:t>
      </w:r>
      <w:r w:rsidRPr="0074507B">
        <w:rPr>
          <w:rFonts w:ascii="Arial" w:hAnsi="Arial" w:cs="Arial"/>
          <w:sz w:val="20"/>
          <w:szCs w:val="20"/>
        </w:rPr>
        <w:t xml:space="preserve"> </w:t>
      </w:r>
      <w:r w:rsidRPr="0030689E">
        <w:rPr>
          <w:rFonts w:ascii="Arial" w:hAnsi="Arial" w:cs="Arial"/>
          <w:i/>
          <w:sz w:val="20"/>
          <w:szCs w:val="20"/>
        </w:rPr>
        <w:t>UPCR</w:t>
      </w:r>
      <w:r w:rsidRPr="0074507B">
        <w:rPr>
          <w:rFonts w:ascii="Arial" w:hAnsi="Arial" w:cs="Arial"/>
          <w:sz w:val="20"/>
          <w:szCs w:val="20"/>
        </w:rPr>
        <w:t xml:space="preserve"> urine protein creatinine ratio</w:t>
      </w:r>
      <w:proofErr w:type="gramEnd"/>
    </w:p>
    <w:p w:rsidR="000E5A3A" w:rsidRPr="0074507B" w:rsidRDefault="000E5A3A" w:rsidP="000E5A3A">
      <w:pPr>
        <w:spacing w:after="0" w:line="360" w:lineRule="auto"/>
        <w:rPr>
          <w:rFonts w:ascii="Arial" w:hAnsi="Arial" w:cs="Arial"/>
          <w:sz w:val="20"/>
          <w:szCs w:val="20"/>
        </w:rPr>
      </w:pPr>
      <w:proofErr w:type="gramStart"/>
      <w:r w:rsidRPr="0074507B">
        <w:rPr>
          <w:rFonts w:ascii="Arial" w:hAnsi="Arial" w:cs="Arial"/>
          <w:sz w:val="20"/>
          <w:szCs w:val="20"/>
          <w:vertAlign w:val="superscript"/>
        </w:rPr>
        <w:t>a</w:t>
      </w:r>
      <w:proofErr w:type="gramEnd"/>
      <w:r>
        <w:rPr>
          <w:rFonts w:ascii="Arial" w:hAnsi="Arial" w:cs="Arial"/>
          <w:sz w:val="20"/>
          <w:szCs w:val="20"/>
          <w:vertAlign w:val="superscript"/>
        </w:rPr>
        <w:t> </w:t>
      </w:r>
      <w:r w:rsidRPr="0074507B">
        <w:rPr>
          <w:rFonts w:ascii="Arial" w:hAnsi="Arial" w:cs="Arial"/>
          <w:sz w:val="20"/>
          <w:szCs w:val="20"/>
        </w:rPr>
        <w:t>Complete inclusion and exclusion criteria are subject to minor regional differences</w:t>
      </w:r>
    </w:p>
    <w:p w:rsidR="00D24ED8" w:rsidRPr="0074507B" w:rsidRDefault="00D24ED8" w:rsidP="00D24ED8">
      <w:pPr>
        <w:spacing w:after="0" w:line="360" w:lineRule="auto"/>
        <w:rPr>
          <w:rFonts w:ascii="Arial" w:hAnsi="Arial" w:cs="Arial"/>
          <w:sz w:val="20"/>
          <w:szCs w:val="20"/>
        </w:rPr>
      </w:pPr>
      <w:proofErr w:type="gramStart"/>
      <w:r>
        <w:rPr>
          <w:rFonts w:ascii="Arial" w:hAnsi="Arial" w:cs="Arial"/>
          <w:sz w:val="20"/>
          <w:szCs w:val="20"/>
          <w:vertAlign w:val="superscript"/>
        </w:rPr>
        <w:t>b</w:t>
      </w:r>
      <w:proofErr w:type="gramEnd"/>
      <w:r>
        <w:rPr>
          <w:rFonts w:ascii="Arial" w:hAnsi="Arial" w:cs="Arial"/>
          <w:sz w:val="20"/>
          <w:szCs w:val="20"/>
          <w:vertAlign w:val="superscript"/>
        </w:rPr>
        <w:t> </w:t>
      </w:r>
      <w:r w:rsidRPr="0074507B">
        <w:rPr>
          <w:rFonts w:ascii="Arial" w:hAnsi="Arial" w:cs="Arial"/>
          <w:sz w:val="20"/>
          <w:szCs w:val="20"/>
        </w:rPr>
        <w:t xml:space="preserve">Abstinence is only acceptable as true abstinence, i.e., when this is in line with the preferred and usual lifestyle of the patient. Periodic abstinence (e.g., calendar, ovulation, </w:t>
      </w:r>
      <w:proofErr w:type="spellStart"/>
      <w:r w:rsidRPr="0074507B">
        <w:rPr>
          <w:rFonts w:ascii="Arial" w:hAnsi="Arial" w:cs="Arial"/>
          <w:sz w:val="20"/>
          <w:szCs w:val="20"/>
        </w:rPr>
        <w:t>symptothermal</w:t>
      </w:r>
      <w:proofErr w:type="spellEnd"/>
      <w:r w:rsidRPr="0074507B">
        <w:rPr>
          <w:rFonts w:ascii="Arial" w:hAnsi="Arial" w:cs="Arial"/>
          <w:sz w:val="20"/>
          <w:szCs w:val="20"/>
        </w:rPr>
        <w:t>, post-ovulation methods), declaration of abstinence for the duration of a trial</w:t>
      </w:r>
      <w:r>
        <w:rPr>
          <w:rFonts w:ascii="Arial" w:hAnsi="Arial" w:cs="Arial"/>
          <w:sz w:val="20"/>
          <w:szCs w:val="20"/>
        </w:rPr>
        <w:t>,</w:t>
      </w:r>
      <w:r w:rsidRPr="0074507B">
        <w:rPr>
          <w:rFonts w:ascii="Arial" w:hAnsi="Arial" w:cs="Arial"/>
          <w:sz w:val="20"/>
          <w:szCs w:val="20"/>
        </w:rPr>
        <w:t xml:space="preserve"> and withdrawal are not acceptable methods of contraception</w:t>
      </w:r>
    </w:p>
    <w:p w:rsidR="00D24ED8" w:rsidRPr="0074507B" w:rsidRDefault="00D24ED8" w:rsidP="00D24ED8">
      <w:pPr>
        <w:spacing w:after="0" w:line="360" w:lineRule="auto"/>
        <w:rPr>
          <w:rFonts w:ascii="Arial" w:hAnsi="Arial" w:cs="Arial"/>
          <w:sz w:val="20"/>
          <w:szCs w:val="20"/>
        </w:rPr>
      </w:pPr>
      <w:proofErr w:type="gramStart"/>
      <w:r>
        <w:rPr>
          <w:rFonts w:ascii="Arial" w:hAnsi="Arial" w:cs="Arial"/>
          <w:sz w:val="20"/>
          <w:szCs w:val="20"/>
          <w:vertAlign w:val="superscript"/>
        </w:rPr>
        <w:t>c</w:t>
      </w:r>
      <w:proofErr w:type="gramEnd"/>
      <w:r>
        <w:rPr>
          <w:rFonts w:ascii="Arial" w:hAnsi="Arial" w:cs="Arial"/>
          <w:sz w:val="20"/>
          <w:szCs w:val="20"/>
          <w:vertAlign w:val="superscript"/>
        </w:rPr>
        <w:t> </w:t>
      </w:r>
      <w:r w:rsidRPr="0074507B">
        <w:rPr>
          <w:rFonts w:ascii="Arial" w:hAnsi="Arial" w:cs="Arial"/>
          <w:sz w:val="20"/>
          <w:szCs w:val="20"/>
        </w:rPr>
        <w:t>E.g., tubal occlusion, hysterectomy, bilateral salpingectomy, bilateral oophorectomy</w:t>
      </w:r>
    </w:p>
    <w:p w:rsidR="00D24ED8" w:rsidRPr="0074507B" w:rsidRDefault="00D24ED8" w:rsidP="00D24ED8">
      <w:pPr>
        <w:spacing w:after="0" w:line="360" w:lineRule="auto"/>
        <w:rPr>
          <w:rFonts w:ascii="Arial" w:hAnsi="Arial" w:cs="Arial"/>
          <w:sz w:val="20"/>
          <w:szCs w:val="20"/>
        </w:rPr>
      </w:pPr>
      <w:proofErr w:type="gramStart"/>
      <w:r>
        <w:rPr>
          <w:rFonts w:ascii="Arial" w:hAnsi="Arial" w:cs="Arial"/>
          <w:sz w:val="20"/>
          <w:szCs w:val="20"/>
          <w:vertAlign w:val="superscript"/>
        </w:rPr>
        <w:t>d</w:t>
      </w:r>
      <w:proofErr w:type="gramEnd"/>
      <w:r>
        <w:rPr>
          <w:rFonts w:ascii="Arial" w:hAnsi="Arial" w:cs="Arial"/>
          <w:sz w:val="20"/>
          <w:szCs w:val="20"/>
          <w:vertAlign w:val="superscript"/>
        </w:rPr>
        <w:t> </w:t>
      </w:r>
      <w:r w:rsidRPr="0074507B">
        <w:rPr>
          <w:rFonts w:ascii="Arial" w:hAnsi="Arial" w:cs="Arial"/>
          <w:sz w:val="20"/>
          <w:szCs w:val="20"/>
        </w:rPr>
        <w:t>Defined as 12 months of spontaneous amenorrhea in female</w:t>
      </w:r>
      <w:r>
        <w:rPr>
          <w:rFonts w:ascii="Arial" w:hAnsi="Arial" w:cs="Arial"/>
          <w:sz w:val="20"/>
          <w:szCs w:val="20"/>
        </w:rPr>
        <w:t xml:space="preserve"> patients</w:t>
      </w:r>
      <w:r w:rsidRPr="0074507B">
        <w:rPr>
          <w:rFonts w:ascii="Arial" w:hAnsi="Arial" w:cs="Arial"/>
          <w:sz w:val="20"/>
          <w:szCs w:val="20"/>
        </w:rPr>
        <w:t xml:space="preserve"> &gt; 55 years of age</w:t>
      </w:r>
      <w:r>
        <w:rPr>
          <w:rFonts w:ascii="Arial" w:hAnsi="Arial" w:cs="Arial"/>
          <w:sz w:val="20"/>
          <w:szCs w:val="20"/>
        </w:rPr>
        <w:t>,</w:t>
      </w:r>
      <w:r w:rsidRPr="0074507B">
        <w:rPr>
          <w:rFonts w:ascii="Arial" w:hAnsi="Arial" w:cs="Arial"/>
          <w:sz w:val="20"/>
          <w:szCs w:val="20"/>
        </w:rPr>
        <w:t xml:space="preserve"> or</w:t>
      </w:r>
      <w:r>
        <w:rPr>
          <w:rFonts w:ascii="Arial" w:hAnsi="Arial" w:cs="Arial"/>
          <w:sz w:val="20"/>
          <w:szCs w:val="20"/>
        </w:rPr>
        <w:t xml:space="preserve"> as </w:t>
      </w:r>
      <w:r w:rsidRPr="0074507B">
        <w:rPr>
          <w:rFonts w:ascii="Arial" w:hAnsi="Arial" w:cs="Arial"/>
          <w:sz w:val="20"/>
          <w:szCs w:val="20"/>
        </w:rPr>
        <w:t>12 months of spontaneous amenorrhea without an alternative medical cause</w:t>
      </w:r>
      <w:r>
        <w:rPr>
          <w:rFonts w:ascii="Arial" w:hAnsi="Arial" w:cs="Arial"/>
          <w:sz w:val="20"/>
          <w:szCs w:val="20"/>
        </w:rPr>
        <w:t>,</w:t>
      </w:r>
      <w:r w:rsidRPr="0074507B">
        <w:rPr>
          <w:rFonts w:ascii="Arial" w:hAnsi="Arial" w:cs="Arial"/>
          <w:sz w:val="20"/>
          <w:szCs w:val="20"/>
        </w:rPr>
        <w:t xml:space="preserve"> and follicle-stimulating </w:t>
      </w:r>
      <w:r w:rsidRPr="0074507B">
        <w:rPr>
          <w:rFonts w:ascii="Arial" w:hAnsi="Arial" w:cs="Arial"/>
          <w:sz w:val="20"/>
          <w:szCs w:val="20"/>
        </w:rPr>
        <w:lastRenderedPageBreak/>
        <w:t>hormone levels in the post-menopausal range for the laboratory involved</w:t>
      </w:r>
      <w:r>
        <w:rPr>
          <w:rFonts w:ascii="Arial" w:hAnsi="Arial" w:cs="Arial"/>
          <w:sz w:val="20"/>
          <w:szCs w:val="20"/>
        </w:rPr>
        <w:t xml:space="preserve">, </w:t>
      </w:r>
      <w:r w:rsidRPr="0074507B">
        <w:rPr>
          <w:rFonts w:ascii="Arial" w:hAnsi="Arial" w:cs="Arial"/>
          <w:sz w:val="20"/>
          <w:szCs w:val="20"/>
        </w:rPr>
        <w:t>in female</w:t>
      </w:r>
      <w:r>
        <w:rPr>
          <w:rFonts w:ascii="Arial" w:hAnsi="Arial" w:cs="Arial"/>
          <w:sz w:val="20"/>
          <w:szCs w:val="20"/>
        </w:rPr>
        <w:t xml:space="preserve"> patients</w:t>
      </w:r>
      <w:r w:rsidRPr="0074507B">
        <w:rPr>
          <w:rFonts w:ascii="Arial" w:hAnsi="Arial" w:cs="Arial"/>
          <w:sz w:val="20"/>
          <w:szCs w:val="20"/>
        </w:rPr>
        <w:t xml:space="preserve"> ≤ 55 years</w:t>
      </w:r>
      <w:r>
        <w:rPr>
          <w:rFonts w:ascii="Arial" w:hAnsi="Arial" w:cs="Arial"/>
          <w:sz w:val="20"/>
          <w:szCs w:val="20"/>
        </w:rPr>
        <w:t xml:space="preserve"> of age</w:t>
      </w:r>
    </w:p>
    <w:p w:rsidR="00D24ED8" w:rsidRPr="0074507B" w:rsidRDefault="00D24ED8" w:rsidP="00D24ED8">
      <w:pPr>
        <w:spacing w:after="0" w:line="360" w:lineRule="auto"/>
        <w:rPr>
          <w:rFonts w:ascii="Arial" w:hAnsi="Arial" w:cs="Arial"/>
          <w:sz w:val="20"/>
          <w:szCs w:val="20"/>
        </w:rPr>
      </w:pPr>
      <w:proofErr w:type="gramStart"/>
      <w:r>
        <w:rPr>
          <w:rFonts w:ascii="Arial" w:hAnsi="Arial" w:cs="Arial"/>
          <w:sz w:val="20"/>
          <w:szCs w:val="20"/>
          <w:vertAlign w:val="superscript"/>
        </w:rPr>
        <w:t>e</w:t>
      </w:r>
      <w:proofErr w:type="gramEnd"/>
      <w:r>
        <w:rPr>
          <w:rFonts w:ascii="Arial" w:hAnsi="Arial" w:cs="Arial"/>
          <w:sz w:val="20"/>
          <w:szCs w:val="20"/>
          <w:vertAlign w:val="superscript"/>
        </w:rPr>
        <w:t> </w:t>
      </w:r>
      <w:r w:rsidRPr="0074507B">
        <w:rPr>
          <w:rFonts w:ascii="Arial" w:hAnsi="Arial" w:cs="Arial"/>
          <w:sz w:val="20"/>
          <w:szCs w:val="20"/>
        </w:rPr>
        <w:t xml:space="preserve">If of child-bearing potential and engaged in sexual relations, agree to use </w:t>
      </w:r>
      <w:r>
        <w:rPr>
          <w:rFonts w:ascii="Arial" w:hAnsi="Arial" w:cs="Arial"/>
          <w:sz w:val="20"/>
          <w:szCs w:val="20"/>
        </w:rPr>
        <w:t>one</w:t>
      </w:r>
      <w:r w:rsidRPr="0074507B">
        <w:rPr>
          <w:rFonts w:ascii="Arial" w:hAnsi="Arial" w:cs="Arial"/>
          <w:sz w:val="20"/>
          <w:szCs w:val="20"/>
        </w:rPr>
        <w:t xml:space="preserve"> highly effective contraceptive method from the time of signing the informed consent form until at least 24 weeks after the last dose of the study drug</w:t>
      </w:r>
    </w:p>
    <w:p w:rsidR="000E5A3A" w:rsidRPr="0074507B" w:rsidRDefault="00D24ED8" w:rsidP="000E5A3A">
      <w:pPr>
        <w:spacing w:after="0" w:line="360" w:lineRule="auto"/>
        <w:rPr>
          <w:rFonts w:ascii="Arial" w:hAnsi="Arial" w:cs="Arial"/>
          <w:sz w:val="20"/>
          <w:szCs w:val="20"/>
        </w:rPr>
      </w:pPr>
      <w:proofErr w:type="gramStart"/>
      <w:r>
        <w:rPr>
          <w:rFonts w:ascii="Arial" w:hAnsi="Arial" w:cs="Arial"/>
          <w:sz w:val="20"/>
          <w:szCs w:val="20"/>
          <w:vertAlign w:val="superscript"/>
        </w:rPr>
        <w:t>f</w:t>
      </w:r>
      <w:proofErr w:type="gramEnd"/>
      <w:r w:rsidR="000E5A3A">
        <w:rPr>
          <w:rFonts w:ascii="Arial" w:hAnsi="Arial" w:cs="Arial"/>
          <w:sz w:val="20"/>
          <w:szCs w:val="20"/>
          <w:vertAlign w:val="superscript"/>
        </w:rPr>
        <w:t> </w:t>
      </w:r>
      <w:r w:rsidR="000E5A3A" w:rsidRPr="0074507B">
        <w:rPr>
          <w:rFonts w:ascii="Arial" w:hAnsi="Arial" w:cs="Arial"/>
          <w:sz w:val="20"/>
          <w:szCs w:val="20"/>
        </w:rPr>
        <w:t>E.g.</w:t>
      </w:r>
      <w:r w:rsidR="000E5A3A">
        <w:rPr>
          <w:rFonts w:ascii="Arial" w:hAnsi="Arial" w:cs="Arial"/>
          <w:sz w:val="20"/>
          <w:szCs w:val="20"/>
        </w:rPr>
        <w:t>,</w:t>
      </w:r>
      <w:r w:rsidR="000E5A3A" w:rsidRPr="0074507B">
        <w:rPr>
          <w:rFonts w:ascii="Arial" w:hAnsi="Arial" w:cs="Arial"/>
          <w:sz w:val="20"/>
          <w:szCs w:val="20"/>
        </w:rPr>
        <w:t xml:space="preserve"> previous acute coronary syndrome within 6 months of screening, major surgery within 3 months of screening</w:t>
      </w:r>
    </w:p>
    <w:p w:rsidR="000E5A3A" w:rsidRPr="0074507B" w:rsidRDefault="00D24ED8" w:rsidP="000E5A3A">
      <w:pPr>
        <w:autoSpaceDE w:val="0"/>
        <w:autoSpaceDN w:val="0"/>
        <w:adjustRightInd w:val="0"/>
        <w:spacing w:after="0" w:line="360" w:lineRule="auto"/>
        <w:rPr>
          <w:rFonts w:ascii="Arial" w:eastAsia="TimesNewRomanPSMT" w:hAnsi="Arial" w:cs="Arial"/>
          <w:sz w:val="20"/>
          <w:szCs w:val="20"/>
        </w:rPr>
      </w:pPr>
      <w:proofErr w:type="gramStart"/>
      <w:r>
        <w:rPr>
          <w:rFonts w:ascii="Arial" w:eastAsia="TimesNewRomanPSMT" w:hAnsi="Arial" w:cs="Arial"/>
          <w:sz w:val="20"/>
          <w:szCs w:val="20"/>
          <w:vertAlign w:val="superscript"/>
        </w:rPr>
        <w:t>g</w:t>
      </w:r>
      <w:proofErr w:type="gramEnd"/>
      <w:r w:rsidR="000E5A3A">
        <w:rPr>
          <w:rFonts w:ascii="Arial" w:eastAsia="TimesNewRomanPSMT" w:hAnsi="Arial" w:cs="Arial"/>
          <w:sz w:val="20"/>
          <w:szCs w:val="20"/>
          <w:vertAlign w:val="superscript"/>
        </w:rPr>
        <w:t> </w:t>
      </w:r>
      <w:r w:rsidR="000E5A3A" w:rsidRPr="0074507B">
        <w:rPr>
          <w:rFonts w:ascii="Arial" w:eastAsia="TimesNewRomanPSMT" w:hAnsi="Arial" w:cs="Arial"/>
          <w:sz w:val="20"/>
          <w:szCs w:val="20"/>
        </w:rPr>
        <w:t>In the event of UPCR above this threshold, eligibility may be confirmed by a repeat random urine test with UPCR &lt; 1000 mg/g or a quantitative total urine protein measurement of &lt; 1000 mg/24 h</w:t>
      </w:r>
    </w:p>
    <w:p w:rsidR="000E5A3A" w:rsidRPr="0074507B" w:rsidRDefault="00D24ED8" w:rsidP="000E5A3A">
      <w:pPr>
        <w:spacing w:after="0" w:line="360" w:lineRule="auto"/>
        <w:rPr>
          <w:rFonts w:ascii="Arial" w:hAnsi="Arial" w:cs="Arial"/>
          <w:sz w:val="20"/>
          <w:szCs w:val="20"/>
        </w:rPr>
      </w:pPr>
      <w:r>
        <w:rPr>
          <w:rFonts w:ascii="Arial" w:eastAsia="TimesNewRomanPSMT" w:hAnsi="Arial" w:cs="Arial"/>
          <w:sz w:val="20"/>
          <w:szCs w:val="20"/>
          <w:vertAlign w:val="superscript"/>
        </w:rPr>
        <w:t>h</w:t>
      </w:r>
      <w:r w:rsidR="000E5A3A">
        <w:rPr>
          <w:rFonts w:ascii="Arial" w:eastAsia="TimesNewRomanPSMT" w:hAnsi="Arial" w:cs="Arial"/>
          <w:sz w:val="20"/>
          <w:szCs w:val="20"/>
          <w:vertAlign w:val="superscript"/>
        </w:rPr>
        <w:t> </w:t>
      </w:r>
      <w:r w:rsidR="000E5A3A" w:rsidRPr="0074507B">
        <w:rPr>
          <w:rFonts w:ascii="Arial" w:eastAsia="TimesNewRomanPSMT" w:hAnsi="Arial" w:cs="Arial"/>
          <w:sz w:val="20"/>
          <w:szCs w:val="20"/>
        </w:rPr>
        <w:t>Bilirubin ≥ 1.5 × ULN (patients with bilirubin ≥ 1.5 × ULN may be allowed on study if indirect bilirubin only is elevated, ALT/AST is not greater than the ULN</w:t>
      </w:r>
      <w:r w:rsidR="000E5A3A">
        <w:rPr>
          <w:rFonts w:ascii="Arial" w:eastAsia="TimesNewRomanPSMT" w:hAnsi="Arial" w:cs="Arial"/>
          <w:sz w:val="20"/>
          <w:szCs w:val="20"/>
        </w:rPr>
        <w:t>,</w:t>
      </w:r>
      <w:r w:rsidR="000E5A3A" w:rsidRPr="0074507B">
        <w:rPr>
          <w:rFonts w:ascii="Arial" w:eastAsia="TimesNewRomanPSMT" w:hAnsi="Arial" w:cs="Arial"/>
          <w:sz w:val="20"/>
          <w:szCs w:val="20"/>
        </w:rPr>
        <w:t xml:space="preserve"> and genetic testing confirm</w:t>
      </w:r>
      <w:r w:rsidR="000E5A3A">
        <w:rPr>
          <w:rFonts w:ascii="Arial" w:eastAsia="TimesNewRomanPSMT" w:hAnsi="Arial" w:cs="Arial"/>
          <w:sz w:val="20"/>
          <w:szCs w:val="20"/>
        </w:rPr>
        <w:t>s</w:t>
      </w:r>
      <w:r w:rsidR="000E5A3A" w:rsidRPr="0074507B">
        <w:rPr>
          <w:rFonts w:ascii="Arial" w:eastAsia="TimesNewRomanPSMT" w:hAnsi="Arial" w:cs="Arial"/>
          <w:sz w:val="20"/>
          <w:szCs w:val="20"/>
        </w:rPr>
        <w:t xml:space="preserve"> Gilbert’s disease) </w:t>
      </w:r>
    </w:p>
    <w:p w:rsidR="000E5A3A" w:rsidRDefault="000E5A3A" w:rsidP="000E5A3A">
      <w:pPr>
        <w:autoSpaceDE w:val="0"/>
        <w:autoSpaceDN w:val="0"/>
        <w:adjustRightInd w:val="0"/>
        <w:spacing w:after="0" w:line="360" w:lineRule="auto"/>
        <w:rPr>
          <w:rFonts w:ascii="Arial" w:hAnsi="Arial" w:cs="Arial"/>
          <w:sz w:val="20"/>
          <w:szCs w:val="20"/>
        </w:rPr>
      </w:pPr>
      <w:r>
        <w:rPr>
          <w:rFonts w:ascii="Arial" w:hAnsi="Arial" w:cs="Arial"/>
          <w:sz w:val="20"/>
          <w:szCs w:val="20"/>
          <w:vertAlign w:val="superscript"/>
        </w:rPr>
        <w:t>I </w:t>
      </w:r>
      <w:proofErr w:type="gramStart"/>
      <w:r w:rsidRPr="0074507B">
        <w:rPr>
          <w:rFonts w:ascii="Arial" w:hAnsi="Arial" w:cs="Arial"/>
          <w:sz w:val="20"/>
          <w:szCs w:val="20"/>
        </w:rPr>
        <w:t>If</w:t>
      </w:r>
      <w:proofErr w:type="gramEnd"/>
      <w:r w:rsidRPr="0074507B">
        <w:rPr>
          <w:rFonts w:ascii="Arial" w:hAnsi="Arial" w:cs="Arial"/>
          <w:sz w:val="20"/>
          <w:szCs w:val="20"/>
        </w:rPr>
        <w:t xml:space="preserve"> previously treated with </w:t>
      </w:r>
      <w:proofErr w:type="spellStart"/>
      <w:r w:rsidRPr="0074507B">
        <w:rPr>
          <w:rFonts w:ascii="Arial" w:hAnsi="Arial" w:cs="Arial"/>
          <w:sz w:val="20"/>
          <w:szCs w:val="20"/>
        </w:rPr>
        <w:t>tafamidis</w:t>
      </w:r>
      <w:proofErr w:type="spellEnd"/>
      <w:r w:rsidRPr="0074507B">
        <w:rPr>
          <w:rFonts w:ascii="Arial" w:hAnsi="Arial" w:cs="Arial"/>
          <w:sz w:val="20"/>
          <w:szCs w:val="20"/>
        </w:rPr>
        <w:t>, diflunisal</w:t>
      </w:r>
      <w:r>
        <w:rPr>
          <w:rFonts w:ascii="Arial" w:hAnsi="Arial" w:cs="Arial"/>
          <w:sz w:val="20"/>
          <w:szCs w:val="20"/>
        </w:rPr>
        <w:t>,</w:t>
      </w:r>
      <w:r w:rsidRPr="0074507B">
        <w:rPr>
          <w:rFonts w:ascii="Arial" w:hAnsi="Arial" w:cs="Arial"/>
          <w:sz w:val="20"/>
          <w:szCs w:val="20"/>
        </w:rPr>
        <w:t xml:space="preserve"> or doxycycline (alone or with tauroursodeoxycholic acid), must have discontinued treatment for 2 weeks prior to study day 1</w:t>
      </w:r>
    </w:p>
    <w:p w:rsidR="000F1869" w:rsidRDefault="00EF2482"/>
    <w:sectPr w:rsidR="000F18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37FF9"/>
    <w:multiLevelType w:val="hybridMultilevel"/>
    <w:tmpl w:val="59BCFE58"/>
    <w:lvl w:ilvl="0" w:tplc="0E680BB6">
      <w:start w:val="1"/>
      <w:numFmt w:val="lowerLetter"/>
      <w:lvlText w:val="%1."/>
      <w:lvlJc w:val="left"/>
      <w:pPr>
        <w:tabs>
          <w:tab w:val="num" w:pos="720"/>
        </w:tabs>
        <w:ind w:left="720" w:hanging="360"/>
      </w:pPr>
    </w:lvl>
    <w:lvl w:ilvl="1" w:tplc="7FB2308C">
      <w:numFmt w:val="bullet"/>
      <w:lvlText w:val="•"/>
      <w:lvlJc w:val="left"/>
      <w:pPr>
        <w:tabs>
          <w:tab w:val="num" w:pos="1440"/>
        </w:tabs>
        <w:ind w:left="1440" w:hanging="360"/>
      </w:pPr>
      <w:rPr>
        <w:rFonts w:ascii="Arial" w:hAnsi="Arial" w:hint="default"/>
      </w:rPr>
    </w:lvl>
    <w:lvl w:ilvl="2" w:tplc="747A0670" w:tentative="1">
      <w:start w:val="1"/>
      <w:numFmt w:val="lowerLetter"/>
      <w:lvlText w:val="%3."/>
      <w:lvlJc w:val="left"/>
      <w:pPr>
        <w:tabs>
          <w:tab w:val="num" w:pos="2160"/>
        </w:tabs>
        <w:ind w:left="2160" w:hanging="360"/>
      </w:pPr>
    </w:lvl>
    <w:lvl w:ilvl="3" w:tplc="766C6ACC" w:tentative="1">
      <w:start w:val="1"/>
      <w:numFmt w:val="lowerLetter"/>
      <w:lvlText w:val="%4."/>
      <w:lvlJc w:val="left"/>
      <w:pPr>
        <w:tabs>
          <w:tab w:val="num" w:pos="2880"/>
        </w:tabs>
        <w:ind w:left="2880" w:hanging="360"/>
      </w:pPr>
    </w:lvl>
    <w:lvl w:ilvl="4" w:tplc="77CC5D56" w:tentative="1">
      <w:start w:val="1"/>
      <w:numFmt w:val="lowerLetter"/>
      <w:lvlText w:val="%5."/>
      <w:lvlJc w:val="left"/>
      <w:pPr>
        <w:tabs>
          <w:tab w:val="num" w:pos="3600"/>
        </w:tabs>
        <w:ind w:left="3600" w:hanging="360"/>
      </w:pPr>
    </w:lvl>
    <w:lvl w:ilvl="5" w:tplc="3AC63A58" w:tentative="1">
      <w:start w:val="1"/>
      <w:numFmt w:val="lowerLetter"/>
      <w:lvlText w:val="%6."/>
      <w:lvlJc w:val="left"/>
      <w:pPr>
        <w:tabs>
          <w:tab w:val="num" w:pos="4320"/>
        </w:tabs>
        <w:ind w:left="4320" w:hanging="360"/>
      </w:pPr>
    </w:lvl>
    <w:lvl w:ilvl="6" w:tplc="C406A278" w:tentative="1">
      <w:start w:val="1"/>
      <w:numFmt w:val="lowerLetter"/>
      <w:lvlText w:val="%7."/>
      <w:lvlJc w:val="left"/>
      <w:pPr>
        <w:tabs>
          <w:tab w:val="num" w:pos="5040"/>
        </w:tabs>
        <w:ind w:left="5040" w:hanging="360"/>
      </w:pPr>
    </w:lvl>
    <w:lvl w:ilvl="7" w:tplc="4FC80700" w:tentative="1">
      <w:start w:val="1"/>
      <w:numFmt w:val="lowerLetter"/>
      <w:lvlText w:val="%8."/>
      <w:lvlJc w:val="left"/>
      <w:pPr>
        <w:tabs>
          <w:tab w:val="num" w:pos="5760"/>
        </w:tabs>
        <w:ind w:left="5760" w:hanging="360"/>
      </w:pPr>
    </w:lvl>
    <w:lvl w:ilvl="8" w:tplc="F8C8A02C" w:tentative="1">
      <w:start w:val="1"/>
      <w:numFmt w:val="lowerLetter"/>
      <w:lvlText w:val="%9."/>
      <w:lvlJc w:val="left"/>
      <w:pPr>
        <w:tabs>
          <w:tab w:val="num" w:pos="6480"/>
        </w:tabs>
        <w:ind w:left="6480" w:hanging="360"/>
      </w:pPr>
    </w:lvl>
  </w:abstractNum>
  <w:abstractNum w:abstractNumId="1" w15:restartNumberingAfterBreak="0">
    <w:nsid w:val="1F4C5587"/>
    <w:multiLevelType w:val="hybridMultilevel"/>
    <w:tmpl w:val="DECE27AA"/>
    <w:lvl w:ilvl="0" w:tplc="7FB2308C">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145FC8"/>
    <w:multiLevelType w:val="hybridMultilevel"/>
    <w:tmpl w:val="B178F1C0"/>
    <w:lvl w:ilvl="0" w:tplc="7FB2308C">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DFA"/>
    <w:rsid w:val="000506F6"/>
    <w:rsid w:val="000E5A3A"/>
    <w:rsid w:val="004403BD"/>
    <w:rsid w:val="00664395"/>
    <w:rsid w:val="00690D5F"/>
    <w:rsid w:val="00705DFA"/>
    <w:rsid w:val="00D24ED8"/>
    <w:rsid w:val="00EF2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260F6"/>
  <w15:chartTrackingRefBased/>
  <w15:docId w15:val="{C08EF8E4-2554-47E2-9076-CB45728C0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05DFA"/>
    <w:pPr>
      <w:keepNext/>
      <w:spacing w:before="240"/>
      <w:outlineLvl w:val="0"/>
    </w:pPr>
    <w:rPr>
      <w:rFonts w:ascii="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5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05DFA"/>
    <w:pPr>
      <w:ind w:left="720"/>
      <w:contextualSpacing/>
    </w:pPr>
  </w:style>
  <w:style w:type="character" w:customStyle="1" w:styleId="ListParagraphChar">
    <w:name w:val="List Paragraph Char"/>
    <w:basedOn w:val="DefaultParagraphFont"/>
    <w:link w:val="ListParagraph"/>
    <w:uiPriority w:val="34"/>
    <w:rsid w:val="00705DFA"/>
  </w:style>
  <w:style w:type="character" w:customStyle="1" w:styleId="Heading1Char">
    <w:name w:val="Heading 1 Char"/>
    <w:basedOn w:val="DefaultParagraphFont"/>
    <w:link w:val="Heading1"/>
    <w:uiPriority w:val="9"/>
    <w:rsid w:val="00705DFA"/>
    <w:rPr>
      <w:rFonts w:ascii="Arial" w:hAnsi="Arial" w:cs="Arial"/>
      <w:b/>
      <w:sz w:val="24"/>
      <w:szCs w:val="24"/>
    </w:rPr>
  </w:style>
  <w:style w:type="paragraph" w:styleId="BalloonText">
    <w:name w:val="Balloon Text"/>
    <w:basedOn w:val="Normal"/>
    <w:link w:val="BalloonTextChar"/>
    <w:uiPriority w:val="99"/>
    <w:semiHidden/>
    <w:unhideWhenUsed/>
    <w:rsid w:val="000E5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5A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excel</dc:creator>
  <cp:keywords/>
  <dc:description/>
  <cp:lastModifiedBy>excel</cp:lastModifiedBy>
  <cp:revision>3</cp:revision>
  <dcterms:created xsi:type="dcterms:W3CDTF">2021-02-11T17:09:00Z</dcterms:created>
  <dcterms:modified xsi:type="dcterms:W3CDTF">2021-02-11T17:10:00Z</dcterms:modified>
</cp:coreProperties>
</file>