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DA599" w14:textId="77777777" w:rsidR="00AD119C" w:rsidRDefault="004036ED">
      <w:pPr>
        <w:snapToGrid w:val="0"/>
        <w:contextualSpacing/>
        <w:outlineLvl w:val="0"/>
        <w:rPr>
          <w:rFonts w:cs="Times New Roman"/>
          <w:b/>
          <w:szCs w:val="24"/>
        </w:rPr>
      </w:pPr>
      <w:bookmarkStart w:id="0" w:name="OLE_LINK4"/>
      <w:r>
        <w:rPr>
          <w:rFonts w:eastAsia="宋体" w:cs="Times New Roman"/>
          <w:b/>
          <w:bCs/>
          <w:szCs w:val="24"/>
        </w:rPr>
        <w:t xml:space="preserve">Safety and Efficacy of </w:t>
      </w:r>
      <w:r>
        <w:rPr>
          <w:rFonts w:eastAsia="宋体" w:cs="Times New Roman" w:hint="eastAsia"/>
          <w:b/>
          <w:bCs/>
          <w:szCs w:val="24"/>
        </w:rPr>
        <w:t>O</w:t>
      </w:r>
      <w:r>
        <w:rPr>
          <w:rFonts w:eastAsia="宋体" w:cs="Times New Roman"/>
          <w:b/>
          <w:bCs/>
          <w:szCs w:val="24"/>
        </w:rPr>
        <w:t xml:space="preserve">binutuzumab β (MIL62), a Novel Glycoengineered Type </w:t>
      </w:r>
      <w:r>
        <w:rPr>
          <w:rFonts w:cs="Times New Roman"/>
          <w:b/>
          <w:bCs/>
          <w:color w:val="000000"/>
          <w:szCs w:val="24"/>
        </w:rPr>
        <w:t>II</w:t>
      </w:r>
      <w:r>
        <w:rPr>
          <w:rFonts w:eastAsia="宋体" w:cs="Times New Roman"/>
          <w:b/>
          <w:bCs/>
          <w:szCs w:val="24"/>
        </w:rPr>
        <w:t xml:space="preserve"> Anti-CD20 Monoclonal Antibody, in Patients with Neuromyelitis Optica Spectrum Disorder: A Multicenter, Single-Arm, Phase Ib Clinical Trial</w:t>
      </w:r>
      <w:bookmarkEnd w:id="0"/>
    </w:p>
    <w:p w14:paraId="48A6CDED" w14:textId="77777777" w:rsidR="00AD119C" w:rsidRDefault="004036ED">
      <w:pPr>
        <w:snapToGrid w:val="0"/>
        <w:contextualSpacing/>
        <w:rPr>
          <w:rFonts w:cs="Times New Roman"/>
          <w:bCs/>
          <w:szCs w:val="24"/>
        </w:rPr>
      </w:pPr>
      <w:r>
        <w:rPr>
          <w:rFonts w:cs="Times New Roman"/>
          <w:b/>
          <w:szCs w:val="24"/>
        </w:rPr>
        <w:t>Running title:</w:t>
      </w:r>
      <w:r>
        <w:rPr>
          <w:rFonts w:cs="Times New Roman"/>
          <w:bCs/>
          <w:szCs w:val="24"/>
        </w:rPr>
        <w:t xml:space="preserve"> Obinutuzumab β in NMOSD: Phase Ib.</w:t>
      </w:r>
    </w:p>
    <w:p w14:paraId="4236D3CA" w14:textId="77777777" w:rsidR="00AD119C" w:rsidRDefault="00AD119C">
      <w:pPr>
        <w:snapToGrid w:val="0"/>
        <w:contextualSpacing/>
        <w:rPr>
          <w:rFonts w:cs="Times New Roman"/>
          <w:bCs/>
          <w:szCs w:val="24"/>
        </w:rPr>
      </w:pPr>
    </w:p>
    <w:p w14:paraId="4C67CC4A" w14:textId="77777777" w:rsidR="00AD119C" w:rsidRDefault="004036ED">
      <w:pPr>
        <w:snapToGrid w:val="0"/>
        <w:contextualSpacing/>
        <w:rPr>
          <w:rFonts w:cs="Times New Roman"/>
          <w:bCs/>
          <w:szCs w:val="24"/>
        </w:rPr>
      </w:pPr>
      <w:r>
        <w:rPr>
          <w:rFonts w:cs="Times New Roman"/>
          <w:bCs/>
          <w:szCs w:val="24"/>
        </w:rPr>
        <w:t>Lei Wu</w:t>
      </w:r>
      <w:r>
        <w:rPr>
          <w:rFonts w:cs="Times New Roman"/>
          <w:bCs/>
          <w:szCs w:val="24"/>
          <w:vertAlign w:val="superscript"/>
        </w:rPr>
        <w:t>1#</w:t>
      </w:r>
      <w:r>
        <w:rPr>
          <w:rFonts w:cs="Times New Roman"/>
          <w:bCs/>
          <w:szCs w:val="24"/>
        </w:rPr>
        <w:t>; Min Wei</w:t>
      </w:r>
      <w:r>
        <w:rPr>
          <w:rFonts w:cs="Times New Roman"/>
          <w:bCs/>
          <w:szCs w:val="24"/>
          <w:vertAlign w:val="superscript"/>
        </w:rPr>
        <w:t>2#</w:t>
      </w:r>
      <w:r>
        <w:rPr>
          <w:rFonts w:cs="Times New Roman"/>
          <w:bCs/>
          <w:szCs w:val="24"/>
        </w:rPr>
        <w:t>; Feng Gao</w:t>
      </w:r>
      <w:r>
        <w:rPr>
          <w:rFonts w:cs="Times New Roman"/>
          <w:bCs/>
          <w:szCs w:val="24"/>
          <w:vertAlign w:val="superscript"/>
        </w:rPr>
        <w:t>3</w:t>
      </w:r>
      <w:r>
        <w:rPr>
          <w:rFonts w:cs="Times New Roman"/>
          <w:bCs/>
          <w:szCs w:val="24"/>
        </w:rPr>
        <w:t>; Hua Zhang</w:t>
      </w:r>
      <w:r>
        <w:rPr>
          <w:rFonts w:cs="Times New Roman"/>
          <w:bCs/>
          <w:szCs w:val="24"/>
          <w:vertAlign w:val="superscript"/>
        </w:rPr>
        <w:t>4</w:t>
      </w:r>
      <w:r>
        <w:rPr>
          <w:rFonts w:cs="Times New Roman"/>
          <w:bCs/>
          <w:szCs w:val="24"/>
        </w:rPr>
        <w:t>; Jiawei Wang</w:t>
      </w:r>
      <w:r>
        <w:rPr>
          <w:rFonts w:cs="Times New Roman"/>
          <w:bCs/>
          <w:szCs w:val="24"/>
          <w:vertAlign w:val="superscript"/>
        </w:rPr>
        <w:t>5</w:t>
      </w:r>
      <w:r>
        <w:rPr>
          <w:rFonts w:cs="Times New Roman"/>
          <w:bCs/>
          <w:szCs w:val="24"/>
        </w:rPr>
        <w:t xml:space="preserve">; </w:t>
      </w:r>
      <w:r>
        <w:rPr>
          <w:rFonts w:cs="Times New Roman" w:hint="eastAsia"/>
          <w:bCs/>
          <w:szCs w:val="24"/>
        </w:rPr>
        <w:t>Feng Xiang</w:t>
      </w:r>
      <w:r>
        <w:rPr>
          <w:rFonts w:cs="Times New Roman"/>
          <w:bCs/>
          <w:szCs w:val="24"/>
          <w:vertAlign w:val="superscript"/>
        </w:rPr>
        <w:t>1</w:t>
      </w:r>
      <w:r>
        <w:rPr>
          <w:rFonts w:cs="Times New Roman"/>
          <w:bCs/>
          <w:szCs w:val="24"/>
        </w:rPr>
        <w:t>;</w:t>
      </w:r>
      <w:r>
        <w:rPr>
          <w:rFonts w:cs="Times New Roman" w:hint="eastAsia"/>
          <w:bCs/>
          <w:szCs w:val="24"/>
        </w:rPr>
        <w:t xml:space="preserve"> Sai Gao</w:t>
      </w:r>
      <w:r>
        <w:rPr>
          <w:rFonts w:cs="Times New Roman"/>
          <w:bCs/>
          <w:szCs w:val="24"/>
          <w:vertAlign w:val="superscript"/>
        </w:rPr>
        <w:t>1</w:t>
      </w:r>
      <w:r>
        <w:rPr>
          <w:rFonts w:cs="Times New Roman" w:hint="eastAsia"/>
          <w:bCs/>
          <w:szCs w:val="24"/>
        </w:rPr>
        <w:t>; Ran Liu</w:t>
      </w:r>
      <w:r>
        <w:rPr>
          <w:rFonts w:cs="Times New Roman"/>
          <w:bCs/>
          <w:szCs w:val="24"/>
          <w:vertAlign w:val="superscript"/>
        </w:rPr>
        <w:t>3</w:t>
      </w:r>
      <w:r>
        <w:rPr>
          <w:rFonts w:cs="Times New Roman"/>
          <w:bCs/>
          <w:szCs w:val="24"/>
        </w:rPr>
        <w:t>;</w:t>
      </w:r>
      <w:r>
        <w:rPr>
          <w:rFonts w:cs="Times New Roman" w:hint="eastAsia"/>
          <w:bCs/>
          <w:szCs w:val="24"/>
        </w:rPr>
        <w:t xml:space="preserve"> Jian Yin</w:t>
      </w:r>
      <w:r>
        <w:rPr>
          <w:rFonts w:cs="Times New Roman"/>
          <w:bCs/>
          <w:szCs w:val="24"/>
          <w:vertAlign w:val="superscript"/>
        </w:rPr>
        <w:t>4</w:t>
      </w:r>
      <w:r>
        <w:rPr>
          <w:rFonts w:cs="Times New Roman" w:hint="eastAsia"/>
          <w:bCs/>
          <w:szCs w:val="24"/>
        </w:rPr>
        <w:t>; Yanjun Guo</w:t>
      </w:r>
      <w:r>
        <w:rPr>
          <w:rFonts w:cs="Times New Roman"/>
          <w:bCs/>
          <w:szCs w:val="24"/>
          <w:vertAlign w:val="superscript"/>
        </w:rPr>
        <w:t>5</w:t>
      </w:r>
      <w:r>
        <w:rPr>
          <w:rFonts w:cs="Times New Roman"/>
          <w:bCs/>
          <w:szCs w:val="24"/>
        </w:rPr>
        <w:t>;</w:t>
      </w:r>
      <w:r>
        <w:rPr>
          <w:rFonts w:cs="Times New Roman" w:hint="eastAsia"/>
          <w:bCs/>
          <w:szCs w:val="24"/>
        </w:rPr>
        <w:t xml:space="preserve"> </w:t>
      </w:r>
      <w:r>
        <w:rPr>
          <w:rFonts w:cs="Times New Roman"/>
          <w:bCs/>
          <w:szCs w:val="24"/>
        </w:rPr>
        <w:t>Xifang Liu</w:t>
      </w:r>
      <w:r>
        <w:rPr>
          <w:rFonts w:cs="Times New Roman"/>
          <w:bCs/>
          <w:szCs w:val="24"/>
          <w:vertAlign w:val="superscript"/>
        </w:rPr>
        <w:t>2</w:t>
      </w:r>
      <w:r>
        <w:rPr>
          <w:rFonts w:cs="Times New Roman"/>
          <w:bCs/>
          <w:szCs w:val="24"/>
        </w:rPr>
        <w:t>;</w:t>
      </w:r>
      <w:r>
        <w:rPr>
          <w:rFonts w:cs="Times New Roman"/>
          <w:color w:val="000000"/>
          <w:szCs w:val="24"/>
        </w:rPr>
        <w:t xml:space="preserve"> </w:t>
      </w:r>
      <w:r>
        <w:rPr>
          <w:rFonts w:cs="Times New Roman" w:hint="eastAsia"/>
          <w:bCs/>
          <w:szCs w:val="24"/>
        </w:rPr>
        <w:t>Jinjin Liang</w:t>
      </w:r>
      <w:r>
        <w:rPr>
          <w:rFonts w:cs="Times New Roman"/>
          <w:bCs/>
          <w:szCs w:val="24"/>
          <w:vertAlign w:val="superscript"/>
        </w:rPr>
        <w:t>2</w:t>
      </w:r>
      <w:r>
        <w:rPr>
          <w:rFonts w:cs="Times New Roman" w:hint="eastAsia"/>
          <w:bCs/>
          <w:szCs w:val="24"/>
        </w:rPr>
        <w:t xml:space="preserve">; </w:t>
      </w:r>
      <w:r>
        <w:rPr>
          <w:rFonts w:cs="Times New Roman" w:hint="eastAsia"/>
          <w:color w:val="000000"/>
          <w:szCs w:val="24"/>
        </w:rPr>
        <w:t>Sijun Liu</w:t>
      </w:r>
      <w:r>
        <w:rPr>
          <w:rFonts w:cs="Times New Roman"/>
          <w:bCs/>
          <w:szCs w:val="24"/>
          <w:vertAlign w:val="superscript"/>
        </w:rPr>
        <w:t>2</w:t>
      </w:r>
      <w:r>
        <w:rPr>
          <w:rFonts w:cs="Times New Roman" w:hint="eastAsia"/>
          <w:color w:val="000000"/>
          <w:szCs w:val="24"/>
        </w:rPr>
        <w:t xml:space="preserve">; </w:t>
      </w:r>
      <w:r>
        <w:rPr>
          <w:rFonts w:cs="Times New Roman"/>
          <w:bCs/>
          <w:szCs w:val="24"/>
        </w:rPr>
        <w:t>Feng Li</w:t>
      </w:r>
      <w:r>
        <w:rPr>
          <w:rFonts w:cs="Times New Roman"/>
          <w:bCs/>
          <w:szCs w:val="24"/>
          <w:vertAlign w:val="superscript"/>
        </w:rPr>
        <w:t>2*</w:t>
      </w:r>
      <w:r>
        <w:rPr>
          <w:rFonts w:cs="Times New Roman"/>
          <w:bCs/>
          <w:szCs w:val="24"/>
        </w:rPr>
        <w:t xml:space="preserve">; </w:t>
      </w:r>
      <w:r>
        <w:rPr>
          <w:rFonts w:cs="Times New Roman"/>
          <w:color w:val="000000"/>
          <w:szCs w:val="24"/>
        </w:rPr>
        <w:t>Dehui Huang</w:t>
      </w:r>
      <w:r>
        <w:rPr>
          <w:rFonts w:cs="Times New Roman"/>
          <w:color w:val="000000"/>
          <w:szCs w:val="24"/>
          <w:vertAlign w:val="superscript"/>
        </w:rPr>
        <w:t>1*</w:t>
      </w:r>
    </w:p>
    <w:p w14:paraId="45151FE7" w14:textId="77777777" w:rsidR="00AD119C" w:rsidRDefault="00AD119C">
      <w:pPr>
        <w:pStyle w:val="a0"/>
        <w:snapToGrid w:val="0"/>
        <w:spacing w:after="0"/>
        <w:ind w:firstLineChars="0" w:firstLine="0"/>
        <w:contextualSpacing/>
        <w:rPr>
          <w:rFonts w:eastAsia="黑体" w:cs="Times New Roman"/>
          <w:color w:val="000000" w:themeColor="text1"/>
        </w:rPr>
      </w:pPr>
    </w:p>
    <w:p w14:paraId="5675C5C5" w14:textId="77777777" w:rsidR="00AD119C" w:rsidRDefault="004036ED">
      <w:pPr>
        <w:pStyle w:val="a0"/>
        <w:snapToGrid w:val="0"/>
        <w:spacing w:after="0"/>
        <w:ind w:firstLineChars="0" w:firstLine="0"/>
        <w:contextualSpacing/>
        <w:rPr>
          <w:rFonts w:eastAsia="黑体" w:cs="Times New Roman"/>
          <w:color w:val="000000" w:themeColor="text1"/>
        </w:rPr>
      </w:pPr>
      <w:r>
        <w:rPr>
          <w:rFonts w:eastAsia="黑体" w:cs="Times New Roman"/>
          <w:color w:val="000000" w:themeColor="text1"/>
          <w:vertAlign w:val="superscript"/>
        </w:rPr>
        <w:t>1</w:t>
      </w:r>
      <w:r>
        <w:rPr>
          <w:rFonts w:eastAsia="黑体" w:cs="Times New Roman"/>
          <w:color w:val="000000" w:themeColor="text1"/>
        </w:rPr>
        <w:t xml:space="preserve">Department of Neurology, The </w:t>
      </w:r>
      <w:bookmarkStart w:id="1" w:name="OLE_LINK6"/>
      <w:r>
        <w:rPr>
          <w:rFonts w:eastAsia="黑体" w:cs="Times New Roman"/>
          <w:color w:val="000000" w:themeColor="text1"/>
        </w:rPr>
        <w:t xml:space="preserve">First Medical Center of Chinese </w:t>
      </w:r>
      <w:r>
        <w:rPr>
          <w:rFonts w:eastAsia="黑体" w:cs="Times New Roman" w:hint="eastAsia"/>
          <w:color w:val="000000" w:themeColor="text1"/>
        </w:rPr>
        <w:t>Peo</w:t>
      </w:r>
      <w:r>
        <w:rPr>
          <w:rFonts w:eastAsia="黑体" w:cs="Times New Roman"/>
          <w:color w:val="000000" w:themeColor="text1"/>
        </w:rPr>
        <w:t xml:space="preserve">ple’s </w:t>
      </w:r>
      <w:r>
        <w:rPr>
          <w:rFonts w:eastAsia="黑体" w:cs="Times New Roman" w:hint="eastAsia"/>
          <w:color w:val="000000" w:themeColor="text1"/>
        </w:rPr>
        <w:t>Liberation Army</w:t>
      </w:r>
      <w:r>
        <w:rPr>
          <w:rFonts w:eastAsia="黑体" w:cs="Times New Roman"/>
          <w:color w:val="000000" w:themeColor="text1"/>
        </w:rPr>
        <w:t xml:space="preserve"> General Hospital</w:t>
      </w:r>
      <w:bookmarkEnd w:id="1"/>
      <w:r>
        <w:rPr>
          <w:rFonts w:eastAsia="黑体" w:cs="Times New Roman"/>
          <w:color w:val="000000" w:themeColor="text1"/>
        </w:rPr>
        <w:t>, Beijing 100853, China</w:t>
      </w:r>
    </w:p>
    <w:p w14:paraId="7F310322" w14:textId="77777777" w:rsidR="00AD119C" w:rsidRDefault="004036ED">
      <w:pPr>
        <w:snapToGrid w:val="0"/>
        <w:contextualSpacing/>
        <w:rPr>
          <w:rFonts w:eastAsia="黑体" w:cs="Times New Roman"/>
          <w:color w:val="000000" w:themeColor="text1"/>
          <w:szCs w:val="24"/>
        </w:rPr>
      </w:pPr>
      <w:r>
        <w:rPr>
          <w:rFonts w:eastAsia="黑体" w:cs="Times New Roman"/>
          <w:color w:val="000000" w:themeColor="text1"/>
          <w:szCs w:val="24"/>
          <w:vertAlign w:val="superscript"/>
        </w:rPr>
        <w:t>2</w:t>
      </w:r>
      <w:r>
        <w:rPr>
          <w:rFonts w:cs="Times New Roman"/>
          <w:color w:val="000000"/>
          <w:szCs w:val="24"/>
        </w:rPr>
        <w:t>Beijing Mabworks Biotech Co., Ltd., Beijing, 100176, China</w:t>
      </w:r>
    </w:p>
    <w:p w14:paraId="16523720" w14:textId="77777777" w:rsidR="00AD119C" w:rsidRDefault="004036ED">
      <w:pPr>
        <w:snapToGrid w:val="0"/>
        <w:contextualSpacing/>
        <w:rPr>
          <w:rFonts w:eastAsia="黑体" w:cs="Times New Roman"/>
          <w:color w:val="000000" w:themeColor="text1"/>
          <w:szCs w:val="24"/>
        </w:rPr>
      </w:pPr>
      <w:r>
        <w:rPr>
          <w:rFonts w:eastAsia="黑体" w:cs="Times New Roman"/>
          <w:color w:val="000000" w:themeColor="text1"/>
          <w:szCs w:val="24"/>
          <w:vertAlign w:val="superscript"/>
        </w:rPr>
        <w:t>3</w:t>
      </w:r>
      <w:r>
        <w:rPr>
          <w:rFonts w:eastAsia="黑体" w:cs="Times New Roman"/>
          <w:color w:val="000000" w:themeColor="text1"/>
          <w:szCs w:val="24"/>
        </w:rPr>
        <w:t>Department of Neurology, Peking University First Hospital, Beijing 100034, China</w:t>
      </w:r>
    </w:p>
    <w:p w14:paraId="6B197F32" w14:textId="77777777" w:rsidR="00AD119C" w:rsidRDefault="004036ED">
      <w:pPr>
        <w:snapToGrid w:val="0"/>
        <w:contextualSpacing/>
        <w:rPr>
          <w:rFonts w:cs="Times New Roman"/>
          <w:bCs/>
          <w:szCs w:val="24"/>
        </w:rPr>
      </w:pPr>
      <w:r>
        <w:rPr>
          <w:rFonts w:cs="Times New Roman"/>
          <w:bCs/>
          <w:szCs w:val="24"/>
          <w:vertAlign w:val="superscript"/>
        </w:rPr>
        <w:t>4</w:t>
      </w:r>
      <w:r>
        <w:rPr>
          <w:rFonts w:cs="Times New Roman"/>
          <w:bCs/>
          <w:szCs w:val="24"/>
        </w:rPr>
        <w:t>Department of Neurology, Beijing Hospital, Beijing 100005, China</w:t>
      </w:r>
    </w:p>
    <w:p w14:paraId="4C318053" w14:textId="77777777" w:rsidR="00AD119C" w:rsidRDefault="004036ED">
      <w:pPr>
        <w:snapToGrid w:val="0"/>
        <w:contextualSpacing/>
        <w:rPr>
          <w:rFonts w:cs="Times New Roman"/>
          <w:bCs/>
          <w:szCs w:val="24"/>
        </w:rPr>
      </w:pPr>
      <w:r>
        <w:rPr>
          <w:rFonts w:cs="Times New Roman"/>
          <w:bCs/>
          <w:szCs w:val="24"/>
          <w:vertAlign w:val="superscript"/>
        </w:rPr>
        <w:t>5</w:t>
      </w:r>
      <w:r>
        <w:rPr>
          <w:rFonts w:cs="Times New Roman"/>
          <w:bCs/>
          <w:szCs w:val="24"/>
        </w:rPr>
        <w:t>Department of Neurology, Beijing Tongren Hospital, Capital Medical University, Beijing 100730, China</w:t>
      </w:r>
    </w:p>
    <w:p w14:paraId="2214BE01" w14:textId="77777777" w:rsidR="00AD119C" w:rsidRDefault="004036ED">
      <w:pPr>
        <w:snapToGrid w:val="0"/>
        <w:contextualSpacing/>
        <w:rPr>
          <w:rFonts w:cs="Times New Roman"/>
          <w:bCs/>
          <w:szCs w:val="24"/>
        </w:rPr>
      </w:pPr>
      <w:r>
        <w:rPr>
          <w:rFonts w:cs="Times New Roman"/>
          <w:bCs/>
          <w:szCs w:val="24"/>
          <w:vertAlign w:val="superscript"/>
        </w:rPr>
        <w:t>#</w:t>
      </w:r>
      <w:r>
        <w:rPr>
          <w:rFonts w:cs="Times New Roman"/>
          <w:bCs/>
          <w:szCs w:val="24"/>
        </w:rPr>
        <w:t>Contributed equally as co-first authors.</w:t>
      </w:r>
    </w:p>
    <w:p w14:paraId="10C9FBA4" w14:textId="77777777" w:rsidR="00AD119C" w:rsidRDefault="00AD119C">
      <w:pPr>
        <w:snapToGrid w:val="0"/>
        <w:contextualSpacing/>
        <w:rPr>
          <w:rFonts w:cs="Times New Roman"/>
          <w:bCs/>
          <w:szCs w:val="24"/>
        </w:rPr>
      </w:pPr>
    </w:p>
    <w:p w14:paraId="2FC77CCC" w14:textId="77777777" w:rsidR="00AD119C" w:rsidRDefault="004036ED">
      <w:pPr>
        <w:snapToGrid w:val="0"/>
        <w:contextualSpacing/>
        <w:rPr>
          <w:rFonts w:cs="Times New Roman"/>
          <w:b/>
          <w:szCs w:val="24"/>
        </w:rPr>
      </w:pPr>
      <w:r>
        <w:rPr>
          <w:rFonts w:cs="Times New Roman" w:hint="eastAsia"/>
          <w:b/>
          <w:szCs w:val="24"/>
        </w:rPr>
        <w:t>O</w:t>
      </w:r>
      <w:r>
        <w:rPr>
          <w:rFonts w:cs="Times New Roman"/>
          <w:b/>
          <w:szCs w:val="24"/>
        </w:rPr>
        <w:t>riginal research</w:t>
      </w:r>
    </w:p>
    <w:p w14:paraId="130B7D1F" w14:textId="77777777" w:rsidR="00AD119C" w:rsidRDefault="00AD119C">
      <w:pPr>
        <w:pStyle w:val="a0"/>
        <w:spacing w:after="0"/>
        <w:ind w:firstLineChars="0" w:firstLine="0"/>
        <w:contextualSpacing/>
      </w:pPr>
    </w:p>
    <w:p w14:paraId="3ACBCE07" w14:textId="77777777" w:rsidR="00AD119C" w:rsidRDefault="004036ED">
      <w:pPr>
        <w:snapToGrid w:val="0"/>
        <w:contextualSpacing/>
        <w:rPr>
          <w:rFonts w:cs="Times New Roman"/>
          <w:b/>
          <w:bCs/>
          <w:szCs w:val="24"/>
        </w:rPr>
      </w:pPr>
      <w:r>
        <w:rPr>
          <w:rFonts w:eastAsia="宋体" w:cs="Times New Roman"/>
          <w:b/>
          <w:bCs/>
          <w:szCs w:val="24"/>
          <w:vertAlign w:val="superscript"/>
        </w:rPr>
        <w:t>*</w:t>
      </w:r>
      <w:bookmarkStart w:id="2" w:name="OLE_LINK15"/>
      <w:bookmarkStart w:id="3" w:name="OLE_LINK37"/>
      <w:r>
        <w:rPr>
          <w:rFonts w:cs="Times New Roman"/>
          <w:b/>
          <w:bCs/>
          <w:szCs w:val="24"/>
        </w:rPr>
        <w:t>Corresponding Author</w:t>
      </w:r>
      <w:bookmarkEnd w:id="2"/>
      <w:bookmarkEnd w:id="3"/>
      <w:r>
        <w:rPr>
          <w:rFonts w:cs="Times New Roman"/>
          <w:b/>
          <w:bCs/>
          <w:szCs w:val="24"/>
        </w:rPr>
        <w:t>:</w:t>
      </w:r>
    </w:p>
    <w:p w14:paraId="37ABAC20" w14:textId="77777777" w:rsidR="00AD119C" w:rsidRDefault="004036ED">
      <w:pPr>
        <w:snapToGrid w:val="0"/>
        <w:contextualSpacing/>
        <w:rPr>
          <w:rFonts w:eastAsia="黑体" w:cs="Times New Roman"/>
          <w:color w:val="000000" w:themeColor="text1"/>
          <w:szCs w:val="24"/>
        </w:rPr>
      </w:pPr>
      <w:bookmarkStart w:id="4" w:name="_Hlk204687111"/>
      <w:r>
        <w:rPr>
          <w:rFonts w:eastAsia="黑体" w:cs="Times New Roman"/>
          <w:color w:val="000000" w:themeColor="text1"/>
          <w:szCs w:val="24"/>
        </w:rPr>
        <w:t>Dehui Huang</w:t>
      </w:r>
    </w:p>
    <w:p w14:paraId="4FF70956" w14:textId="77777777" w:rsidR="00AD119C" w:rsidRDefault="004036ED">
      <w:pPr>
        <w:snapToGrid w:val="0"/>
        <w:contextualSpacing/>
        <w:rPr>
          <w:rFonts w:eastAsia="黑体" w:cs="Times New Roman"/>
          <w:color w:val="000000" w:themeColor="text1"/>
          <w:szCs w:val="24"/>
        </w:rPr>
      </w:pPr>
      <w:r>
        <w:rPr>
          <w:rFonts w:eastAsia="黑体" w:cs="Times New Roman"/>
          <w:color w:val="000000" w:themeColor="text1"/>
          <w:szCs w:val="24"/>
        </w:rPr>
        <w:t>Address: 28# Fuxing Road, Beijing, People’s Republic of China.</w:t>
      </w:r>
    </w:p>
    <w:p w14:paraId="532E0D8B" w14:textId="77777777" w:rsidR="00AD119C" w:rsidRDefault="004036ED">
      <w:pPr>
        <w:snapToGrid w:val="0"/>
        <w:contextualSpacing/>
        <w:rPr>
          <w:rFonts w:cs="Times New Roman"/>
          <w:kern w:val="0"/>
          <w:szCs w:val="24"/>
        </w:rPr>
      </w:pPr>
      <w:r>
        <w:rPr>
          <w:rFonts w:cs="Times New Roman"/>
          <w:szCs w:val="24"/>
        </w:rPr>
        <w:t>E-mail:</w:t>
      </w:r>
      <w:bookmarkStart w:id="5" w:name="OLE_LINK5"/>
      <w:r>
        <w:rPr>
          <w:rFonts w:cs="Times New Roman"/>
          <w:kern w:val="0"/>
          <w:szCs w:val="24"/>
        </w:rPr>
        <w:t xml:space="preserve"> </w:t>
      </w:r>
      <w:hyperlink r:id="rId9" w:history="1">
        <w:r>
          <w:rPr>
            <w:rStyle w:val="af7"/>
            <w:rFonts w:cs="Times New Roman"/>
            <w:szCs w:val="24"/>
          </w:rPr>
          <w:t>huangdehui@gmail.com</w:t>
        </w:r>
      </w:hyperlink>
      <w:bookmarkEnd w:id="5"/>
    </w:p>
    <w:p w14:paraId="28CA7D84" w14:textId="77777777" w:rsidR="00AD119C" w:rsidRDefault="004036ED">
      <w:pPr>
        <w:snapToGrid w:val="0"/>
        <w:contextualSpacing/>
        <w:rPr>
          <w:rFonts w:cs="Times New Roman"/>
          <w:szCs w:val="24"/>
        </w:rPr>
      </w:pPr>
      <w:r>
        <w:rPr>
          <w:rFonts w:cs="Times New Roman"/>
          <w:szCs w:val="24"/>
        </w:rPr>
        <w:t>Tel: +86-10-55499326</w:t>
      </w:r>
    </w:p>
    <w:bookmarkEnd w:id="4"/>
    <w:p w14:paraId="7B3DF9A1" w14:textId="77777777" w:rsidR="00AD119C" w:rsidRDefault="004036ED">
      <w:pPr>
        <w:snapToGrid w:val="0"/>
        <w:contextualSpacing/>
        <w:rPr>
          <w:rFonts w:cs="Times New Roman"/>
          <w:color w:val="000000" w:themeColor="text1"/>
          <w:szCs w:val="24"/>
        </w:rPr>
      </w:pPr>
      <w:r>
        <w:rPr>
          <w:rFonts w:cs="Times New Roman"/>
          <w:color w:val="000000" w:themeColor="text1"/>
          <w:szCs w:val="24"/>
        </w:rPr>
        <w:t>Feng Li</w:t>
      </w:r>
    </w:p>
    <w:p w14:paraId="46FB2C60" w14:textId="58E0E69F" w:rsidR="00AD119C" w:rsidRDefault="004036ED" w:rsidP="00DD0FB9">
      <w:pPr>
        <w:snapToGrid w:val="0"/>
        <w:contextualSpacing/>
        <w:rPr>
          <w:rFonts w:cs="Times New Roman"/>
          <w:b/>
          <w:bCs/>
          <w:szCs w:val="24"/>
        </w:rPr>
      </w:pPr>
      <w:r>
        <w:rPr>
          <w:rFonts w:cs="Times New Roman"/>
          <w:szCs w:val="24"/>
        </w:rPr>
        <w:t>E-mail:</w:t>
      </w:r>
      <w:r>
        <w:rPr>
          <w:rFonts w:cs="Times New Roman"/>
          <w:kern w:val="0"/>
          <w:szCs w:val="24"/>
        </w:rPr>
        <w:t xml:space="preserve"> </w:t>
      </w:r>
      <w:hyperlink r:id="rId10" w:history="1">
        <w:r>
          <w:rPr>
            <w:rStyle w:val="af7"/>
            <w:rFonts w:cs="Times New Roman"/>
            <w:bCs/>
            <w:szCs w:val="24"/>
          </w:rPr>
          <w:t>lif@mab-works.com</w:t>
        </w:r>
      </w:hyperlink>
      <w:r>
        <w:rPr>
          <w:rFonts w:cs="Times New Roman"/>
          <w:b/>
          <w:bCs/>
          <w:szCs w:val="24"/>
        </w:rPr>
        <w:br w:type="page"/>
      </w:r>
    </w:p>
    <w:p w14:paraId="2CE22B01" w14:textId="77777777" w:rsidR="00AD119C" w:rsidRDefault="004036ED">
      <w:pPr>
        <w:rPr>
          <w:rFonts w:cs="Times New Roman"/>
          <w:b/>
          <w:bCs/>
          <w:szCs w:val="24"/>
        </w:rPr>
      </w:pPr>
      <w:r>
        <w:rPr>
          <w:rFonts w:cs="Times New Roman"/>
          <w:b/>
          <w:bCs/>
          <w:szCs w:val="24"/>
        </w:rPr>
        <w:lastRenderedPageBreak/>
        <w:t>SUPPLEMENTARY MATERIAL</w:t>
      </w:r>
    </w:p>
    <w:p w14:paraId="7B988DD1" w14:textId="77777777" w:rsidR="00AD119C" w:rsidRDefault="004036ED">
      <w:pPr>
        <w:pStyle w:val="a0"/>
        <w:spacing w:after="0"/>
        <w:ind w:firstLineChars="0" w:firstLine="0"/>
        <w:rPr>
          <w:rFonts w:cs="Times New Roman"/>
          <w:b/>
          <w:bCs/>
          <w:szCs w:val="24"/>
        </w:rPr>
      </w:pPr>
      <w:r>
        <w:rPr>
          <w:rFonts w:cs="Times New Roman"/>
          <w:b/>
          <w:bCs/>
          <w:szCs w:val="24"/>
        </w:rPr>
        <w:t>Methods</w:t>
      </w:r>
    </w:p>
    <w:p w14:paraId="26857D91" w14:textId="77777777" w:rsidR="00AD119C" w:rsidRDefault="004036ED">
      <w:pPr>
        <w:rPr>
          <w:rFonts w:cs="Times New Roman"/>
          <w:b/>
          <w:bCs/>
          <w:szCs w:val="24"/>
        </w:rPr>
      </w:pPr>
      <w:r>
        <w:rPr>
          <w:rFonts w:cs="Times New Roman"/>
          <w:b/>
          <w:bCs/>
          <w:szCs w:val="24"/>
        </w:rPr>
        <w:t>Exclusion Criteria</w:t>
      </w:r>
    </w:p>
    <w:p w14:paraId="6A2EFA37" w14:textId="77777777" w:rsidR="00AD119C" w:rsidRDefault="004036ED">
      <w:pPr>
        <w:pStyle w:val="a6"/>
        <w:rPr>
          <w:rFonts w:cs="Times New Roman"/>
          <w:szCs w:val="24"/>
        </w:rPr>
      </w:pPr>
      <w:r>
        <w:rPr>
          <w:rFonts w:cs="Times New Roman"/>
          <w:b/>
          <w:bCs/>
          <w:szCs w:val="24"/>
        </w:rPr>
        <w:t>1)</w:t>
      </w:r>
      <w:r>
        <w:rPr>
          <w:rFonts w:cs="Times New Roman"/>
          <w:szCs w:val="24"/>
        </w:rPr>
        <w:t xml:space="preserve"> Abnormal laboratory values (e.g., neutrophils &lt;1.5×10⁹/L, hemoglobin &lt;90 g/L, platelet count &lt;75×10⁹/L, serum creatinine &gt;1.5× the upper limit of normal (ULN), total bilirubin &gt;1.5×ULN, aspartate aminotransferase (AST) &gt;1.5×ULN, alanine aminotransferase (ALT) &gt;1.5×ULN, alkaline phosphatase &gt;2×ULN, glycated hemoglobin (HbA1c) &gt;8% (for diabetic patients), glomerular filtration rate (GFR) &lt;60 mL/min/1.73 m² (calculated using the CKD-EPI formula).</w:t>
      </w:r>
    </w:p>
    <w:p w14:paraId="27420851" w14:textId="77777777" w:rsidR="00AD119C" w:rsidRDefault="004036ED">
      <w:pPr>
        <w:pStyle w:val="a6"/>
        <w:rPr>
          <w:rFonts w:cs="Times New Roman"/>
          <w:szCs w:val="24"/>
        </w:rPr>
      </w:pPr>
      <w:r>
        <w:rPr>
          <w:rFonts w:cs="Times New Roman"/>
          <w:szCs w:val="24"/>
        </w:rPr>
        <w:t xml:space="preserve"> </w:t>
      </w:r>
      <w:r>
        <w:rPr>
          <w:rFonts w:cs="Times New Roman"/>
          <w:b/>
          <w:bCs/>
          <w:szCs w:val="24"/>
        </w:rPr>
        <w:t>2)</w:t>
      </w:r>
      <w:r>
        <w:rPr>
          <w:rFonts w:cs="Times New Roman"/>
          <w:szCs w:val="24"/>
        </w:rPr>
        <w:t xml:space="preserve"> Received rituximab, inebilizumab, ozanimod, telitacicept, or any B-cell-depleting agents within 6 months prior to screening, but patients with CD19 or CD20-positive B-cell counts above the lower limit of normal were eligible for inclusion, and CD4-positive T-lymphocyte counts &lt;200/μL.</w:t>
      </w:r>
    </w:p>
    <w:p w14:paraId="2B45DA54" w14:textId="77777777" w:rsidR="00AD119C" w:rsidRDefault="004036ED">
      <w:pPr>
        <w:pStyle w:val="a6"/>
        <w:numPr>
          <w:ilvl w:val="0"/>
          <w:numId w:val="1"/>
        </w:numPr>
        <w:rPr>
          <w:rFonts w:cs="Times New Roman"/>
          <w:szCs w:val="24"/>
        </w:rPr>
      </w:pPr>
      <w:r>
        <w:rPr>
          <w:rFonts w:cs="Times New Roman"/>
          <w:szCs w:val="24"/>
        </w:rPr>
        <w:t>Used tocilizumab, satralizumab, eculizumab, efgartigimod, or other non-B-cell-depleting biologics with therapeutic effects on NMOSD, as well as mitoxantrone or alkylating agents such as cyclophosphamide, within 3 months prior to the first administration.</w:t>
      </w:r>
    </w:p>
    <w:p w14:paraId="31D58642" w14:textId="77777777" w:rsidR="00AD119C" w:rsidRDefault="004036ED">
      <w:pPr>
        <w:pStyle w:val="a6"/>
        <w:numPr>
          <w:ilvl w:val="0"/>
          <w:numId w:val="1"/>
        </w:numPr>
        <w:rPr>
          <w:rFonts w:eastAsia="宋体" w:cs="Times New Roman"/>
          <w:szCs w:val="24"/>
        </w:rPr>
      </w:pPr>
      <w:r>
        <w:rPr>
          <w:rFonts w:cs="Times New Roman"/>
          <w:szCs w:val="24"/>
        </w:rPr>
        <w:t>Used immunosuppressants such as azathioprine (half-life</w:t>
      </w:r>
      <w:r>
        <w:rPr>
          <w:rFonts w:cs="Times New Roman" w:hint="eastAsia"/>
          <w:szCs w:val="24"/>
        </w:rPr>
        <w:t xml:space="preserve"> [</w:t>
      </w:r>
      <w:r>
        <w:rPr>
          <w:rFonts w:cs="Times New Roman"/>
        </w:rPr>
        <w:t>t</w:t>
      </w:r>
      <w:r>
        <w:rPr>
          <w:rFonts w:cs="Times New Roman"/>
          <w:vertAlign w:val="subscript"/>
        </w:rPr>
        <w:t>1/2</w:t>
      </w:r>
      <w:r>
        <w:rPr>
          <w:rFonts w:cs="Times New Roman" w:hint="eastAsia"/>
          <w:szCs w:val="24"/>
        </w:rPr>
        <w:t>]</w:t>
      </w:r>
      <w:r>
        <w:rPr>
          <w:rFonts w:cs="Times New Roman"/>
          <w:szCs w:val="24"/>
        </w:rPr>
        <w:t xml:space="preserve"> = 6 hours), mycophenolate mofetil (</w:t>
      </w:r>
      <w:r>
        <w:rPr>
          <w:rFonts w:cs="Times New Roman"/>
        </w:rPr>
        <w:t>t</w:t>
      </w:r>
      <w:r>
        <w:rPr>
          <w:rFonts w:cs="Times New Roman"/>
          <w:vertAlign w:val="subscript"/>
        </w:rPr>
        <w:t>1/2</w:t>
      </w:r>
      <w:r>
        <w:rPr>
          <w:rFonts w:cs="Times New Roman"/>
          <w:szCs w:val="24"/>
        </w:rPr>
        <w:t>e = 16 hours), tacrolimus (</w:t>
      </w:r>
      <w:r>
        <w:rPr>
          <w:rFonts w:cs="Times New Roman"/>
        </w:rPr>
        <w:t>t</w:t>
      </w:r>
      <w:r>
        <w:rPr>
          <w:rFonts w:cs="Times New Roman"/>
          <w:vertAlign w:val="subscript"/>
        </w:rPr>
        <w:t>1/2</w:t>
      </w:r>
      <w:r>
        <w:rPr>
          <w:rFonts w:cs="Times New Roman"/>
          <w:szCs w:val="24"/>
        </w:rPr>
        <w:t xml:space="preserve"> = 43 hours), cyclosporine (</w:t>
      </w:r>
      <w:r>
        <w:rPr>
          <w:rFonts w:cs="Times New Roman"/>
        </w:rPr>
        <w:t>t</w:t>
      </w:r>
      <w:r>
        <w:rPr>
          <w:rFonts w:cs="Times New Roman"/>
          <w:vertAlign w:val="subscript"/>
        </w:rPr>
        <w:t>1/2</w:t>
      </w:r>
      <w:r>
        <w:rPr>
          <w:rFonts w:cs="Times New Roman"/>
          <w:szCs w:val="24"/>
        </w:rPr>
        <w:t xml:space="preserve"> = 27 hours), methotrexate (</w:t>
      </w:r>
      <w:r>
        <w:rPr>
          <w:rFonts w:cs="Times New Roman"/>
        </w:rPr>
        <w:t>t</w:t>
      </w:r>
      <w:r>
        <w:rPr>
          <w:rFonts w:cs="Times New Roman"/>
          <w:vertAlign w:val="subscript"/>
        </w:rPr>
        <w:t>1/2</w:t>
      </w:r>
      <w:r>
        <w:rPr>
          <w:rFonts w:cs="Times New Roman"/>
          <w:szCs w:val="24"/>
        </w:rPr>
        <w:t xml:space="preserve"> = 14 hours), or cyclophosphamide (</w:t>
      </w:r>
      <w:r>
        <w:rPr>
          <w:rFonts w:cs="Times New Roman"/>
        </w:rPr>
        <w:t>t</w:t>
      </w:r>
      <w:r>
        <w:rPr>
          <w:rFonts w:cs="Times New Roman"/>
          <w:vertAlign w:val="subscript"/>
        </w:rPr>
        <w:t>1/2</w:t>
      </w:r>
      <w:r>
        <w:rPr>
          <w:rFonts w:cs="Times New Roman"/>
          <w:szCs w:val="24"/>
        </w:rPr>
        <w:t xml:space="preserve"> = 6 hours) prior to the first administration, for patients who have used leflunomide or teriflunomide within 2 years prior to the first administration, cholestyramine washout was required. However, if the drug withdrawal interval exceeds five times the </w:t>
      </w:r>
      <w:r>
        <w:rPr>
          <w:rFonts w:cs="Times New Roman"/>
        </w:rPr>
        <w:t>t</w:t>
      </w:r>
      <w:r>
        <w:rPr>
          <w:rFonts w:cs="Times New Roman"/>
          <w:vertAlign w:val="subscript"/>
        </w:rPr>
        <w:t>1/2</w:t>
      </w:r>
      <w:r>
        <w:rPr>
          <w:rFonts w:cs="Times New Roman"/>
          <w:szCs w:val="24"/>
        </w:rPr>
        <w:t xml:space="preserve">, the patient could be enrolled. </w:t>
      </w:r>
    </w:p>
    <w:p w14:paraId="678C5F3A" w14:textId="77777777" w:rsidR="00AD119C" w:rsidRDefault="004036ED">
      <w:pPr>
        <w:pStyle w:val="a6"/>
        <w:numPr>
          <w:ilvl w:val="0"/>
          <w:numId w:val="1"/>
        </w:numPr>
        <w:rPr>
          <w:rFonts w:eastAsia="宋体" w:cs="Times New Roman"/>
          <w:szCs w:val="24"/>
        </w:rPr>
      </w:pPr>
      <w:r>
        <w:rPr>
          <w:rFonts w:cs="Times New Roman"/>
          <w:szCs w:val="24"/>
        </w:rPr>
        <w:t>Glucocorticoid treatment for NMOSD and other immune system diseases was discontinued before the first administration.</w:t>
      </w:r>
    </w:p>
    <w:p w14:paraId="0F2E1854" w14:textId="77777777" w:rsidR="00AD119C" w:rsidRDefault="004036ED">
      <w:pPr>
        <w:pStyle w:val="a6"/>
        <w:numPr>
          <w:ilvl w:val="0"/>
          <w:numId w:val="1"/>
        </w:numPr>
        <w:rPr>
          <w:rFonts w:eastAsia="宋体" w:cs="Times New Roman"/>
          <w:szCs w:val="24"/>
        </w:rPr>
      </w:pPr>
      <w:r>
        <w:rPr>
          <w:rFonts w:cs="Times New Roman"/>
          <w:szCs w:val="24"/>
        </w:rPr>
        <w:t xml:space="preserve">Underwent plasma exchange, received moderate-volume blood transfusions, or used immunomodulatory drugs such as interferon-beta, interferon-gamma, or intravenous immunoglobulin (IVIG) within 28 days prior to the first administration, </w:t>
      </w:r>
    </w:p>
    <w:p w14:paraId="76680356" w14:textId="77777777" w:rsidR="00AD119C" w:rsidRDefault="004036ED">
      <w:pPr>
        <w:pStyle w:val="a6"/>
        <w:numPr>
          <w:ilvl w:val="0"/>
          <w:numId w:val="1"/>
        </w:numPr>
        <w:rPr>
          <w:rFonts w:eastAsia="宋体" w:cs="Times New Roman"/>
          <w:szCs w:val="24"/>
        </w:rPr>
      </w:pPr>
      <w:r>
        <w:rPr>
          <w:rFonts w:cs="Times New Roman"/>
          <w:szCs w:val="24"/>
        </w:rPr>
        <w:lastRenderedPageBreak/>
        <w:t xml:space="preserve">Other chronic and active immune-mediated diseases requiring treatment with corticosteroids, biologics, or immunosuppressants (e.g., rheumatoid arthritis, scleroderma, etc.), </w:t>
      </w:r>
    </w:p>
    <w:p w14:paraId="0F54FC9F" w14:textId="77777777" w:rsidR="00AD119C" w:rsidRDefault="004036ED">
      <w:pPr>
        <w:pStyle w:val="a6"/>
        <w:numPr>
          <w:ilvl w:val="0"/>
          <w:numId w:val="1"/>
        </w:numPr>
        <w:rPr>
          <w:rFonts w:eastAsia="宋体" w:cs="Times New Roman"/>
          <w:szCs w:val="24"/>
        </w:rPr>
      </w:pPr>
      <w:r>
        <w:rPr>
          <w:rFonts w:cs="Times New Roman"/>
          <w:szCs w:val="24"/>
        </w:rPr>
        <w:t xml:space="preserve">Received live or attenuated vaccines within 28 days prior to the first administration, </w:t>
      </w:r>
    </w:p>
    <w:p w14:paraId="4A6C1556" w14:textId="77777777" w:rsidR="00AD119C" w:rsidRDefault="004036ED">
      <w:pPr>
        <w:pStyle w:val="a6"/>
        <w:numPr>
          <w:ilvl w:val="0"/>
          <w:numId w:val="1"/>
        </w:numPr>
        <w:rPr>
          <w:rFonts w:eastAsia="宋体" w:cs="Times New Roman"/>
          <w:szCs w:val="24"/>
        </w:rPr>
      </w:pPr>
      <w:r>
        <w:rPr>
          <w:rFonts w:cs="Times New Roman"/>
          <w:szCs w:val="24"/>
        </w:rPr>
        <w:t xml:space="preserve">Underwent bone marrow transplantation, hematopoietic stem cell transplantation, total lymphoid irradiation, or T-cell vaccine therapy, </w:t>
      </w:r>
    </w:p>
    <w:p w14:paraId="2F7B5936" w14:textId="77777777" w:rsidR="00AD119C" w:rsidRDefault="004036ED">
      <w:pPr>
        <w:pStyle w:val="a6"/>
        <w:numPr>
          <w:ilvl w:val="0"/>
          <w:numId w:val="1"/>
        </w:numPr>
        <w:rPr>
          <w:rFonts w:eastAsia="宋体" w:cs="Times New Roman"/>
          <w:szCs w:val="24"/>
        </w:rPr>
      </w:pPr>
      <w:r>
        <w:rPr>
          <w:rFonts w:cs="Times New Roman"/>
          <w:szCs w:val="24"/>
        </w:rPr>
        <w:t xml:space="preserve">Received any investigational drug within 28 days prior to the first administration or within 5 times the </w:t>
      </w:r>
      <w:r>
        <w:rPr>
          <w:rFonts w:cs="Times New Roman"/>
        </w:rPr>
        <w:t>t</w:t>
      </w:r>
      <w:r>
        <w:rPr>
          <w:rFonts w:cs="Times New Roman"/>
          <w:vertAlign w:val="subscript"/>
        </w:rPr>
        <w:t>1/2</w:t>
      </w:r>
      <w:r>
        <w:rPr>
          <w:rFonts w:cs="Times New Roman"/>
          <w:szCs w:val="24"/>
        </w:rPr>
        <w:t xml:space="preserve"> of the investigational drug, whichever is shorter, </w:t>
      </w:r>
    </w:p>
    <w:p w14:paraId="2A1A45B5" w14:textId="77777777" w:rsidR="00AD119C" w:rsidRDefault="004036ED">
      <w:pPr>
        <w:pStyle w:val="a6"/>
        <w:numPr>
          <w:ilvl w:val="0"/>
          <w:numId w:val="1"/>
        </w:numPr>
        <w:rPr>
          <w:rFonts w:eastAsia="宋体" w:cs="Times New Roman"/>
          <w:szCs w:val="24"/>
        </w:rPr>
      </w:pPr>
      <w:r>
        <w:rPr>
          <w:rFonts w:eastAsia="宋体" w:cs="Times New Roman"/>
          <w:szCs w:val="24"/>
        </w:rPr>
        <w:t xml:space="preserve">Malignancy, severe respiratory diseases, active infections, severe psychiatric disorders, or cardiovascular events, </w:t>
      </w:r>
    </w:p>
    <w:p w14:paraId="4CF10978" w14:textId="77777777" w:rsidR="00AD119C" w:rsidRDefault="004036ED">
      <w:pPr>
        <w:pStyle w:val="a6"/>
        <w:numPr>
          <w:ilvl w:val="0"/>
          <w:numId w:val="1"/>
        </w:numPr>
        <w:rPr>
          <w:rFonts w:eastAsia="宋体" w:cs="Times New Roman"/>
          <w:szCs w:val="24"/>
        </w:rPr>
      </w:pPr>
      <w:bookmarkStart w:id="6" w:name="OLE_LINK29"/>
      <w:r>
        <w:rPr>
          <w:rFonts w:cs="Times New Roman"/>
          <w:color w:val="404040"/>
          <w:szCs w:val="24"/>
          <w:highlight w:val="white"/>
        </w:rPr>
        <w:t>Seropositive for hepatitis B surface antigen (HBsAg) and/or hepatitis B core antibody (HBcAb) with HBV DNA levels &gt; ULN; positive for hepatitis C virus (HCV) antibodies with HCV RNA levels &gt; ULN; Seropositive for human immunodeficiency virus (HIV); Positive for </w:t>
      </w:r>
      <w:r>
        <w:rPr>
          <w:rFonts w:cs="Times New Roman"/>
          <w:i/>
          <w:iCs/>
          <w:color w:val="404040"/>
          <w:szCs w:val="24"/>
          <w:highlight w:val="white"/>
        </w:rPr>
        <w:t>Treponema pallidum</w:t>
      </w:r>
      <w:r>
        <w:rPr>
          <w:rFonts w:cs="Times New Roman"/>
          <w:color w:val="404040"/>
          <w:szCs w:val="24"/>
          <w:highlight w:val="white"/>
        </w:rPr>
        <w:t> antibody (TP-Ab)</w:t>
      </w:r>
      <w:bookmarkEnd w:id="6"/>
      <w:r>
        <w:rPr>
          <w:rFonts w:eastAsia="宋体" w:cs="Times New Roman"/>
          <w:szCs w:val="24"/>
        </w:rPr>
        <w:t xml:space="preserve"> </w:t>
      </w:r>
    </w:p>
    <w:p w14:paraId="56051CD4" w14:textId="77777777" w:rsidR="00AD119C" w:rsidRDefault="004036ED">
      <w:pPr>
        <w:pStyle w:val="a6"/>
        <w:numPr>
          <w:ilvl w:val="0"/>
          <w:numId w:val="1"/>
        </w:numPr>
        <w:rPr>
          <w:rFonts w:eastAsia="宋体" w:cs="Times New Roman"/>
          <w:szCs w:val="24"/>
        </w:rPr>
      </w:pPr>
      <w:r>
        <w:rPr>
          <w:rFonts w:eastAsia="宋体" w:cs="Times New Roman"/>
          <w:szCs w:val="24"/>
        </w:rPr>
        <w:t xml:space="preserve">Unable to undergo magnetic resonance imaging (MRI) scans (e.g., due to allergies to Gd-containing MRI contrast agents, implanted metal objects that restrict MRI scanning, severe claustrophobia, etc.), </w:t>
      </w:r>
    </w:p>
    <w:p w14:paraId="1D2FE1DC" w14:textId="77777777" w:rsidR="00AD119C" w:rsidRDefault="004036ED">
      <w:pPr>
        <w:pStyle w:val="a6"/>
        <w:numPr>
          <w:ilvl w:val="0"/>
          <w:numId w:val="1"/>
        </w:numPr>
        <w:rPr>
          <w:rFonts w:eastAsia="宋体" w:cs="Times New Roman"/>
          <w:szCs w:val="24"/>
        </w:rPr>
      </w:pPr>
      <w:r>
        <w:rPr>
          <w:rFonts w:eastAsia="宋体" w:cs="Times New Roman"/>
          <w:szCs w:val="24"/>
        </w:rPr>
        <w:t xml:space="preserve">History of severe allergic reactions to humanized monoclonal antibodies or known hypersensitivity to any component of obinutuzumab β, </w:t>
      </w:r>
    </w:p>
    <w:p w14:paraId="50F87D87" w14:textId="77777777" w:rsidR="00AD119C" w:rsidRDefault="004036ED">
      <w:pPr>
        <w:pStyle w:val="a6"/>
        <w:numPr>
          <w:ilvl w:val="0"/>
          <w:numId w:val="1"/>
        </w:numPr>
        <w:rPr>
          <w:rFonts w:eastAsia="宋体" w:cs="Times New Roman"/>
          <w:szCs w:val="24"/>
        </w:rPr>
      </w:pPr>
      <w:r>
        <w:rPr>
          <w:rFonts w:eastAsia="宋体" w:cs="Times New Roman"/>
          <w:szCs w:val="24"/>
        </w:rPr>
        <w:t>Pregnant or breastfeeding women, or 16) any other conditions that, in the opinion of the investigator, make the patient unsuitable for participation in this study.</w:t>
      </w:r>
    </w:p>
    <w:p w14:paraId="67F47E41" w14:textId="77777777" w:rsidR="00AD119C" w:rsidRDefault="00AD119C">
      <w:pPr>
        <w:pStyle w:val="a6"/>
        <w:rPr>
          <w:rFonts w:eastAsia="宋体" w:cs="Times New Roman"/>
          <w:szCs w:val="24"/>
        </w:rPr>
      </w:pPr>
    </w:p>
    <w:p w14:paraId="299C7821" w14:textId="77777777" w:rsidR="00AD119C" w:rsidRDefault="004036ED">
      <w:pPr>
        <w:pStyle w:val="a6"/>
        <w:rPr>
          <w:rFonts w:eastAsia="宋体" w:cs="Times New Roman"/>
          <w:b/>
          <w:bCs/>
          <w:szCs w:val="24"/>
        </w:rPr>
      </w:pPr>
      <w:r>
        <w:rPr>
          <w:rFonts w:eastAsia="宋体" w:cs="Times New Roman"/>
          <w:b/>
          <w:bCs/>
          <w:szCs w:val="24"/>
        </w:rPr>
        <w:t>Criteria for Intolerability Assessment</w:t>
      </w:r>
    </w:p>
    <w:p w14:paraId="72B94EC5" w14:textId="77777777" w:rsidR="00AD119C" w:rsidRDefault="004036ED">
      <w:pPr>
        <w:pStyle w:val="a6"/>
        <w:rPr>
          <w:rFonts w:eastAsia="宋体" w:cs="Times New Roman"/>
          <w:szCs w:val="24"/>
        </w:rPr>
      </w:pPr>
      <w:r>
        <w:rPr>
          <w:rFonts w:eastAsia="宋体" w:cs="Times New Roman"/>
          <w:szCs w:val="24"/>
        </w:rPr>
        <w:t>A participant was considered intolerant to obinutuzumab β if any of the following conditions occurred within 28 days of the first administration, and it was determined to be intolerable by mutual agreement between the investigator and the sponsor:</w:t>
      </w:r>
    </w:p>
    <w:p w14:paraId="4A0FD207" w14:textId="77777777" w:rsidR="00AD119C" w:rsidRDefault="004036ED">
      <w:pPr>
        <w:pStyle w:val="a6"/>
        <w:numPr>
          <w:ilvl w:val="0"/>
          <w:numId w:val="2"/>
        </w:numPr>
        <w:rPr>
          <w:rFonts w:eastAsia="宋体" w:cs="Times New Roman"/>
          <w:szCs w:val="24"/>
        </w:rPr>
      </w:pPr>
      <w:r>
        <w:rPr>
          <w:rFonts w:eastAsia="宋体" w:cs="Times New Roman"/>
          <w:b/>
          <w:bCs/>
          <w:szCs w:val="24"/>
        </w:rPr>
        <w:t>Grade &gt;3 hematological toxicity</w:t>
      </w:r>
      <w:r>
        <w:rPr>
          <w:rFonts w:eastAsia="宋体" w:cs="Times New Roman"/>
          <w:szCs w:val="24"/>
        </w:rPr>
        <w:t xml:space="preserve"> related to obinutuzumab β that did not recover to grade </w:t>
      </w:r>
      <w:r>
        <w:rPr>
          <w:rFonts w:eastAsia="宋体" w:cs="Times New Roman"/>
          <w:szCs w:val="24"/>
        </w:rPr>
        <w:lastRenderedPageBreak/>
        <w:t>&lt;2 within 2 weeks after appropriate treatment.</w:t>
      </w:r>
    </w:p>
    <w:p w14:paraId="5BF93720" w14:textId="77777777" w:rsidR="00AD119C" w:rsidRDefault="004036ED">
      <w:pPr>
        <w:pStyle w:val="a6"/>
        <w:numPr>
          <w:ilvl w:val="0"/>
          <w:numId w:val="2"/>
        </w:numPr>
        <w:rPr>
          <w:rFonts w:eastAsia="宋体" w:cs="Times New Roman"/>
          <w:szCs w:val="24"/>
        </w:rPr>
      </w:pPr>
      <w:r>
        <w:rPr>
          <w:rFonts w:eastAsia="宋体" w:cs="Times New Roman"/>
          <w:b/>
          <w:bCs/>
          <w:szCs w:val="24"/>
        </w:rPr>
        <w:t>Grade ≥3 non-hematological toxicity (non-infectious)</w:t>
      </w:r>
      <w:r>
        <w:rPr>
          <w:rFonts w:eastAsia="宋体" w:cs="Times New Roman"/>
          <w:szCs w:val="24"/>
        </w:rPr>
        <w:t xml:space="preserve"> related to obinutuzumab β that did not recover to grade ≤1 within 1 week after appropriate treatment.</w:t>
      </w:r>
    </w:p>
    <w:p w14:paraId="02C4A5A3" w14:textId="77777777" w:rsidR="00AD119C" w:rsidRDefault="004036ED">
      <w:pPr>
        <w:pStyle w:val="a6"/>
        <w:numPr>
          <w:ilvl w:val="0"/>
          <w:numId w:val="2"/>
        </w:numPr>
        <w:rPr>
          <w:rFonts w:eastAsia="宋体" w:cs="Times New Roman"/>
          <w:szCs w:val="24"/>
        </w:rPr>
      </w:pPr>
      <w:r>
        <w:rPr>
          <w:rFonts w:eastAsia="宋体" w:cs="Times New Roman"/>
          <w:b/>
          <w:bCs/>
          <w:szCs w:val="24"/>
        </w:rPr>
        <w:t>Grade ≥3 non-hematological toxicity (infectious)</w:t>
      </w:r>
      <w:r>
        <w:rPr>
          <w:rFonts w:eastAsia="宋体" w:cs="Times New Roman"/>
          <w:szCs w:val="24"/>
        </w:rPr>
        <w:t xml:space="preserve"> related to obinutuzumab β that did not recover to grade ≤2 within 3 weeks after appropriate treatment.</w:t>
      </w:r>
    </w:p>
    <w:p w14:paraId="4D131DFA" w14:textId="77777777" w:rsidR="00AD119C" w:rsidRDefault="004036ED">
      <w:pPr>
        <w:pStyle w:val="a6"/>
        <w:rPr>
          <w:rFonts w:eastAsia="宋体" w:cs="Times New Roman"/>
          <w:szCs w:val="24"/>
        </w:rPr>
      </w:pPr>
      <w:r>
        <w:rPr>
          <w:rFonts w:eastAsia="宋体" w:cs="Times New Roman"/>
          <w:szCs w:val="24"/>
        </w:rPr>
        <w:t>For each dose group, if half or more of the patients were intolerant in any of the above scenarios, the corresponding dose was considered intolerable.</w:t>
      </w:r>
    </w:p>
    <w:p w14:paraId="7171EFC3" w14:textId="77777777" w:rsidR="00AD119C" w:rsidRDefault="00AD119C">
      <w:pPr>
        <w:pStyle w:val="a6"/>
        <w:rPr>
          <w:rFonts w:eastAsia="宋体" w:cs="Times New Roman"/>
          <w:szCs w:val="24"/>
        </w:rPr>
      </w:pPr>
    </w:p>
    <w:p w14:paraId="3B080AEB" w14:textId="26068801" w:rsidR="00AD119C" w:rsidRDefault="004036ED">
      <w:pPr>
        <w:pStyle w:val="a6"/>
        <w:rPr>
          <w:rFonts w:eastAsia="宋体" w:cs="Times New Roman"/>
          <w:szCs w:val="24"/>
        </w:rPr>
      </w:pPr>
      <w:r>
        <w:rPr>
          <w:rFonts w:eastAsia="宋体" w:cs="Times New Roman"/>
          <w:b/>
          <w:bCs/>
          <w:szCs w:val="24"/>
        </w:rPr>
        <w:t>Criteria for Relapse</w:t>
      </w:r>
    </w:p>
    <w:p w14:paraId="3E97B59C" w14:textId="77777777" w:rsidR="00AD119C" w:rsidRDefault="004036ED">
      <w:pPr>
        <w:pStyle w:val="a6"/>
        <w:rPr>
          <w:rFonts w:cs="Times New Roman"/>
          <w:szCs w:val="24"/>
        </w:rPr>
      </w:pPr>
      <w:r>
        <w:rPr>
          <w:rFonts w:cs="Times New Roman"/>
          <w:szCs w:val="24"/>
        </w:rPr>
        <w:t xml:space="preserve">An increase of ≥1.0 in EDSS from a baseline EDSS &gt;0 (or an increase of ≥2.0 from a baseline EDSS of 0); </w:t>
      </w:r>
    </w:p>
    <w:p w14:paraId="5D1EEC26" w14:textId="77777777" w:rsidR="00AD119C" w:rsidRDefault="004036ED">
      <w:pPr>
        <w:pStyle w:val="a6"/>
        <w:rPr>
          <w:rFonts w:cs="Times New Roman"/>
          <w:szCs w:val="24"/>
        </w:rPr>
      </w:pPr>
      <w:r>
        <w:rPr>
          <w:rFonts w:cs="Times New Roman"/>
          <w:szCs w:val="24"/>
        </w:rPr>
        <w:t xml:space="preserve">An increase of ≥2.0 in at least one symptom-specific functional system score (pyramidal, cerebellar, brainstem, sensory, bowel/bladder, or single eye); </w:t>
      </w:r>
    </w:p>
    <w:p w14:paraId="06565CC7" w14:textId="77777777" w:rsidR="00AD119C" w:rsidRDefault="004036ED">
      <w:pPr>
        <w:pStyle w:val="a6"/>
        <w:rPr>
          <w:rFonts w:cs="Times New Roman"/>
          <w:szCs w:val="24"/>
        </w:rPr>
      </w:pPr>
      <w:r>
        <w:rPr>
          <w:rFonts w:cs="Times New Roman"/>
          <w:szCs w:val="24"/>
        </w:rPr>
        <w:t>An increase of ≥1.0 in more than one symptom-specific functional system score with baseline ≥1; or</w:t>
      </w:r>
    </w:p>
    <w:p w14:paraId="3A31F225" w14:textId="77777777" w:rsidR="00AD119C" w:rsidRDefault="004036ED">
      <w:pPr>
        <w:pStyle w:val="a6"/>
        <w:rPr>
          <w:rFonts w:eastAsia="宋体" w:cs="Times New Roman"/>
          <w:szCs w:val="24"/>
        </w:rPr>
      </w:pPr>
      <w:r>
        <w:rPr>
          <w:rFonts w:cs="Times New Roman"/>
          <w:szCs w:val="24"/>
        </w:rPr>
        <w:t>An increase of ≥1.0 in a single-eye symptom-specific functional system score with baseline ≥1.</w:t>
      </w:r>
    </w:p>
    <w:p w14:paraId="29234398" w14:textId="77777777" w:rsidR="00AD119C" w:rsidRDefault="00AD119C">
      <w:pPr>
        <w:pStyle w:val="a6"/>
        <w:rPr>
          <w:rFonts w:eastAsia="宋体" w:cs="Times New Roman"/>
          <w:szCs w:val="24"/>
        </w:rPr>
      </w:pPr>
    </w:p>
    <w:p w14:paraId="48E4E301" w14:textId="77777777" w:rsidR="00AD119C" w:rsidRDefault="004036ED">
      <w:pPr>
        <w:pStyle w:val="a6"/>
        <w:rPr>
          <w:rFonts w:eastAsia="宋体" w:cs="Times New Roman"/>
          <w:szCs w:val="24"/>
        </w:rPr>
      </w:pPr>
      <w:r>
        <w:rPr>
          <w:rFonts w:eastAsia="宋体" w:cs="Times New Roman"/>
          <w:b/>
          <w:bCs/>
          <w:szCs w:val="24"/>
        </w:rPr>
        <w:t>Magnetic Resonance Imaging (MRI)</w:t>
      </w:r>
    </w:p>
    <w:p w14:paraId="0FE56D77" w14:textId="77777777" w:rsidR="00AD119C" w:rsidRDefault="004036ED">
      <w:pPr>
        <w:pStyle w:val="a6"/>
        <w:ind w:firstLine="708"/>
        <w:rPr>
          <w:rFonts w:eastAsia="宋体" w:cs="Times New Roman"/>
          <w:szCs w:val="24"/>
        </w:rPr>
      </w:pPr>
      <w:bookmarkStart w:id="7" w:name="_Hlk213587550"/>
      <w:r>
        <w:rPr>
          <w:rFonts w:eastAsia="宋体" w:cs="Times New Roman"/>
          <w:szCs w:val="24"/>
        </w:rPr>
        <w:t>NMO/NMOSD lesions were defined as lesions related directly to the study indication on MRI, including the following. Orbital MRI: areas of T2-weighted hyperintensity in the optic nerve or T1-weighted gadolinium-enhancing lesions. Brain MRI: non-specific cerebral white-matter lesions that do not meet diagnostic criteria for multiple sclerosis, appearing as T2-weighted/FLAIR hyperintense areas. Spinal MRI: spinal cord lesions exhibiting T2-weighted hyperintense and T1-weighted hypointense, typically longitudinally extensive lesions (involving three vertebral body segments). The commonly affected sites included the optic nerves, spinal cord (including the dorsal/posterior columns), brainstem, diencephalon, and cerebrum. T1-</w:t>
      </w:r>
      <w:r>
        <w:rPr>
          <w:rFonts w:eastAsia="宋体" w:cs="Times New Roman"/>
          <w:szCs w:val="24"/>
        </w:rPr>
        <w:lastRenderedPageBreak/>
        <w:t>weighted gadolinium-enhancing lesions also qualified. Lesions of the dorsal brainstem near the fourth ventricle (including the posterior region and the solitary nucleus/tract area) are characteristically associated with prominent central grey-matter involvement and may show decreased T1 signal in the acute phase. On brain MRI, “cloud-like” enhancement is also noted as a characteristic finding.</w:t>
      </w:r>
    </w:p>
    <w:p w14:paraId="6FA5285F" w14:textId="77777777" w:rsidR="00AD119C" w:rsidRDefault="004036ED">
      <w:pPr>
        <w:pStyle w:val="a6"/>
        <w:rPr>
          <w:rFonts w:eastAsia="宋体" w:cs="Times New Roman"/>
          <w:szCs w:val="24"/>
        </w:rPr>
      </w:pPr>
      <w:r>
        <w:rPr>
          <w:rFonts w:eastAsia="宋体" w:cs="Times New Roman"/>
          <w:szCs w:val="24"/>
        </w:rPr>
        <w:t>A new lesion was defined as a lesion that was absent at baseline and subsequently appeared on follow-up imaging, and that met the MRI features of NMO/NMOSD lesions as defined above. A recurrent lesion was defined as a lesion that was present on screening/baseline imaging, disappeared on an intervening follow-up, and then reappeared on a later follow-up, and that again meets the MRI features of NMO/NMOSD lesions. The cumulative number of active lesions on MRI</w:t>
      </w:r>
      <w:r>
        <w:rPr>
          <w:rFonts w:eastAsia="宋体" w:cs="Times New Roman"/>
          <w:bCs/>
          <w:szCs w:val="24"/>
        </w:rPr>
        <w:t xml:space="preserve"> was defined as the sum of new gadolinium-enhancing lesions and new or enlarging T2 lesions compared to baseline.</w:t>
      </w:r>
    </w:p>
    <w:bookmarkEnd w:id="7"/>
    <w:p w14:paraId="2E0AC2EB" w14:textId="77777777" w:rsidR="00AD119C" w:rsidRDefault="00AD119C">
      <w:pPr>
        <w:pStyle w:val="a6"/>
        <w:rPr>
          <w:rFonts w:eastAsia="宋体" w:cs="Times New Roman"/>
          <w:b/>
          <w:bCs/>
          <w:szCs w:val="24"/>
        </w:rPr>
        <w:sectPr w:rsidR="00AD119C" w:rsidSect="002837D1">
          <w:footerReference w:type="default" r:id="rId11"/>
          <w:pgSz w:w="11906" w:h="16838"/>
          <w:pgMar w:top="1134" w:right="1134" w:bottom="1134" w:left="1418" w:header="851" w:footer="680" w:gutter="0"/>
          <w:cols w:space="425"/>
          <w:docGrid w:linePitch="326"/>
        </w:sectPr>
      </w:pPr>
    </w:p>
    <w:p w14:paraId="6DE47554" w14:textId="77777777" w:rsidR="00AD119C" w:rsidRDefault="004036ED">
      <w:pPr>
        <w:pStyle w:val="a6"/>
        <w:rPr>
          <w:rFonts w:eastAsia="宋体" w:cs="Times New Roman"/>
          <w:szCs w:val="24"/>
        </w:rPr>
      </w:pPr>
      <w:r>
        <w:rPr>
          <w:rFonts w:eastAsia="宋体" w:cs="Times New Roman"/>
          <w:b/>
          <w:bCs/>
          <w:szCs w:val="24"/>
        </w:rPr>
        <w:lastRenderedPageBreak/>
        <w:t>Study Timeline</w:t>
      </w:r>
    </w:p>
    <w:p w14:paraId="70760E0D" w14:textId="77777777" w:rsidR="00AD119C" w:rsidRDefault="004036ED">
      <w:pPr>
        <w:pStyle w:val="a6"/>
        <w:rPr>
          <w:rFonts w:eastAsia="宋体" w:cs="Times New Roman"/>
          <w:szCs w:val="24"/>
        </w:rPr>
      </w:pPr>
      <w:r>
        <w:rPr>
          <w:rFonts w:eastAsia="宋体" w:cs="Times New Roman"/>
          <w:b/>
          <w:bCs/>
          <w:szCs w:val="24"/>
        </w:rPr>
        <w:t>Table S1.</w:t>
      </w:r>
      <w:r>
        <w:rPr>
          <w:rFonts w:eastAsia="宋体" w:cs="Times New Roman"/>
          <w:szCs w:val="24"/>
        </w:rPr>
        <w:t xml:space="preserve"> </w:t>
      </w:r>
      <w:r>
        <w:rPr>
          <w:rFonts w:eastAsia="宋体" w:cs="Times New Roman"/>
          <w:b/>
          <w:bCs/>
          <w:szCs w:val="24"/>
        </w:rPr>
        <w:t>Study Timeline</w:t>
      </w:r>
    </w:p>
    <w:tbl>
      <w:tblPr>
        <w:tblStyle w:val="af6"/>
        <w:tblW w:w="5000" w:type="pct"/>
        <w:jc w:val="center"/>
        <w:tblLook w:val="04A0" w:firstRow="1" w:lastRow="0" w:firstColumn="1" w:lastColumn="0" w:noHBand="0" w:noVBand="1"/>
      </w:tblPr>
      <w:tblGrid>
        <w:gridCol w:w="5797"/>
        <w:gridCol w:w="557"/>
        <w:gridCol w:w="709"/>
        <w:gridCol w:w="708"/>
        <w:gridCol w:w="720"/>
        <w:gridCol w:w="720"/>
        <w:gridCol w:w="869"/>
        <w:gridCol w:w="869"/>
        <w:gridCol w:w="869"/>
        <w:gridCol w:w="869"/>
        <w:gridCol w:w="869"/>
        <w:gridCol w:w="720"/>
      </w:tblGrid>
      <w:tr w:rsidR="00AD119C" w14:paraId="2AC6BBC4" w14:textId="77777777">
        <w:trPr>
          <w:jc w:val="center"/>
        </w:trPr>
        <w:tc>
          <w:tcPr>
            <w:tcW w:w="5665" w:type="dxa"/>
            <w:vMerge w:val="restart"/>
          </w:tcPr>
          <w:p w14:paraId="7C05F058" w14:textId="77777777" w:rsidR="00AD119C" w:rsidRDefault="004036ED">
            <w:pPr>
              <w:rPr>
                <w:b/>
                <w:bCs/>
              </w:rPr>
            </w:pPr>
            <w:r>
              <w:rPr>
                <w:b/>
                <w:bCs/>
              </w:rPr>
              <w:t>Event</w:t>
            </w:r>
            <w:r>
              <w:rPr>
                <w:rFonts w:asciiTheme="minorEastAsia" w:hAnsiTheme="minorEastAsia" w:hint="eastAsia"/>
                <w:b/>
                <w:bCs/>
              </w:rPr>
              <w:t>s</w:t>
            </w:r>
          </w:p>
        </w:tc>
        <w:tc>
          <w:tcPr>
            <w:tcW w:w="8283" w:type="dxa"/>
            <w:gridSpan w:val="11"/>
          </w:tcPr>
          <w:p w14:paraId="0AE26844" w14:textId="77777777" w:rsidR="00AD119C" w:rsidRDefault="004036ED">
            <w:pPr>
              <w:rPr>
                <w:b/>
                <w:bCs/>
              </w:rPr>
            </w:pPr>
            <w:r>
              <w:rPr>
                <w:b/>
                <w:bCs/>
              </w:rPr>
              <w:t>Weeks</w:t>
            </w:r>
          </w:p>
        </w:tc>
      </w:tr>
      <w:tr w:rsidR="00AD119C" w14:paraId="38C2A42E" w14:textId="77777777">
        <w:trPr>
          <w:jc w:val="center"/>
        </w:trPr>
        <w:tc>
          <w:tcPr>
            <w:tcW w:w="5665" w:type="dxa"/>
            <w:vMerge/>
          </w:tcPr>
          <w:p w14:paraId="251E177C" w14:textId="77777777" w:rsidR="00AD119C" w:rsidRDefault="00AD119C">
            <w:pPr>
              <w:ind w:firstLine="240"/>
              <w:rPr>
                <w:b/>
                <w:bCs/>
              </w:rPr>
            </w:pPr>
          </w:p>
        </w:tc>
        <w:tc>
          <w:tcPr>
            <w:tcW w:w="544" w:type="dxa"/>
          </w:tcPr>
          <w:p w14:paraId="0E77BC41" w14:textId="77777777" w:rsidR="00AD119C" w:rsidRDefault="004036ED">
            <w:pPr>
              <w:rPr>
                <w:b/>
                <w:bCs/>
              </w:rPr>
            </w:pPr>
            <w:r>
              <w:rPr>
                <w:b/>
                <w:bCs/>
              </w:rPr>
              <w:t>1</w:t>
            </w:r>
          </w:p>
        </w:tc>
        <w:tc>
          <w:tcPr>
            <w:tcW w:w="693" w:type="dxa"/>
          </w:tcPr>
          <w:p w14:paraId="227DB2AD" w14:textId="77777777" w:rsidR="00AD119C" w:rsidRDefault="004036ED">
            <w:pPr>
              <w:rPr>
                <w:b/>
                <w:bCs/>
              </w:rPr>
            </w:pPr>
            <w:r>
              <w:rPr>
                <w:b/>
                <w:bCs/>
              </w:rPr>
              <w:t>24</w:t>
            </w:r>
          </w:p>
        </w:tc>
        <w:tc>
          <w:tcPr>
            <w:tcW w:w="692" w:type="dxa"/>
          </w:tcPr>
          <w:p w14:paraId="4B3C5F01" w14:textId="77777777" w:rsidR="00AD119C" w:rsidRDefault="004036ED">
            <w:pPr>
              <w:rPr>
                <w:b/>
                <w:bCs/>
              </w:rPr>
            </w:pPr>
            <w:r>
              <w:rPr>
                <w:b/>
                <w:bCs/>
              </w:rPr>
              <w:t>25</w:t>
            </w:r>
          </w:p>
        </w:tc>
        <w:tc>
          <w:tcPr>
            <w:tcW w:w="703" w:type="dxa"/>
          </w:tcPr>
          <w:p w14:paraId="66158021" w14:textId="77777777" w:rsidR="00AD119C" w:rsidRDefault="004036ED">
            <w:pPr>
              <w:rPr>
                <w:b/>
                <w:bCs/>
              </w:rPr>
            </w:pPr>
            <w:r>
              <w:rPr>
                <w:b/>
                <w:bCs/>
              </w:rPr>
              <w:t>52*</w:t>
            </w:r>
          </w:p>
        </w:tc>
        <w:tc>
          <w:tcPr>
            <w:tcW w:w="703" w:type="dxa"/>
          </w:tcPr>
          <w:p w14:paraId="61E158DD" w14:textId="77777777" w:rsidR="00AD119C" w:rsidRDefault="004036ED">
            <w:pPr>
              <w:rPr>
                <w:b/>
                <w:bCs/>
              </w:rPr>
            </w:pPr>
            <w:r>
              <w:rPr>
                <w:b/>
                <w:bCs/>
              </w:rPr>
              <w:t>78*</w:t>
            </w:r>
          </w:p>
        </w:tc>
        <w:tc>
          <w:tcPr>
            <w:tcW w:w="849" w:type="dxa"/>
          </w:tcPr>
          <w:p w14:paraId="1D1AFF30" w14:textId="77777777" w:rsidR="00AD119C" w:rsidRDefault="004036ED">
            <w:pPr>
              <w:rPr>
                <w:b/>
                <w:bCs/>
              </w:rPr>
            </w:pPr>
            <w:r>
              <w:rPr>
                <w:b/>
                <w:bCs/>
              </w:rPr>
              <w:t>104*</w:t>
            </w:r>
          </w:p>
        </w:tc>
        <w:tc>
          <w:tcPr>
            <w:tcW w:w="849" w:type="dxa"/>
          </w:tcPr>
          <w:p w14:paraId="2FBC934E" w14:textId="77777777" w:rsidR="00AD119C" w:rsidRDefault="004036ED">
            <w:pPr>
              <w:rPr>
                <w:b/>
                <w:bCs/>
              </w:rPr>
            </w:pPr>
            <w:r>
              <w:rPr>
                <w:b/>
                <w:bCs/>
              </w:rPr>
              <w:t>130*</w:t>
            </w:r>
          </w:p>
        </w:tc>
        <w:tc>
          <w:tcPr>
            <w:tcW w:w="849" w:type="dxa"/>
          </w:tcPr>
          <w:p w14:paraId="706BDA05" w14:textId="77777777" w:rsidR="00AD119C" w:rsidRDefault="004036ED">
            <w:pPr>
              <w:rPr>
                <w:b/>
                <w:bCs/>
              </w:rPr>
            </w:pPr>
            <w:r>
              <w:rPr>
                <w:b/>
                <w:bCs/>
              </w:rPr>
              <w:t>156*</w:t>
            </w:r>
          </w:p>
        </w:tc>
        <w:tc>
          <w:tcPr>
            <w:tcW w:w="849" w:type="dxa"/>
          </w:tcPr>
          <w:p w14:paraId="7497E4FA" w14:textId="77777777" w:rsidR="00AD119C" w:rsidRDefault="004036ED">
            <w:pPr>
              <w:rPr>
                <w:b/>
                <w:bCs/>
              </w:rPr>
            </w:pPr>
            <w:r>
              <w:rPr>
                <w:b/>
                <w:bCs/>
              </w:rPr>
              <w:t>182*</w:t>
            </w:r>
          </w:p>
        </w:tc>
        <w:tc>
          <w:tcPr>
            <w:tcW w:w="849" w:type="dxa"/>
          </w:tcPr>
          <w:p w14:paraId="02385212" w14:textId="77777777" w:rsidR="00AD119C" w:rsidRDefault="004036ED">
            <w:pPr>
              <w:rPr>
                <w:b/>
                <w:bCs/>
              </w:rPr>
            </w:pPr>
            <w:r>
              <w:rPr>
                <w:b/>
                <w:bCs/>
              </w:rPr>
              <w:t>208*</w:t>
            </w:r>
          </w:p>
        </w:tc>
        <w:tc>
          <w:tcPr>
            <w:tcW w:w="703" w:type="dxa"/>
          </w:tcPr>
          <w:p w14:paraId="45B12AC5" w14:textId="77777777" w:rsidR="00AD119C" w:rsidRDefault="004036ED">
            <w:pPr>
              <w:rPr>
                <w:b/>
                <w:bCs/>
              </w:rPr>
            </w:pPr>
            <w:r>
              <w:rPr>
                <w:b/>
                <w:bCs/>
              </w:rPr>
              <w:t>234</w:t>
            </w:r>
          </w:p>
        </w:tc>
      </w:tr>
      <w:tr w:rsidR="00AD119C" w14:paraId="1AA5119F" w14:textId="77777777">
        <w:trPr>
          <w:jc w:val="center"/>
        </w:trPr>
        <w:tc>
          <w:tcPr>
            <w:tcW w:w="5665" w:type="dxa"/>
          </w:tcPr>
          <w:p w14:paraId="1E2156AC" w14:textId="77777777" w:rsidR="00AD119C" w:rsidRDefault="004036ED">
            <w:pPr>
              <w:spacing w:before="60" w:after="60" w:line="240" w:lineRule="auto"/>
              <w:rPr>
                <w:rFonts w:cs="Times New Roman"/>
              </w:rPr>
            </w:pPr>
            <w:r>
              <w:rPr>
                <w:rFonts w:cs="Times New Roman"/>
              </w:rPr>
              <w:t>First 500</w:t>
            </w:r>
            <w:r>
              <w:rPr>
                <w:rFonts w:cs="Times New Roman" w:hint="eastAsia"/>
              </w:rPr>
              <w:t xml:space="preserve"> </w:t>
            </w:r>
            <w:r>
              <w:rPr>
                <w:rFonts w:cs="Times New Roman"/>
              </w:rPr>
              <w:t xml:space="preserve">mg dose </w:t>
            </w:r>
          </w:p>
          <w:p w14:paraId="0006D5C9" w14:textId="77777777" w:rsidR="00AD119C" w:rsidRDefault="004036ED">
            <w:pPr>
              <w:pStyle w:val="a0"/>
              <w:spacing w:before="60" w:after="60" w:line="240" w:lineRule="auto"/>
              <w:ind w:firstLineChars="0" w:firstLine="0"/>
              <w:rPr>
                <w:rFonts w:cs="Times New Roman"/>
                <w:vertAlign w:val="superscript"/>
              </w:rPr>
            </w:pPr>
            <w:r>
              <w:rPr>
                <w:rFonts w:cs="Times New Roman"/>
                <w:lang w:eastAsia="en-US"/>
              </w:rPr>
              <w:t>First 1000</w:t>
            </w:r>
            <w:r>
              <w:rPr>
                <w:rFonts w:cs="Times New Roman" w:hint="eastAsia"/>
              </w:rPr>
              <w:t xml:space="preserve"> </w:t>
            </w:r>
            <w:r>
              <w:rPr>
                <w:rFonts w:cs="Times New Roman"/>
                <w:lang w:eastAsia="en-US"/>
              </w:rPr>
              <w:t>mg dose if 500 mg was tolerated</w:t>
            </w:r>
            <w:r>
              <w:rPr>
                <w:rFonts w:cs="Times New Roman"/>
                <w:vertAlign w:val="superscript"/>
              </w:rPr>
              <w:t>#</w:t>
            </w:r>
          </w:p>
          <w:p w14:paraId="21443692" w14:textId="77777777" w:rsidR="00AD119C" w:rsidRDefault="004036ED">
            <w:pPr>
              <w:pStyle w:val="a0"/>
              <w:spacing w:before="60" w:after="60" w:line="240" w:lineRule="auto"/>
              <w:ind w:firstLineChars="0" w:firstLine="0"/>
            </w:pPr>
            <w:r>
              <w:rPr>
                <w:rFonts w:cs="Times New Roman"/>
                <w:lang w:eastAsia="en-US"/>
              </w:rPr>
              <w:t>First 1000</w:t>
            </w:r>
            <w:r>
              <w:rPr>
                <w:rFonts w:cs="Times New Roman" w:hint="eastAsia"/>
              </w:rPr>
              <w:t xml:space="preserve"> </w:t>
            </w:r>
            <w:r>
              <w:rPr>
                <w:rFonts w:cs="Times New Roman"/>
                <w:lang w:eastAsia="en-US"/>
              </w:rPr>
              <w:t>mg dose</w:t>
            </w:r>
            <w:r>
              <w:rPr>
                <w:rFonts w:cs="Times New Roman"/>
              </w:rPr>
              <w:t xml:space="preserve"> expanded if 10</w:t>
            </w:r>
            <w:r>
              <w:rPr>
                <w:rFonts w:cs="Times New Roman"/>
                <w:lang w:eastAsia="en-US"/>
              </w:rPr>
              <w:t>00</w:t>
            </w:r>
            <w:r>
              <w:rPr>
                <w:rFonts w:eastAsia="宋体" w:cs="Times New Roman" w:hint="eastAsia"/>
              </w:rPr>
              <w:t xml:space="preserve"> </w:t>
            </w:r>
            <w:r>
              <w:rPr>
                <w:rFonts w:cs="Times New Roman"/>
                <w:lang w:eastAsia="en-US"/>
              </w:rPr>
              <w:t>mg was tolerated</w:t>
            </w:r>
            <w:r>
              <w:rPr>
                <w:rFonts w:cs="Times New Roman"/>
                <w:vertAlign w:val="superscript"/>
              </w:rPr>
              <w:t>&amp;</w:t>
            </w:r>
          </w:p>
        </w:tc>
        <w:tc>
          <w:tcPr>
            <w:tcW w:w="544" w:type="dxa"/>
          </w:tcPr>
          <w:p w14:paraId="50EE3B82" w14:textId="77777777" w:rsidR="00AD119C" w:rsidRDefault="004036ED">
            <w:pPr>
              <w:spacing w:before="60" w:after="60" w:line="240" w:lineRule="auto"/>
            </w:pPr>
            <w:r>
              <w:t>X</w:t>
            </w:r>
          </w:p>
        </w:tc>
        <w:tc>
          <w:tcPr>
            <w:tcW w:w="693" w:type="dxa"/>
          </w:tcPr>
          <w:p w14:paraId="5E6DC1BE" w14:textId="77777777" w:rsidR="00AD119C" w:rsidRDefault="00AD119C">
            <w:pPr>
              <w:spacing w:before="60" w:after="60" w:line="240" w:lineRule="auto"/>
              <w:ind w:firstLine="240"/>
            </w:pPr>
          </w:p>
        </w:tc>
        <w:tc>
          <w:tcPr>
            <w:tcW w:w="692" w:type="dxa"/>
          </w:tcPr>
          <w:p w14:paraId="33AE75DC" w14:textId="77777777" w:rsidR="00AD119C" w:rsidRDefault="00AD119C">
            <w:pPr>
              <w:spacing w:before="60" w:after="60" w:line="240" w:lineRule="auto"/>
              <w:ind w:firstLine="240"/>
            </w:pPr>
          </w:p>
        </w:tc>
        <w:tc>
          <w:tcPr>
            <w:tcW w:w="703" w:type="dxa"/>
          </w:tcPr>
          <w:p w14:paraId="46EC389C" w14:textId="77777777" w:rsidR="00AD119C" w:rsidRDefault="00AD119C">
            <w:pPr>
              <w:spacing w:before="60" w:after="60" w:line="240" w:lineRule="auto"/>
              <w:ind w:firstLine="240"/>
            </w:pPr>
          </w:p>
        </w:tc>
        <w:tc>
          <w:tcPr>
            <w:tcW w:w="703" w:type="dxa"/>
          </w:tcPr>
          <w:p w14:paraId="6F44A1A5" w14:textId="77777777" w:rsidR="00AD119C" w:rsidRDefault="00AD119C">
            <w:pPr>
              <w:spacing w:before="60" w:after="60" w:line="240" w:lineRule="auto"/>
              <w:ind w:firstLine="240"/>
            </w:pPr>
          </w:p>
        </w:tc>
        <w:tc>
          <w:tcPr>
            <w:tcW w:w="849" w:type="dxa"/>
          </w:tcPr>
          <w:p w14:paraId="36FA2324" w14:textId="77777777" w:rsidR="00AD119C" w:rsidRDefault="00AD119C">
            <w:pPr>
              <w:spacing w:before="60" w:after="60" w:line="240" w:lineRule="auto"/>
              <w:ind w:firstLine="240"/>
            </w:pPr>
          </w:p>
        </w:tc>
        <w:tc>
          <w:tcPr>
            <w:tcW w:w="849" w:type="dxa"/>
          </w:tcPr>
          <w:p w14:paraId="3522DAA5" w14:textId="77777777" w:rsidR="00AD119C" w:rsidRDefault="00AD119C">
            <w:pPr>
              <w:spacing w:before="60" w:after="60" w:line="240" w:lineRule="auto"/>
              <w:ind w:firstLine="240"/>
            </w:pPr>
          </w:p>
        </w:tc>
        <w:tc>
          <w:tcPr>
            <w:tcW w:w="849" w:type="dxa"/>
          </w:tcPr>
          <w:p w14:paraId="152AB91F" w14:textId="77777777" w:rsidR="00AD119C" w:rsidRDefault="00AD119C">
            <w:pPr>
              <w:spacing w:before="60" w:after="60" w:line="240" w:lineRule="auto"/>
              <w:ind w:firstLine="240"/>
            </w:pPr>
          </w:p>
        </w:tc>
        <w:tc>
          <w:tcPr>
            <w:tcW w:w="849" w:type="dxa"/>
          </w:tcPr>
          <w:p w14:paraId="230C9130" w14:textId="77777777" w:rsidR="00AD119C" w:rsidRDefault="00AD119C">
            <w:pPr>
              <w:spacing w:before="60" w:after="60" w:line="240" w:lineRule="auto"/>
              <w:ind w:firstLine="240"/>
            </w:pPr>
          </w:p>
        </w:tc>
        <w:tc>
          <w:tcPr>
            <w:tcW w:w="849" w:type="dxa"/>
          </w:tcPr>
          <w:p w14:paraId="342A9762" w14:textId="77777777" w:rsidR="00AD119C" w:rsidRDefault="00AD119C">
            <w:pPr>
              <w:spacing w:before="60" w:after="60" w:line="240" w:lineRule="auto"/>
              <w:ind w:firstLine="240"/>
            </w:pPr>
          </w:p>
        </w:tc>
        <w:tc>
          <w:tcPr>
            <w:tcW w:w="703" w:type="dxa"/>
          </w:tcPr>
          <w:p w14:paraId="60FE663D" w14:textId="77777777" w:rsidR="00AD119C" w:rsidRDefault="00AD119C">
            <w:pPr>
              <w:spacing w:before="60" w:after="60" w:line="240" w:lineRule="auto"/>
              <w:ind w:firstLine="240"/>
            </w:pPr>
          </w:p>
        </w:tc>
      </w:tr>
      <w:tr w:rsidR="00AD119C" w14:paraId="53D5B7F8" w14:textId="77777777">
        <w:trPr>
          <w:jc w:val="center"/>
        </w:trPr>
        <w:tc>
          <w:tcPr>
            <w:tcW w:w="5665" w:type="dxa"/>
          </w:tcPr>
          <w:p w14:paraId="49A1C3F9" w14:textId="77777777" w:rsidR="00AD119C" w:rsidRDefault="004036ED">
            <w:r>
              <w:t>Switch from 500</w:t>
            </w:r>
            <w:r>
              <w:rPr>
                <w:rFonts w:hint="eastAsia"/>
              </w:rPr>
              <w:t xml:space="preserve"> </w:t>
            </w:r>
            <w:r>
              <w:rPr>
                <w:rFonts w:eastAsia="宋体" w:hint="eastAsia"/>
              </w:rPr>
              <w:t>mg</w:t>
            </w:r>
            <w:r>
              <w:t xml:space="preserve"> to 1000</w:t>
            </w:r>
            <w:r>
              <w:rPr>
                <w:lang w:val="fr-CA"/>
              </w:rPr>
              <w:t xml:space="preserve"> </w:t>
            </w:r>
            <w:r>
              <w:t>mg if tolerable.</w:t>
            </w:r>
          </w:p>
        </w:tc>
        <w:tc>
          <w:tcPr>
            <w:tcW w:w="544" w:type="dxa"/>
          </w:tcPr>
          <w:p w14:paraId="5DE7FEAC" w14:textId="77777777" w:rsidR="00AD119C" w:rsidRDefault="00AD119C">
            <w:pPr>
              <w:ind w:firstLine="240"/>
            </w:pPr>
          </w:p>
        </w:tc>
        <w:tc>
          <w:tcPr>
            <w:tcW w:w="693" w:type="dxa"/>
          </w:tcPr>
          <w:p w14:paraId="2821F6CF" w14:textId="77777777" w:rsidR="00AD119C" w:rsidRDefault="00AD119C">
            <w:pPr>
              <w:ind w:firstLine="240"/>
            </w:pPr>
          </w:p>
        </w:tc>
        <w:tc>
          <w:tcPr>
            <w:tcW w:w="692" w:type="dxa"/>
          </w:tcPr>
          <w:p w14:paraId="3A063360" w14:textId="77777777" w:rsidR="00AD119C" w:rsidRDefault="004036ED">
            <w:r>
              <w:t>X</w:t>
            </w:r>
          </w:p>
        </w:tc>
        <w:tc>
          <w:tcPr>
            <w:tcW w:w="703" w:type="dxa"/>
          </w:tcPr>
          <w:p w14:paraId="1AEDAAFE" w14:textId="77777777" w:rsidR="00AD119C" w:rsidRDefault="00AD119C">
            <w:pPr>
              <w:ind w:firstLine="240"/>
            </w:pPr>
          </w:p>
        </w:tc>
        <w:tc>
          <w:tcPr>
            <w:tcW w:w="703" w:type="dxa"/>
          </w:tcPr>
          <w:p w14:paraId="2AC57FD5" w14:textId="77777777" w:rsidR="00AD119C" w:rsidRDefault="00AD119C">
            <w:pPr>
              <w:ind w:firstLine="240"/>
            </w:pPr>
          </w:p>
        </w:tc>
        <w:tc>
          <w:tcPr>
            <w:tcW w:w="849" w:type="dxa"/>
          </w:tcPr>
          <w:p w14:paraId="75C5D2A3" w14:textId="77777777" w:rsidR="00AD119C" w:rsidRDefault="00AD119C">
            <w:pPr>
              <w:ind w:firstLine="240"/>
            </w:pPr>
          </w:p>
        </w:tc>
        <w:tc>
          <w:tcPr>
            <w:tcW w:w="849" w:type="dxa"/>
          </w:tcPr>
          <w:p w14:paraId="412EA343" w14:textId="77777777" w:rsidR="00AD119C" w:rsidRDefault="00AD119C">
            <w:pPr>
              <w:ind w:firstLine="240"/>
            </w:pPr>
          </w:p>
        </w:tc>
        <w:tc>
          <w:tcPr>
            <w:tcW w:w="849" w:type="dxa"/>
          </w:tcPr>
          <w:p w14:paraId="353A187C" w14:textId="77777777" w:rsidR="00AD119C" w:rsidRDefault="00AD119C">
            <w:pPr>
              <w:ind w:firstLine="240"/>
            </w:pPr>
          </w:p>
        </w:tc>
        <w:tc>
          <w:tcPr>
            <w:tcW w:w="849" w:type="dxa"/>
          </w:tcPr>
          <w:p w14:paraId="10CA0A0B" w14:textId="77777777" w:rsidR="00AD119C" w:rsidRDefault="00AD119C">
            <w:pPr>
              <w:ind w:firstLine="240"/>
            </w:pPr>
          </w:p>
        </w:tc>
        <w:tc>
          <w:tcPr>
            <w:tcW w:w="849" w:type="dxa"/>
          </w:tcPr>
          <w:p w14:paraId="31EFF5EE" w14:textId="77777777" w:rsidR="00AD119C" w:rsidRDefault="00AD119C">
            <w:pPr>
              <w:ind w:firstLine="240"/>
            </w:pPr>
          </w:p>
        </w:tc>
        <w:tc>
          <w:tcPr>
            <w:tcW w:w="703" w:type="dxa"/>
          </w:tcPr>
          <w:p w14:paraId="5DBA6C33" w14:textId="77777777" w:rsidR="00AD119C" w:rsidRDefault="00AD119C">
            <w:pPr>
              <w:ind w:firstLine="240"/>
            </w:pPr>
          </w:p>
        </w:tc>
      </w:tr>
      <w:tr w:rsidR="00AD119C" w14:paraId="5829F6E3" w14:textId="77777777">
        <w:trPr>
          <w:jc w:val="center"/>
        </w:trPr>
        <w:tc>
          <w:tcPr>
            <w:tcW w:w="5665" w:type="dxa"/>
          </w:tcPr>
          <w:p w14:paraId="48FF7DF5" w14:textId="77777777" w:rsidR="00AD119C" w:rsidRDefault="004036ED">
            <w:r>
              <w:t>Efficacy assessment</w:t>
            </w:r>
          </w:p>
        </w:tc>
        <w:tc>
          <w:tcPr>
            <w:tcW w:w="544" w:type="dxa"/>
          </w:tcPr>
          <w:p w14:paraId="0C900A2E" w14:textId="77777777" w:rsidR="00AD119C" w:rsidRDefault="00AD119C">
            <w:pPr>
              <w:ind w:firstLine="240"/>
            </w:pPr>
          </w:p>
        </w:tc>
        <w:tc>
          <w:tcPr>
            <w:tcW w:w="693" w:type="dxa"/>
          </w:tcPr>
          <w:p w14:paraId="0CE348F3" w14:textId="77777777" w:rsidR="00AD119C" w:rsidRDefault="004036ED">
            <w:r>
              <w:t>X</w:t>
            </w:r>
          </w:p>
        </w:tc>
        <w:tc>
          <w:tcPr>
            <w:tcW w:w="692" w:type="dxa"/>
          </w:tcPr>
          <w:p w14:paraId="06725BA3" w14:textId="77777777" w:rsidR="00AD119C" w:rsidRDefault="00AD119C">
            <w:pPr>
              <w:ind w:firstLine="240"/>
            </w:pPr>
          </w:p>
        </w:tc>
        <w:tc>
          <w:tcPr>
            <w:tcW w:w="703" w:type="dxa"/>
          </w:tcPr>
          <w:p w14:paraId="6C322905" w14:textId="77777777" w:rsidR="00AD119C" w:rsidRDefault="004036ED">
            <w:r>
              <w:t>X</w:t>
            </w:r>
          </w:p>
        </w:tc>
        <w:tc>
          <w:tcPr>
            <w:tcW w:w="703" w:type="dxa"/>
          </w:tcPr>
          <w:p w14:paraId="5B5C967B" w14:textId="77777777" w:rsidR="00AD119C" w:rsidRDefault="004036ED">
            <w:r>
              <w:t>X</w:t>
            </w:r>
          </w:p>
        </w:tc>
        <w:tc>
          <w:tcPr>
            <w:tcW w:w="849" w:type="dxa"/>
          </w:tcPr>
          <w:p w14:paraId="0A05DBA8" w14:textId="77777777" w:rsidR="00AD119C" w:rsidRDefault="004036ED">
            <w:r>
              <w:t>X</w:t>
            </w:r>
          </w:p>
        </w:tc>
        <w:tc>
          <w:tcPr>
            <w:tcW w:w="849" w:type="dxa"/>
          </w:tcPr>
          <w:p w14:paraId="1DC86FE2" w14:textId="77777777" w:rsidR="00AD119C" w:rsidRDefault="004036ED">
            <w:r>
              <w:t>X</w:t>
            </w:r>
          </w:p>
        </w:tc>
        <w:tc>
          <w:tcPr>
            <w:tcW w:w="849" w:type="dxa"/>
          </w:tcPr>
          <w:p w14:paraId="2D78FF41" w14:textId="77777777" w:rsidR="00AD119C" w:rsidRDefault="004036ED">
            <w:r>
              <w:t>X</w:t>
            </w:r>
          </w:p>
        </w:tc>
        <w:tc>
          <w:tcPr>
            <w:tcW w:w="849" w:type="dxa"/>
          </w:tcPr>
          <w:p w14:paraId="15E52566" w14:textId="77777777" w:rsidR="00AD119C" w:rsidRDefault="004036ED">
            <w:r>
              <w:t>X</w:t>
            </w:r>
          </w:p>
        </w:tc>
        <w:tc>
          <w:tcPr>
            <w:tcW w:w="849" w:type="dxa"/>
          </w:tcPr>
          <w:p w14:paraId="12D88A28" w14:textId="77777777" w:rsidR="00AD119C" w:rsidRDefault="004036ED">
            <w:r>
              <w:t>X</w:t>
            </w:r>
          </w:p>
        </w:tc>
        <w:tc>
          <w:tcPr>
            <w:tcW w:w="703" w:type="dxa"/>
          </w:tcPr>
          <w:p w14:paraId="1838DAAE" w14:textId="77777777" w:rsidR="00AD119C" w:rsidRDefault="004036ED">
            <w:r>
              <w:t>X</w:t>
            </w:r>
          </w:p>
        </w:tc>
      </w:tr>
      <w:tr w:rsidR="00AD119C" w14:paraId="3E9A7AC5" w14:textId="77777777">
        <w:trPr>
          <w:jc w:val="center"/>
        </w:trPr>
        <w:tc>
          <w:tcPr>
            <w:tcW w:w="5665" w:type="dxa"/>
          </w:tcPr>
          <w:p w14:paraId="5CF14CB6" w14:textId="77777777" w:rsidR="00AD119C" w:rsidRDefault="004036ED">
            <w:r>
              <w:t>Safety assessment</w:t>
            </w:r>
          </w:p>
        </w:tc>
        <w:tc>
          <w:tcPr>
            <w:tcW w:w="544" w:type="dxa"/>
          </w:tcPr>
          <w:p w14:paraId="3018D1B0" w14:textId="77777777" w:rsidR="00AD119C" w:rsidRDefault="00AD119C">
            <w:pPr>
              <w:ind w:firstLine="240"/>
            </w:pPr>
          </w:p>
        </w:tc>
        <w:tc>
          <w:tcPr>
            <w:tcW w:w="693" w:type="dxa"/>
          </w:tcPr>
          <w:p w14:paraId="4331122C" w14:textId="77777777" w:rsidR="00AD119C" w:rsidRDefault="004036ED">
            <w:r>
              <w:t>X</w:t>
            </w:r>
          </w:p>
        </w:tc>
        <w:tc>
          <w:tcPr>
            <w:tcW w:w="692" w:type="dxa"/>
          </w:tcPr>
          <w:p w14:paraId="4C92F587" w14:textId="77777777" w:rsidR="00AD119C" w:rsidRDefault="00AD119C">
            <w:pPr>
              <w:ind w:firstLine="240"/>
            </w:pPr>
          </w:p>
        </w:tc>
        <w:tc>
          <w:tcPr>
            <w:tcW w:w="703" w:type="dxa"/>
          </w:tcPr>
          <w:p w14:paraId="3CE22A30" w14:textId="77777777" w:rsidR="00AD119C" w:rsidRDefault="004036ED">
            <w:r>
              <w:t>X</w:t>
            </w:r>
          </w:p>
        </w:tc>
        <w:tc>
          <w:tcPr>
            <w:tcW w:w="703" w:type="dxa"/>
          </w:tcPr>
          <w:p w14:paraId="4B794DBA" w14:textId="77777777" w:rsidR="00AD119C" w:rsidRDefault="004036ED">
            <w:r>
              <w:t>X</w:t>
            </w:r>
          </w:p>
        </w:tc>
        <w:tc>
          <w:tcPr>
            <w:tcW w:w="849" w:type="dxa"/>
          </w:tcPr>
          <w:p w14:paraId="07A7ADB1" w14:textId="77777777" w:rsidR="00AD119C" w:rsidRDefault="004036ED">
            <w:r>
              <w:t>X</w:t>
            </w:r>
          </w:p>
        </w:tc>
        <w:tc>
          <w:tcPr>
            <w:tcW w:w="849" w:type="dxa"/>
          </w:tcPr>
          <w:p w14:paraId="46BF1FF7" w14:textId="77777777" w:rsidR="00AD119C" w:rsidRDefault="004036ED">
            <w:r>
              <w:t>X</w:t>
            </w:r>
          </w:p>
        </w:tc>
        <w:tc>
          <w:tcPr>
            <w:tcW w:w="849" w:type="dxa"/>
          </w:tcPr>
          <w:p w14:paraId="2D3A1734" w14:textId="77777777" w:rsidR="00AD119C" w:rsidRDefault="004036ED">
            <w:r>
              <w:t>X</w:t>
            </w:r>
          </w:p>
        </w:tc>
        <w:tc>
          <w:tcPr>
            <w:tcW w:w="849" w:type="dxa"/>
          </w:tcPr>
          <w:p w14:paraId="289902E1" w14:textId="77777777" w:rsidR="00AD119C" w:rsidRDefault="004036ED">
            <w:r>
              <w:t>X</w:t>
            </w:r>
          </w:p>
        </w:tc>
        <w:tc>
          <w:tcPr>
            <w:tcW w:w="849" w:type="dxa"/>
          </w:tcPr>
          <w:p w14:paraId="1110352D" w14:textId="77777777" w:rsidR="00AD119C" w:rsidRDefault="004036ED">
            <w:r>
              <w:t>X</w:t>
            </w:r>
          </w:p>
        </w:tc>
        <w:tc>
          <w:tcPr>
            <w:tcW w:w="703" w:type="dxa"/>
          </w:tcPr>
          <w:p w14:paraId="35D4C51B" w14:textId="77777777" w:rsidR="00AD119C" w:rsidRDefault="004036ED">
            <w:r>
              <w:t>X</w:t>
            </w:r>
          </w:p>
        </w:tc>
      </w:tr>
    </w:tbl>
    <w:p w14:paraId="4764A8DD" w14:textId="77777777" w:rsidR="00AD119C" w:rsidRDefault="004036ED">
      <w:pPr>
        <w:spacing w:line="240" w:lineRule="auto"/>
      </w:pPr>
      <w:r>
        <w:t>*: The injections were performed on the week following the assessments, i.e., on weeks 53, 7</w:t>
      </w:r>
      <w:r>
        <w:rPr>
          <w:rFonts w:hint="eastAsia"/>
        </w:rPr>
        <w:t>9</w:t>
      </w:r>
      <w:r>
        <w:t>, 105, 131, 157, 183, and 209.</w:t>
      </w:r>
    </w:p>
    <w:p w14:paraId="7BAF0331" w14:textId="77777777" w:rsidR="00AD119C" w:rsidRDefault="004036ED">
      <w:pPr>
        <w:pStyle w:val="a0"/>
        <w:spacing w:after="0" w:line="240" w:lineRule="auto"/>
        <w:ind w:firstLineChars="0" w:firstLine="0"/>
      </w:pPr>
      <w:r>
        <w:t>#: Initiation of enrollment into the 1000</w:t>
      </w:r>
      <w:r>
        <w:rPr>
          <w:rFonts w:hint="eastAsia"/>
        </w:rPr>
        <w:t>-</w:t>
      </w:r>
      <w:r>
        <w:t>mg dose cohort is contingent upon the absence of intolerability events during the 28-day observation period in the preceding 500 mg cohort (n=3-6).</w:t>
      </w:r>
    </w:p>
    <w:p w14:paraId="041A7800" w14:textId="77777777" w:rsidR="00AD119C" w:rsidRDefault="004036ED">
      <w:pPr>
        <w:pStyle w:val="a0"/>
        <w:spacing w:after="0" w:line="240" w:lineRule="auto"/>
        <w:ind w:firstLineChars="0" w:firstLine="0"/>
      </w:pPr>
      <w:r>
        <w:t xml:space="preserve">&amp;: </w:t>
      </w:r>
      <w:r>
        <w:rPr>
          <w:rFonts w:cs="Times New Roman"/>
        </w:rPr>
        <w:t>The 1000-mg dose group could be expanded if no intolerable events were observed.</w:t>
      </w:r>
    </w:p>
    <w:p w14:paraId="067A3B98" w14:textId="77777777" w:rsidR="00AD119C" w:rsidRDefault="00AD119C">
      <w:pPr>
        <w:pStyle w:val="a6"/>
        <w:rPr>
          <w:rFonts w:eastAsia="宋体" w:cs="Times New Roman"/>
          <w:szCs w:val="24"/>
        </w:rPr>
      </w:pPr>
    </w:p>
    <w:p w14:paraId="1A4CF469" w14:textId="77777777" w:rsidR="00AD119C" w:rsidRDefault="00AD119C">
      <w:pPr>
        <w:pStyle w:val="a6"/>
        <w:rPr>
          <w:rFonts w:eastAsia="宋体" w:cs="Times New Roman"/>
          <w:b/>
          <w:bCs/>
          <w:szCs w:val="24"/>
        </w:rPr>
        <w:sectPr w:rsidR="00AD119C" w:rsidSect="002837D1">
          <w:pgSz w:w="16838" w:h="11906" w:orient="landscape"/>
          <w:pgMar w:top="1134" w:right="1134" w:bottom="1134" w:left="1418" w:header="851" w:footer="992" w:gutter="0"/>
          <w:cols w:space="425"/>
          <w:docGrid w:linePitch="326"/>
        </w:sectPr>
      </w:pPr>
    </w:p>
    <w:p w14:paraId="154930D8" w14:textId="77777777" w:rsidR="00AD119C" w:rsidRDefault="004036ED">
      <w:pPr>
        <w:pStyle w:val="a6"/>
        <w:rPr>
          <w:rFonts w:eastAsia="宋体" w:cs="Times New Roman"/>
          <w:b/>
          <w:bCs/>
          <w:szCs w:val="24"/>
        </w:rPr>
      </w:pPr>
      <w:r>
        <w:rPr>
          <w:rFonts w:eastAsia="宋体" w:cs="Times New Roman"/>
          <w:b/>
          <w:bCs/>
          <w:szCs w:val="24"/>
        </w:rPr>
        <w:lastRenderedPageBreak/>
        <w:t>Timing for Pharmacokinetic Evaluation</w:t>
      </w:r>
    </w:p>
    <w:p w14:paraId="33E399FF" w14:textId="77777777" w:rsidR="00AD119C" w:rsidRDefault="004036ED">
      <w:pPr>
        <w:pStyle w:val="a6"/>
        <w:rPr>
          <w:rFonts w:cs="Times New Roman"/>
          <w:szCs w:val="24"/>
        </w:rPr>
      </w:pPr>
      <w:bookmarkStart w:id="8" w:name="_Hlk202967364"/>
      <w:r>
        <w:rPr>
          <w:rFonts w:cs="Times New Roman"/>
          <w:szCs w:val="24"/>
        </w:rPr>
        <w:t xml:space="preserve">The time points </w:t>
      </w:r>
      <w:bookmarkEnd w:id="8"/>
      <w:r>
        <w:rPr>
          <w:rFonts w:cs="Times New Roman"/>
          <w:szCs w:val="24"/>
        </w:rPr>
        <w:t>for pharmacokinetic evaluation were W1D1, W2D1, and W3D1 (within 60 minutes before dosing on weeks 1, 2, and 3), W3D1 (within 5 minutes after infusion completion, 8 hours ± 1 hour after infusion completion), W3D2 (24 hours ± 1 hour after W3D1 infusion completion), W3D3 (48 hours ± 2 hours after W3D1 infusion completion), W3D4 (72 hours ± 2 hours after W3D1 infusion completion), W4D1 (168 hours ± 3 hours after W3D1 infusion completion), W6D1 (504 hours ± 24 hours after W3D1 infusion completion), W9D1, W13D1, W22D1, W25D1, W27D1, W29D1, W37D1, W40D1, W53D1, W66D1, W79D1, W92D1, W105D1, W118D1, W131D1, W144D1, W157D1, W170D1, W183D1, W196D1, W209D1, W222D1, and W235D1. The last measurement was on W235D1 or at the early discontinuation visit (EDV) if the patient discontinues treatment early.</w:t>
      </w:r>
    </w:p>
    <w:p w14:paraId="3D97A913" w14:textId="77777777" w:rsidR="00AD119C" w:rsidRDefault="00AD119C">
      <w:pPr>
        <w:pStyle w:val="a6"/>
        <w:rPr>
          <w:rFonts w:cs="Times New Roman"/>
          <w:szCs w:val="24"/>
        </w:rPr>
      </w:pPr>
    </w:p>
    <w:p w14:paraId="7E3E04C8" w14:textId="77777777" w:rsidR="00AD119C" w:rsidRDefault="004036ED">
      <w:pPr>
        <w:pStyle w:val="2"/>
        <w:spacing w:before="0" w:after="0" w:line="480" w:lineRule="auto"/>
        <w:rPr>
          <w:rFonts w:ascii="Times New Roman" w:hAnsi="Times New Roman" w:cs="Times New Roman"/>
          <w:b/>
          <w:bCs/>
          <w:color w:val="auto"/>
          <w:sz w:val="24"/>
          <w:szCs w:val="24"/>
        </w:rPr>
      </w:pPr>
      <w:r>
        <w:rPr>
          <w:rFonts w:ascii="Times New Roman" w:hAnsi="Times New Roman" w:cs="Times New Roman" w:hint="eastAsia"/>
          <w:b/>
          <w:bCs/>
          <w:color w:val="auto"/>
          <w:sz w:val="24"/>
          <w:szCs w:val="24"/>
          <w:lang w:eastAsia="zh-CN"/>
        </w:rPr>
        <w:t>Pre</w:t>
      </w:r>
      <w:r>
        <w:rPr>
          <w:rFonts w:ascii="Times New Roman" w:hAnsi="Times New Roman" w:cs="Times New Roman"/>
          <w:b/>
          <w:bCs/>
          <w:color w:val="auto"/>
          <w:sz w:val="24"/>
          <w:szCs w:val="24"/>
        </w:rPr>
        <w:t xml:space="preserve">medication Regimen </w:t>
      </w:r>
      <w:r>
        <w:rPr>
          <w:rFonts w:ascii="Times New Roman" w:hAnsi="Times New Roman" w:cs="Times New Roman" w:hint="eastAsia"/>
          <w:b/>
          <w:bCs/>
          <w:color w:val="auto"/>
          <w:sz w:val="24"/>
          <w:szCs w:val="24"/>
          <w:lang w:eastAsia="zh-CN"/>
        </w:rPr>
        <w:t>for</w:t>
      </w:r>
      <w:r>
        <w:rPr>
          <w:rFonts w:ascii="Times New Roman" w:hAnsi="Times New Roman" w:cs="Times New Roman"/>
          <w:b/>
          <w:bCs/>
          <w:color w:val="auto"/>
          <w:sz w:val="24"/>
          <w:szCs w:val="24"/>
        </w:rPr>
        <w:t xml:space="preserve"> Infusion-Related Reactions (IRR</w:t>
      </w:r>
      <w:r>
        <w:rPr>
          <w:rFonts w:ascii="Times New Roman" w:hAnsi="Times New Roman" w:cs="Times New Roman"/>
          <w:b/>
          <w:bCs/>
          <w:color w:val="auto"/>
          <w:sz w:val="24"/>
          <w:szCs w:val="24"/>
          <w:lang w:eastAsia="zh-CN"/>
        </w:rPr>
        <w:t>s</w:t>
      </w:r>
      <w:r>
        <w:rPr>
          <w:rFonts w:ascii="Times New Roman" w:hAnsi="Times New Roman" w:cs="Times New Roman"/>
          <w:b/>
          <w:bCs/>
          <w:color w:val="auto"/>
          <w:sz w:val="24"/>
          <w:szCs w:val="24"/>
        </w:rPr>
        <w:t>)</w:t>
      </w:r>
    </w:p>
    <w:p w14:paraId="2C4A666B" w14:textId="77777777" w:rsidR="00AD119C" w:rsidRDefault="004036ED">
      <w:pPr>
        <w:pStyle w:val="af0"/>
        <w:widowControl/>
        <w:spacing w:beforeAutospacing="0" w:afterAutospacing="0" w:line="480" w:lineRule="auto"/>
        <w:rPr>
          <w:rFonts w:ascii="Times New Roman" w:hAnsi="Times New Roman"/>
        </w:rPr>
      </w:pPr>
      <w:r>
        <w:rPr>
          <w:rFonts w:ascii="Times New Roman" w:hAnsi="Times New Roman"/>
        </w:rPr>
        <w:t xml:space="preserve">To prevent infusion-related reactions (IRRs) associated with obinutuzumab β infusion, the following medications are recommended before each obinutuzumab β infusion (see Table X1). Investigators may add other </w:t>
      </w:r>
      <w:r>
        <w:rPr>
          <w:rFonts w:ascii="Times New Roman" w:hAnsi="Times New Roman" w:hint="eastAsia"/>
        </w:rPr>
        <w:t>pre</w:t>
      </w:r>
      <w:r>
        <w:rPr>
          <w:rFonts w:ascii="Times New Roman" w:hAnsi="Times New Roman"/>
        </w:rPr>
        <w:t>medications as appropriate for individual subjects.</w:t>
      </w:r>
    </w:p>
    <w:p w14:paraId="3D47D0CB" w14:textId="77777777" w:rsidR="00AD119C" w:rsidRDefault="00AD119C">
      <w:pPr>
        <w:pStyle w:val="af0"/>
        <w:widowControl/>
        <w:spacing w:beforeAutospacing="0" w:afterAutospacing="0" w:line="480" w:lineRule="auto"/>
        <w:rPr>
          <w:rFonts w:ascii="Times New Roman" w:hAnsi="Times New Roman"/>
        </w:rPr>
        <w:sectPr w:rsidR="00AD119C" w:rsidSect="002837D1">
          <w:pgSz w:w="11906" w:h="16838"/>
          <w:pgMar w:top="1134" w:right="1134" w:bottom="1134" w:left="1418" w:header="851" w:footer="992" w:gutter="0"/>
          <w:cols w:space="425"/>
          <w:docGrid w:linePitch="312"/>
        </w:sectPr>
      </w:pPr>
    </w:p>
    <w:p w14:paraId="0721BEE3" w14:textId="77777777" w:rsidR="00AD119C" w:rsidRDefault="005E261D">
      <w:pPr>
        <w:pStyle w:val="af0"/>
        <w:widowControl/>
        <w:spacing w:beforeAutospacing="0" w:afterAutospacing="0" w:line="480" w:lineRule="auto"/>
        <w:rPr>
          <w:rFonts w:ascii="Times New Roman" w:hAnsi="Times New Roman"/>
          <w:b/>
          <w:bCs/>
        </w:rPr>
      </w:pPr>
      <w:r>
        <w:rPr>
          <w:rFonts w:ascii="Times New Roman" w:hAnsi="Times New Roman"/>
          <w:b/>
          <w:bCs/>
        </w:rPr>
        <w:lastRenderedPageBreak/>
        <w:t>Supplementary Table X</w:t>
      </w:r>
      <w:r w:rsidR="004036ED">
        <w:rPr>
          <w:rFonts w:ascii="Times New Roman" w:hAnsi="Times New Roman"/>
          <w:b/>
          <w:bCs/>
        </w:rPr>
        <w:t xml:space="preserve">1. </w:t>
      </w:r>
      <w:r w:rsidR="004036ED">
        <w:rPr>
          <w:rFonts w:ascii="Times New Roman" w:hAnsi="Times New Roman" w:hint="eastAsia"/>
          <w:b/>
          <w:bCs/>
        </w:rPr>
        <w:t>Pre</w:t>
      </w:r>
      <w:r w:rsidR="004036ED">
        <w:rPr>
          <w:rFonts w:ascii="Times New Roman" w:hAnsi="Times New Roman"/>
          <w:b/>
          <w:bCs/>
        </w:rPr>
        <w:t>medication Regimen to Prevent IRR</w:t>
      </w:r>
    </w:p>
    <w:tbl>
      <w:tblPr>
        <w:tblW w:w="5000" w:type="pct"/>
        <w:jc w:val="center"/>
        <w:tblLayout w:type="fixed"/>
        <w:tblCellMar>
          <w:left w:w="0" w:type="dxa"/>
          <w:right w:w="0" w:type="dxa"/>
        </w:tblCellMar>
        <w:tblLook w:val="04A0" w:firstRow="1" w:lastRow="0" w:firstColumn="1" w:lastColumn="0" w:noHBand="0" w:noVBand="1"/>
      </w:tblPr>
      <w:tblGrid>
        <w:gridCol w:w="2367"/>
        <w:gridCol w:w="3404"/>
        <w:gridCol w:w="5156"/>
        <w:gridCol w:w="3643"/>
      </w:tblGrid>
      <w:tr w:rsidR="00AD119C" w14:paraId="6173A838" w14:textId="77777777">
        <w:trPr>
          <w:tblHeader/>
          <w:jc w:val="center"/>
        </w:trPr>
        <w:tc>
          <w:tcPr>
            <w:tcW w:w="2268" w:type="dxa"/>
            <w:tcBorders>
              <w:top w:val="single" w:sz="4" w:space="0" w:color="auto"/>
              <w:bottom w:val="single" w:sz="4" w:space="0" w:color="auto"/>
            </w:tcBorders>
            <w:tcMar>
              <w:left w:w="108" w:type="dxa"/>
              <w:right w:w="108" w:type="dxa"/>
            </w:tcMar>
          </w:tcPr>
          <w:p w14:paraId="34A4B45A" w14:textId="77777777" w:rsidR="00AD119C" w:rsidRDefault="004036ED">
            <w:pPr>
              <w:jc w:val="left"/>
              <w:rPr>
                <w:rFonts w:cs="Times New Roman"/>
                <w:b/>
                <w:szCs w:val="24"/>
              </w:rPr>
            </w:pPr>
            <w:r>
              <w:rPr>
                <w:rFonts w:cs="Times New Roman"/>
                <w:b/>
                <w:szCs w:val="24"/>
              </w:rPr>
              <w:t>Treatment occasion</w:t>
            </w:r>
          </w:p>
        </w:tc>
        <w:tc>
          <w:tcPr>
            <w:tcW w:w="3261" w:type="dxa"/>
            <w:tcBorders>
              <w:top w:val="single" w:sz="4" w:space="0" w:color="auto"/>
              <w:bottom w:val="single" w:sz="4" w:space="0" w:color="auto"/>
            </w:tcBorders>
            <w:tcMar>
              <w:left w:w="108" w:type="dxa"/>
              <w:right w:w="108" w:type="dxa"/>
            </w:tcMar>
          </w:tcPr>
          <w:p w14:paraId="2DA7A8C7" w14:textId="77777777" w:rsidR="00AD119C" w:rsidRDefault="004036ED">
            <w:pPr>
              <w:jc w:val="left"/>
              <w:rPr>
                <w:rFonts w:cs="Times New Roman"/>
                <w:b/>
                <w:szCs w:val="24"/>
              </w:rPr>
            </w:pPr>
            <w:r>
              <w:rPr>
                <w:rFonts w:cs="Times New Roman"/>
                <w:b/>
                <w:szCs w:val="24"/>
              </w:rPr>
              <w:t>Patients needing prophylaxis</w:t>
            </w:r>
          </w:p>
        </w:tc>
        <w:tc>
          <w:tcPr>
            <w:tcW w:w="4939" w:type="dxa"/>
            <w:tcBorders>
              <w:top w:val="single" w:sz="4" w:space="0" w:color="auto"/>
              <w:bottom w:val="single" w:sz="4" w:space="0" w:color="auto"/>
            </w:tcBorders>
            <w:tcMar>
              <w:left w:w="108" w:type="dxa"/>
              <w:right w:w="108" w:type="dxa"/>
            </w:tcMar>
          </w:tcPr>
          <w:p w14:paraId="1402AA18" w14:textId="77777777" w:rsidR="00AD119C" w:rsidRDefault="004036ED">
            <w:pPr>
              <w:jc w:val="left"/>
              <w:rPr>
                <w:rFonts w:cs="Times New Roman"/>
                <w:b/>
                <w:szCs w:val="24"/>
              </w:rPr>
            </w:pPr>
            <w:r>
              <w:rPr>
                <w:rFonts w:cs="Times New Roman"/>
                <w:b/>
                <w:szCs w:val="24"/>
              </w:rPr>
              <w:t>Prophylactic medication</w:t>
            </w:r>
          </w:p>
        </w:tc>
        <w:tc>
          <w:tcPr>
            <w:tcW w:w="3490" w:type="dxa"/>
            <w:tcBorders>
              <w:top w:val="single" w:sz="4" w:space="0" w:color="auto"/>
              <w:bottom w:val="single" w:sz="4" w:space="0" w:color="auto"/>
            </w:tcBorders>
            <w:tcMar>
              <w:left w:w="108" w:type="dxa"/>
              <w:right w:w="108" w:type="dxa"/>
            </w:tcMar>
          </w:tcPr>
          <w:p w14:paraId="45441F5A" w14:textId="77777777" w:rsidR="00AD119C" w:rsidRDefault="004036ED">
            <w:pPr>
              <w:jc w:val="left"/>
              <w:rPr>
                <w:rFonts w:cs="Times New Roman"/>
                <w:b/>
                <w:szCs w:val="24"/>
              </w:rPr>
            </w:pPr>
            <w:r>
              <w:rPr>
                <w:rFonts w:cs="Times New Roman"/>
                <w:b/>
                <w:szCs w:val="24"/>
              </w:rPr>
              <w:t>Timing</w:t>
            </w:r>
          </w:p>
        </w:tc>
      </w:tr>
      <w:tr w:rsidR="00AD119C" w14:paraId="0C8AEE81" w14:textId="77777777">
        <w:trPr>
          <w:jc w:val="center"/>
        </w:trPr>
        <w:tc>
          <w:tcPr>
            <w:tcW w:w="2268" w:type="dxa"/>
            <w:tcBorders>
              <w:top w:val="single" w:sz="4" w:space="0" w:color="auto"/>
            </w:tcBorders>
            <w:tcMar>
              <w:left w:w="108" w:type="dxa"/>
              <w:right w:w="108" w:type="dxa"/>
            </w:tcMar>
          </w:tcPr>
          <w:p w14:paraId="2D095518" w14:textId="77777777" w:rsidR="00AD119C" w:rsidRDefault="004036ED">
            <w:pPr>
              <w:jc w:val="left"/>
              <w:rPr>
                <w:rFonts w:cs="Times New Roman"/>
                <w:szCs w:val="24"/>
              </w:rPr>
            </w:pPr>
            <w:r>
              <w:rPr>
                <w:rFonts w:cs="Times New Roman"/>
                <w:b/>
                <w:szCs w:val="24"/>
              </w:rPr>
              <w:t>First dose</w:t>
            </w:r>
          </w:p>
        </w:tc>
        <w:tc>
          <w:tcPr>
            <w:tcW w:w="3261" w:type="dxa"/>
            <w:tcBorders>
              <w:top w:val="single" w:sz="4" w:space="0" w:color="auto"/>
            </w:tcBorders>
            <w:tcMar>
              <w:left w:w="108" w:type="dxa"/>
              <w:right w:w="108" w:type="dxa"/>
            </w:tcMar>
          </w:tcPr>
          <w:p w14:paraId="5A125102" w14:textId="77777777" w:rsidR="00AD119C" w:rsidRDefault="004036ED">
            <w:pPr>
              <w:jc w:val="left"/>
              <w:rPr>
                <w:rFonts w:cs="Times New Roman"/>
                <w:szCs w:val="24"/>
              </w:rPr>
            </w:pPr>
            <w:r>
              <w:rPr>
                <w:rFonts w:cs="Times New Roman"/>
                <w:szCs w:val="24"/>
              </w:rPr>
              <w:t xml:space="preserve">All </w:t>
            </w:r>
            <w:r>
              <w:rPr>
                <w:rFonts w:eastAsia="宋体" w:cs="Times New Roman"/>
                <w:snapToGrid w:val="0"/>
                <w:color w:val="000000" w:themeColor="text1"/>
                <w:kern w:val="0"/>
              </w:rPr>
              <w:t>participant</w:t>
            </w:r>
            <w:r>
              <w:rPr>
                <w:rFonts w:cs="Times New Roman"/>
                <w:szCs w:val="24"/>
              </w:rPr>
              <w:t>s</w:t>
            </w:r>
          </w:p>
        </w:tc>
        <w:tc>
          <w:tcPr>
            <w:tcW w:w="4939" w:type="dxa"/>
            <w:tcBorders>
              <w:top w:val="single" w:sz="4" w:space="0" w:color="auto"/>
              <w:bottom w:val="single" w:sz="4" w:space="0" w:color="auto"/>
            </w:tcBorders>
            <w:tcMar>
              <w:left w:w="108" w:type="dxa"/>
              <w:right w:w="108" w:type="dxa"/>
            </w:tcMar>
          </w:tcPr>
          <w:p w14:paraId="0BBAAB06" w14:textId="77777777" w:rsidR="00AD119C" w:rsidRDefault="004036ED">
            <w:pPr>
              <w:jc w:val="left"/>
              <w:rPr>
                <w:rFonts w:cs="Times New Roman"/>
                <w:szCs w:val="24"/>
              </w:rPr>
            </w:pPr>
            <w:r>
              <w:rPr>
                <w:rFonts w:cs="Times New Roman"/>
                <w:szCs w:val="24"/>
              </w:rPr>
              <w:t>Intravenous glucocorticoid (e.g., dexamethasone 10–20 mg, or methylprednisolone 40–80 mg)</w:t>
            </w:r>
          </w:p>
        </w:tc>
        <w:tc>
          <w:tcPr>
            <w:tcW w:w="3490" w:type="dxa"/>
            <w:tcBorders>
              <w:top w:val="single" w:sz="4" w:space="0" w:color="auto"/>
              <w:bottom w:val="single" w:sz="4" w:space="0" w:color="auto"/>
            </w:tcBorders>
            <w:tcMar>
              <w:left w:w="108" w:type="dxa"/>
              <w:right w:w="108" w:type="dxa"/>
            </w:tcMar>
          </w:tcPr>
          <w:p w14:paraId="133FAADF" w14:textId="77777777" w:rsidR="00AD119C" w:rsidRDefault="004036ED">
            <w:pPr>
              <w:jc w:val="left"/>
              <w:rPr>
                <w:rFonts w:cs="Times New Roman"/>
                <w:szCs w:val="24"/>
              </w:rPr>
            </w:pPr>
            <w:r>
              <w:rPr>
                <w:rFonts w:cs="Times New Roman"/>
                <w:szCs w:val="24"/>
              </w:rPr>
              <w:t>Complete at least 1 hour before investigational drug infusion.</w:t>
            </w:r>
          </w:p>
        </w:tc>
      </w:tr>
      <w:tr w:rsidR="00AD119C" w14:paraId="2B72743C" w14:textId="77777777">
        <w:trPr>
          <w:jc w:val="center"/>
        </w:trPr>
        <w:tc>
          <w:tcPr>
            <w:tcW w:w="2268" w:type="dxa"/>
            <w:tcMar>
              <w:left w:w="108" w:type="dxa"/>
              <w:right w:w="108" w:type="dxa"/>
            </w:tcMar>
          </w:tcPr>
          <w:p w14:paraId="48EC74E6" w14:textId="77777777" w:rsidR="00AD119C" w:rsidRDefault="00AD119C">
            <w:pPr>
              <w:jc w:val="left"/>
              <w:rPr>
                <w:rFonts w:cs="Times New Roman"/>
                <w:szCs w:val="24"/>
              </w:rPr>
            </w:pPr>
          </w:p>
        </w:tc>
        <w:tc>
          <w:tcPr>
            <w:tcW w:w="3261" w:type="dxa"/>
            <w:tcMar>
              <w:left w:w="108" w:type="dxa"/>
              <w:right w:w="108" w:type="dxa"/>
            </w:tcMar>
          </w:tcPr>
          <w:p w14:paraId="324D7193" w14:textId="77777777" w:rsidR="00AD119C" w:rsidRDefault="00AD119C">
            <w:pPr>
              <w:jc w:val="left"/>
              <w:rPr>
                <w:rFonts w:cs="Times New Roman"/>
                <w:szCs w:val="24"/>
              </w:rPr>
            </w:pPr>
          </w:p>
        </w:tc>
        <w:tc>
          <w:tcPr>
            <w:tcW w:w="4939" w:type="dxa"/>
            <w:tcBorders>
              <w:top w:val="single" w:sz="4" w:space="0" w:color="auto"/>
              <w:bottom w:val="single" w:sz="4" w:space="0" w:color="auto"/>
            </w:tcBorders>
            <w:tcMar>
              <w:left w:w="108" w:type="dxa"/>
              <w:right w:w="108" w:type="dxa"/>
            </w:tcMar>
          </w:tcPr>
          <w:p w14:paraId="600ADBF5" w14:textId="77777777" w:rsidR="00AD119C" w:rsidRDefault="004036ED">
            <w:pPr>
              <w:jc w:val="left"/>
              <w:rPr>
                <w:rFonts w:cs="Times New Roman"/>
                <w:szCs w:val="24"/>
              </w:rPr>
            </w:pPr>
            <w:r>
              <w:rPr>
                <w:rFonts w:cs="Times New Roman"/>
                <w:szCs w:val="24"/>
              </w:rPr>
              <w:t>Antipyretic/analgesic (e.g., acetaminophen 500–1000 mg)</w:t>
            </w:r>
          </w:p>
        </w:tc>
        <w:tc>
          <w:tcPr>
            <w:tcW w:w="3490" w:type="dxa"/>
            <w:tcBorders>
              <w:top w:val="single" w:sz="4" w:space="0" w:color="auto"/>
              <w:bottom w:val="single" w:sz="4" w:space="0" w:color="auto"/>
            </w:tcBorders>
            <w:tcMar>
              <w:left w:w="108" w:type="dxa"/>
              <w:right w:w="108" w:type="dxa"/>
            </w:tcMar>
          </w:tcPr>
          <w:p w14:paraId="1BA531C1" w14:textId="77777777" w:rsidR="00AD119C" w:rsidRDefault="004036ED">
            <w:pPr>
              <w:jc w:val="left"/>
              <w:rPr>
                <w:rFonts w:cs="Times New Roman"/>
                <w:szCs w:val="24"/>
              </w:rPr>
            </w:pPr>
            <w:r>
              <w:rPr>
                <w:rFonts w:cs="Times New Roman"/>
                <w:szCs w:val="24"/>
              </w:rPr>
              <w:t>Complete at least 30 minutes before infusion</w:t>
            </w:r>
          </w:p>
        </w:tc>
      </w:tr>
      <w:tr w:rsidR="00AD119C" w14:paraId="1C6A0955" w14:textId="77777777">
        <w:trPr>
          <w:jc w:val="center"/>
        </w:trPr>
        <w:tc>
          <w:tcPr>
            <w:tcW w:w="2268" w:type="dxa"/>
            <w:tcBorders>
              <w:bottom w:val="single" w:sz="4" w:space="0" w:color="auto"/>
            </w:tcBorders>
            <w:tcMar>
              <w:left w:w="108" w:type="dxa"/>
              <w:right w:w="108" w:type="dxa"/>
            </w:tcMar>
          </w:tcPr>
          <w:p w14:paraId="60E1E156" w14:textId="77777777" w:rsidR="00AD119C" w:rsidRDefault="00AD119C">
            <w:pPr>
              <w:jc w:val="left"/>
              <w:rPr>
                <w:rFonts w:cs="Times New Roman"/>
                <w:szCs w:val="24"/>
              </w:rPr>
            </w:pPr>
          </w:p>
        </w:tc>
        <w:tc>
          <w:tcPr>
            <w:tcW w:w="3261" w:type="dxa"/>
            <w:tcBorders>
              <w:bottom w:val="single" w:sz="4" w:space="0" w:color="auto"/>
            </w:tcBorders>
            <w:tcMar>
              <w:left w:w="108" w:type="dxa"/>
              <w:right w:w="108" w:type="dxa"/>
            </w:tcMar>
          </w:tcPr>
          <w:p w14:paraId="548E7B47" w14:textId="77777777" w:rsidR="00AD119C" w:rsidRDefault="00AD119C">
            <w:pPr>
              <w:jc w:val="left"/>
              <w:rPr>
                <w:rFonts w:cs="Times New Roman"/>
                <w:szCs w:val="24"/>
              </w:rPr>
            </w:pPr>
          </w:p>
        </w:tc>
        <w:tc>
          <w:tcPr>
            <w:tcW w:w="4939" w:type="dxa"/>
            <w:tcBorders>
              <w:top w:val="single" w:sz="4" w:space="0" w:color="auto"/>
              <w:bottom w:val="single" w:sz="4" w:space="0" w:color="auto"/>
            </w:tcBorders>
            <w:tcMar>
              <w:left w:w="108" w:type="dxa"/>
              <w:right w:w="108" w:type="dxa"/>
            </w:tcMar>
          </w:tcPr>
          <w:p w14:paraId="791C473A" w14:textId="77777777" w:rsidR="00AD119C" w:rsidRDefault="004036ED">
            <w:pPr>
              <w:jc w:val="left"/>
              <w:rPr>
                <w:rFonts w:cs="Times New Roman"/>
                <w:szCs w:val="24"/>
              </w:rPr>
            </w:pPr>
            <w:r>
              <w:rPr>
                <w:rFonts w:cs="Times New Roman"/>
                <w:szCs w:val="24"/>
              </w:rPr>
              <w:t>Antihistamine (e.g., diphenhydramine 40 mg or promethazine 25 mg)</w:t>
            </w:r>
          </w:p>
        </w:tc>
        <w:tc>
          <w:tcPr>
            <w:tcW w:w="3490" w:type="dxa"/>
            <w:tcBorders>
              <w:top w:val="single" w:sz="4" w:space="0" w:color="auto"/>
              <w:bottom w:val="single" w:sz="4" w:space="0" w:color="auto"/>
            </w:tcBorders>
            <w:tcMar>
              <w:left w:w="108" w:type="dxa"/>
              <w:right w:w="108" w:type="dxa"/>
            </w:tcMar>
          </w:tcPr>
          <w:p w14:paraId="4CE5869D" w14:textId="77777777" w:rsidR="00AD119C" w:rsidRDefault="004036ED">
            <w:pPr>
              <w:jc w:val="left"/>
              <w:rPr>
                <w:rFonts w:cs="Times New Roman"/>
                <w:szCs w:val="24"/>
              </w:rPr>
            </w:pPr>
            <w:r>
              <w:rPr>
                <w:rFonts w:cs="Times New Roman"/>
                <w:szCs w:val="24"/>
              </w:rPr>
              <w:t>Complete at least 30 minutes before infusion</w:t>
            </w:r>
          </w:p>
        </w:tc>
      </w:tr>
      <w:tr w:rsidR="00AD119C" w14:paraId="1D28E34E" w14:textId="77777777">
        <w:trPr>
          <w:jc w:val="center"/>
        </w:trPr>
        <w:tc>
          <w:tcPr>
            <w:tcW w:w="2268" w:type="dxa"/>
            <w:tcBorders>
              <w:top w:val="single" w:sz="4" w:space="0" w:color="auto"/>
            </w:tcBorders>
            <w:tcMar>
              <w:left w:w="108" w:type="dxa"/>
              <w:right w:w="108" w:type="dxa"/>
            </w:tcMar>
          </w:tcPr>
          <w:p w14:paraId="2AF4C29E" w14:textId="77777777" w:rsidR="00AD119C" w:rsidRDefault="004036ED">
            <w:pPr>
              <w:jc w:val="left"/>
              <w:rPr>
                <w:rFonts w:cs="Times New Roman"/>
                <w:szCs w:val="24"/>
              </w:rPr>
            </w:pPr>
            <w:r>
              <w:rPr>
                <w:rFonts w:cs="Times New Roman"/>
                <w:b/>
                <w:szCs w:val="24"/>
              </w:rPr>
              <w:t>Subsequent doses</w:t>
            </w:r>
          </w:p>
        </w:tc>
        <w:tc>
          <w:tcPr>
            <w:tcW w:w="3261" w:type="dxa"/>
            <w:tcBorders>
              <w:top w:val="single" w:sz="4" w:space="0" w:color="auto"/>
              <w:bottom w:val="single" w:sz="4" w:space="0" w:color="auto"/>
            </w:tcBorders>
            <w:tcMar>
              <w:left w:w="108" w:type="dxa"/>
              <w:right w:w="108" w:type="dxa"/>
            </w:tcMar>
          </w:tcPr>
          <w:p w14:paraId="0ADAFED8" w14:textId="77777777" w:rsidR="00AD119C" w:rsidRDefault="004036ED">
            <w:pPr>
              <w:jc w:val="left"/>
              <w:rPr>
                <w:rFonts w:cs="Times New Roman"/>
                <w:szCs w:val="24"/>
              </w:rPr>
            </w:pPr>
            <w:r>
              <w:rPr>
                <w:rFonts w:eastAsia="宋体" w:cs="Times New Roman"/>
                <w:snapToGrid w:val="0"/>
                <w:color w:val="000000" w:themeColor="text1"/>
                <w:kern w:val="0"/>
              </w:rPr>
              <w:t>Participant</w:t>
            </w:r>
            <w:r>
              <w:rPr>
                <w:rFonts w:cs="Times New Roman"/>
                <w:szCs w:val="24"/>
              </w:rPr>
              <w:t xml:space="preserve">s </w:t>
            </w:r>
            <w:r>
              <w:rPr>
                <w:rFonts w:cs="Times New Roman" w:hint="eastAsia"/>
                <w:szCs w:val="24"/>
              </w:rPr>
              <w:t xml:space="preserve">with </w:t>
            </w:r>
            <w:r>
              <w:rPr>
                <w:rFonts w:cs="Times New Roman"/>
                <w:szCs w:val="24"/>
              </w:rPr>
              <w:t xml:space="preserve">no </w:t>
            </w:r>
            <w:r>
              <w:rPr>
                <w:rFonts w:eastAsia="宋体" w:cs="Times New Roman" w:hint="eastAsia"/>
                <w:snapToGrid w:val="0"/>
                <w:color w:val="000000" w:themeColor="text1"/>
                <w:kern w:val="0"/>
              </w:rPr>
              <w:t>prior IRRs</w:t>
            </w:r>
          </w:p>
        </w:tc>
        <w:tc>
          <w:tcPr>
            <w:tcW w:w="4939" w:type="dxa"/>
            <w:tcBorders>
              <w:top w:val="single" w:sz="4" w:space="0" w:color="auto"/>
              <w:bottom w:val="single" w:sz="4" w:space="0" w:color="auto"/>
            </w:tcBorders>
            <w:tcMar>
              <w:left w:w="108" w:type="dxa"/>
              <w:right w:w="108" w:type="dxa"/>
            </w:tcMar>
          </w:tcPr>
          <w:p w14:paraId="0E6F56F9" w14:textId="77777777" w:rsidR="00AD119C" w:rsidRDefault="004036ED">
            <w:pPr>
              <w:jc w:val="left"/>
              <w:rPr>
                <w:rFonts w:cs="Times New Roman"/>
                <w:szCs w:val="24"/>
              </w:rPr>
            </w:pPr>
            <w:r>
              <w:rPr>
                <w:rFonts w:cs="Times New Roman"/>
                <w:szCs w:val="24"/>
              </w:rPr>
              <w:t>Antipyretic/analgesic (e.g., acetaminophen 500–1000 mg)</w:t>
            </w:r>
          </w:p>
        </w:tc>
        <w:tc>
          <w:tcPr>
            <w:tcW w:w="3490" w:type="dxa"/>
            <w:tcBorders>
              <w:top w:val="single" w:sz="4" w:space="0" w:color="auto"/>
              <w:bottom w:val="single" w:sz="4" w:space="0" w:color="auto"/>
            </w:tcBorders>
            <w:tcMar>
              <w:left w:w="108" w:type="dxa"/>
              <w:right w:w="108" w:type="dxa"/>
            </w:tcMar>
          </w:tcPr>
          <w:p w14:paraId="60685244" w14:textId="77777777" w:rsidR="00AD119C" w:rsidRDefault="004036ED">
            <w:pPr>
              <w:jc w:val="left"/>
              <w:rPr>
                <w:rFonts w:cs="Times New Roman"/>
                <w:szCs w:val="24"/>
              </w:rPr>
            </w:pPr>
            <w:r>
              <w:rPr>
                <w:rFonts w:cs="Times New Roman"/>
                <w:szCs w:val="24"/>
              </w:rPr>
              <w:t>Complete at least 30 minutes before infusion</w:t>
            </w:r>
          </w:p>
        </w:tc>
      </w:tr>
      <w:tr w:rsidR="00AD119C" w14:paraId="506A4A42" w14:textId="77777777">
        <w:trPr>
          <w:jc w:val="center"/>
        </w:trPr>
        <w:tc>
          <w:tcPr>
            <w:tcW w:w="2268" w:type="dxa"/>
            <w:tcMar>
              <w:left w:w="108" w:type="dxa"/>
              <w:right w:w="108" w:type="dxa"/>
            </w:tcMar>
          </w:tcPr>
          <w:p w14:paraId="44A4F0B1" w14:textId="77777777" w:rsidR="00AD119C" w:rsidRDefault="00AD119C">
            <w:pPr>
              <w:jc w:val="left"/>
              <w:rPr>
                <w:rFonts w:cs="Times New Roman"/>
                <w:szCs w:val="24"/>
              </w:rPr>
            </w:pPr>
          </w:p>
        </w:tc>
        <w:tc>
          <w:tcPr>
            <w:tcW w:w="3261" w:type="dxa"/>
            <w:tcBorders>
              <w:top w:val="single" w:sz="4" w:space="0" w:color="auto"/>
            </w:tcBorders>
            <w:tcMar>
              <w:left w:w="108" w:type="dxa"/>
              <w:right w:w="108" w:type="dxa"/>
            </w:tcMar>
          </w:tcPr>
          <w:p w14:paraId="06B2897A" w14:textId="77777777" w:rsidR="00AD119C" w:rsidRDefault="004036ED">
            <w:pPr>
              <w:jc w:val="left"/>
              <w:rPr>
                <w:rFonts w:cs="Times New Roman"/>
                <w:szCs w:val="24"/>
              </w:rPr>
            </w:pPr>
            <w:r>
              <w:rPr>
                <w:rFonts w:eastAsia="宋体" w:cs="Times New Roman"/>
                <w:snapToGrid w:val="0"/>
                <w:color w:val="000000" w:themeColor="text1"/>
                <w:kern w:val="0"/>
              </w:rPr>
              <w:t>Participant</w:t>
            </w:r>
            <w:r>
              <w:rPr>
                <w:rFonts w:cs="Times New Roman"/>
                <w:szCs w:val="24"/>
              </w:rPr>
              <w:t xml:space="preserve">s </w:t>
            </w:r>
            <w:r>
              <w:rPr>
                <w:rFonts w:cs="Times New Roman" w:hint="eastAsia"/>
                <w:szCs w:val="24"/>
              </w:rPr>
              <w:t xml:space="preserve">with </w:t>
            </w:r>
            <w:r>
              <w:rPr>
                <w:rFonts w:eastAsia="宋体" w:cs="Times New Roman" w:hint="eastAsia"/>
                <w:snapToGrid w:val="0"/>
                <w:color w:val="000000" w:themeColor="text1"/>
                <w:kern w:val="0"/>
              </w:rPr>
              <w:t>prior</w:t>
            </w:r>
            <w:r>
              <w:rPr>
                <w:rFonts w:cs="Times New Roman"/>
                <w:szCs w:val="24"/>
              </w:rPr>
              <w:t xml:space="preserve"> grade 1 or 2 </w:t>
            </w:r>
            <w:r>
              <w:rPr>
                <w:rFonts w:cs="Times New Roman" w:hint="eastAsia"/>
                <w:szCs w:val="24"/>
              </w:rPr>
              <w:t>IRR</w:t>
            </w:r>
          </w:p>
        </w:tc>
        <w:tc>
          <w:tcPr>
            <w:tcW w:w="4939" w:type="dxa"/>
            <w:tcBorders>
              <w:top w:val="single" w:sz="4" w:space="0" w:color="auto"/>
              <w:bottom w:val="single" w:sz="4" w:space="0" w:color="auto"/>
            </w:tcBorders>
            <w:tcMar>
              <w:left w:w="108" w:type="dxa"/>
              <w:right w:w="108" w:type="dxa"/>
            </w:tcMar>
          </w:tcPr>
          <w:p w14:paraId="0A50B243" w14:textId="77777777" w:rsidR="00AD119C" w:rsidRDefault="004036ED">
            <w:pPr>
              <w:jc w:val="left"/>
              <w:rPr>
                <w:rFonts w:cs="Times New Roman"/>
                <w:szCs w:val="24"/>
              </w:rPr>
            </w:pPr>
            <w:r>
              <w:rPr>
                <w:rFonts w:cs="Times New Roman"/>
                <w:szCs w:val="24"/>
              </w:rPr>
              <w:t>Antipyretic/analgesic (e.g., acetaminophen 500–1000 mg)</w:t>
            </w:r>
          </w:p>
        </w:tc>
        <w:tc>
          <w:tcPr>
            <w:tcW w:w="3490" w:type="dxa"/>
            <w:tcBorders>
              <w:top w:val="single" w:sz="4" w:space="0" w:color="auto"/>
              <w:bottom w:val="single" w:sz="4" w:space="0" w:color="auto"/>
            </w:tcBorders>
            <w:tcMar>
              <w:left w:w="108" w:type="dxa"/>
              <w:right w:w="108" w:type="dxa"/>
            </w:tcMar>
          </w:tcPr>
          <w:p w14:paraId="54D37CDF" w14:textId="77777777" w:rsidR="00AD119C" w:rsidRDefault="004036ED">
            <w:pPr>
              <w:jc w:val="left"/>
              <w:rPr>
                <w:rFonts w:cs="Times New Roman"/>
                <w:szCs w:val="24"/>
              </w:rPr>
            </w:pPr>
            <w:r>
              <w:rPr>
                <w:rFonts w:cs="Times New Roman"/>
                <w:szCs w:val="24"/>
              </w:rPr>
              <w:t>Complete at least 30 minutes before infusion</w:t>
            </w:r>
          </w:p>
        </w:tc>
      </w:tr>
      <w:tr w:rsidR="00AD119C" w14:paraId="4E2DE70F" w14:textId="77777777">
        <w:trPr>
          <w:jc w:val="center"/>
        </w:trPr>
        <w:tc>
          <w:tcPr>
            <w:tcW w:w="2268" w:type="dxa"/>
            <w:tcMar>
              <w:left w:w="108" w:type="dxa"/>
              <w:right w:w="108" w:type="dxa"/>
            </w:tcMar>
          </w:tcPr>
          <w:p w14:paraId="18AF9840" w14:textId="77777777" w:rsidR="00AD119C" w:rsidRDefault="00AD119C">
            <w:pPr>
              <w:jc w:val="left"/>
              <w:rPr>
                <w:rFonts w:cs="Times New Roman"/>
                <w:szCs w:val="24"/>
              </w:rPr>
            </w:pPr>
          </w:p>
        </w:tc>
        <w:tc>
          <w:tcPr>
            <w:tcW w:w="3261" w:type="dxa"/>
            <w:tcBorders>
              <w:bottom w:val="single" w:sz="4" w:space="0" w:color="auto"/>
            </w:tcBorders>
            <w:tcMar>
              <w:left w:w="108" w:type="dxa"/>
              <w:right w:w="108" w:type="dxa"/>
            </w:tcMar>
          </w:tcPr>
          <w:p w14:paraId="237093A9" w14:textId="77777777" w:rsidR="00AD119C" w:rsidRDefault="00AD119C">
            <w:pPr>
              <w:jc w:val="left"/>
              <w:rPr>
                <w:rFonts w:cs="Times New Roman"/>
                <w:szCs w:val="24"/>
              </w:rPr>
            </w:pPr>
          </w:p>
        </w:tc>
        <w:tc>
          <w:tcPr>
            <w:tcW w:w="4939" w:type="dxa"/>
            <w:tcBorders>
              <w:top w:val="single" w:sz="4" w:space="0" w:color="auto"/>
              <w:bottom w:val="single" w:sz="4" w:space="0" w:color="auto"/>
            </w:tcBorders>
            <w:tcMar>
              <w:left w:w="108" w:type="dxa"/>
              <w:right w:w="108" w:type="dxa"/>
            </w:tcMar>
          </w:tcPr>
          <w:p w14:paraId="30DD8E04" w14:textId="77777777" w:rsidR="00AD119C" w:rsidRDefault="004036ED">
            <w:pPr>
              <w:jc w:val="left"/>
              <w:rPr>
                <w:rFonts w:cs="Times New Roman"/>
                <w:szCs w:val="24"/>
              </w:rPr>
            </w:pPr>
            <w:r>
              <w:rPr>
                <w:rFonts w:cs="Times New Roman"/>
                <w:szCs w:val="24"/>
              </w:rPr>
              <w:t>Antihistamine (e.g., diphenhydramine 20 mg or promethazine 25 mg)</w:t>
            </w:r>
          </w:p>
        </w:tc>
        <w:tc>
          <w:tcPr>
            <w:tcW w:w="3490" w:type="dxa"/>
            <w:tcBorders>
              <w:top w:val="single" w:sz="4" w:space="0" w:color="auto"/>
              <w:bottom w:val="single" w:sz="4" w:space="0" w:color="auto"/>
            </w:tcBorders>
            <w:tcMar>
              <w:left w:w="108" w:type="dxa"/>
              <w:right w:w="108" w:type="dxa"/>
            </w:tcMar>
          </w:tcPr>
          <w:p w14:paraId="3E9DFE34" w14:textId="77777777" w:rsidR="00AD119C" w:rsidRDefault="004036ED">
            <w:pPr>
              <w:jc w:val="left"/>
              <w:rPr>
                <w:rFonts w:cs="Times New Roman"/>
                <w:szCs w:val="24"/>
              </w:rPr>
            </w:pPr>
            <w:r>
              <w:rPr>
                <w:rFonts w:cs="Times New Roman"/>
                <w:szCs w:val="24"/>
              </w:rPr>
              <w:t>Complete at least 30 minutes before infusion</w:t>
            </w:r>
          </w:p>
        </w:tc>
      </w:tr>
      <w:tr w:rsidR="00AD119C" w14:paraId="20C6C9B6" w14:textId="77777777">
        <w:trPr>
          <w:jc w:val="center"/>
        </w:trPr>
        <w:tc>
          <w:tcPr>
            <w:tcW w:w="2268" w:type="dxa"/>
            <w:tcMar>
              <w:left w:w="108" w:type="dxa"/>
              <w:right w:w="108" w:type="dxa"/>
            </w:tcMar>
          </w:tcPr>
          <w:p w14:paraId="5205FFF1" w14:textId="77777777" w:rsidR="00AD119C" w:rsidRDefault="00AD119C">
            <w:pPr>
              <w:jc w:val="left"/>
              <w:rPr>
                <w:rFonts w:cs="Times New Roman"/>
                <w:szCs w:val="24"/>
              </w:rPr>
            </w:pPr>
          </w:p>
        </w:tc>
        <w:tc>
          <w:tcPr>
            <w:tcW w:w="3261" w:type="dxa"/>
            <w:tcBorders>
              <w:top w:val="single" w:sz="4" w:space="0" w:color="auto"/>
            </w:tcBorders>
            <w:tcMar>
              <w:left w:w="108" w:type="dxa"/>
              <w:right w:w="108" w:type="dxa"/>
            </w:tcMar>
          </w:tcPr>
          <w:p w14:paraId="4B38A40E" w14:textId="77777777" w:rsidR="00AD119C" w:rsidRDefault="004036ED">
            <w:pPr>
              <w:jc w:val="left"/>
              <w:rPr>
                <w:rFonts w:cs="Times New Roman"/>
                <w:szCs w:val="24"/>
              </w:rPr>
            </w:pPr>
            <w:r>
              <w:rPr>
                <w:rFonts w:eastAsia="宋体" w:cs="Times New Roman"/>
                <w:snapToGrid w:val="0"/>
                <w:color w:val="000000" w:themeColor="text1"/>
                <w:kern w:val="0"/>
              </w:rPr>
              <w:t>Participant</w:t>
            </w:r>
            <w:r>
              <w:rPr>
                <w:rFonts w:cs="Times New Roman"/>
                <w:szCs w:val="24"/>
              </w:rPr>
              <w:t xml:space="preserve">s </w:t>
            </w:r>
            <w:r>
              <w:rPr>
                <w:rFonts w:cs="Times New Roman" w:hint="eastAsia"/>
                <w:szCs w:val="24"/>
              </w:rPr>
              <w:t xml:space="preserve">with </w:t>
            </w:r>
            <w:r>
              <w:rPr>
                <w:rFonts w:eastAsia="宋体" w:cs="Times New Roman" w:hint="eastAsia"/>
                <w:snapToGrid w:val="0"/>
                <w:color w:val="000000" w:themeColor="text1"/>
                <w:kern w:val="0"/>
              </w:rPr>
              <w:t>prior</w:t>
            </w:r>
            <w:r>
              <w:rPr>
                <w:rFonts w:cs="Times New Roman"/>
                <w:b/>
                <w:szCs w:val="24"/>
              </w:rPr>
              <w:t xml:space="preserve"> </w:t>
            </w:r>
            <w:r>
              <w:rPr>
                <w:rFonts w:cs="Times New Roman"/>
                <w:bCs/>
                <w:szCs w:val="24"/>
              </w:rPr>
              <w:t>grade 3</w:t>
            </w:r>
            <w:r>
              <w:rPr>
                <w:rFonts w:cs="Times New Roman" w:hint="eastAsia"/>
                <w:bCs/>
                <w:szCs w:val="24"/>
              </w:rPr>
              <w:t xml:space="preserve"> IRR</w:t>
            </w:r>
          </w:p>
        </w:tc>
        <w:tc>
          <w:tcPr>
            <w:tcW w:w="4939" w:type="dxa"/>
            <w:tcBorders>
              <w:top w:val="single" w:sz="4" w:space="0" w:color="auto"/>
              <w:bottom w:val="single" w:sz="4" w:space="0" w:color="auto"/>
            </w:tcBorders>
            <w:tcMar>
              <w:left w:w="108" w:type="dxa"/>
              <w:right w:w="108" w:type="dxa"/>
            </w:tcMar>
          </w:tcPr>
          <w:p w14:paraId="56FA8F51" w14:textId="77777777" w:rsidR="00AD119C" w:rsidRDefault="004036ED">
            <w:pPr>
              <w:jc w:val="left"/>
              <w:rPr>
                <w:rFonts w:cs="Times New Roman"/>
                <w:szCs w:val="24"/>
              </w:rPr>
            </w:pPr>
            <w:r>
              <w:rPr>
                <w:rFonts w:cs="Times New Roman"/>
                <w:szCs w:val="24"/>
              </w:rPr>
              <w:t>Intravenous glucocorticoid (e.g., dexamethasone 10–20 mg, or methylprednisolone 40–80 mg)</w:t>
            </w:r>
          </w:p>
        </w:tc>
        <w:tc>
          <w:tcPr>
            <w:tcW w:w="3490" w:type="dxa"/>
            <w:tcBorders>
              <w:top w:val="single" w:sz="4" w:space="0" w:color="auto"/>
              <w:bottom w:val="single" w:sz="4" w:space="0" w:color="auto"/>
            </w:tcBorders>
            <w:tcMar>
              <w:left w:w="108" w:type="dxa"/>
              <w:right w:w="108" w:type="dxa"/>
            </w:tcMar>
          </w:tcPr>
          <w:p w14:paraId="6558F548" w14:textId="77777777" w:rsidR="00AD119C" w:rsidRDefault="004036ED">
            <w:pPr>
              <w:jc w:val="left"/>
              <w:rPr>
                <w:rFonts w:cs="Times New Roman"/>
                <w:szCs w:val="24"/>
              </w:rPr>
            </w:pPr>
            <w:r>
              <w:rPr>
                <w:rFonts w:cs="Times New Roman"/>
                <w:szCs w:val="24"/>
              </w:rPr>
              <w:t>Complete at least 1 hour before infusion</w:t>
            </w:r>
          </w:p>
        </w:tc>
      </w:tr>
      <w:tr w:rsidR="00AD119C" w14:paraId="0E7C0950" w14:textId="77777777">
        <w:trPr>
          <w:jc w:val="center"/>
        </w:trPr>
        <w:tc>
          <w:tcPr>
            <w:tcW w:w="2268" w:type="dxa"/>
            <w:tcMar>
              <w:left w:w="108" w:type="dxa"/>
              <w:right w:w="108" w:type="dxa"/>
            </w:tcMar>
          </w:tcPr>
          <w:p w14:paraId="05351CF1" w14:textId="77777777" w:rsidR="00AD119C" w:rsidRDefault="00AD119C">
            <w:pPr>
              <w:jc w:val="left"/>
              <w:rPr>
                <w:rFonts w:cs="Times New Roman"/>
                <w:szCs w:val="24"/>
              </w:rPr>
            </w:pPr>
          </w:p>
        </w:tc>
        <w:tc>
          <w:tcPr>
            <w:tcW w:w="3261" w:type="dxa"/>
            <w:tcMar>
              <w:left w:w="108" w:type="dxa"/>
              <w:right w:w="108" w:type="dxa"/>
            </w:tcMar>
          </w:tcPr>
          <w:p w14:paraId="61A40A83" w14:textId="77777777" w:rsidR="00AD119C" w:rsidRDefault="00AD119C">
            <w:pPr>
              <w:jc w:val="left"/>
              <w:rPr>
                <w:rFonts w:cs="Times New Roman"/>
                <w:szCs w:val="24"/>
              </w:rPr>
            </w:pPr>
          </w:p>
        </w:tc>
        <w:tc>
          <w:tcPr>
            <w:tcW w:w="4939" w:type="dxa"/>
            <w:tcBorders>
              <w:top w:val="single" w:sz="4" w:space="0" w:color="auto"/>
              <w:bottom w:val="single" w:sz="4" w:space="0" w:color="auto"/>
            </w:tcBorders>
            <w:tcMar>
              <w:left w:w="108" w:type="dxa"/>
              <w:right w:w="108" w:type="dxa"/>
            </w:tcMar>
          </w:tcPr>
          <w:p w14:paraId="6D342FEF" w14:textId="77777777" w:rsidR="00AD119C" w:rsidRDefault="004036ED">
            <w:pPr>
              <w:jc w:val="left"/>
              <w:rPr>
                <w:rFonts w:cs="Times New Roman"/>
                <w:szCs w:val="24"/>
              </w:rPr>
            </w:pPr>
            <w:r>
              <w:rPr>
                <w:rFonts w:cs="Times New Roman"/>
                <w:szCs w:val="24"/>
              </w:rPr>
              <w:t>Antipyretic/analgesic (e.g., acetaminophen 500–1000 mg)</w:t>
            </w:r>
          </w:p>
        </w:tc>
        <w:tc>
          <w:tcPr>
            <w:tcW w:w="3490" w:type="dxa"/>
            <w:tcBorders>
              <w:top w:val="single" w:sz="4" w:space="0" w:color="auto"/>
              <w:bottom w:val="single" w:sz="4" w:space="0" w:color="auto"/>
            </w:tcBorders>
            <w:tcMar>
              <w:left w:w="108" w:type="dxa"/>
              <w:right w:w="108" w:type="dxa"/>
            </w:tcMar>
          </w:tcPr>
          <w:p w14:paraId="061FD6B1" w14:textId="77777777" w:rsidR="00AD119C" w:rsidRDefault="004036ED">
            <w:pPr>
              <w:jc w:val="left"/>
              <w:rPr>
                <w:rFonts w:cs="Times New Roman"/>
                <w:szCs w:val="24"/>
              </w:rPr>
            </w:pPr>
            <w:r>
              <w:rPr>
                <w:rFonts w:cs="Times New Roman"/>
                <w:szCs w:val="24"/>
              </w:rPr>
              <w:t>Complete at least 30 minutes before infusion</w:t>
            </w:r>
          </w:p>
        </w:tc>
      </w:tr>
      <w:tr w:rsidR="00AD119C" w14:paraId="6DD1A457" w14:textId="77777777">
        <w:trPr>
          <w:jc w:val="center"/>
        </w:trPr>
        <w:tc>
          <w:tcPr>
            <w:tcW w:w="2268" w:type="dxa"/>
            <w:tcBorders>
              <w:bottom w:val="single" w:sz="4" w:space="0" w:color="auto"/>
            </w:tcBorders>
            <w:tcMar>
              <w:left w:w="108" w:type="dxa"/>
              <w:right w:w="108" w:type="dxa"/>
            </w:tcMar>
          </w:tcPr>
          <w:p w14:paraId="477E00B4" w14:textId="77777777" w:rsidR="00AD119C" w:rsidRDefault="00AD119C">
            <w:pPr>
              <w:jc w:val="left"/>
              <w:rPr>
                <w:rFonts w:cs="Times New Roman"/>
                <w:szCs w:val="24"/>
              </w:rPr>
            </w:pPr>
          </w:p>
        </w:tc>
        <w:tc>
          <w:tcPr>
            <w:tcW w:w="3261" w:type="dxa"/>
            <w:tcBorders>
              <w:bottom w:val="single" w:sz="4" w:space="0" w:color="auto"/>
            </w:tcBorders>
            <w:tcMar>
              <w:left w:w="108" w:type="dxa"/>
              <w:right w:w="108" w:type="dxa"/>
            </w:tcMar>
          </w:tcPr>
          <w:p w14:paraId="47EDCD89" w14:textId="77777777" w:rsidR="00AD119C" w:rsidRDefault="00AD119C">
            <w:pPr>
              <w:jc w:val="left"/>
              <w:rPr>
                <w:rFonts w:cs="Times New Roman"/>
                <w:szCs w:val="24"/>
              </w:rPr>
            </w:pPr>
          </w:p>
        </w:tc>
        <w:tc>
          <w:tcPr>
            <w:tcW w:w="4939" w:type="dxa"/>
            <w:tcBorders>
              <w:top w:val="single" w:sz="4" w:space="0" w:color="auto"/>
              <w:bottom w:val="single" w:sz="4" w:space="0" w:color="auto"/>
            </w:tcBorders>
            <w:tcMar>
              <w:left w:w="108" w:type="dxa"/>
              <w:right w:w="108" w:type="dxa"/>
            </w:tcMar>
          </w:tcPr>
          <w:p w14:paraId="08F2D9F0" w14:textId="77777777" w:rsidR="00AD119C" w:rsidRDefault="004036ED">
            <w:pPr>
              <w:jc w:val="left"/>
              <w:rPr>
                <w:rFonts w:cs="Times New Roman"/>
                <w:szCs w:val="24"/>
              </w:rPr>
            </w:pPr>
            <w:r>
              <w:rPr>
                <w:rFonts w:cs="Times New Roman"/>
                <w:szCs w:val="24"/>
              </w:rPr>
              <w:t>Antihistamine (e.g., diphenhydramine 40 mg or promethazine 25 mg)</w:t>
            </w:r>
          </w:p>
        </w:tc>
        <w:tc>
          <w:tcPr>
            <w:tcW w:w="3490" w:type="dxa"/>
            <w:tcBorders>
              <w:top w:val="single" w:sz="4" w:space="0" w:color="auto"/>
              <w:bottom w:val="single" w:sz="4" w:space="0" w:color="auto"/>
            </w:tcBorders>
            <w:tcMar>
              <w:left w:w="108" w:type="dxa"/>
              <w:right w:w="108" w:type="dxa"/>
            </w:tcMar>
          </w:tcPr>
          <w:p w14:paraId="679F8581" w14:textId="77777777" w:rsidR="00AD119C" w:rsidRDefault="004036ED">
            <w:pPr>
              <w:jc w:val="left"/>
              <w:rPr>
                <w:rFonts w:cs="Times New Roman"/>
                <w:szCs w:val="24"/>
              </w:rPr>
            </w:pPr>
            <w:r>
              <w:rPr>
                <w:rFonts w:cs="Times New Roman"/>
                <w:szCs w:val="24"/>
              </w:rPr>
              <w:t>Complete at least 30 minutes before infusion</w:t>
            </w:r>
          </w:p>
        </w:tc>
      </w:tr>
    </w:tbl>
    <w:p w14:paraId="1E9A8ED3" w14:textId="77777777" w:rsidR="00AD119C" w:rsidRDefault="00AD119C">
      <w:pPr>
        <w:rPr>
          <w:rFonts w:cs="Times New Roman"/>
          <w:szCs w:val="24"/>
        </w:rPr>
      </w:pPr>
    </w:p>
    <w:p w14:paraId="2A65F9D0" w14:textId="77777777" w:rsidR="00AD119C" w:rsidRDefault="00AD119C">
      <w:pPr>
        <w:rPr>
          <w:rFonts w:cs="Times New Roman"/>
          <w:szCs w:val="24"/>
        </w:rPr>
        <w:sectPr w:rsidR="00AD119C" w:rsidSect="002837D1">
          <w:pgSz w:w="16838" w:h="11906" w:orient="landscape"/>
          <w:pgMar w:top="1418" w:right="1134" w:bottom="1134" w:left="1134" w:header="851" w:footer="680" w:gutter="0"/>
          <w:cols w:space="425"/>
          <w:docGrid w:linePitch="326"/>
        </w:sectPr>
      </w:pPr>
    </w:p>
    <w:p w14:paraId="252D6D24" w14:textId="77777777" w:rsidR="00AD119C" w:rsidRDefault="004036ED">
      <w:pPr>
        <w:pStyle w:val="2"/>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IRR</w:t>
      </w:r>
    </w:p>
    <w:p w14:paraId="5AC0C9FB" w14:textId="77777777" w:rsidR="00AD119C" w:rsidRDefault="004036ED">
      <w:pPr>
        <w:pStyle w:val="af0"/>
        <w:widowControl/>
        <w:spacing w:beforeAutospacing="0" w:afterAutospacing="0" w:line="480" w:lineRule="auto"/>
        <w:rPr>
          <w:rFonts w:ascii="Times New Roman" w:hAnsi="Times New Roman"/>
        </w:rPr>
      </w:pPr>
      <w:r>
        <w:rPr>
          <w:rFonts w:ascii="Times New Roman" w:hAnsi="Times New Roman"/>
        </w:rPr>
        <w:t>IRRs most commonly occur within the first 2 hours after the start of the first infusion, and typically present with fever, chills, dyspnea, bronchospasm, and other symptoms. IRRs occurring in the study should be graded according to Common Terminology Criteria for Adverse Events (CTCAE) (version 5.0) (Table X2), and the infusion rate of the investigational product should be adjusted accordingly. All subjects should receive prophylactic medication prior to each infusion to prevent IRRs. If an IRR occurs during infusion, appropriate management should be performed.</w:t>
      </w:r>
    </w:p>
    <w:p w14:paraId="31117C19" w14:textId="77777777" w:rsidR="00AD119C" w:rsidRDefault="00AD119C">
      <w:pPr>
        <w:rPr>
          <w:rFonts w:cs="Times New Roman"/>
          <w:szCs w:val="24"/>
        </w:rPr>
      </w:pPr>
    </w:p>
    <w:p w14:paraId="06D2A3BA" w14:textId="77777777" w:rsidR="00AD119C" w:rsidRDefault="005E261D">
      <w:pPr>
        <w:pStyle w:val="a0"/>
        <w:ind w:firstLineChars="0" w:firstLine="0"/>
      </w:pPr>
      <w:r w:rsidRPr="005E261D">
        <w:rPr>
          <w:b/>
          <w:bCs/>
        </w:rPr>
        <w:t>Supplementary Table X2</w:t>
      </w:r>
      <w:r w:rsidR="004036ED">
        <w:rPr>
          <w:b/>
          <w:bCs/>
        </w:rPr>
        <w:t xml:space="preserve">. </w:t>
      </w:r>
      <w:r w:rsidR="004036ED">
        <w:rPr>
          <w:rFonts w:cs="Times New Roman"/>
          <w:b/>
          <w:bCs/>
          <w:szCs w:val="24"/>
        </w:rPr>
        <w:t>Infusion-Related Reactions Occurring in the Study should be Graded according to CTCAE (v5.0)</w:t>
      </w:r>
    </w:p>
    <w:tbl>
      <w:tblPr>
        <w:tblW w:w="5000" w:type="pct"/>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715"/>
        <w:gridCol w:w="6639"/>
      </w:tblGrid>
      <w:tr w:rsidR="00AD119C" w14:paraId="52E1D0F7" w14:textId="77777777">
        <w:trPr>
          <w:tblHeader/>
          <w:jc w:val="center"/>
        </w:trPr>
        <w:tc>
          <w:tcPr>
            <w:tcW w:w="2410" w:type="dxa"/>
            <w:tcBorders>
              <w:top w:val="single" w:sz="4" w:space="0" w:color="auto"/>
              <w:bottom w:val="single" w:sz="4" w:space="0" w:color="auto"/>
            </w:tcBorders>
            <w:tcMar>
              <w:left w:w="108" w:type="dxa"/>
              <w:right w:w="108" w:type="dxa"/>
            </w:tcMar>
          </w:tcPr>
          <w:p w14:paraId="59DFC579" w14:textId="77777777" w:rsidR="00AD119C" w:rsidRDefault="004036ED">
            <w:pPr>
              <w:jc w:val="left"/>
              <w:rPr>
                <w:rFonts w:cs="Times New Roman"/>
                <w:b/>
                <w:szCs w:val="24"/>
              </w:rPr>
            </w:pPr>
            <w:r>
              <w:rPr>
                <w:rFonts w:cs="Times New Roman"/>
                <w:b/>
                <w:szCs w:val="24"/>
              </w:rPr>
              <w:t>Grade (CTCAE v5.0)</w:t>
            </w:r>
          </w:p>
        </w:tc>
        <w:tc>
          <w:tcPr>
            <w:tcW w:w="5894" w:type="dxa"/>
            <w:tcBorders>
              <w:top w:val="single" w:sz="4" w:space="0" w:color="auto"/>
              <w:bottom w:val="single" w:sz="4" w:space="0" w:color="auto"/>
            </w:tcBorders>
            <w:tcMar>
              <w:left w:w="108" w:type="dxa"/>
              <w:right w:w="108" w:type="dxa"/>
            </w:tcMar>
          </w:tcPr>
          <w:p w14:paraId="78A7A7EB" w14:textId="77777777" w:rsidR="00AD119C" w:rsidRDefault="004036ED">
            <w:pPr>
              <w:jc w:val="left"/>
              <w:rPr>
                <w:rFonts w:cs="Times New Roman"/>
                <w:b/>
                <w:szCs w:val="24"/>
              </w:rPr>
            </w:pPr>
            <w:r>
              <w:rPr>
                <w:rFonts w:cs="Times New Roman"/>
                <w:b/>
                <w:szCs w:val="24"/>
              </w:rPr>
              <w:t>Treatment adjustment</w:t>
            </w:r>
          </w:p>
        </w:tc>
      </w:tr>
      <w:tr w:rsidR="00AD119C" w14:paraId="7B21B9FE" w14:textId="77777777">
        <w:trPr>
          <w:jc w:val="center"/>
        </w:trPr>
        <w:tc>
          <w:tcPr>
            <w:tcW w:w="2410" w:type="dxa"/>
            <w:tcBorders>
              <w:top w:val="single" w:sz="4" w:space="0" w:color="auto"/>
            </w:tcBorders>
            <w:tcMar>
              <w:left w:w="108" w:type="dxa"/>
              <w:right w:w="108" w:type="dxa"/>
            </w:tcMar>
          </w:tcPr>
          <w:p w14:paraId="3C1A7177" w14:textId="77777777" w:rsidR="00AD119C" w:rsidRDefault="004036ED">
            <w:pPr>
              <w:jc w:val="left"/>
              <w:rPr>
                <w:rFonts w:cs="Times New Roman"/>
                <w:szCs w:val="24"/>
              </w:rPr>
            </w:pPr>
            <w:r>
              <w:rPr>
                <w:rFonts w:cs="Times New Roman"/>
                <w:b/>
                <w:szCs w:val="24"/>
              </w:rPr>
              <w:t>Grade 1</w:t>
            </w:r>
          </w:p>
        </w:tc>
        <w:tc>
          <w:tcPr>
            <w:tcW w:w="5894" w:type="dxa"/>
            <w:tcBorders>
              <w:top w:val="single" w:sz="4" w:space="0" w:color="auto"/>
            </w:tcBorders>
            <w:tcMar>
              <w:left w:w="108" w:type="dxa"/>
              <w:right w:w="108" w:type="dxa"/>
            </w:tcMar>
          </w:tcPr>
          <w:p w14:paraId="5D7FC4FC" w14:textId="77777777" w:rsidR="00AD119C" w:rsidRDefault="004036ED">
            <w:pPr>
              <w:jc w:val="left"/>
              <w:rPr>
                <w:rFonts w:cs="Times New Roman"/>
                <w:szCs w:val="24"/>
              </w:rPr>
            </w:pPr>
            <w:r>
              <w:rPr>
                <w:rFonts w:cs="Times New Roman"/>
                <w:b/>
                <w:szCs w:val="24"/>
              </w:rPr>
              <w:t xml:space="preserve">Definition: </w:t>
            </w:r>
            <w:r>
              <w:rPr>
                <w:rFonts w:cs="Times New Roman"/>
                <w:szCs w:val="24"/>
              </w:rPr>
              <w:t>Mild, transient reaction; infusion interruption not indicated; intervention not indicated.</w:t>
            </w:r>
          </w:p>
          <w:p w14:paraId="09B4E0D3" w14:textId="77777777" w:rsidR="00AD119C" w:rsidRDefault="004036ED">
            <w:pPr>
              <w:jc w:val="left"/>
              <w:rPr>
                <w:rFonts w:cs="Times New Roman"/>
                <w:szCs w:val="24"/>
              </w:rPr>
            </w:pPr>
            <w:r>
              <w:rPr>
                <w:rFonts w:cs="Times New Roman"/>
                <w:b/>
                <w:szCs w:val="24"/>
              </w:rPr>
              <w:t xml:space="preserve">Adjustment: </w:t>
            </w:r>
            <w:r>
              <w:rPr>
                <w:rFonts w:cs="Times New Roman"/>
                <w:szCs w:val="24"/>
              </w:rPr>
              <w:t>Reduce obinutuzumab β infusion rate by 50% and closely monitor for worsening.</w:t>
            </w:r>
          </w:p>
        </w:tc>
      </w:tr>
      <w:tr w:rsidR="00AD119C" w14:paraId="4860C246" w14:textId="77777777">
        <w:trPr>
          <w:jc w:val="center"/>
        </w:trPr>
        <w:tc>
          <w:tcPr>
            <w:tcW w:w="2410" w:type="dxa"/>
            <w:tcMar>
              <w:left w:w="108" w:type="dxa"/>
              <w:right w:w="108" w:type="dxa"/>
            </w:tcMar>
          </w:tcPr>
          <w:p w14:paraId="57E94014" w14:textId="77777777" w:rsidR="00AD119C" w:rsidRDefault="004036ED">
            <w:pPr>
              <w:jc w:val="left"/>
              <w:rPr>
                <w:rFonts w:cs="Times New Roman"/>
                <w:szCs w:val="24"/>
              </w:rPr>
            </w:pPr>
            <w:r>
              <w:rPr>
                <w:rFonts w:cs="Times New Roman"/>
                <w:b/>
                <w:szCs w:val="24"/>
              </w:rPr>
              <w:t>Grade 2</w:t>
            </w:r>
          </w:p>
        </w:tc>
        <w:tc>
          <w:tcPr>
            <w:tcW w:w="5894" w:type="dxa"/>
            <w:tcMar>
              <w:left w:w="108" w:type="dxa"/>
              <w:right w:w="108" w:type="dxa"/>
            </w:tcMar>
          </w:tcPr>
          <w:p w14:paraId="2A4C3461" w14:textId="77777777" w:rsidR="00AD119C" w:rsidRDefault="004036ED">
            <w:pPr>
              <w:jc w:val="left"/>
              <w:rPr>
                <w:rFonts w:cs="Times New Roman"/>
                <w:szCs w:val="24"/>
              </w:rPr>
            </w:pPr>
            <w:r>
              <w:rPr>
                <w:rFonts w:cs="Times New Roman"/>
                <w:b/>
                <w:szCs w:val="24"/>
              </w:rPr>
              <w:t xml:space="preserve">Definition: </w:t>
            </w:r>
            <w:r>
              <w:rPr>
                <w:rFonts w:cs="Times New Roman"/>
                <w:szCs w:val="24"/>
              </w:rPr>
              <w:t>Therapy or infusion interruption indicated but responds promptly to symptomatic treatment (e.g., antihistamines, NSAIDs, narcotics, IV fluids); prophylactic medications ≤24 h.</w:t>
            </w:r>
          </w:p>
          <w:p w14:paraId="48824368" w14:textId="77777777" w:rsidR="00AD119C" w:rsidRDefault="004036ED">
            <w:pPr>
              <w:jc w:val="left"/>
              <w:rPr>
                <w:rFonts w:cs="Times New Roman"/>
                <w:szCs w:val="24"/>
              </w:rPr>
            </w:pPr>
            <w:r>
              <w:rPr>
                <w:rFonts w:cs="Times New Roman"/>
                <w:b/>
                <w:szCs w:val="24"/>
              </w:rPr>
              <w:t xml:space="preserve">Adjustment: </w:t>
            </w:r>
            <w:r>
              <w:rPr>
                <w:rFonts w:cs="Times New Roman"/>
                <w:szCs w:val="24"/>
              </w:rPr>
              <w:t xml:space="preserve">Stop </w:t>
            </w:r>
            <w:r>
              <w:rPr>
                <w:rFonts w:eastAsia="宋体" w:cs="Times New Roman"/>
                <w:szCs w:val="24"/>
              </w:rPr>
              <w:t>obinutuzumab β</w:t>
            </w:r>
            <w:r>
              <w:rPr>
                <w:rFonts w:cs="Times New Roman"/>
                <w:szCs w:val="24"/>
              </w:rPr>
              <w:t xml:space="preserve"> infusion. When the IRR has resolved, or severity has decreased to at least Grade 1, resume infusion at 50% of the previous rate and closely monitor for recurrence or worsening.</w:t>
            </w:r>
          </w:p>
        </w:tc>
      </w:tr>
      <w:tr w:rsidR="00AD119C" w14:paraId="322FA441" w14:textId="77777777">
        <w:trPr>
          <w:jc w:val="center"/>
        </w:trPr>
        <w:tc>
          <w:tcPr>
            <w:tcW w:w="2410" w:type="dxa"/>
            <w:tcMar>
              <w:left w:w="108" w:type="dxa"/>
              <w:right w:w="108" w:type="dxa"/>
            </w:tcMar>
          </w:tcPr>
          <w:p w14:paraId="4309DAEF" w14:textId="77777777" w:rsidR="00AD119C" w:rsidRDefault="004036ED">
            <w:pPr>
              <w:jc w:val="left"/>
              <w:rPr>
                <w:rFonts w:cs="Times New Roman"/>
                <w:szCs w:val="24"/>
              </w:rPr>
            </w:pPr>
            <w:r>
              <w:rPr>
                <w:rFonts w:cs="Times New Roman"/>
                <w:b/>
                <w:szCs w:val="24"/>
              </w:rPr>
              <w:t>Grade 3</w:t>
            </w:r>
          </w:p>
        </w:tc>
        <w:tc>
          <w:tcPr>
            <w:tcW w:w="5894" w:type="dxa"/>
            <w:tcMar>
              <w:left w:w="108" w:type="dxa"/>
              <w:right w:w="108" w:type="dxa"/>
            </w:tcMar>
          </w:tcPr>
          <w:p w14:paraId="6C20E50E" w14:textId="77777777" w:rsidR="00AD119C" w:rsidRDefault="004036ED">
            <w:pPr>
              <w:jc w:val="left"/>
              <w:rPr>
                <w:rFonts w:cs="Times New Roman"/>
                <w:szCs w:val="24"/>
              </w:rPr>
            </w:pPr>
            <w:r>
              <w:rPr>
                <w:rFonts w:cs="Times New Roman"/>
                <w:b/>
                <w:szCs w:val="24"/>
              </w:rPr>
              <w:t xml:space="preserve">Definition: </w:t>
            </w:r>
            <w:r>
              <w:t xml:space="preserve"> </w:t>
            </w:r>
            <w:r>
              <w:rPr>
                <w:rFonts w:cs="Times New Roman"/>
                <w:szCs w:val="24"/>
              </w:rPr>
              <w:t xml:space="preserve">Prolonged (e.g., not rapidly responsive to symptomatic medication and/or brief interruption of infusion); </w:t>
            </w:r>
            <w:r>
              <w:rPr>
                <w:rFonts w:cs="Times New Roman"/>
                <w:szCs w:val="24"/>
              </w:rPr>
              <w:lastRenderedPageBreak/>
              <w:t>recurrence of symptoms following initial improvement; hospitalization indicated for clinical sequelae.</w:t>
            </w:r>
          </w:p>
          <w:p w14:paraId="450028F2" w14:textId="77777777" w:rsidR="00AD119C" w:rsidRDefault="004036ED">
            <w:pPr>
              <w:jc w:val="left"/>
              <w:rPr>
                <w:rFonts w:cs="Times New Roman"/>
                <w:szCs w:val="24"/>
              </w:rPr>
            </w:pPr>
            <w:r>
              <w:rPr>
                <w:rFonts w:cs="Times New Roman"/>
                <w:b/>
                <w:szCs w:val="24"/>
              </w:rPr>
              <w:t xml:space="preserve">Adjustment: </w:t>
            </w:r>
            <w:r>
              <w:rPr>
                <w:rFonts w:cs="Times New Roman"/>
                <w:szCs w:val="24"/>
              </w:rPr>
              <w:t xml:space="preserve">Stop </w:t>
            </w:r>
            <w:r>
              <w:rPr>
                <w:rFonts w:eastAsia="宋体" w:cs="Times New Roman"/>
                <w:szCs w:val="24"/>
              </w:rPr>
              <w:t>obinutuzumab β</w:t>
            </w:r>
            <w:r>
              <w:rPr>
                <w:rFonts w:cs="Times New Roman"/>
                <w:szCs w:val="24"/>
              </w:rPr>
              <w:t xml:space="preserve"> infusion. When the IRR has resolved, or severity has decreased to at least Grade 1, resume infusion at 50% of the previous rate and closely monitor for recurrence or worsening. If, after resumption of infusion, the same symptoms recur with the same severity, treatment must be discontinued.</w:t>
            </w:r>
          </w:p>
        </w:tc>
      </w:tr>
      <w:tr w:rsidR="00AD119C" w14:paraId="70FA74E2" w14:textId="77777777">
        <w:trPr>
          <w:jc w:val="center"/>
        </w:trPr>
        <w:tc>
          <w:tcPr>
            <w:tcW w:w="2410" w:type="dxa"/>
            <w:tcMar>
              <w:left w:w="108" w:type="dxa"/>
              <w:right w:w="108" w:type="dxa"/>
            </w:tcMar>
          </w:tcPr>
          <w:p w14:paraId="68BD315F" w14:textId="77777777" w:rsidR="00AD119C" w:rsidRDefault="004036ED">
            <w:pPr>
              <w:jc w:val="left"/>
              <w:rPr>
                <w:rFonts w:cs="Times New Roman"/>
                <w:szCs w:val="24"/>
              </w:rPr>
            </w:pPr>
            <w:r>
              <w:rPr>
                <w:rFonts w:cs="Times New Roman"/>
                <w:b/>
                <w:szCs w:val="24"/>
              </w:rPr>
              <w:lastRenderedPageBreak/>
              <w:t>Grade 4</w:t>
            </w:r>
          </w:p>
        </w:tc>
        <w:tc>
          <w:tcPr>
            <w:tcW w:w="5894" w:type="dxa"/>
            <w:tcMar>
              <w:left w:w="108" w:type="dxa"/>
              <w:right w:w="108" w:type="dxa"/>
            </w:tcMar>
          </w:tcPr>
          <w:p w14:paraId="3D1BE899" w14:textId="77777777" w:rsidR="00AD119C" w:rsidRDefault="004036ED">
            <w:pPr>
              <w:jc w:val="left"/>
              <w:rPr>
                <w:rFonts w:cs="Times New Roman"/>
                <w:szCs w:val="24"/>
              </w:rPr>
            </w:pPr>
            <w:r>
              <w:rPr>
                <w:rFonts w:cs="Times New Roman"/>
                <w:b/>
                <w:szCs w:val="24"/>
              </w:rPr>
              <w:t xml:space="preserve">Definition: </w:t>
            </w:r>
            <w:r>
              <w:rPr>
                <w:rFonts w:cs="Times New Roman"/>
                <w:szCs w:val="24"/>
              </w:rPr>
              <w:t>Life-threatening consequences; urgent intervention indicated.</w:t>
            </w:r>
          </w:p>
          <w:p w14:paraId="72B6FC50" w14:textId="77777777" w:rsidR="00AD119C" w:rsidRDefault="004036ED">
            <w:pPr>
              <w:jc w:val="left"/>
              <w:rPr>
                <w:rFonts w:cs="Times New Roman"/>
                <w:szCs w:val="24"/>
              </w:rPr>
            </w:pPr>
            <w:r>
              <w:rPr>
                <w:rFonts w:cs="Times New Roman"/>
                <w:b/>
                <w:szCs w:val="24"/>
              </w:rPr>
              <w:t xml:space="preserve">Adjustment: </w:t>
            </w:r>
            <w:r>
              <w:rPr>
                <w:rFonts w:cs="Times New Roman"/>
                <w:szCs w:val="24"/>
              </w:rPr>
              <w:t>Permanently discontinue the drug.</w:t>
            </w:r>
          </w:p>
        </w:tc>
      </w:tr>
    </w:tbl>
    <w:p w14:paraId="5362EAA0" w14:textId="77777777" w:rsidR="00AD119C" w:rsidRDefault="00AD119C">
      <w:pPr>
        <w:rPr>
          <w:rFonts w:cs="Times New Roman"/>
          <w:szCs w:val="24"/>
        </w:rPr>
      </w:pPr>
    </w:p>
    <w:p w14:paraId="14CFE4F4" w14:textId="77777777" w:rsidR="00AD119C" w:rsidRDefault="004036ED">
      <w:pPr>
        <w:pStyle w:val="2"/>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Grade </w:t>
      </w:r>
      <w:r>
        <w:rPr>
          <w:rFonts w:ascii="Times New Roman" w:hAnsi="Times New Roman" w:cs="Times New Roman"/>
          <w:b/>
          <w:bCs/>
          <w:sz w:val="24"/>
          <w:szCs w:val="24"/>
        </w:rPr>
        <w:t>≥</w:t>
      </w:r>
      <w:r>
        <w:rPr>
          <w:rFonts w:ascii="Times New Roman" w:hAnsi="Times New Roman" w:cs="Times New Roman"/>
          <w:b/>
          <w:bCs/>
          <w:color w:val="auto"/>
          <w:sz w:val="24"/>
          <w:szCs w:val="24"/>
        </w:rPr>
        <w:t>3 Infections</w:t>
      </w:r>
    </w:p>
    <w:p w14:paraId="068F1C8A" w14:textId="77777777" w:rsidR="00AD119C" w:rsidRDefault="004036ED">
      <w:pPr>
        <w:pStyle w:val="af0"/>
        <w:widowControl/>
        <w:spacing w:beforeAutospacing="0" w:afterAutospacing="0" w:line="480" w:lineRule="auto"/>
        <w:rPr>
          <w:rFonts w:ascii="Times New Roman" w:hAnsi="Times New Roman"/>
        </w:rPr>
        <w:sectPr w:rsidR="00AD119C" w:rsidSect="002837D1">
          <w:pgSz w:w="11906" w:h="16838"/>
          <w:pgMar w:top="1134" w:right="1134" w:bottom="1134" w:left="1418" w:header="851" w:footer="992" w:gutter="0"/>
          <w:cols w:space="425"/>
          <w:docGrid w:linePitch="312"/>
        </w:sectPr>
      </w:pPr>
      <w:r>
        <w:rPr>
          <w:rFonts w:ascii="Times New Roman" w:hAnsi="Times New Roman"/>
        </w:rPr>
        <w:t>Given the mechanism of action of the investigational drug (anti-CD20 antibody), marked B-cell depletion may occur. Therefore, subjects receiving obinutuzumab β were at risk for infections. For subjects at risk of neutropenia, antibiotic prophylaxis during treatment was strongly recommended. Selection and dosing of antibiotics had to follow the study center’s standard operating procedures. Antifungal prophylaxis was at the investigator’s discretion.</w:t>
      </w:r>
    </w:p>
    <w:p w14:paraId="3B46A0F1" w14:textId="77777777" w:rsidR="00AD119C" w:rsidRDefault="004036ED" w:rsidP="002837D1">
      <w:pPr>
        <w:pStyle w:val="af0"/>
        <w:widowControl/>
        <w:spacing w:beforeAutospacing="0" w:afterAutospacing="0" w:line="432" w:lineRule="auto"/>
        <w:rPr>
          <w:rFonts w:ascii="Times New Roman" w:hAnsi="Times New Roman"/>
          <w:b/>
          <w:bCs/>
        </w:rPr>
      </w:pPr>
      <w:r>
        <w:rPr>
          <w:rFonts w:ascii="Times New Roman" w:hAnsi="Times New Roman"/>
          <w:b/>
          <w:bCs/>
        </w:rPr>
        <w:lastRenderedPageBreak/>
        <w:t>Glucocorticoid Tapering Protocol after Relapse</w:t>
      </w:r>
      <w:r>
        <w:rPr>
          <w:rFonts w:ascii="Times New Roman" w:hAnsi="Times New Roman" w:hint="eastAsia"/>
          <w:b/>
          <w:bCs/>
        </w:rPr>
        <w:t xml:space="preserve"> </w:t>
      </w:r>
      <w:r>
        <w:rPr>
          <w:rFonts w:ascii="Times New Roman" w:hAnsi="Times New Roman"/>
          <w:b/>
          <w:bCs/>
        </w:rPr>
        <w:t>During the Trial</w:t>
      </w:r>
    </w:p>
    <w:p w14:paraId="1F9909FB" w14:textId="77777777" w:rsidR="00AD119C" w:rsidRDefault="004036ED" w:rsidP="002837D1">
      <w:pPr>
        <w:pStyle w:val="af0"/>
        <w:widowControl/>
        <w:spacing w:beforeAutospacing="0" w:afterAutospacing="0" w:line="432" w:lineRule="auto"/>
        <w:rPr>
          <w:rFonts w:ascii="Times New Roman" w:hAnsi="Times New Roman"/>
        </w:rPr>
      </w:pPr>
      <w:r>
        <w:rPr>
          <w:rFonts w:ascii="Times New Roman" w:hAnsi="Times New Roman"/>
        </w:rPr>
        <w:t>For participants enrolled in Phase Ib who relapse after enrollment: after symptoms have been stabilized by rescue therapy and the investigator determines that the benefit outweighs the risk, continuation of obinutuzumab β is permitted while the participant is receiving a fixed dose of prednisone 20 mg/day (or an equivalent dose of glucocorticoid). After 4 weeks of concomitant therapy, glucocorticoids should be tapered off per protocol. The taper period should not exceed 4 weeks.</w:t>
      </w:r>
    </w:p>
    <w:p w14:paraId="4D20A026" w14:textId="77777777" w:rsidR="00AD119C" w:rsidRDefault="00AD119C" w:rsidP="002837D1">
      <w:pPr>
        <w:spacing w:line="432" w:lineRule="auto"/>
        <w:rPr>
          <w:rFonts w:cs="Times New Roman"/>
          <w:szCs w:val="24"/>
        </w:rPr>
      </w:pPr>
    </w:p>
    <w:p w14:paraId="77ACB3F5" w14:textId="77777777" w:rsidR="00AD119C" w:rsidRDefault="004036ED" w:rsidP="002837D1">
      <w:pPr>
        <w:pStyle w:val="a6"/>
        <w:spacing w:line="432" w:lineRule="auto"/>
        <w:rPr>
          <w:rFonts w:eastAsia="宋体" w:cs="Times New Roman"/>
          <w:b/>
          <w:bCs/>
          <w:szCs w:val="24"/>
        </w:rPr>
      </w:pPr>
      <w:r>
        <w:rPr>
          <w:rFonts w:eastAsia="宋体" w:cs="Times New Roman"/>
          <w:b/>
          <w:bCs/>
          <w:szCs w:val="24"/>
        </w:rPr>
        <w:t>Detailed Statistical Analysis</w:t>
      </w:r>
    </w:p>
    <w:p w14:paraId="3780BC42" w14:textId="77777777" w:rsidR="00AD119C" w:rsidRDefault="004036ED" w:rsidP="002837D1">
      <w:pPr>
        <w:pStyle w:val="a6"/>
        <w:spacing w:line="432" w:lineRule="auto"/>
        <w:rPr>
          <w:rFonts w:eastAsia="宋体" w:cs="Times New Roman"/>
          <w:szCs w:val="24"/>
        </w:rPr>
      </w:pPr>
      <w:r>
        <w:rPr>
          <w:rFonts w:eastAsia="宋体" w:cs="Times New Roman"/>
          <w:szCs w:val="24"/>
        </w:rPr>
        <w:t>The full analysis set (FAS) included all participants who were enrolled and received at least one dose of the study drug; this set was used for demographic and baseline data analysis. The safety set (SS) comprised participants who received at least one dose of the study drug and had at least one post-dose safety evaluation, serving as the basis for safety analysis. The pharmacokinetic analysis set (PKAS) included all participants who received the study drug, had no major protocol violations likely to compromise pharmacokinetic (PK) evaluation, and for whom evaluable PK data were available. The pharmacodynamics analysis set (PDAS) included all subjects who received the study drug, had no major protocol deviations likely to compromise pharmacodynamic assessments, and for whom evaluable pharmacodynamic data were available. The immunogenicity analysis set included all subjects who received the study drug, had no major protocol deviations likely to compromise immunogenicity assessments, and for whom evaluable immunogenicity data were available.</w:t>
      </w:r>
    </w:p>
    <w:p w14:paraId="60C30C5D" w14:textId="77777777" w:rsidR="00AD119C" w:rsidRDefault="004036ED" w:rsidP="002837D1">
      <w:pPr>
        <w:pStyle w:val="a6"/>
        <w:spacing w:line="432" w:lineRule="auto"/>
        <w:rPr>
          <w:rFonts w:eastAsia="宋体" w:cs="Times New Roman"/>
          <w:szCs w:val="24"/>
        </w:rPr>
      </w:pPr>
      <w:r>
        <w:rPr>
          <w:rFonts w:eastAsia="宋体" w:cs="Times New Roman"/>
          <w:szCs w:val="24"/>
        </w:rPr>
        <w:t>The annual attack rate and 95% confidence interval (CI) within 2 years before the first administration were analyzed using negative binomial regression analysis, with the logarithmically transformed person-years as the offset. The variables were described using n (%), means ± standard deviations, or n (%). The efficacy analysis was performed based on the FAS. In addition, the deterioration rate at the last visit and its 95% confidence interval were estimated using a generalized linear model (GLM) with a log link function and assuming a binomial distribution.</w:t>
      </w:r>
    </w:p>
    <w:p w14:paraId="35BE2434" w14:textId="77777777" w:rsidR="00AD119C" w:rsidRDefault="004036ED" w:rsidP="002837D1">
      <w:pPr>
        <w:widowControl/>
        <w:spacing w:line="432" w:lineRule="auto"/>
        <w:jc w:val="left"/>
        <w:rPr>
          <w:rFonts w:cs="Times New Roman"/>
          <w:b/>
          <w:bCs/>
          <w:szCs w:val="24"/>
        </w:rPr>
      </w:pPr>
      <w:r>
        <w:rPr>
          <w:rFonts w:cs="Times New Roman"/>
          <w:b/>
          <w:bCs/>
          <w:szCs w:val="24"/>
        </w:rPr>
        <w:br w:type="page"/>
      </w:r>
    </w:p>
    <w:p w14:paraId="5A7F9F41" w14:textId="77777777" w:rsidR="00AD119C" w:rsidRDefault="004036ED">
      <w:pPr>
        <w:widowControl/>
        <w:spacing w:line="278" w:lineRule="auto"/>
        <w:jc w:val="left"/>
        <w:rPr>
          <w:rFonts w:cs="Times New Roman"/>
          <w:b/>
          <w:bCs/>
          <w:szCs w:val="24"/>
        </w:rPr>
      </w:pPr>
      <w:r>
        <w:rPr>
          <w:rFonts w:cs="Times New Roman"/>
          <w:b/>
          <w:bCs/>
          <w:szCs w:val="24"/>
        </w:rPr>
        <w:lastRenderedPageBreak/>
        <w:t>Results</w:t>
      </w:r>
    </w:p>
    <w:p w14:paraId="6D0D5B93" w14:textId="77777777" w:rsidR="00AD119C" w:rsidRDefault="004036ED">
      <w:pPr>
        <w:keepNext/>
        <w:widowControl/>
        <w:shd w:val="clear" w:color="auto" w:fill="FFFFFF"/>
        <w:rPr>
          <w:rFonts w:eastAsia="宋体" w:cs="Times New Roman"/>
          <w:bCs/>
          <w:color w:val="000000" w:themeColor="text1"/>
          <w:szCs w:val="24"/>
        </w:rPr>
      </w:pPr>
      <w:r>
        <w:rPr>
          <w:rFonts w:eastAsia="宋体" w:cs="Times New Roman"/>
          <w:b/>
          <w:color w:val="000000" w:themeColor="text1"/>
          <w:szCs w:val="24"/>
        </w:rPr>
        <w:t xml:space="preserve">Table S2. Treatment-Related Adverse Events (frequency </w:t>
      </w:r>
      <w:r>
        <w:rPr>
          <w:rFonts w:eastAsia="宋体" w:cs="Times New Roman"/>
          <w:b/>
          <w:color w:val="000000" w:themeColor="text1"/>
          <w:szCs w:val="24"/>
          <w:u w:val="single"/>
        </w:rPr>
        <w:t>&gt;</w:t>
      </w:r>
      <w:r>
        <w:rPr>
          <w:rFonts w:eastAsia="宋体" w:cs="Times New Roman"/>
          <w:b/>
          <w:color w:val="000000" w:themeColor="text1"/>
          <w:szCs w:val="24"/>
        </w:rPr>
        <w:t>10%) and Treatment-Related Serious Adverse Events</w:t>
      </w:r>
    </w:p>
    <w:tbl>
      <w:tblPr>
        <w:tblStyle w:val="210"/>
        <w:tblW w:w="5000" w:type="pct"/>
        <w:tblLook w:val="04A0" w:firstRow="1" w:lastRow="0" w:firstColumn="1" w:lastColumn="0" w:noHBand="0" w:noVBand="1"/>
      </w:tblPr>
      <w:tblGrid>
        <w:gridCol w:w="6226"/>
        <w:gridCol w:w="3128"/>
      </w:tblGrid>
      <w:tr w:rsidR="00AD119C" w14:paraId="153232C8" w14:textId="77777777" w:rsidTr="00AD11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328" w:type="pct"/>
            <w:tcBorders>
              <w:top w:val="single" w:sz="4" w:space="0" w:color="7F7F7F" w:themeColor="text1" w:themeTint="80"/>
              <w:bottom w:val="single" w:sz="4" w:space="0" w:color="auto"/>
            </w:tcBorders>
          </w:tcPr>
          <w:p w14:paraId="347F03E0" w14:textId="77777777" w:rsidR="00AD119C" w:rsidRDefault="00AD119C">
            <w:pPr>
              <w:contextualSpacing/>
              <w:rPr>
                <w:b w:val="0"/>
                <w:bCs w:val="0"/>
                <w:color w:val="000000" w:themeColor="text1"/>
                <w:szCs w:val="24"/>
              </w:rPr>
            </w:pPr>
          </w:p>
        </w:tc>
        <w:tc>
          <w:tcPr>
            <w:tcW w:w="1672" w:type="pct"/>
            <w:tcBorders>
              <w:top w:val="single" w:sz="4" w:space="0" w:color="7F7F7F" w:themeColor="text1" w:themeTint="80"/>
              <w:bottom w:val="single" w:sz="4" w:space="0" w:color="auto"/>
            </w:tcBorders>
          </w:tcPr>
          <w:p w14:paraId="07C46A64" w14:textId="77777777" w:rsidR="00AD119C" w:rsidRDefault="004036ED">
            <w:pPr>
              <w:contextualSpacing/>
              <w:cnfStyle w:val="100000000000" w:firstRow="1" w:lastRow="0" w:firstColumn="0" w:lastColumn="0" w:oddVBand="0" w:evenVBand="0" w:oddHBand="0" w:evenHBand="0" w:firstRowFirstColumn="0" w:firstRowLastColumn="0" w:lastRowFirstColumn="0" w:lastRowLastColumn="0"/>
            </w:pPr>
            <w:r>
              <w:rPr>
                <w:color w:val="000000" w:themeColor="text1"/>
                <w:szCs w:val="24"/>
              </w:rPr>
              <w:t>Obinutuzumab β (N=11)</w:t>
            </w:r>
            <w:r>
              <w:t xml:space="preserve"> n (%)</w:t>
            </w:r>
          </w:p>
        </w:tc>
      </w:tr>
      <w:tr w:rsidR="00AD119C" w14:paraId="56BB3742" w14:textId="77777777" w:rsidTr="00AD119C">
        <w:tc>
          <w:tcPr>
            <w:cnfStyle w:val="001000000000" w:firstRow="0" w:lastRow="0" w:firstColumn="1" w:lastColumn="0" w:oddVBand="0" w:evenVBand="0" w:oddHBand="0" w:evenHBand="0" w:firstRowFirstColumn="0" w:firstRowLastColumn="0" w:lastRowFirstColumn="0" w:lastRowLastColumn="0"/>
            <w:tcW w:w="3328" w:type="pct"/>
            <w:tcBorders>
              <w:top w:val="single" w:sz="4" w:space="0" w:color="auto"/>
              <w:bottom w:val="nil"/>
            </w:tcBorders>
          </w:tcPr>
          <w:p w14:paraId="41D2DBD4" w14:textId="77777777" w:rsidR="00AD119C" w:rsidRDefault="004036ED">
            <w:pPr>
              <w:contextualSpacing/>
              <w:rPr>
                <w:b w:val="0"/>
                <w:bCs w:val="0"/>
                <w:color w:val="000000" w:themeColor="text1"/>
                <w:szCs w:val="24"/>
              </w:rPr>
            </w:pPr>
            <w:r>
              <w:rPr>
                <w:color w:val="000000" w:themeColor="text1"/>
                <w:szCs w:val="24"/>
              </w:rPr>
              <w:t xml:space="preserve">TRAEs occurring in </w:t>
            </w:r>
            <w:r>
              <w:rPr>
                <w:color w:val="000000" w:themeColor="text1"/>
                <w:szCs w:val="24"/>
                <w:u w:val="single"/>
              </w:rPr>
              <w:t>&gt;</w:t>
            </w:r>
            <w:r>
              <w:rPr>
                <w:color w:val="000000" w:themeColor="text1"/>
                <w:szCs w:val="24"/>
              </w:rPr>
              <w:t>10% of the participants.</w:t>
            </w:r>
          </w:p>
        </w:tc>
        <w:tc>
          <w:tcPr>
            <w:tcW w:w="1672" w:type="pct"/>
            <w:tcBorders>
              <w:top w:val="single" w:sz="4" w:space="0" w:color="auto"/>
              <w:bottom w:val="nil"/>
            </w:tcBorders>
          </w:tcPr>
          <w:p w14:paraId="51481E32" w14:textId="77777777" w:rsidR="00AD119C" w:rsidRDefault="00AD119C">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p>
        </w:tc>
      </w:tr>
      <w:tr w:rsidR="00AD119C" w14:paraId="4E45075F" w14:textId="77777777" w:rsidTr="00AD119C">
        <w:tc>
          <w:tcPr>
            <w:cnfStyle w:val="001000000000" w:firstRow="0" w:lastRow="0" w:firstColumn="1" w:lastColumn="0" w:oddVBand="0" w:evenVBand="0" w:oddHBand="0" w:evenHBand="0" w:firstRowFirstColumn="0" w:firstRowLastColumn="0" w:lastRowFirstColumn="0" w:lastRowLastColumn="0"/>
            <w:tcW w:w="3328" w:type="pct"/>
            <w:tcBorders>
              <w:top w:val="nil"/>
            </w:tcBorders>
          </w:tcPr>
          <w:p w14:paraId="6743C9AC" w14:textId="77777777" w:rsidR="00AD119C" w:rsidRDefault="004036ED">
            <w:pPr>
              <w:contextualSpacing/>
              <w:rPr>
                <w:b w:val="0"/>
                <w:bCs w:val="0"/>
                <w:color w:val="000000" w:themeColor="text1"/>
                <w:szCs w:val="24"/>
              </w:rPr>
            </w:pPr>
            <w:r>
              <w:rPr>
                <w:b w:val="0"/>
                <w:bCs w:val="0"/>
                <w:color w:val="000000" w:themeColor="text1"/>
                <w:szCs w:val="24"/>
              </w:rPr>
              <w:t xml:space="preserve">   Urinary tract inflammation</w:t>
            </w:r>
          </w:p>
        </w:tc>
        <w:tc>
          <w:tcPr>
            <w:tcW w:w="1672" w:type="pct"/>
            <w:tcBorders>
              <w:top w:val="nil"/>
            </w:tcBorders>
          </w:tcPr>
          <w:p w14:paraId="2E9CBE80"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3 (27.3)</w:t>
            </w:r>
          </w:p>
        </w:tc>
      </w:tr>
      <w:tr w:rsidR="00AD119C" w14:paraId="03B65872"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49389D4E" w14:textId="77777777" w:rsidR="00AD119C" w:rsidRDefault="004036ED">
            <w:pPr>
              <w:contextualSpacing/>
              <w:rPr>
                <w:b w:val="0"/>
                <w:bCs w:val="0"/>
                <w:color w:val="000000" w:themeColor="text1"/>
                <w:szCs w:val="24"/>
              </w:rPr>
            </w:pPr>
            <w:r>
              <w:rPr>
                <w:b w:val="0"/>
                <w:bCs w:val="0"/>
                <w:color w:val="000000" w:themeColor="text1"/>
                <w:szCs w:val="24"/>
              </w:rPr>
              <w:t xml:space="preserve">   Infusion-related reaction</w:t>
            </w:r>
          </w:p>
        </w:tc>
        <w:tc>
          <w:tcPr>
            <w:tcW w:w="1672" w:type="pct"/>
          </w:tcPr>
          <w:p w14:paraId="1BF7925A"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3 (27.3)</w:t>
            </w:r>
          </w:p>
        </w:tc>
      </w:tr>
      <w:tr w:rsidR="00AD119C" w14:paraId="7CE15060"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056BC76A" w14:textId="77777777" w:rsidR="00AD119C" w:rsidRDefault="004036ED">
            <w:pPr>
              <w:contextualSpacing/>
              <w:rPr>
                <w:b w:val="0"/>
                <w:bCs w:val="0"/>
                <w:color w:val="000000" w:themeColor="text1"/>
                <w:szCs w:val="24"/>
              </w:rPr>
            </w:pPr>
            <w:r>
              <w:rPr>
                <w:b w:val="0"/>
                <w:bCs w:val="0"/>
                <w:color w:val="000000" w:themeColor="text1"/>
                <w:szCs w:val="24"/>
              </w:rPr>
              <w:t xml:space="preserve">   Infectious pneumonia</w:t>
            </w:r>
          </w:p>
        </w:tc>
        <w:tc>
          <w:tcPr>
            <w:tcW w:w="1672" w:type="pct"/>
          </w:tcPr>
          <w:p w14:paraId="12CDD140"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3 (27.3)</w:t>
            </w:r>
          </w:p>
        </w:tc>
      </w:tr>
      <w:tr w:rsidR="00AD119C" w14:paraId="1D8094E4"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6AD561B1" w14:textId="77777777" w:rsidR="00AD119C" w:rsidRDefault="004036ED">
            <w:pPr>
              <w:contextualSpacing/>
              <w:rPr>
                <w:b w:val="0"/>
                <w:bCs w:val="0"/>
                <w:color w:val="000000" w:themeColor="text1"/>
                <w:szCs w:val="24"/>
              </w:rPr>
            </w:pPr>
            <w:r>
              <w:rPr>
                <w:b w:val="0"/>
                <w:bCs w:val="0"/>
                <w:color w:val="000000" w:themeColor="text1"/>
                <w:szCs w:val="24"/>
              </w:rPr>
              <w:t xml:space="preserve">   Leukopenia</w:t>
            </w:r>
          </w:p>
        </w:tc>
        <w:tc>
          <w:tcPr>
            <w:tcW w:w="1672" w:type="pct"/>
          </w:tcPr>
          <w:p w14:paraId="1711B605"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3 (27.3)</w:t>
            </w:r>
          </w:p>
        </w:tc>
      </w:tr>
      <w:tr w:rsidR="00AD119C" w14:paraId="3E52B3CC"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68DCB5B5" w14:textId="77777777" w:rsidR="00AD119C" w:rsidRDefault="004036ED">
            <w:pPr>
              <w:contextualSpacing/>
              <w:rPr>
                <w:b w:val="0"/>
                <w:bCs w:val="0"/>
                <w:color w:val="000000" w:themeColor="text1"/>
                <w:szCs w:val="24"/>
              </w:rPr>
            </w:pPr>
            <w:r>
              <w:rPr>
                <w:b w:val="0"/>
                <w:bCs w:val="0"/>
                <w:color w:val="000000" w:themeColor="text1"/>
                <w:szCs w:val="24"/>
              </w:rPr>
              <w:t xml:space="preserve">   Monocytosis</w:t>
            </w:r>
          </w:p>
        </w:tc>
        <w:tc>
          <w:tcPr>
            <w:tcW w:w="1672" w:type="pct"/>
          </w:tcPr>
          <w:p w14:paraId="7633DA82"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 (18.2)</w:t>
            </w:r>
          </w:p>
        </w:tc>
      </w:tr>
      <w:tr w:rsidR="00AD119C" w14:paraId="57492FFC"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05C87BA5" w14:textId="77777777" w:rsidR="00AD119C" w:rsidRDefault="004036ED">
            <w:pPr>
              <w:contextualSpacing/>
              <w:rPr>
                <w:b w:val="0"/>
                <w:bCs w:val="0"/>
                <w:color w:val="000000" w:themeColor="text1"/>
                <w:szCs w:val="24"/>
              </w:rPr>
            </w:pPr>
            <w:r>
              <w:rPr>
                <w:b w:val="0"/>
                <w:bCs w:val="0"/>
                <w:color w:val="000000" w:themeColor="text1"/>
                <w:szCs w:val="24"/>
              </w:rPr>
              <w:t xml:space="preserve">   </w:t>
            </w:r>
            <w:r>
              <w:rPr>
                <w:rFonts w:hint="eastAsia"/>
                <w:b w:val="0"/>
                <w:bCs w:val="0"/>
                <w:color w:val="000000" w:themeColor="text1"/>
                <w:szCs w:val="24"/>
              </w:rPr>
              <w:t xml:space="preserve">Blood </w:t>
            </w:r>
            <w:r>
              <w:rPr>
                <w:b w:val="0"/>
                <w:bCs w:val="0"/>
                <w:color w:val="000000" w:themeColor="text1"/>
                <w:szCs w:val="24"/>
              </w:rPr>
              <w:t>IgM</w:t>
            </w:r>
            <w:r>
              <w:rPr>
                <w:rFonts w:hint="eastAsia"/>
                <w:b w:val="0"/>
                <w:bCs w:val="0"/>
                <w:color w:val="000000" w:themeColor="text1"/>
                <w:szCs w:val="24"/>
              </w:rPr>
              <w:t xml:space="preserve"> d</w:t>
            </w:r>
            <w:r>
              <w:rPr>
                <w:b w:val="0"/>
                <w:bCs w:val="0"/>
                <w:color w:val="000000" w:themeColor="text1"/>
                <w:szCs w:val="24"/>
              </w:rPr>
              <w:t>ecreased</w:t>
            </w:r>
          </w:p>
        </w:tc>
        <w:tc>
          <w:tcPr>
            <w:tcW w:w="1672" w:type="pct"/>
          </w:tcPr>
          <w:p w14:paraId="773C16F2"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 (18.2)</w:t>
            </w:r>
          </w:p>
        </w:tc>
      </w:tr>
      <w:tr w:rsidR="00AD119C" w14:paraId="7D1F8F01"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2DC2A9F2" w14:textId="77777777" w:rsidR="00AD119C" w:rsidRDefault="004036ED">
            <w:pPr>
              <w:contextualSpacing/>
              <w:rPr>
                <w:b w:val="0"/>
                <w:bCs w:val="0"/>
                <w:color w:val="000000" w:themeColor="text1"/>
                <w:szCs w:val="24"/>
              </w:rPr>
            </w:pPr>
            <w:r>
              <w:rPr>
                <w:b w:val="0"/>
                <w:bCs w:val="0"/>
                <w:color w:val="000000" w:themeColor="text1"/>
                <w:szCs w:val="24"/>
              </w:rPr>
              <w:t xml:space="preserve">   </w:t>
            </w:r>
            <w:r>
              <w:rPr>
                <w:rFonts w:hint="eastAsia"/>
                <w:b w:val="0"/>
                <w:bCs w:val="0"/>
              </w:rPr>
              <w:t>Blood</w:t>
            </w:r>
            <w:r>
              <w:rPr>
                <w:b w:val="0"/>
                <w:bCs w:val="0"/>
                <w:color w:val="000000" w:themeColor="text1"/>
                <w:szCs w:val="24"/>
              </w:rPr>
              <w:t xml:space="preserve"> lactate dehydrogenase</w:t>
            </w:r>
            <w:r>
              <w:rPr>
                <w:rFonts w:hint="eastAsia"/>
                <w:b w:val="0"/>
                <w:bCs w:val="0"/>
                <w:color w:val="000000" w:themeColor="text1"/>
                <w:szCs w:val="24"/>
              </w:rPr>
              <w:t xml:space="preserve"> </w:t>
            </w:r>
            <w:r>
              <w:rPr>
                <w:b w:val="0"/>
                <w:bCs w:val="0"/>
                <w:color w:val="000000" w:themeColor="text1"/>
                <w:szCs w:val="24"/>
              </w:rPr>
              <w:t>increased</w:t>
            </w:r>
          </w:p>
        </w:tc>
        <w:tc>
          <w:tcPr>
            <w:tcW w:w="1672" w:type="pct"/>
          </w:tcPr>
          <w:p w14:paraId="1FFE62C3"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 (18.2)</w:t>
            </w:r>
          </w:p>
        </w:tc>
      </w:tr>
      <w:tr w:rsidR="00AD119C" w14:paraId="68173A71"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3EBE1419" w14:textId="77777777" w:rsidR="00AD119C" w:rsidRDefault="004036ED">
            <w:pPr>
              <w:contextualSpacing/>
              <w:rPr>
                <w:b w:val="0"/>
                <w:bCs w:val="0"/>
                <w:color w:val="000000" w:themeColor="text1"/>
                <w:szCs w:val="24"/>
              </w:rPr>
            </w:pPr>
            <w:r>
              <w:rPr>
                <w:b w:val="0"/>
                <w:bCs w:val="0"/>
                <w:color w:val="000000" w:themeColor="text1"/>
                <w:szCs w:val="24"/>
              </w:rPr>
              <w:t xml:space="preserve">   Thrombocytosis</w:t>
            </w:r>
          </w:p>
        </w:tc>
        <w:tc>
          <w:tcPr>
            <w:tcW w:w="1672" w:type="pct"/>
          </w:tcPr>
          <w:p w14:paraId="1D15CAF1"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 (18.2)</w:t>
            </w:r>
          </w:p>
        </w:tc>
      </w:tr>
      <w:tr w:rsidR="00AD119C" w14:paraId="27C6B6D0"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5E29F869" w14:textId="77777777" w:rsidR="00AD119C" w:rsidRDefault="004036ED">
            <w:pPr>
              <w:contextualSpacing/>
              <w:rPr>
                <w:b w:val="0"/>
                <w:bCs w:val="0"/>
                <w:color w:val="000000" w:themeColor="text1"/>
                <w:szCs w:val="24"/>
              </w:rPr>
            </w:pPr>
            <w:r>
              <w:rPr>
                <w:b w:val="0"/>
                <w:bCs w:val="0"/>
                <w:color w:val="000000" w:themeColor="text1"/>
                <w:szCs w:val="24"/>
              </w:rPr>
              <w:t xml:space="preserve">   Neutropenia</w:t>
            </w:r>
          </w:p>
        </w:tc>
        <w:tc>
          <w:tcPr>
            <w:tcW w:w="1672" w:type="pct"/>
          </w:tcPr>
          <w:p w14:paraId="0B2BBB8D"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 (18.2)</w:t>
            </w:r>
          </w:p>
        </w:tc>
      </w:tr>
      <w:tr w:rsidR="00AD119C" w14:paraId="5F360338"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0D6011F2" w14:textId="77777777" w:rsidR="00AD119C" w:rsidRDefault="004036ED">
            <w:pPr>
              <w:contextualSpacing/>
              <w:rPr>
                <w:b w:val="0"/>
                <w:bCs w:val="0"/>
                <w:color w:val="000000" w:themeColor="text1"/>
                <w:szCs w:val="24"/>
              </w:rPr>
            </w:pPr>
            <w:r>
              <w:rPr>
                <w:b w:val="0"/>
                <w:bCs w:val="0"/>
                <w:color w:val="000000" w:themeColor="text1"/>
                <w:szCs w:val="24"/>
              </w:rPr>
              <w:t xml:space="preserve">   Hyperuric</w:t>
            </w:r>
            <w:r>
              <w:rPr>
                <w:rFonts w:hint="eastAsia"/>
                <w:b w:val="0"/>
                <w:bCs w:val="0"/>
                <w:color w:val="000000" w:themeColor="text1"/>
                <w:szCs w:val="24"/>
              </w:rPr>
              <w:t>a</w:t>
            </w:r>
            <w:r>
              <w:rPr>
                <w:b w:val="0"/>
                <w:bCs w:val="0"/>
                <w:color w:val="000000" w:themeColor="text1"/>
                <w:szCs w:val="24"/>
              </w:rPr>
              <w:t>emia</w:t>
            </w:r>
          </w:p>
        </w:tc>
        <w:tc>
          <w:tcPr>
            <w:tcW w:w="1672" w:type="pct"/>
          </w:tcPr>
          <w:p w14:paraId="399D3639"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 (18.2)</w:t>
            </w:r>
          </w:p>
        </w:tc>
      </w:tr>
      <w:tr w:rsidR="00AD119C" w14:paraId="2B4B7A29"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3626655E" w14:textId="77777777" w:rsidR="00AD119C" w:rsidRDefault="004036ED">
            <w:pPr>
              <w:contextualSpacing/>
              <w:rPr>
                <w:b w:val="0"/>
                <w:bCs w:val="0"/>
                <w:color w:val="000000" w:themeColor="text1"/>
                <w:szCs w:val="24"/>
              </w:rPr>
            </w:pPr>
            <w:r>
              <w:rPr>
                <w:b w:val="0"/>
                <w:bCs w:val="0"/>
                <w:color w:val="000000" w:themeColor="text1"/>
                <w:szCs w:val="24"/>
              </w:rPr>
              <w:t xml:space="preserve">   Hepatic function abnormal</w:t>
            </w:r>
          </w:p>
        </w:tc>
        <w:tc>
          <w:tcPr>
            <w:tcW w:w="1672" w:type="pct"/>
          </w:tcPr>
          <w:p w14:paraId="7A0BA1CF"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 (18.2)</w:t>
            </w:r>
          </w:p>
        </w:tc>
      </w:tr>
      <w:tr w:rsidR="00AD119C" w14:paraId="7EE83332"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099A4965" w14:textId="77777777" w:rsidR="00AD119C" w:rsidRDefault="004036ED">
            <w:pPr>
              <w:contextualSpacing/>
              <w:rPr>
                <w:color w:val="000000" w:themeColor="text1"/>
                <w:szCs w:val="24"/>
              </w:rPr>
            </w:pPr>
            <w:r>
              <w:rPr>
                <w:color w:val="000000" w:themeColor="text1"/>
                <w:szCs w:val="24"/>
              </w:rPr>
              <w:t>TRSAEs</w:t>
            </w:r>
          </w:p>
        </w:tc>
        <w:tc>
          <w:tcPr>
            <w:tcW w:w="1672" w:type="pct"/>
          </w:tcPr>
          <w:p w14:paraId="7EFE5AA4" w14:textId="77777777" w:rsidR="00AD119C" w:rsidRDefault="00AD119C">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p>
        </w:tc>
      </w:tr>
      <w:tr w:rsidR="00AD119C" w14:paraId="676E6FFB"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2D00FB7A" w14:textId="77777777" w:rsidR="00AD119C" w:rsidRDefault="004036ED">
            <w:pPr>
              <w:contextualSpacing/>
              <w:rPr>
                <w:b w:val="0"/>
                <w:bCs w:val="0"/>
                <w:color w:val="000000" w:themeColor="text1"/>
                <w:szCs w:val="24"/>
              </w:rPr>
            </w:pPr>
            <w:r>
              <w:rPr>
                <w:b w:val="0"/>
                <w:bCs w:val="0"/>
                <w:color w:val="000000" w:themeColor="text1"/>
                <w:szCs w:val="24"/>
              </w:rPr>
              <w:t xml:space="preserve">   </w:t>
            </w:r>
            <w:r>
              <w:rPr>
                <w:rFonts w:hint="eastAsia"/>
                <w:b w:val="0"/>
                <w:bCs w:val="0"/>
                <w:color w:val="000000" w:themeColor="text1"/>
                <w:szCs w:val="24"/>
              </w:rPr>
              <w:t>P</w:t>
            </w:r>
            <w:r>
              <w:rPr>
                <w:b w:val="0"/>
                <w:bCs w:val="0"/>
                <w:color w:val="000000" w:themeColor="text1"/>
                <w:szCs w:val="24"/>
              </w:rPr>
              <w:t>neumonia</w:t>
            </w:r>
          </w:p>
        </w:tc>
        <w:tc>
          <w:tcPr>
            <w:tcW w:w="1672" w:type="pct"/>
          </w:tcPr>
          <w:p w14:paraId="19BC49F8"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3 (27.3)</w:t>
            </w:r>
          </w:p>
        </w:tc>
      </w:tr>
      <w:tr w:rsidR="00AD119C" w14:paraId="7D094CBE" w14:textId="77777777" w:rsidTr="00AD119C">
        <w:tc>
          <w:tcPr>
            <w:cnfStyle w:val="001000000000" w:firstRow="0" w:lastRow="0" w:firstColumn="1" w:lastColumn="0" w:oddVBand="0" w:evenVBand="0" w:oddHBand="0" w:evenHBand="0" w:firstRowFirstColumn="0" w:firstRowLastColumn="0" w:lastRowFirstColumn="0" w:lastRowLastColumn="0"/>
            <w:tcW w:w="3328" w:type="pct"/>
          </w:tcPr>
          <w:p w14:paraId="12CAD591" w14:textId="77777777" w:rsidR="00AD119C" w:rsidRDefault="004036ED">
            <w:pPr>
              <w:contextualSpacing/>
              <w:rPr>
                <w:b w:val="0"/>
                <w:bCs w:val="0"/>
                <w:color w:val="000000" w:themeColor="text1"/>
                <w:szCs w:val="24"/>
              </w:rPr>
            </w:pPr>
            <w:r>
              <w:rPr>
                <w:b w:val="0"/>
                <w:bCs w:val="0"/>
                <w:color w:val="000000" w:themeColor="text1"/>
                <w:szCs w:val="24"/>
              </w:rPr>
              <w:t xml:space="preserve">   Neutropenia</w:t>
            </w:r>
          </w:p>
        </w:tc>
        <w:tc>
          <w:tcPr>
            <w:tcW w:w="1672" w:type="pct"/>
          </w:tcPr>
          <w:p w14:paraId="0A6FC5F0"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1 (9.1)</w:t>
            </w:r>
          </w:p>
        </w:tc>
      </w:tr>
    </w:tbl>
    <w:p w14:paraId="68D21CF1" w14:textId="77777777" w:rsidR="00AD119C" w:rsidRDefault="004036ED">
      <w:pPr>
        <w:pStyle w:val="af0"/>
        <w:spacing w:beforeAutospacing="0" w:afterAutospacing="0" w:line="480" w:lineRule="auto"/>
        <w:jc w:val="both"/>
        <w:rPr>
          <w:rFonts w:ascii="Times New Roman" w:hAnsi="Times New Roman"/>
        </w:rPr>
      </w:pPr>
      <w:r>
        <w:rPr>
          <w:rFonts w:ascii="Times New Roman" w:hAnsi="Times New Roman"/>
        </w:rPr>
        <w:t>TRAE: treatment-related adverse event; IgM: immunoglobulin M; TRSAE: treatment-related severe adverse event.</w:t>
      </w:r>
    </w:p>
    <w:p w14:paraId="5FAD3692" w14:textId="77777777" w:rsidR="00AD119C" w:rsidRDefault="00AD119C">
      <w:pPr>
        <w:pStyle w:val="af0"/>
        <w:spacing w:beforeAutospacing="0" w:afterAutospacing="0" w:line="480" w:lineRule="auto"/>
        <w:jc w:val="both"/>
        <w:rPr>
          <w:rFonts w:ascii="Times New Roman" w:hAnsi="Times New Roman"/>
        </w:rPr>
      </w:pPr>
    </w:p>
    <w:p w14:paraId="131363E5" w14:textId="77777777" w:rsidR="00AD119C" w:rsidRDefault="00AD119C">
      <w:pPr>
        <w:pStyle w:val="af0"/>
        <w:spacing w:beforeAutospacing="0" w:afterAutospacing="0" w:line="480" w:lineRule="auto"/>
        <w:jc w:val="both"/>
        <w:rPr>
          <w:rFonts w:ascii="Times New Roman" w:hAnsi="Times New Roman"/>
        </w:rPr>
        <w:sectPr w:rsidR="00AD119C" w:rsidSect="002837D1">
          <w:pgSz w:w="11906" w:h="16838"/>
          <w:pgMar w:top="1134" w:right="1134" w:bottom="1134" w:left="1418" w:header="851" w:footer="680" w:gutter="0"/>
          <w:cols w:space="425"/>
          <w:docGrid w:linePitch="326"/>
        </w:sectPr>
      </w:pPr>
    </w:p>
    <w:p w14:paraId="69EC0E66" w14:textId="77777777" w:rsidR="00AD119C" w:rsidRDefault="004036ED">
      <w:pPr>
        <w:adjustRightInd w:val="0"/>
      </w:pPr>
      <w:r>
        <w:rPr>
          <w:b/>
          <w:color w:val="000000"/>
          <w:shd w:val="clear" w:color="auto" w:fill="FFFFFF"/>
        </w:rPr>
        <w:lastRenderedPageBreak/>
        <w:t>Table S3. All TRAEs in the SS (n=11)</w:t>
      </w:r>
    </w:p>
    <w:tbl>
      <w:tblPr>
        <w:tblW w:w="0" w:type="auto"/>
        <w:tblLayout w:type="fixed"/>
        <w:tblCellMar>
          <w:left w:w="0" w:type="dxa"/>
          <w:right w:w="0" w:type="dxa"/>
        </w:tblCellMar>
        <w:tblLook w:val="04A0" w:firstRow="1" w:lastRow="0" w:firstColumn="1" w:lastColumn="0" w:noHBand="0" w:noVBand="1"/>
      </w:tblPr>
      <w:tblGrid>
        <w:gridCol w:w="5529"/>
        <w:gridCol w:w="1701"/>
        <w:gridCol w:w="992"/>
        <w:gridCol w:w="1704"/>
        <w:gridCol w:w="993"/>
        <w:gridCol w:w="1417"/>
        <w:gridCol w:w="992"/>
      </w:tblGrid>
      <w:tr w:rsidR="00AD119C" w14:paraId="29440CB4" w14:textId="77777777">
        <w:trPr>
          <w:cantSplit/>
          <w:tblHeader/>
        </w:trPr>
        <w:tc>
          <w:tcPr>
            <w:tcW w:w="5529" w:type="dxa"/>
            <w:vMerge w:val="restart"/>
            <w:tcBorders>
              <w:top w:val="single" w:sz="6" w:space="0" w:color="000000"/>
              <w:left w:val="nil"/>
              <w:right w:val="nil"/>
              <w:tl2br w:val="nil"/>
              <w:tr2bl w:val="nil"/>
            </w:tcBorders>
            <w:shd w:val="clear" w:color="auto" w:fill="FFFFFF"/>
          </w:tcPr>
          <w:p w14:paraId="1FF14077" w14:textId="77777777" w:rsidR="00AD119C" w:rsidRDefault="00AD119C">
            <w:pPr>
              <w:keepNext/>
              <w:adjustRightInd w:val="0"/>
              <w:rPr>
                <w:b/>
                <w:bCs/>
              </w:rPr>
            </w:pPr>
          </w:p>
          <w:p w14:paraId="0542CDCE" w14:textId="77777777" w:rsidR="00AD119C" w:rsidRDefault="004036ED">
            <w:pPr>
              <w:keepNext/>
              <w:adjustRightInd w:val="0"/>
              <w:rPr>
                <w:b/>
                <w:bCs/>
              </w:rPr>
            </w:pPr>
            <w:r>
              <w:rPr>
                <w:b/>
                <w:bCs/>
              </w:rPr>
              <w:t>System organ class (SOC)</w:t>
            </w:r>
          </w:p>
          <w:p w14:paraId="6EDE10A1" w14:textId="77777777" w:rsidR="00AD119C" w:rsidRDefault="004036ED">
            <w:pPr>
              <w:keepNext/>
              <w:adjustRightInd w:val="0"/>
              <w:ind w:firstLineChars="100" w:firstLine="240"/>
              <w:rPr>
                <w:b/>
                <w:color w:val="000000"/>
              </w:rPr>
            </w:pPr>
            <w:r>
              <w:rPr>
                <w:rFonts w:hint="eastAsia"/>
                <w:b/>
                <w:bCs/>
              </w:rPr>
              <w:t>P</w:t>
            </w:r>
            <w:r>
              <w:rPr>
                <w:b/>
                <w:bCs/>
              </w:rPr>
              <w:t>referred term (PT)</w:t>
            </w:r>
          </w:p>
        </w:tc>
        <w:tc>
          <w:tcPr>
            <w:tcW w:w="2693" w:type="dxa"/>
            <w:gridSpan w:val="2"/>
            <w:tcBorders>
              <w:top w:val="single" w:sz="6" w:space="0" w:color="000000"/>
              <w:left w:val="nil"/>
              <w:bottom w:val="nil"/>
              <w:right w:val="nil"/>
              <w:tl2br w:val="nil"/>
              <w:tr2bl w:val="nil"/>
            </w:tcBorders>
            <w:shd w:val="clear" w:color="auto" w:fill="FFFFFF"/>
          </w:tcPr>
          <w:p w14:paraId="5830E48D" w14:textId="77777777" w:rsidR="00AD119C" w:rsidRDefault="004036ED">
            <w:pPr>
              <w:keepNext/>
              <w:pBdr>
                <w:bottom w:val="single" w:sz="6" w:space="0" w:color="auto"/>
              </w:pBdr>
              <w:adjustRightInd w:val="0"/>
              <w:jc w:val="left"/>
              <w:rPr>
                <w:b/>
                <w:color w:val="000000"/>
              </w:rPr>
            </w:pPr>
            <w:r>
              <w:rPr>
                <w:rFonts w:eastAsia="宋体" w:cs="Times New Roman" w:hint="eastAsia"/>
                <w:b/>
                <w:bCs/>
                <w:szCs w:val="24"/>
              </w:rPr>
              <w:t>O</w:t>
            </w:r>
            <w:r>
              <w:rPr>
                <w:rFonts w:eastAsia="宋体" w:cs="Times New Roman"/>
                <w:b/>
                <w:bCs/>
                <w:szCs w:val="24"/>
              </w:rPr>
              <w:t>binutuzumab β</w:t>
            </w:r>
            <w:r>
              <w:rPr>
                <w:rFonts w:hint="eastAsia"/>
                <w:b/>
                <w:color w:val="000000"/>
              </w:rPr>
              <w:t xml:space="preserve"> </w:t>
            </w:r>
            <w:r>
              <w:rPr>
                <w:b/>
                <w:color w:val="000000"/>
              </w:rPr>
              <w:t>500</w:t>
            </w:r>
            <w:r>
              <w:rPr>
                <w:rFonts w:hint="eastAsia"/>
                <w:bCs/>
                <w:color w:val="000000"/>
              </w:rPr>
              <w:t xml:space="preserve"> </w:t>
            </w:r>
            <w:r>
              <w:rPr>
                <w:b/>
                <w:color w:val="000000"/>
              </w:rPr>
              <w:t>mg (n=3)</w:t>
            </w:r>
          </w:p>
        </w:tc>
        <w:tc>
          <w:tcPr>
            <w:tcW w:w="2697" w:type="dxa"/>
            <w:gridSpan w:val="2"/>
            <w:tcBorders>
              <w:top w:val="single" w:sz="6" w:space="0" w:color="000000"/>
              <w:left w:val="nil"/>
              <w:bottom w:val="nil"/>
              <w:right w:val="nil"/>
              <w:tl2br w:val="nil"/>
              <w:tr2bl w:val="nil"/>
            </w:tcBorders>
            <w:shd w:val="clear" w:color="auto" w:fill="FFFFFF"/>
          </w:tcPr>
          <w:p w14:paraId="66BCDCFF" w14:textId="77777777" w:rsidR="00AD119C" w:rsidRDefault="004036ED">
            <w:pPr>
              <w:keepNext/>
              <w:pBdr>
                <w:bottom w:val="single" w:sz="6" w:space="0" w:color="auto"/>
              </w:pBdr>
              <w:adjustRightInd w:val="0"/>
              <w:jc w:val="left"/>
              <w:rPr>
                <w:b/>
                <w:color w:val="000000"/>
              </w:rPr>
            </w:pPr>
            <w:r>
              <w:rPr>
                <w:rFonts w:eastAsia="宋体" w:cs="Times New Roman"/>
                <w:b/>
                <w:bCs/>
                <w:szCs w:val="24"/>
              </w:rPr>
              <w:t>Obinutuzumab β</w:t>
            </w:r>
            <w:r>
              <w:rPr>
                <w:b/>
                <w:bCs/>
                <w:color w:val="000000"/>
              </w:rPr>
              <w:t xml:space="preserve"> 1000</w:t>
            </w:r>
            <w:r>
              <w:rPr>
                <w:rFonts w:hint="eastAsia"/>
                <w:b/>
                <w:bCs/>
                <w:color w:val="000000"/>
              </w:rPr>
              <w:t xml:space="preserve"> </w:t>
            </w:r>
            <w:r>
              <w:rPr>
                <w:b/>
                <w:bCs/>
                <w:color w:val="000000"/>
              </w:rPr>
              <w:t>mg (n=11)</w:t>
            </w:r>
          </w:p>
        </w:tc>
        <w:tc>
          <w:tcPr>
            <w:tcW w:w="2409" w:type="dxa"/>
            <w:gridSpan w:val="2"/>
            <w:tcBorders>
              <w:top w:val="single" w:sz="6" w:space="0" w:color="000000"/>
              <w:left w:val="nil"/>
              <w:bottom w:val="nil"/>
              <w:right w:val="nil"/>
              <w:tl2br w:val="nil"/>
              <w:tr2bl w:val="nil"/>
            </w:tcBorders>
            <w:shd w:val="clear" w:color="auto" w:fill="FFFFFF"/>
          </w:tcPr>
          <w:p w14:paraId="7677126D" w14:textId="77777777" w:rsidR="00AD119C" w:rsidRDefault="004036ED">
            <w:pPr>
              <w:keepNext/>
              <w:pBdr>
                <w:bottom w:val="single" w:sz="6" w:space="0" w:color="auto"/>
              </w:pBdr>
              <w:adjustRightInd w:val="0"/>
              <w:jc w:val="left"/>
              <w:rPr>
                <w:b/>
                <w:color w:val="000000"/>
              </w:rPr>
            </w:pPr>
            <w:r>
              <w:rPr>
                <w:rFonts w:hint="eastAsia"/>
                <w:b/>
                <w:color w:val="000000"/>
              </w:rPr>
              <w:t>Total</w:t>
            </w:r>
            <w:r>
              <w:rPr>
                <w:b/>
                <w:color w:val="000000"/>
              </w:rPr>
              <w:t xml:space="preserve"> </w:t>
            </w:r>
          </w:p>
          <w:p w14:paraId="510AE019" w14:textId="77777777" w:rsidR="00AD119C" w:rsidRDefault="004036ED">
            <w:pPr>
              <w:keepNext/>
              <w:pBdr>
                <w:bottom w:val="single" w:sz="6" w:space="0" w:color="auto"/>
              </w:pBdr>
              <w:adjustRightInd w:val="0"/>
              <w:jc w:val="left"/>
              <w:rPr>
                <w:b/>
                <w:color w:val="000000"/>
              </w:rPr>
            </w:pPr>
            <w:r>
              <w:rPr>
                <w:b/>
                <w:color w:val="000000"/>
              </w:rPr>
              <w:t>(n=11)</w:t>
            </w:r>
          </w:p>
        </w:tc>
      </w:tr>
      <w:tr w:rsidR="00AD119C" w14:paraId="79AA6B78" w14:textId="77777777">
        <w:trPr>
          <w:cantSplit/>
          <w:tblHeader/>
        </w:trPr>
        <w:tc>
          <w:tcPr>
            <w:tcW w:w="5529" w:type="dxa"/>
            <w:vMerge/>
            <w:tcBorders>
              <w:left w:val="nil"/>
              <w:bottom w:val="single" w:sz="6" w:space="0" w:color="000000"/>
              <w:right w:val="nil"/>
              <w:tl2br w:val="nil"/>
              <w:tr2bl w:val="nil"/>
            </w:tcBorders>
            <w:shd w:val="clear" w:color="auto" w:fill="FFFFFF"/>
          </w:tcPr>
          <w:p w14:paraId="32A82544" w14:textId="77777777" w:rsidR="00AD119C" w:rsidRDefault="00AD119C">
            <w:pPr>
              <w:keepNext/>
              <w:adjustRightInd w:val="0"/>
              <w:ind w:firstLineChars="100" w:firstLine="240"/>
              <w:rPr>
                <w:b/>
                <w:bCs/>
                <w:color w:val="000000"/>
              </w:rPr>
            </w:pPr>
          </w:p>
        </w:tc>
        <w:tc>
          <w:tcPr>
            <w:tcW w:w="1701" w:type="dxa"/>
            <w:tcBorders>
              <w:top w:val="nil"/>
              <w:left w:val="nil"/>
              <w:bottom w:val="single" w:sz="6" w:space="0" w:color="000000"/>
              <w:right w:val="nil"/>
              <w:tl2br w:val="nil"/>
              <w:tr2bl w:val="nil"/>
            </w:tcBorders>
            <w:shd w:val="clear" w:color="auto" w:fill="FFFFFF"/>
          </w:tcPr>
          <w:p w14:paraId="77AA6D4D" w14:textId="77777777" w:rsidR="00AD119C" w:rsidRDefault="004036ED">
            <w:pPr>
              <w:keepNext/>
              <w:adjustRightInd w:val="0"/>
              <w:rPr>
                <w:b/>
                <w:color w:val="000000"/>
              </w:rPr>
            </w:pPr>
            <w:r>
              <w:rPr>
                <w:b/>
                <w:color w:val="000000"/>
              </w:rPr>
              <w:t>Patients (%)</w:t>
            </w:r>
          </w:p>
        </w:tc>
        <w:tc>
          <w:tcPr>
            <w:tcW w:w="992" w:type="dxa"/>
            <w:tcBorders>
              <w:top w:val="nil"/>
              <w:left w:val="nil"/>
              <w:bottom w:val="single" w:sz="6" w:space="0" w:color="000000"/>
              <w:right w:val="nil"/>
              <w:tl2br w:val="nil"/>
              <w:tr2bl w:val="nil"/>
            </w:tcBorders>
            <w:shd w:val="clear" w:color="auto" w:fill="FFFFFF"/>
          </w:tcPr>
          <w:p w14:paraId="60302DBD" w14:textId="77777777" w:rsidR="00AD119C" w:rsidRDefault="004036ED">
            <w:pPr>
              <w:keepNext/>
              <w:adjustRightInd w:val="0"/>
              <w:rPr>
                <w:b/>
                <w:color w:val="000000"/>
              </w:rPr>
            </w:pPr>
            <w:r>
              <w:rPr>
                <w:b/>
                <w:color w:val="000000"/>
              </w:rPr>
              <w:t>Events</w:t>
            </w:r>
          </w:p>
        </w:tc>
        <w:tc>
          <w:tcPr>
            <w:tcW w:w="1704" w:type="dxa"/>
            <w:tcBorders>
              <w:top w:val="nil"/>
              <w:left w:val="nil"/>
              <w:bottom w:val="single" w:sz="6" w:space="0" w:color="000000"/>
              <w:right w:val="nil"/>
              <w:tl2br w:val="nil"/>
              <w:tr2bl w:val="nil"/>
            </w:tcBorders>
            <w:shd w:val="clear" w:color="auto" w:fill="FFFFFF"/>
          </w:tcPr>
          <w:p w14:paraId="335794C9" w14:textId="77777777" w:rsidR="00AD119C" w:rsidRDefault="004036ED">
            <w:pPr>
              <w:keepNext/>
              <w:adjustRightInd w:val="0"/>
              <w:rPr>
                <w:b/>
                <w:color w:val="000000"/>
              </w:rPr>
            </w:pPr>
            <w:r>
              <w:rPr>
                <w:b/>
                <w:color w:val="000000"/>
              </w:rPr>
              <w:t>Patients (%)</w:t>
            </w:r>
          </w:p>
        </w:tc>
        <w:tc>
          <w:tcPr>
            <w:tcW w:w="993" w:type="dxa"/>
            <w:tcBorders>
              <w:top w:val="nil"/>
              <w:left w:val="nil"/>
              <w:bottom w:val="single" w:sz="6" w:space="0" w:color="000000"/>
              <w:right w:val="nil"/>
              <w:tl2br w:val="nil"/>
              <w:tr2bl w:val="nil"/>
            </w:tcBorders>
            <w:shd w:val="clear" w:color="auto" w:fill="FFFFFF"/>
          </w:tcPr>
          <w:p w14:paraId="41F3B6CA" w14:textId="77777777" w:rsidR="00AD119C" w:rsidRDefault="004036ED">
            <w:pPr>
              <w:keepNext/>
              <w:adjustRightInd w:val="0"/>
              <w:rPr>
                <w:b/>
                <w:color w:val="000000"/>
              </w:rPr>
            </w:pPr>
            <w:r>
              <w:rPr>
                <w:b/>
                <w:color w:val="000000"/>
              </w:rPr>
              <w:t>Events</w:t>
            </w:r>
          </w:p>
        </w:tc>
        <w:tc>
          <w:tcPr>
            <w:tcW w:w="1417" w:type="dxa"/>
            <w:tcBorders>
              <w:top w:val="nil"/>
              <w:left w:val="nil"/>
              <w:bottom w:val="single" w:sz="6" w:space="0" w:color="000000"/>
              <w:right w:val="nil"/>
              <w:tl2br w:val="nil"/>
              <w:tr2bl w:val="nil"/>
            </w:tcBorders>
            <w:shd w:val="clear" w:color="auto" w:fill="FFFFFF"/>
          </w:tcPr>
          <w:p w14:paraId="3DB84012" w14:textId="77777777" w:rsidR="00AD119C" w:rsidRDefault="004036ED">
            <w:pPr>
              <w:keepNext/>
              <w:adjustRightInd w:val="0"/>
              <w:rPr>
                <w:b/>
                <w:color w:val="000000"/>
              </w:rPr>
            </w:pPr>
            <w:r>
              <w:rPr>
                <w:b/>
                <w:color w:val="000000"/>
              </w:rPr>
              <w:t>Patients (%)</w:t>
            </w:r>
          </w:p>
        </w:tc>
        <w:tc>
          <w:tcPr>
            <w:tcW w:w="992" w:type="dxa"/>
            <w:tcBorders>
              <w:top w:val="nil"/>
              <w:left w:val="nil"/>
              <w:bottom w:val="single" w:sz="6" w:space="0" w:color="000000"/>
              <w:right w:val="nil"/>
              <w:tl2br w:val="nil"/>
              <w:tr2bl w:val="nil"/>
            </w:tcBorders>
            <w:shd w:val="clear" w:color="auto" w:fill="FFFFFF"/>
          </w:tcPr>
          <w:p w14:paraId="607EC076" w14:textId="77777777" w:rsidR="00AD119C" w:rsidRDefault="004036ED">
            <w:pPr>
              <w:keepNext/>
              <w:adjustRightInd w:val="0"/>
              <w:rPr>
                <w:b/>
                <w:color w:val="000000"/>
              </w:rPr>
            </w:pPr>
            <w:r>
              <w:rPr>
                <w:b/>
                <w:color w:val="000000"/>
              </w:rPr>
              <w:t>Events</w:t>
            </w:r>
          </w:p>
        </w:tc>
      </w:tr>
      <w:tr w:rsidR="00AD119C" w14:paraId="6FF238C1" w14:textId="77777777">
        <w:trPr>
          <w:cantSplit/>
        </w:trPr>
        <w:tc>
          <w:tcPr>
            <w:tcW w:w="5529" w:type="dxa"/>
            <w:tcBorders>
              <w:top w:val="nil"/>
              <w:left w:val="nil"/>
              <w:bottom w:val="nil"/>
              <w:right w:val="nil"/>
              <w:tl2br w:val="nil"/>
              <w:tr2bl w:val="nil"/>
            </w:tcBorders>
            <w:shd w:val="clear" w:color="auto" w:fill="FFFFFF"/>
          </w:tcPr>
          <w:p w14:paraId="19E9DD6C" w14:textId="77777777" w:rsidR="00AD119C" w:rsidRDefault="004036ED">
            <w:pPr>
              <w:adjustRightInd w:val="0"/>
              <w:rPr>
                <w:b/>
                <w:bCs/>
                <w:color w:val="000000"/>
              </w:rPr>
            </w:pPr>
            <w:r>
              <w:rPr>
                <w:b/>
                <w:bCs/>
                <w:color w:val="000000"/>
              </w:rPr>
              <w:t>Patients with ≥1 TRAE</w:t>
            </w:r>
          </w:p>
        </w:tc>
        <w:tc>
          <w:tcPr>
            <w:tcW w:w="1701" w:type="dxa"/>
            <w:tcBorders>
              <w:top w:val="nil"/>
              <w:left w:val="nil"/>
              <w:bottom w:val="nil"/>
              <w:right w:val="nil"/>
              <w:tl2br w:val="nil"/>
              <w:tr2bl w:val="nil"/>
            </w:tcBorders>
            <w:shd w:val="clear" w:color="auto" w:fill="FFFFFF"/>
          </w:tcPr>
          <w:p w14:paraId="3BE03168" w14:textId="77777777" w:rsidR="00AD119C" w:rsidRDefault="004036ED">
            <w:pPr>
              <w:adjustRightInd w:val="0"/>
              <w:rPr>
                <w:color w:val="000000"/>
              </w:rPr>
            </w:pPr>
            <w:r>
              <w:rPr>
                <w:color w:val="000000"/>
              </w:rPr>
              <w:t>1 (33.3)</w:t>
            </w:r>
          </w:p>
        </w:tc>
        <w:tc>
          <w:tcPr>
            <w:tcW w:w="992" w:type="dxa"/>
            <w:tcBorders>
              <w:top w:val="nil"/>
              <w:left w:val="nil"/>
              <w:bottom w:val="nil"/>
              <w:right w:val="nil"/>
              <w:tl2br w:val="nil"/>
              <w:tr2bl w:val="nil"/>
            </w:tcBorders>
            <w:shd w:val="clear" w:color="auto" w:fill="FFFFFF"/>
          </w:tcPr>
          <w:p w14:paraId="22D42CF6" w14:textId="77777777" w:rsidR="00AD119C" w:rsidRDefault="004036ED">
            <w:pPr>
              <w:adjustRightInd w:val="0"/>
              <w:rPr>
                <w:color w:val="000000"/>
              </w:rPr>
            </w:pPr>
            <w:r>
              <w:rPr>
                <w:color w:val="000000"/>
              </w:rPr>
              <w:t>2</w:t>
            </w:r>
          </w:p>
        </w:tc>
        <w:tc>
          <w:tcPr>
            <w:tcW w:w="1704" w:type="dxa"/>
            <w:tcBorders>
              <w:top w:val="nil"/>
              <w:left w:val="nil"/>
              <w:bottom w:val="nil"/>
              <w:right w:val="nil"/>
              <w:tl2br w:val="nil"/>
              <w:tr2bl w:val="nil"/>
            </w:tcBorders>
            <w:shd w:val="clear" w:color="auto" w:fill="FFFFFF"/>
          </w:tcPr>
          <w:p w14:paraId="40CDAC77" w14:textId="77777777" w:rsidR="00AD119C" w:rsidRDefault="004036ED">
            <w:pPr>
              <w:adjustRightInd w:val="0"/>
              <w:rPr>
                <w:color w:val="000000"/>
              </w:rPr>
            </w:pPr>
            <w:r>
              <w:rPr>
                <w:color w:val="000000"/>
              </w:rPr>
              <w:t>10 (90.9)</w:t>
            </w:r>
          </w:p>
        </w:tc>
        <w:tc>
          <w:tcPr>
            <w:tcW w:w="993" w:type="dxa"/>
            <w:tcBorders>
              <w:top w:val="nil"/>
              <w:left w:val="nil"/>
              <w:bottom w:val="nil"/>
              <w:right w:val="nil"/>
              <w:tl2br w:val="nil"/>
              <w:tr2bl w:val="nil"/>
            </w:tcBorders>
            <w:shd w:val="clear" w:color="auto" w:fill="FFFFFF"/>
          </w:tcPr>
          <w:p w14:paraId="2D5E1591" w14:textId="77777777" w:rsidR="00AD119C" w:rsidRDefault="004036ED">
            <w:pPr>
              <w:adjustRightInd w:val="0"/>
              <w:rPr>
                <w:color w:val="000000"/>
              </w:rPr>
            </w:pPr>
            <w:r>
              <w:rPr>
                <w:color w:val="000000"/>
              </w:rPr>
              <w:t>60</w:t>
            </w:r>
          </w:p>
        </w:tc>
        <w:tc>
          <w:tcPr>
            <w:tcW w:w="1417" w:type="dxa"/>
            <w:tcBorders>
              <w:top w:val="nil"/>
              <w:left w:val="nil"/>
              <w:bottom w:val="nil"/>
              <w:right w:val="nil"/>
              <w:tl2br w:val="nil"/>
              <w:tr2bl w:val="nil"/>
            </w:tcBorders>
            <w:shd w:val="clear" w:color="auto" w:fill="FFFFFF"/>
          </w:tcPr>
          <w:p w14:paraId="0D6E2855" w14:textId="77777777" w:rsidR="00AD119C" w:rsidRDefault="004036ED">
            <w:pPr>
              <w:adjustRightInd w:val="0"/>
              <w:rPr>
                <w:color w:val="000000"/>
              </w:rPr>
            </w:pPr>
            <w:r>
              <w:rPr>
                <w:color w:val="000000"/>
              </w:rPr>
              <w:t>10 (90.9)</w:t>
            </w:r>
          </w:p>
        </w:tc>
        <w:tc>
          <w:tcPr>
            <w:tcW w:w="992" w:type="dxa"/>
            <w:tcBorders>
              <w:top w:val="nil"/>
              <w:left w:val="nil"/>
              <w:bottom w:val="nil"/>
              <w:right w:val="nil"/>
              <w:tl2br w:val="nil"/>
              <w:tr2bl w:val="nil"/>
            </w:tcBorders>
            <w:shd w:val="clear" w:color="auto" w:fill="FFFFFF"/>
          </w:tcPr>
          <w:p w14:paraId="560DF163" w14:textId="77777777" w:rsidR="00AD119C" w:rsidRDefault="004036ED">
            <w:pPr>
              <w:adjustRightInd w:val="0"/>
              <w:rPr>
                <w:color w:val="000000"/>
              </w:rPr>
            </w:pPr>
            <w:r>
              <w:rPr>
                <w:color w:val="000000"/>
              </w:rPr>
              <w:t>62</w:t>
            </w:r>
          </w:p>
        </w:tc>
      </w:tr>
      <w:tr w:rsidR="00AD119C" w14:paraId="2AB658E6" w14:textId="77777777">
        <w:trPr>
          <w:cantSplit/>
        </w:trPr>
        <w:tc>
          <w:tcPr>
            <w:tcW w:w="5529" w:type="dxa"/>
            <w:tcBorders>
              <w:top w:val="nil"/>
              <w:left w:val="nil"/>
              <w:bottom w:val="nil"/>
              <w:right w:val="nil"/>
              <w:tl2br w:val="nil"/>
              <w:tr2bl w:val="nil"/>
            </w:tcBorders>
            <w:shd w:val="clear" w:color="auto" w:fill="FFFFFF"/>
          </w:tcPr>
          <w:p w14:paraId="3A78437E" w14:textId="77777777" w:rsidR="00AD119C" w:rsidRDefault="004036ED">
            <w:pPr>
              <w:pStyle w:val="Compact"/>
              <w:spacing w:line="480" w:lineRule="auto"/>
              <w:rPr>
                <w:b/>
                <w:bCs/>
                <w:color w:val="000000"/>
                <w:sz w:val="24"/>
                <w:lang w:val="en-US"/>
              </w:rPr>
            </w:pPr>
            <w:r>
              <w:rPr>
                <w:rFonts w:hint="eastAsia"/>
                <w:b/>
                <w:bCs/>
                <w:sz w:val="24"/>
                <w:lang w:val="en-US" w:eastAsia="zh-CN"/>
              </w:rPr>
              <w:t>I</w:t>
            </w:r>
            <w:r>
              <w:rPr>
                <w:b/>
                <w:bCs/>
                <w:sz w:val="24"/>
                <w:lang w:val="en-US"/>
              </w:rPr>
              <w:t>nvestigation</w:t>
            </w:r>
            <w:r>
              <w:rPr>
                <w:rFonts w:hint="eastAsia"/>
                <w:b/>
                <w:bCs/>
                <w:sz w:val="24"/>
                <w:lang w:val="en-US" w:eastAsia="zh-CN"/>
              </w:rPr>
              <w:t>s</w:t>
            </w:r>
          </w:p>
        </w:tc>
        <w:tc>
          <w:tcPr>
            <w:tcW w:w="1701" w:type="dxa"/>
            <w:tcBorders>
              <w:top w:val="nil"/>
              <w:left w:val="nil"/>
              <w:bottom w:val="nil"/>
              <w:right w:val="nil"/>
              <w:tl2br w:val="nil"/>
              <w:tr2bl w:val="nil"/>
            </w:tcBorders>
            <w:shd w:val="clear" w:color="auto" w:fill="FFFFFF"/>
          </w:tcPr>
          <w:p w14:paraId="32C20A85" w14:textId="77777777" w:rsidR="00AD119C" w:rsidRDefault="004036ED">
            <w:pPr>
              <w:adjustRightInd w:val="0"/>
              <w:rPr>
                <w:color w:val="000000"/>
              </w:rPr>
            </w:pPr>
            <w:r>
              <w:rPr>
                <w:color w:val="000000"/>
              </w:rPr>
              <w:t>1 (33.3)</w:t>
            </w:r>
          </w:p>
        </w:tc>
        <w:tc>
          <w:tcPr>
            <w:tcW w:w="992" w:type="dxa"/>
            <w:tcBorders>
              <w:top w:val="nil"/>
              <w:left w:val="nil"/>
              <w:bottom w:val="nil"/>
              <w:right w:val="nil"/>
              <w:tl2br w:val="nil"/>
              <w:tr2bl w:val="nil"/>
            </w:tcBorders>
            <w:shd w:val="clear" w:color="auto" w:fill="FFFFFF"/>
          </w:tcPr>
          <w:p w14:paraId="591A70AC" w14:textId="77777777" w:rsidR="00AD119C" w:rsidRDefault="004036ED">
            <w:pPr>
              <w:adjustRightInd w:val="0"/>
              <w:rPr>
                <w:color w:val="000000"/>
              </w:rPr>
            </w:pPr>
            <w:r>
              <w:rPr>
                <w:color w:val="000000"/>
              </w:rPr>
              <w:t>2</w:t>
            </w:r>
          </w:p>
        </w:tc>
        <w:tc>
          <w:tcPr>
            <w:tcW w:w="1704" w:type="dxa"/>
            <w:tcBorders>
              <w:top w:val="nil"/>
              <w:left w:val="nil"/>
              <w:bottom w:val="nil"/>
              <w:right w:val="nil"/>
              <w:tl2br w:val="nil"/>
              <w:tr2bl w:val="nil"/>
            </w:tcBorders>
            <w:shd w:val="clear" w:color="auto" w:fill="FFFFFF"/>
          </w:tcPr>
          <w:p w14:paraId="666166F3" w14:textId="77777777" w:rsidR="00AD119C" w:rsidRDefault="004036ED">
            <w:pPr>
              <w:adjustRightInd w:val="0"/>
              <w:rPr>
                <w:color w:val="000000"/>
              </w:rPr>
            </w:pPr>
            <w:r>
              <w:rPr>
                <w:color w:val="000000"/>
              </w:rPr>
              <w:t>7 (63.6)</w:t>
            </w:r>
          </w:p>
        </w:tc>
        <w:tc>
          <w:tcPr>
            <w:tcW w:w="993" w:type="dxa"/>
            <w:tcBorders>
              <w:top w:val="nil"/>
              <w:left w:val="nil"/>
              <w:bottom w:val="nil"/>
              <w:right w:val="nil"/>
              <w:tl2br w:val="nil"/>
              <w:tr2bl w:val="nil"/>
            </w:tcBorders>
            <w:shd w:val="clear" w:color="auto" w:fill="FFFFFF"/>
          </w:tcPr>
          <w:p w14:paraId="41B76AC5" w14:textId="77777777" w:rsidR="00AD119C" w:rsidRDefault="004036ED">
            <w:pPr>
              <w:adjustRightInd w:val="0"/>
              <w:rPr>
                <w:color w:val="000000"/>
              </w:rPr>
            </w:pPr>
            <w:r>
              <w:rPr>
                <w:color w:val="000000"/>
              </w:rPr>
              <w:t>30</w:t>
            </w:r>
          </w:p>
        </w:tc>
        <w:tc>
          <w:tcPr>
            <w:tcW w:w="1417" w:type="dxa"/>
            <w:tcBorders>
              <w:top w:val="nil"/>
              <w:left w:val="nil"/>
              <w:bottom w:val="nil"/>
              <w:right w:val="nil"/>
              <w:tl2br w:val="nil"/>
              <w:tr2bl w:val="nil"/>
            </w:tcBorders>
            <w:shd w:val="clear" w:color="auto" w:fill="FFFFFF"/>
          </w:tcPr>
          <w:p w14:paraId="3487D006" w14:textId="77777777" w:rsidR="00AD119C" w:rsidRDefault="004036ED">
            <w:pPr>
              <w:adjustRightInd w:val="0"/>
              <w:rPr>
                <w:color w:val="000000"/>
              </w:rPr>
            </w:pPr>
            <w:r>
              <w:rPr>
                <w:color w:val="000000"/>
              </w:rPr>
              <w:t>7 (63.6)</w:t>
            </w:r>
          </w:p>
        </w:tc>
        <w:tc>
          <w:tcPr>
            <w:tcW w:w="992" w:type="dxa"/>
            <w:tcBorders>
              <w:top w:val="nil"/>
              <w:left w:val="nil"/>
              <w:bottom w:val="nil"/>
              <w:right w:val="nil"/>
              <w:tl2br w:val="nil"/>
              <w:tr2bl w:val="nil"/>
            </w:tcBorders>
            <w:shd w:val="clear" w:color="auto" w:fill="FFFFFF"/>
          </w:tcPr>
          <w:p w14:paraId="59444275" w14:textId="77777777" w:rsidR="00AD119C" w:rsidRDefault="004036ED">
            <w:pPr>
              <w:adjustRightInd w:val="0"/>
              <w:rPr>
                <w:color w:val="000000"/>
              </w:rPr>
            </w:pPr>
            <w:r>
              <w:rPr>
                <w:color w:val="000000"/>
              </w:rPr>
              <w:t>32</w:t>
            </w:r>
          </w:p>
        </w:tc>
      </w:tr>
      <w:tr w:rsidR="00AD119C" w14:paraId="0A8EAD04" w14:textId="77777777">
        <w:trPr>
          <w:cantSplit/>
        </w:trPr>
        <w:tc>
          <w:tcPr>
            <w:tcW w:w="5529" w:type="dxa"/>
            <w:tcBorders>
              <w:top w:val="nil"/>
              <w:left w:val="nil"/>
              <w:bottom w:val="nil"/>
              <w:right w:val="nil"/>
              <w:tl2br w:val="nil"/>
              <w:tr2bl w:val="nil"/>
            </w:tcBorders>
            <w:shd w:val="clear" w:color="auto" w:fill="FFFFFF"/>
          </w:tcPr>
          <w:p w14:paraId="307D3397"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W</w:t>
            </w:r>
            <w:r>
              <w:rPr>
                <w:sz w:val="24"/>
                <w:lang w:val="en-US"/>
              </w:rPr>
              <w:t xml:space="preserve">hite blood cell count </w:t>
            </w:r>
            <w:r>
              <w:rPr>
                <w:rFonts w:hint="eastAsia"/>
                <w:sz w:val="24"/>
                <w:lang w:val="en-US" w:eastAsia="zh-CN"/>
              </w:rPr>
              <w:t>d</w:t>
            </w:r>
            <w:r>
              <w:rPr>
                <w:sz w:val="24"/>
                <w:lang w:val="en-US"/>
              </w:rPr>
              <w:t>ecreased (leukopenia)</w:t>
            </w:r>
          </w:p>
        </w:tc>
        <w:tc>
          <w:tcPr>
            <w:tcW w:w="1701" w:type="dxa"/>
            <w:tcBorders>
              <w:top w:val="nil"/>
              <w:left w:val="nil"/>
              <w:bottom w:val="nil"/>
              <w:right w:val="nil"/>
              <w:tl2br w:val="nil"/>
              <w:tr2bl w:val="nil"/>
            </w:tcBorders>
            <w:shd w:val="clear" w:color="auto" w:fill="FFFFFF"/>
          </w:tcPr>
          <w:p w14:paraId="4E30FEFF" w14:textId="77777777" w:rsidR="00AD119C" w:rsidRDefault="004036ED">
            <w:pPr>
              <w:adjustRightInd w:val="0"/>
              <w:rPr>
                <w:color w:val="000000"/>
              </w:rPr>
            </w:pPr>
            <w:r>
              <w:rPr>
                <w:color w:val="000000"/>
              </w:rPr>
              <w:t>1 (33.3)</w:t>
            </w:r>
          </w:p>
        </w:tc>
        <w:tc>
          <w:tcPr>
            <w:tcW w:w="992" w:type="dxa"/>
            <w:tcBorders>
              <w:top w:val="nil"/>
              <w:left w:val="nil"/>
              <w:bottom w:val="nil"/>
              <w:right w:val="nil"/>
              <w:tl2br w:val="nil"/>
              <w:tr2bl w:val="nil"/>
            </w:tcBorders>
            <w:shd w:val="clear" w:color="auto" w:fill="FFFFFF"/>
          </w:tcPr>
          <w:p w14:paraId="48B35FFE" w14:textId="77777777" w:rsidR="00AD119C" w:rsidRDefault="004036ED">
            <w:pPr>
              <w:adjustRightInd w:val="0"/>
              <w:rPr>
                <w:color w:val="000000"/>
              </w:rPr>
            </w:pPr>
            <w:r>
              <w:rPr>
                <w:color w:val="000000"/>
              </w:rPr>
              <w:t>1</w:t>
            </w:r>
          </w:p>
        </w:tc>
        <w:tc>
          <w:tcPr>
            <w:tcW w:w="1704" w:type="dxa"/>
            <w:tcBorders>
              <w:top w:val="nil"/>
              <w:left w:val="nil"/>
              <w:bottom w:val="nil"/>
              <w:right w:val="nil"/>
              <w:tl2br w:val="nil"/>
              <w:tr2bl w:val="nil"/>
            </w:tcBorders>
            <w:shd w:val="clear" w:color="auto" w:fill="FFFFFF"/>
          </w:tcPr>
          <w:p w14:paraId="24766792" w14:textId="77777777" w:rsidR="00AD119C" w:rsidRDefault="004036ED">
            <w:pPr>
              <w:adjustRightInd w:val="0"/>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6D700CC6" w14:textId="77777777" w:rsidR="00AD119C" w:rsidRDefault="004036ED">
            <w:pPr>
              <w:adjustRightInd w:val="0"/>
              <w:rPr>
                <w:color w:val="000000"/>
              </w:rPr>
            </w:pPr>
            <w:r>
              <w:rPr>
                <w:color w:val="000000"/>
              </w:rPr>
              <w:t>3</w:t>
            </w:r>
          </w:p>
        </w:tc>
        <w:tc>
          <w:tcPr>
            <w:tcW w:w="1417" w:type="dxa"/>
            <w:tcBorders>
              <w:top w:val="nil"/>
              <w:left w:val="nil"/>
              <w:bottom w:val="nil"/>
              <w:right w:val="nil"/>
              <w:tl2br w:val="nil"/>
              <w:tr2bl w:val="nil"/>
            </w:tcBorders>
            <w:shd w:val="clear" w:color="auto" w:fill="FFFFFF"/>
          </w:tcPr>
          <w:p w14:paraId="7EA705BB" w14:textId="77777777" w:rsidR="00AD119C" w:rsidRDefault="004036ED">
            <w:pPr>
              <w:adjustRightInd w:val="0"/>
              <w:rPr>
                <w:color w:val="000000"/>
              </w:rPr>
            </w:pPr>
            <w:r>
              <w:rPr>
                <w:color w:val="000000"/>
              </w:rPr>
              <w:t>3 (27.3)</w:t>
            </w:r>
          </w:p>
        </w:tc>
        <w:tc>
          <w:tcPr>
            <w:tcW w:w="992" w:type="dxa"/>
            <w:tcBorders>
              <w:top w:val="nil"/>
              <w:left w:val="nil"/>
              <w:bottom w:val="nil"/>
              <w:right w:val="nil"/>
              <w:tl2br w:val="nil"/>
              <w:tr2bl w:val="nil"/>
            </w:tcBorders>
            <w:shd w:val="clear" w:color="auto" w:fill="FFFFFF"/>
          </w:tcPr>
          <w:p w14:paraId="6893D63C" w14:textId="77777777" w:rsidR="00AD119C" w:rsidRDefault="004036ED">
            <w:pPr>
              <w:adjustRightInd w:val="0"/>
              <w:rPr>
                <w:color w:val="000000"/>
              </w:rPr>
            </w:pPr>
            <w:r>
              <w:rPr>
                <w:color w:val="000000"/>
              </w:rPr>
              <w:t>4</w:t>
            </w:r>
          </w:p>
        </w:tc>
      </w:tr>
      <w:tr w:rsidR="00AD119C" w14:paraId="456E32F4" w14:textId="77777777">
        <w:trPr>
          <w:cantSplit/>
        </w:trPr>
        <w:tc>
          <w:tcPr>
            <w:tcW w:w="5529" w:type="dxa"/>
            <w:tcBorders>
              <w:top w:val="nil"/>
              <w:left w:val="nil"/>
              <w:bottom w:val="nil"/>
              <w:right w:val="nil"/>
              <w:tl2br w:val="nil"/>
              <w:tr2bl w:val="nil"/>
            </w:tcBorders>
            <w:shd w:val="clear" w:color="auto" w:fill="FFFFFF"/>
          </w:tcPr>
          <w:p w14:paraId="1E90378A"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M</w:t>
            </w:r>
            <w:r>
              <w:rPr>
                <w:sz w:val="24"/>
                <w:lang w:val="en-US"/>
              </w:rPr>
              <w:t xml:space="preserve">onocyte count </w:t>
            </w:r>
            <w:r>
              <w:rPr>
                <w:rFonts w:hint="eastAsia"/>
                <w:sz w:val="24"/>
                <w:lang w:val="en-US" w:eastAsia="zh-CN"/>
              </w:rPr>
              <w:t>i</w:t>
            </w:r>
            <w:r>
              <w:rPr>
                <w:sz w:val="24"/>
                <w:lang w:val="en-US"/>
              </w:rPr>
              <w:t>ncreased (monocytosis)</w:t>
            </w:r>
          </w:p>
        </w:tc>
        <w:tc>
          <w:tcPr>
            <w:tcW w:w="1701" w:type="dxa"/>
            <w:tcBorders>
              <w:top w:val="nil"/>
              <w:left w:val="nil"/>
              <w:bottom w:val="nil"/>
              <w:right w:val="nil"/>
              <w:tl2br w:val="nil"/>
              <w:tr2bl w:val="nil"/>
            </w:tcBorders>
            <w:shd w:val="clear" w:color="auto" w:fill="FFFFFF"/>
          </w:tcPr>
          <w:p w14:paraId="1DAF6EBE"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6E383F0B"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7ED788E5" w14:textId="77777777" w:rsidR="00AD119C" w:rsidRDefault="004036ED">
            <w:pPr>
              <w:adjustRightInd w:val="0"/>
              <w:rPr>
                <w:color w:val="000000"/>
              </w:rPr>
            </w:pPr>
            <w:r>
              <w:rPr>
                <w:color w:val="000000"/>
              </w:rPr>
              <w:t>2 (18.2)</w:t>
            </w:r>
          </w:p>
        </w:tc>
        <w:tc>
          <w:tcPr>
            <w:tcW w:w="993" w:type="dxa"/>
            <w:tcBorders>
              <w:top w:val="nil"/>
              <w:left w:val="nil"/>
              <w:bottom w:val="nil"/>
              <w:right w:val="nil"/>
              <w:tl2br w:val="nil"/>
              <w:tr2bl w:val="nil"/>
            </w:tcBorders>
            <w:shd w:val="clear" w:color="auto" w:fill="FFFFFF"/>
          </w:tcPr>
          <w:p w14:paraId="2DABBBCB" w14:textId="77777777" w:rsidR="00AD119C" w:rsidRDefault="004036ED">
            <w:pPr>
              <w:adjustRightInd w:val="0"/>
              <w:rPr>
                <w:color w:val="000000"/>
              </w:rPr>
            </w:pPr>
            <w:r>
              <w:rPr>
                <w:color w:val="000000"/>
              </w:rPr>
              <w:t>2</w:t>
            </w:r>
          </w:p>
        </w:tc>
        <w:tc>
          <w:tcPr>
            <w:tcW w:w="1417" w:type="dxa"/>
            <w:tcBorders>
              <w:top w:val="nil"/>
              <w:left w:val="nil"/>
              <w:bottom w:val="nil"/>
              <w:right w:val="nil"/>
              <w:tl2br w:val="nil"/>
              <w:tr2bl w:val="nil"/>
            </w:tcBorders>
            <w:shd w:val="clear" w:color="auto" w:fill="FFFFFF"/>
          </w:tcPr>
          <w:p w14:paraId="3050254D"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0DB3CA8D" w14:textId="77777777" w:rsidR="00AD119C" w:rsidRDefault="004036ED">
            <w:pPr>
              <w:adjustRightInd w:val="0"/>
              <w:rPr>
                <w:color w:val="000000"/>
              </w:rPr>
            </w:pPr>
            <w:r>
              <w:rPr>
                <w:color w:val="000000"/>
              </w:rPr>
              <w:t>2</w:t>
            </w:r>
          </w:p>
        </w:tc>
      </w:tr>
      <w:tr w:rsidR="00AD119C" w14:paraId="12D9FFD9" w14:textId="77777777">
        <w:trPr>
          <w:cantSplit/>
        </w:trPr>
        <w:tc>
          <w:tcPr>
            <w:tcW w:w="5529" w:type="dxa"/>
            <w:tcBorders>
              <w:top w:val="nil"/>
              <w:left w:val="nil"/>
              <w:bottom w:val="nil"/>
              <w:right w:val="nil"/>
              <w:tl2br w:val="nil"/>
              <w:tr2bl w:val="nil"/>
            </w:tcBorders>
            <w:shd w:val="clear" w:color="auto" w:fill="FFFFFF"/>
          </w:tcPr>
          <w:p w14:paraId="2FA5892B"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 xml:space="preserve">Blood </w:t>
            </w:r>
            <w:r>
              <w:rPr>
                <w:sz w:val="24"/>
                <w:lang w:val="en-US"/>
              </w:rPr>
              <w:t xml:space="preserve">immunoglobulin M </w:t>
            </w:r>
            <w:r>
              <w:rPr>
                <w:rFonts w:hint="eastAsia"/>
                <w:sz w:val="24"/>
                <w:lang w:val="en-US" w:eastAsia="zh-CN"/>
              </w:rPr>
              <w:t>d</w:t>
            </w:r>
            <w:r>
              <w:rPr>
                <w:sz w:val="24"/>
                <w:lang w:val="en-US"/>
              </w:rPr>
              <w:t>ecreased</w:t>
            </w:r>
            <w:r>
              <w:rPr>
                <w:rFonts w:hint="eastAsia"/>
                <w:sz w:val="24"/>
                <w:lang w:val="en-US" w:eastAsia="zh-CN"/>
              </w:rPr>
              <w:t xml:space="preserve"> </w:t>
            </w:r>
            <w:r>
              <w:rPr>
                <w:sz w:val="24"/>
                <w:lang w:val="en-US"/>
              </w:rPr>
              <w:t>(IgM)</w:t>
            </w:r>
          </w:p>
        </w:tc>
        <w:tc>
          <w:tcPr>
            <w:tcW w:w="1701" w:type="dxa"/>
            <w:tcBorders>
              <w:top w:val="nil"/>
              <w:left w:val="nil"/>
              <w:bottom w:val="nil"/>
              <w:right w:val="nil"/>
              <w:tl2br w:val="nil"/>
              <w:tr2bl w:val="nil"/>
            </w:tcBorders>
            <w:shd w:val="clear" w:color="auto" w:fill="FFFFFF"/>
          </w:tcPr>
          <w:p w14:paraId="7C8BF7E1"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20B17AF6"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53C6EB89" w14:textId="77777777" w:rsidR="00AD119C" w:rsidRDefault="004036ED">
            <w:pPr>
              <w:adjustRightInd w:val="0"/>
              <w:rPr>
                <w:color w:val="000000"/>
              </w:rPr>
            </w:pPr>
            <w:r>
              <w:rPr>
                <w:color w:val="000000"/>
              </w:rPr>
              <w:t>2 (18.2)</w:t>
            </w:r>
          </w:p>
        </w:tc>
        <w:tc>
          <w:tcPr>
            <w:tcW w:w="993" w:type="dxa"/>
            <w:tcBorders>
              <w:top w:val="nil"/>
              <w:left w:val="nil"/>
              <w:bottom w:val="nil"/>
              <w:right w:val="nil"/>
              <w:tl2br w:val="nil"/>
              <w:tr2bl w:val="nil"/>
            </w:tcBorders>
            <w:shd w:val="clear" w:color="auto" w:fill="FFFFFF"/>
          </w:tcPr>
          <w:p w14:paraId="1146BB24" w14:textId="77777777" w:rsidR="00AD119C" w:rsidRDefault="004036ED">
            <w:pPr>
              <w:adjustRightInd w:val="0"/>
              <w:rPr>
                <w:color w:val="000000"/>
              </w:rPr>
            </w:pPr>
            <w:r>
              <w:rPr>
                <w:color w:val="000000"/>
              </w:rPr>
              <w:t>2</w:t>
            </w:r>
          </w:p>
        </w:tc>
        <w:tc>
          <w:tcPr>
            <w:tcW w:w="1417" w:type="dxa"/>
            <w:tcBorders>
              <w:top w:val="nil"/>
              <w:left w:val="nil"/>
              <w:bottom w:val="nil"/>
              <w:right w:val="nil"/>
              <w:tl2br w:val="nil"/>
              <w:tr2bl w:val="nil"/>
            </w:tcBorders>
            <w:shd w:val="clear" w:color="auto" w:fill="FFFFFF"/>
          </w:tcPr>
          <w:p w14:paraId="61861BC8"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70E4C156" w14:textId="77777777" w:rsidR="00AD119C" w:rsidRDefault="004036ED">
            <w:pPr>
              <w:adjustRightInd w:val="0"/>
              <w:rPr>
                <w:color w:val="000000"/>
              </w:rPr>
            </w:pPr>
            <w:r>
              <w:rPr>
                <w:color w:val="000000"/>
              </w:rPr>
              <w:t>2</w:t>
            </w:r>
          </w:p>
        </w:tc>
      </w:tr>
      <w:tr w:rsidR="00AD119C" w14:paraId="3966629B" w14:textId="77777777">
        <w:trPr>
          <w:cantSplit/>
        </w:trPr>
        <w:tc>
          <w:tcPr>
            <w:tcW w:w="5529" w:type="dxa"/>
            <w:tcBorders>
              <w:top w:val="nil"/>
              <w:left w:val="nil"/>
              <w:bottom w:val="nil"/>
              <w:right w:val="nil"/>
              <w:tl2br w:val="nil"/>
              <w:tr2bl w:val="nil"/>
            </w:tcBorders>
            <w:shd w:val="clear" w:color="auto" w:fill="FFFFFF"/>
          </w:tcPr>
          <w:p w14:paraId="5038E832"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 xml:space="preserve">Blood </w:t>
            </w:r>
            <w:r>
              <w:rPr>
                <w:sz w:val="24"/>
                <w:lang w:val="en-US"/>
              </w:rPr>
              <w:t xml:space="preserve">lactate dehydrogenase </w:t>
            </w:r>
            <w:r>
              <w:rPr>
                <w:rFonts w:hint="eastAsia"/>
                <w:sz w:val="24"/>
                <w:lang w:val="en-US" w:eastAsia="zh-CN"/>
              </w:rPr>
              <w:t>i</w:t>
            </w:r>
            <w:r>
              <w:rPr>
                <w:sz w:val="24"/>
                <w:lang w:val="en-US"/>
              </w:rPr>
              <w:t>ncreased (LDH)</w:t>
            </w:r>
          </w:p>
        </w:tc>
        <w:tc>
          <w:tcPr>
            <w:tcW w:w="1701" w:type="dxa"/>
            <w:tcBorders>
              <w:top w:val="nil"/>
              <w:left w:val="nil"/>
              <w:bottom w:val="nil"/>
              <w:right w:val="nil"/>
              <w:tl2br w:val="nil"/>
              <w:tr2bl w:val="nil"/>
            </w:tcBorders>
            <w:shd w:val="clear" w:color="auto" w:fill="FFFFFF"/>
          </w:tcPr>
          <w:p w14:paraId="3230A121"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0EA23619"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00021F06" w14:textId="77777777" w:rsidR="00AD119C" w:rsidRDefault="004036ED">
            <w:pPr>
              <w:adjustRightInd w:val="0"/>
              <w:rPr>
                <w:color w:val="000000"/>
              </w:rPr>
            </w:pPr>
            <w:r>
              <w:rPr>
                <w:color w:val="000000"/>
              </w:rPr>
              <w:t>2 (18.2)</w:t>
            </w:r>
          </w:p>
        </w:tc>
        <w:tc>
          <w:tcPr>
            <w:tcW w:w="993" w:type="dxa"/>
            <w:tcBorders>
              <w:top w:val="nil"/>
              <w:left w:val="nil"/>
              <w:bottom w:val="nil"/>
              <w:right w:val="nil"/>
              <w:tl2br w:val="nil"/>
              <w:tr2bl w:val="nil"/>
            </w:tcBorders>
            <w:shd w:val="clear" w:color="auto" w:fill="FFFFFF"/>
          </w:tcPr>
          <w:p w14:paraId="6C6CD6A9" w14:textId="77777777" w:rsidR="00AD119C" w:rsidRDefault="004036ED">
            <w:pPr>
              <w:adjustRightInd w:val="0"/>
              <w:rPr>
                <w:color w:val="000000"/>
              </w:rPr>
            </w:pPr>
            <w:r>
              <w:rPr>
                <w:color w:val="000000"/>
              </w:rPr>
              <w:t>3</w:t>
            </w:r>
          </w:p>
        </w:tc>
        <w:tc>
          <w:tcPr>
            <w:tcW w:w="1417" w:type="dxa"/>
            <w:tcBorders>
              <w:top w:val="nil"/>
              <w:left w:val="nil"/>
              <w:bottom w:val="nil"/>
              <w:right w:val="nil"/>
              <w:tl2br w:val="nil"/>
              <w:tr2bl w:val="nil"/>
            </w:tcBorders>
            <w:shd w:val="clear" w:color="auto" w:fill="FFFFFF"/>
          </w:tcPr>
          <w:p w14:paraId="2673F50D"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498CCB77" w14:textId="77777777" w:rsidR="00AD119C" w:rsidRDefault="004036ED">
            <w:pPr>
              <w:adjustRightInd w:val="0"/>
              <w:rPr>
                <w:color w:val="000000"/>
              </w:rPr>
            </w:pPr>
            <w:r>
              <w:rPr>
                <w:color w:val="000000"/>
              </w:rPr>
              <w:t>3</w:t>
            </w:r>
          </w:p>
        </w:tc>
      </w:tr>
      <w:tr w:rsidR="00AD119C" w14:paraId="5711D6C0" w14:textId="77777777">
        <w:trPr>
          <w:cantSplit/>
        </w:trPr>
        <w:tc>
          <w:tcPr>
            <w:tcW w:w="5529" w:type="dxa"/>
            <w:tcBorders>
              <w:top w:val="nil"/>
              <w:left w:val="nil"/>
              <w:bottom w:val="nil"/>
              <w:right w:val="nil"/>
              <w:tl2br w:val="nil"/>
              <w:tr2bl w:val="nil"/>
            </w:tcBorders>
            <w:shd w:val="clear" w:color="auto" w:fill="FFFFFF"/>
          </w:tcPr>
          <w:p w14:paraId="27E1AE00"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P</w:t>
            </w:r>
            <w:r>
              <w:rPr>
                <w:sz w:val="24"/>
                <w:lang w:val="en-US"/>
              </w:rPr>
              <w:t xml:space="preserve">latelet count </w:t>
            </w:r>
            <w:r>
              <w:rPr>
                <w:rFonts w:hint="eastAsia"/>
                <w:sz w:val="24"/>
                <w:lang w:val="en-US" w:eastAsia="zh-CN"/>
              </w:rPr>
              <w:t>i</w:t>
            </w:r>
            <w:r>
              <w:rPr>
                <w:sz w:val="24"/>
                <w:lang w:val="en-US"/>
              </w:rPr>
              <w:t>ncreased (thrombocytosis)</w:t>
            </w:r>
          </w:p>
        </w:tc>
        <w:tc>
          <w:tcPr>
            <w:tcW w:w="1701" w:type="dxa"/>
            <w:tcBorders>
              <w:top w:val="nil"/>
              <w:left w:val="nil"/>
              <w:bottom w:val="nil"/>
              <w:right w:val="nil"/>
              <w:tl2br w:val="nil"/>
              <w:tr2bl w:val="nil"/>
            </w:tcBorders>
            <w:shd w:val="clear" w:color="auto" w:fill="FFFFFF"/>
          </w:tcPr>
          <w:p w14:paraId="17DCF9BD"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136582EE"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385CB1F0" w14:textId="77777777" w:rsidR="00AD119C" w:rsidRDefault="004036ED">
            <w:pPr>
              <w:adjustRightInd w:val="0"/>
              <w:rPr>
                <w:color w:val="000000"/>
              </w:rPr>
            </w:pPr>
            <w:r>
              <w:rPr>
                <w:color w:val="000000"/>
              </w:rPr>
              <w:t>2 (18.2)</w:t>
            </w:r>
          </w:p>
        </w:tc>
        <w:tc>
          <w:tcPr>
            <w:tcW w:w="993" w:type="dxa"/>
            <w:tcBorders>
              <w:top w:val="nil"/>
              <w:left w:val="nil"/>
              <w:bottom w:val="nil"/>
              <w:right w:val="nil"/>
              <w:tl2br w:val="nil"/>
              <w:tr2bl w:val="nil"/>
            </w:tcBorders>
            <w:shd w:val="clear" w:color="auto" w:fill="FFFFFF"/>
          </w:tcPr>
          <w:p w14:paraId="572316FB" w14:textId="77777777" w:rsidR="00AD119C" w:rsidRDefault="004036ED">
            <w:pPr>
              <w:adjustRightInd w:val="0"/>
              <w:rPr>
                <w:color w:val="000000"/>
              </w:rPr>
            </w:pPr>
            <w:r>
              <w:rPr>
                <w:color w:val="000000"/>
              </w:rPr>
              <w:t>3</w:t>
            </w:r>
          </w:p>
        </w:tc>
        <w:tc>
          <w:tcPr>
            <w:tcW w:w="1417" w:type="dxa"/>
            <w:tcBorders>
              <w:top w:val="nil"/>
              <w:left w:val="nil"/>
              <w:bottom w:val="nil"/>
              <w:right w:val="nil"/>
              <w:tl2br w:val="nil"/>
              <w:tr2bl w:val="nil"/>
            </w:tcBorders>
            <w:shd w:val="clear" w:color="auto" w:fill="FFFFFF"/>
          </w:tcPr>
          <w:p w14:paraId="7835905E"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39F069A6" w14:textId="77777777" w:rsidR="00AD119C" w:rsidRDefault="004036ED">
            <w:pPr>
              <w:adjustRightInd w:val="0"/>
              <w:rPr>
                <w:color w:val="000000"/>
              </w:rPr>
            </w:pPr>
            <w:r>
              <w:rPr>
                <w:color w:val="000000"/>
              </w:rPr>
              <w:t>3</w:t>
            </w:r>
          </w:p>
        </w:tc>
      </w:tr>
      <w:tr w:rsidR="00AD119C" w14:paraId="07577CFE" w14:textId="77777777">
        <w:trPr>
          <w:cantSplit/>
        </w:trPr>
        <w:tc>
          <w:tcPr>
            <w:tcW w:w="5529" w:type="dxa"/>
            <w:tcBorders>
              <w:top w:val="nil"/>
              <w:left w:val="nil"/>
              <w:bottom w:val="nil"/>
              <w:right w:val="nil"/>
              <w:tl2br w:val="nil"/>
              <w:tr2bl w:val="nil"/>
            </w:tcBorders>
            <w:shd w:val="clear" w:color="auto" w:fill="FFFFFF"/>
          </w:tcPr>
          <w:p w14:paraId="62686E99"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N</w:t>
            </w:r>
            <w:r>
              <w:rPr>
                <w:sz w:val="24"/>
                <w:lang w:val="en-US"/>
              </w:rPr>
              <w:t xml:space="preserve">eutrophil count </w:t>
            </w:r>
            <w:r>
              <w:rPr>
                <w:rFonts w:hint="eastAsia"/>
                <w:sz w:val="24"/>
                <w:lang w:val="en-US" w:eastAsia="zh-CN"/>
              </w:rPr>
              <w:t>d</w:t>
            </w:r>
            <w:r>
              <w:rPr>
                <w:sz w:val="24"/>
                <w:lang w:val="en-US"/>
              </w:rPr>
              <w:t>ecreased (neutropenia)</w:t>
            </w:r>
          </w:p>
        </w:tc>
        <w:tc>
          <w:tcPr>
            <w:tcW w:w="1701" w:type="dxa"/>
            <w:tcBorders>
              <w:top w:val="nil"/>
              <w:left w:val="nil"/>
              <w:bottom w:val="nil"/>
              <w:right w:val="nil"/>
              <w:tl2br w:val="nil"/>
              <w:tr2bl w:val="nil"/>
            </w:tcBorders>
            <w:shd w:val="clear" w:color="auto" w:fill="FFFFFF"/>
          </w:tcPr>
          <w:p w14:paraId="5B67BE2B" w14:textId="77777777" w:rsidR="00AD119C" w:rsidRDefault="004036ED">
            <w:pPr>
              <w:adjustRightInd w:val="0"/>
              <w:rPr>
                <w:color w:val="000000"/>
              </w:rPr>
            </w:pPr>
            <w:r>
              <w:rPr>
                <w:color w:val="000000"/>
              </w:rPr>
              <w:t>1 (33.3)</w:t>
            </w:r>
          </w:p>
        </w:tc>
        <w:tc>
          <w:tcPr>
            <w:tcW w:w="992" w:type="dxa"/>
            <w:tcBorders>
              <w:top w:val="nil"/>
              <w:left w:val="nil"/>
              <w:bottom w:val="nil"/>
              <w:right w:val="nil"/>
              <w:tl2br w:val="nil"/>
              <w:tr2bl w:val="nil"/>
            </w:tcBorders>
            <w:shd w:val="clear" w:color="auto" w:fill="FFFFFF"/>
          </w:tcPr>
          <w:p w14:paraId="35F7689D" w14:textId="77777777" w:rsidR="00AD119C" w:rsidRDefault="004036ED">
            <w:pPr>
              <w:adjustRightInd w:val="0"/>
              <w:rPr>
                <w:color w:val="000000"/>
              </w:rPr>
            </w:pPr>
            <w:r>
              <w:rPr>
                <w:color w:val="000000"/>
              </w:rPr>
              <w:t>1</w:t>
            </w:r>
          </w:p>
        </w:tc>
        <w:tc>
          <w:tcPr>
            <w:tcW w:w="1704" w:type="dxa"/>
            <w:tcBorders>
              <w:top w:val="nil"/>
              <w:left w:val="nil"/>
              <w:bottom w:val="nil"/>
              <w:right w:val="nil"/>
              <w:tl2br w:val="nil"/>
              <w:tr2bl w:val="nil"/>
            </w:tcBorders>
            <w:shd w:val="clear" w:color="auto" w:fill="FFFFFF"/>
          </w:tcPr>
          <w:p w14:paraId="6F752593"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7C2F70BC" w14:textId="77777777" w:rsidR="00AD119C" w:rsidRDefault="004036ED">
            <w:pPr>
              <w:adjustRightInd w:val="0"/>
              <w:rPr>
                <w:color w:val="000000"/>
              </w:rPr>
            </w:pPr>
            <w:r>
              <w:rPr>
                <w:color w:val="000000"/>
              </w:rPr>
              <w:t>3</w:t>
            </w:r>
          </w:p>
        </w:tc>
        <w:tc>
          <w:tcPr>
            <w:tcW w:w="1417" w:type="dxa"/>
            <w:tcBorders>
              <w:top w:val="nil"/>
              <w:left w:val="nil"/>
              <w:bottom w:val="nil"/>
              <w:right w:val="nil"/>
              <w:tl2br w:val="nil"/>
              <w:tr2bl w:val="nil"/>
            </w:tcBorders>
            <w:shd w:val="clear" w:color="auto" w:fill="FFFFFF"/>
          </w:tcPr>
          <w:p w14:paraId="4304D1B6"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2AEDFEDF" w14:textId="77777777" w:rsidR="00AD119C" w:rsidRDefault="004036ED">
            <w:pPr>
              <w:adjustRightInd w:val="0"/>
              <w:rPr>
                <w:color w:val="000000"/>
              </w:rPr>
            </w:pPr>
            <w:r>
              <w:rPr>
                <w:color w:val="000000"/>
              </w:rPr>
              <w:t>4</w:t>
            </w:r>
          </w:p>
        </w:tc>
      </w:tr>
      <w:tr w:rsidR="00AD119C" w14:paraId="79E8F700" w14:textId="77777777">
        <w:trPr>
          <w:cantSplit/>
        </w:trPr>
        <w:tc>
          <w:tcPr>
            <w:tcW w:w="5529" w:type="dxa"/>
            <w:tcBorders>
              <w:top w:val="nil"/>
              <w:left w:val="nil"/>
              <w:bottom w:val="nil"/>
              <w:right w:val="nil"/>
              <w:tl2br w:val="nil"/>
              <w:tr2bl w:val="nil"/>
            </w:tcBorders>
            <w:shd w:val="clear" w:color="auto" w:fill="FFFFFF"/>
          </w:tcPr>
          <w:p w14:paraId="4262D6CB" w14:textId="77777777" w:rsidR="00AD119C" w:rsidRDefault="004036ED">
            <w:pPr>
              <w:pStyle w:val="Compact"/>
              <w:spacing w:line="480" w:lineRule="auto"/>
              <w:rPr>
                <w:color w:val="000000"/>
                <w:sz w:val="24"/>
                <w:lang w:val="en-US" w:eastAsia="zh-CN"/>
              </w:rPr>
            </w:pPr>
            <w:r>
              <w:rPr>
                <w:sz w:val="24"/>
                <w:lang w:val="en-US"/>
              </w:rPr>
              <w:t xml:space="preserve">   β</w:t>
            </w:r>
            <w:r>
              <w:rPr>
                <w:sz w:val="24"/>
                <w:vertAlign w:val="subscript"/>
                <w:lang w:val="en-US"/>
              </w:rPr>
              <w:t>2</w:t>
            </w:r>
            <w:r>
              <w:rPr>
                <w:sz w:val="24"/>
                <w:lang w:val="en-US"/>
              </w:rPr>
              <w:t>‑microglobulin</w:t>
            </w:r>
            <w:r>
              <w:rPr>
                <w:rFonts w:hint="eastAsia"/>
                <w:sz w:val="24"/>
                <w:lang w:val="en-US" w:eastAsia="zh-CN"/>
              </w:rPr>
              <w:t xml:space="preserve"> i</w:t>
            </w:r>
            <w:r>
              <w:rPr>
                <w:sz w:val="24"/>
                <w:lang w:val="en-US"/>
              </w:rPr>
              <w:t>ncreased</w:t>
            </w:r>
          </w:p>
        </w:tc>
        <w:tc>
          <w:tcPr>
            <w:tcW w:w="1701" w:type="dxa"/>
            <w:tcBorders>
              <w:top w:val="nil"/>
              <w:left w:val="nil"/>
              <w:bottom w:val="nil"/>
              <w:right w:val="nil"/>
              <w:tl2br w:val="nil"/>
              <w:tr2bl w:val="nil"/>
            </w:tcBorders>
            <w:shd w:val="clear" w:color="auto" w:fill="FFFFFF"/>
          </w:tcPr>
          <w:p w14:paraId="64D6FE43"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26E54C59"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45AEBD69"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5BA53F22"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6D73DAF5"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10A3E085" w14:textId="77777777" w:rsidR="00AD119C" w:rsidRDefault="004036ED">
            <w:pPr>
              <w:adjustRightInd w:val="0"/>
              <w:rPr>
                <w:color w:val="000000"/>
              </w:rPr>
            </w:pPr>
            <w:r>
              <w:rPr>
                <w:color w:val="000000"/>
              </w:rPr>
              <w:t>1</w:t>
            </w:r>
          </w:p>
        </w:tc>
      </w:tr>
      <w:tr w:rsidR="00AD119C" w14:paraId="71F9AD7E" w14:textId="77777777">
        <w:trPr>
          <w:cantSplit/>
        </w:trPr>
        <w:tc>
          <w:tcPr>
            <w:tcW w:w="5529" w:type="dxa"/>
            <w:tcBorders>
              <w:top w:val="nil"/>
              <w:left w:val="nil"/>
              <w:bottom w:val="nil"/>
              <w:right w:val="nil"/>
              <w:tl2br w:val="nil"/>
              <w:tr2bl w:val="nil"/>
            </w:tcBorders>
            <w:shd w:val="clear" w:color="auto" w:fill="FFFFFF"/>
          </w:tcPr>
          <w:p w14:paraId="7958AD0A" w14:textId="77777777" w:rsidR="00AD119C" w:rsidRDefault="004036ED">
            <w:pPr>
              <w:pStyle w:val="Compact"/>
              <w:spacing w:line="480" w:lineRule="auto"/>
              <w:rPr>
                <w:color w:val="000000"/>
                <w:sz w:val="24"/>
                <w:lang w:val="en-US" w:eastAsia="zh-CN"/>
              </w:rPr>
            </w:pPr>
            <w:r>
              <w:rPr>
                <w:sz w:val="24"/>
                <w:lang w:val="en-US"/>
              </w:rPr>
              <w:t xml:space="preserve">   β‑globulin</w:t>
            </w:r>
            <w:r>
              <w:rPr>
                <w:rFonts w:hint="eastAsia"/>
                <w:sz w:val="24"/>
                <w:lang w:val="en-US" w:eastAsia="zh-CN"/>
              </w:rPr>
              <w:t xml:space="preserve"> d</w:t>
            </w:r>
            <w:r>
              <w:rPr>
                <w:sz w:val="24"/>
                <w:lang w:val="en-US"/>
              </w:rPr>
              <w:t>ecreased</w:t>
            </w:r>
          </w:p>
        </w:tc>
        <w:tc>
          <w:tcPr>
            <w:tcW w:w="1701" w:type="dxa"/>
            <w:tcBorders>
              <w:top w:val="nil"/>
              <w:left w:val="nil"/>
              <w:bottom w:val="nil"/>
              <w:right w:val="nil"/>
              <w:tl2br w:val="nil"/>
              <w:tr2bl w:val="nil"/>
            </w:tcBorders>
            <w:shd w:val="clear" w:color="auto" w:fill="FFFFFF"/>
          </w:tcPr>
          <w:p w14:paraId="59F34427"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648A7F2E"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303E00F2"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55B719B5"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6C620DC4"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08B71051" w14:textId="77777777" w:rsidR="00AD119C" w:rsidRDefault="004036ED">
            <w:pPr>
              <w:adjustRightInd w:val="0"/>
              <w:rPr>
                <w:color w:val="000000"/>
              </w:rPr>
            </w:pPr>
            <w:r>
              <w:rPr>
                <w:color w:val="000000"/>
              </w:rPr>
              <w:t>1</w:t>
            </w:r>
          </w:p>
        </w:tc>
      </w:tr>
      <w:tr w:rsidR="00AD119C" w14:paraId="16472239" w14:textId="77777777">
        <w:trPr>
          <w:cantSplit/>
        </w:trPr>
        <w:tc>
          <w:tcPr>
            <w:tcW w:w="5529" w:type="dxa"/>
            <w:tcBorders>
              <w:top w:val="nil"/>
              <w:left w:val="nil"/>
              <w:bottom w:val="nil"/>
              <w:right w:val="nil"/>
              <w:tl2br w:val="nil"/>
              <w:tr2bl w:val="nil"/>
            </w:tcBorders>
            <w:shd w:val="clear" w:color="auto" w:fill="FFFFFF"/>
          </w:tcPr>
          <w:p w14:paraId="1281B236"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A</w:t>
            </w:r>
            <w:r>
              <w:rPr>
                <w:sz w:val="24"/>
                <w:lang w:val="en-US"/>
              </w:rPr>
              <w:t xml:space="preserve">lanine aminotransferase </w:t>
            </w:r>
            <w:r>
              <w:rPr>
                <w:rFonts w:hint="eastAsia"/>
                <w:sz w:val="24"/>
                <w:lang w:val="en-US" w:eastAsia="zh-CN"/>
              </w:rPr>
              <w:t>i</w:t>
            </w:r>
            <w:r>
              <w:rPr>
                <w:sz w:val="24"/>
                <w:lang w:val="en-US"/>
              </w:rPr>
              <w:t>ncreased</w:t>
            </w:r>
            <w:r>
              <w:rPr>
                <w:rFonts w:hint="eastAsia"/>
                <w:sz w:val="24"/>
                <w:lang w:val="en-US" w:eastAsia="zh-CN"/>
              </w:rPr>
              <w:t xml:space="preserve"> </w:t>
            </w:r>
            <w:r>
              <w:rPr>
                <w:sz w:val="24"/>
                <w:lang w:val="en-US"/>
              </w:rPr>
              <w:t>(ALT)</w:t>
            </w:r>
          </w:p>
        </w:tc>
        <w:tc>
          <w:tcPr>
            <w:tcW w:w="1701" w:type="dxa"/>
            <w:tcBorders>
              <w:top w:val="nil"/>
              <w:left w:val="nil"/>
              <w:bottom w:val="nil"/>
              <w:right w:val="nil"/>
              <w:tl2br w:val="nil"/>
              <w:tr2bl w:val="nil"/>
            </w:tcBorders>
            <w:shd w:val="clear" w:color="auto" w:fill="FFFFFF"/>
          </w:tcPr>
          <w:p w14:paraId="149E89C7"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211847B3"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3B835E8B"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39CEBD08" w14:textId="77777777" w:rsidR="00AD119C" w:rsidRDefault="004036ED">
            <w:pPr>
              <w:adjustRightInd w:val="0"/>
              <w:rPr>
                <w:color w:val="000000"/>
              </w:rPr>
            </w:pPr>
            <w:r>
              <w:rPr>
                <w:color w:val="000000"/>
              </w:rPr>
              <w:t>2</w:t>
            </w:r>
          </w:p>
        </w:tc>
        <w:tc>
          <w:tcPr>
            <w:tcW w:w="1417" w:type="dxa"/>
            <w:tcBorders>
              <w:top w:val="nil"/>
              <w:left w:val="nil"/>
              <w:bottom w:val="nil"/>
              <w:right w:val="nil"/>
              <w:tl2br w:val="nil"/>
              <w:tr2bl w:val="nil"/>
            </w:tcBorders>
            <w:shd w:val="clear" w:color="auto" w:fill="FFFFFF"/>
          </w:tcPr>
          <w:p w14:paraId="4B36C122"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0E9C1E68" w14:textId="77777777" w:rsidR="00AD119C" w:rsidRDefault="004036ED">
            <w:pPr>
              <w:adjustRightInd w:val="0"/>
              <w:rPr>
                <w:color w:val="000000"/>
              </w:rPr>
            </w:pPr>
            <w:r>
              <w:rPr>
                <w:color w:val="000000"/>
              </w:rPr>
              <w:t>2</w:t>
            </w:r>
          </w:p>
        </w:tc>
      </w:tr>
      <w:tr w:rsidR="00AD119C" w14:paraId="6AC18AB7" w14:textId="77777777">
        <w:trPr>
          <w:cantSplit/>
        </w:trPr>
        <w:tc>
          <w:tcPr>
            <w:tcW w:w="5529" w:type="dxa"/>
            <w:tcBorders>
              <w:top w:val="nil"/>
              <w:left w:val="nil"/>
              <w:bottom w:val="nil"/>
              <w:right w:val="nil"/>
              <w:tl2br w:val="nil"/>
              <w:tr2bl w:val="nil"/>
            </w:tcBorders>
            <w:shd w:val="clear" w:color="auto" w:fill="FFFFFF"/>
          </w:tcPr>
          <w:p w14:paraId="41F89F27" w14:textId="77777777" w:rsidR="00AD119C" w:rsidRDefault="004036ED">
            <w:pPr>
              <w:pStyle w:val="Compact"/>
              <w:spacing w:line="480" w:lineRule="auto"/>
              <w:rPr>
                <w:color w:val="000000"/>
                <w:sz w:val="24"/>
                <w:lang w:val="en-US"/>
              </w:rPr>
            </w:pPr>
            <w:r>
              <w:rPr>
                <w:sz w:val="24"/>
                <w:lang w:val="en-US"/>
              </w:rPr>
              <w:lastRenderedPageBreak/>
              <w:t xml:space="preserve">  </w:t>
            </w:r>
            <w:r>
              <w:rPr>
                <w:rFonts w:hint="eastAsia"/>
                <w:sz w:val="24"/>
                <w:lang w:val="en-US" w:eastAsia="zh-CN"/>
              </w:rPr>
              <w:t xml:space="preserve"> L</w:t>
            </w:r>
            <w:r>
              <w:rPr>
                <w:sz w:val="24"/>
                <w:lang w:val="en-US"/>
              </w:rPr>
              <w:t xml:space="preserve">ymphocyte count </w:t>
            </w:r>
            <w:r>
              <w:rPr>
                <w:rFonts w:hint="eastAsia"/>
                <w:sz w:val="24"/>
                <w:lang w:val="en-US" w:eastAsia="zh-CN"/>
              </w:rPr>
              <w:t>i</w:t>
            </w:r>
            <w:r>
              <w:rPr>
                <w:sz w:val="24"/>
                <w:lang w:val="en-US"/>
              </w:rPr>
              <w:t>ncreased (lymphocytosis)</w:t>
            </w:r>
          </w:p>
        </w:tc>
        <w:tc>
          <w:tcPr>
            <w:tcW w:w="1701" w:type="dxa"/>
            <w:tcBorders>
              <w:top w:val="nil"/>
              <w:left w:val="nil"/>
              <w:bottom w:val="nil"/>
              <w:right w:val="nil"/>
              <w:tl2br w:val="nil"/>
              <w:tr2bl w:val="nil"/>
            </w:tcBorders>
            <w:shd w:val="clear" w:color="auto" w:fill="FFFFFF"/>
          </w:tcPr>
          <w:p w14:paraId="79FE68B7"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3004349C"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2C630F87"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6F577320"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08E87E9A"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5A4D83AE" w14:textId="77777777" w:rsidR="00AD119C" w:rsidRDefault="004036ED">
            <w:pPr>
              <w:adjustRightInd w:val="0"/>
              <w:rPr>
                <w:color w:val="000000"/>
              </w:rPr>
            </w:pPr>
            <w:r>
              <w:rPr>
                <w:color w:val="000000"/>
              </w:rPr>
              <w:t>1</w:t>
            </w:r>
          </w:p>
        </w:tc>
      </w:tr>
      <w:tr w:rsidR="00AD119C" w14:paraId="4CFAAC9B" w14:textId="77777777">
        <w:trPr>
          <w:cantSplit/>
        </w:trPr>
        <w:tc>
          <w:tcPr>
            <w:tcW w:w="5529" w:type="dxa"/>
            <w:tcBorders>
              <w:top w:val="nil"/>
              <w:left w:val="nil"/>
              <w:bottom w:val="nil"/>
              <w:right w:val="nil"/>
              <w:tl2br w:val="nil"/>
              <w:tr2bl w:val="nil"/>
            </w:tcBorders>
            <w:shd w:val="clear" w:color="auto" w:fill="FFFFFF"/>
          </w:tcPr>
          <w:p w14:paraId="1DF38CE3"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I</w:t>
            </w:r>
            <w:r>
              <w:rPr>
                <w:sz w:val="24"/>
                <w:lang w:val="en-US"/>
              </w:rPr>
              <w:t xml:space="preserve">mmunoglobulin </w:t>
            </w:r>
            <w:r>
              <w:rPr>
                <w:rFonts w:hint="eastAsia"/>
                <w:sz w:val="24"/>
                <w:lang w:val="en-US" w:eastAsia="zh-CN"/>
              </w:rPr>
              <w:t>d</w:t>
            </w:r>
            <w:r>
              <w:rPr>
                <w:sz w:val="24"/>
                <w:lang w:val="en-US"/>
              </w:rPr>
              <w:t>ecreased</w:t>
            </w:r>
            <w:r>
              <w:rPr>
                <w:rFonts w:hint="eastAsia"/>
                <w:sz w:val="24"/>
                <w:lang w:val="en-US" w:eastAsia="zh-CN"/>
              </w:rPr>
              <w:t xml:space="preserve"> </w:t>
            </w:r>
            <w:r>
              <w:rPr>
                <w:sz w:val="24"/>
                <w:lang w:val="en-US"/>
              </w:rPr>
              <w:t>(hypogammaglobulinemia)</w:t>
            </w:r>
          </w:p>
        </w:tc>
        <w:tc>
          <w:tcPr>
            <w:tcW w:w="1701" w:type="dxa"/>
            <w:tcBorders>
              <w:top w:val="nil"/>
              <w:left w:val="nil"/>
              <w:bottom w:val="nil"/>
              <w:right w:val="nil"/>
              <w:tl2br w:val="nil"/>
              <w:tr2bl w:val="nil"/>
            </w:tcBorders>
            <w:shd w:val="clear" w:color="auto" w:fill="FFFFFF"/>
          </w:tcPr>
          <w:p w14:paraId="2370A45A"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335DD9E7"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327D3827"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08E003B7"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14FB4B44"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078323A2" w14:textId="77777777" w:rsidR="00AD119C" w:rsidRDefault="004036ED">
            <w:pPr>
              <w:adjustRightInd w:val="0"/>
              <w:rPr>
                <w:color w:val="000000"/>
              </w:rPr>
            </w:pPr>
            <w:r>
              <w:rPr>
                <w:color w:val="000000"/>
              </w:rPr>
              <w:t>1</w:t>
            </w:r>
          </w:p>
        </w:tc>
      </w:tr>
      <w:tr w:rsidR="00AD119C" w14:paraId="30AA9CFE" w14:textId="77777777">
        <w:trPr>
          <w:cantSplit/>
        </w:trPr>
        <w:tc>
          <w:tcPr>
            <w:tcW w:w="5529" w:type="dxa"/>
            <w:tcBorders>
              <w:top w:val="nil"/>
              <w:left w:val="nil"/>
              <w:bottom w:val="nil"/>
              <w:right w:val="nil"/>
              <w:tl2br w:val="nil"/>
              <w:tr2bl w:val="nil"/>
            </w:tcBorders>
            <w:shd w:val="clear" w:color="auto" w:fill="FFFFFF"/>
          </w:tcPr>
          <w:p w14:paraId="47BC9D56" w14:textId="77777777" w:rsidR="00AD119C" w:rsidRDefault="004036ED">
            <w:pPr>
              <w:pStyle w:val="Compact"/>
              <w:spacing w:line="480" w:lineRule="auto"/>
              <w:rPr>
                <w:color w:val="000000"/>
                <w:sz w:val="24"/>
                <w:lang w:val="en-US" w:eastAsia="zh-CN"/>
              </w:rPr>
            </w:pPr>
            <w:r>
              <w:rPr>
                <w:sz w:val="24"/>
                <w:lang w:val="en-US"/>
              </w:rPr>
              <w:t xml:space="preserve">   </w:t>
            </w:r>
            <w:r>
              <w:rPr>
                <w:rFonts w:hint="eastAsia"/>
                <w:sz w:val="24"/>
                <w:lang w:val="en-US" w:eastAsia="zh-CN"/>
              </w:rPr>
              <w:t>S</w:t>
            </w:r>
            <w:r>
              <w:rPr>
                <w:sz w:val="24"/>
                <w:lang w:val="en-US"/>
              </w:rPr>
              <w:t>pecific gravity</w:t>
            </w:r>
            <w:r>
              <w:rPr>
                <w:rFonts w:hint="eastAsia"/>
                <w:sz w:val="24"/>
                <w:lang w:val="en-US" w:eastAsia="zh-CN"/>
              </w:rPr>
              <w:t xml:space="preserve"> </w:t>
            </w:r>
            <w:r>
              <w:rPr>
                <w:sz w:val="24"/>
                <w:lang w:val="en-US"/>
              </w:rPr>
              <w:t xml:space="preserve">urine </w:t>
            </w:r>
            <w:r>
              <w:rPr>
                <w:rFonts w:hint="eastAsia"/>
                <w:sz w:val="24"/>
                <w:lang w:val="en-US" w:eastAsia="zh-CN"/>
              </w:rPr>
              <w:t>i</w:t>
            </w:r>
            <w:r>
              <w:rPr>
                <w:sz w:val="24"/>
                <w:lang w:val="en-US"/>
              </w:rPr>
              <w:t>ncreased</w:t>
            </w:r>
          </w:p>
        </w:tc>
        <w:tc>
          <w:tcPr>
            <w:tcW w:w="1701" w:type="dxa"/>
            <w:tcBorders>
              <w:top w:val="nil"/>
              <w:left w:val="nil"/>
              <w:bottom w:val="nil"/>
              <w:right w:val="nil"/>
              <w:tl2br w:val="nil"/>
              <w:tr2bl w:val="nil"/>
            </w:tcBorders>
            <w:shd w:val="clear" w:color="auto" w:fill="FFFFFF"/>
          </w:tcPr>
          <w:p w14:paraId="29ECBCB8"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7A109577"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6942E007"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459958AA"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26EB4FB8"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2C5E1724" w14:textId="77777777" w:rsidR="00AD119C" w:rsidRDefault="004036ED">
            <w:pPr>
              <w:adjustRightInd w:val="0"/>
              <w:rPr>
                <w:color w:val="000000"/>
              </w:rPr>
            </w:pPr>
            <w:r>
              <w:rPr>
                <w:color w:val="000000"/>
              </w:rPr>
              <w:t>1</w:t>
            </w:r>
          </w:p>
        </w:tc>
      </w:tr>
      <w:tr w:rsidR="00AD119C" w14:paraId="59C7A700" w14:textId="77777777">
        <w:trPr>
          <w:cantSplit/>
        </w:trPr>
        <w:tc>
          <w:tcPr>
            <w:tcW w:w="5529" w:type="dxa"/>
            <w:tcBorders>
              <w:top w:val="nil"/>
              <w:left w:val="nil"/>
              <w:bottom w:val="nil"/>
              <w:right w:val="nil"/>
              <w:tl2br w:val="nil"/>
              <w:tr2bl w:val="nil"/>
            </w:tcBorders>
            <w:shd w:val="clear" w:color="auto" w:fill="FFFFFF"/>
          </w:tcPr>
          <w:p w14:paraId="1C5578BE"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P</w:t>
            </w:r>
            <w:r>
              <w:rPr>
                <w:sz w:val="24"/>
                <w:lang w:val="en-US"/>
              </w:rPr>
              <w:t xml:space="preserve">rotein </w:t>
            </w:r>
            <w:r>
              <w:rPr>
                <w:rFonts w:hint="eastAsia"/>
                <w:sz w:val="24"/>
                <w:lang w:val="en-US" w:eastAsia="zh-CN"/>
              </w:rPr>
              <w:t>u</w:t>
            </w:r>
            <w:r>
              <w:rPr>
                <w:sz w:val="24"/>
                <w:lang w:val="en-US"/>
              </w:rPr>
              <w:t>rine present (proteinuria)</w:t>
            </w:r>
          </w:p>
        </w:tc>
        <w:tc>
          <w:tcPr>
            <w:tcW w:w="1701" w:type="dxa"/>
            <w:tcBorders>
              <w:top w:val="nil"/>
              <w:left w:val="nil"/>
              <w:bottom w:val="nil"/>
              <w:right w:val="nil"/>
              <w:tl2br w:val="nil"/>
              <w:tr2bl w:val="nil"/>
            </w:tcBorders>
            <w:shd w:val="clear" w:color="auto" w:fill="FFFFFF"/>
          </w:tcPr>
          <w:p w14:paraId="1605DAE8"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79ABAD80"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4A2C02AF"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156FBEBB"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7AF4C686"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1B710488" w14:textId="77777777" w:rsidR="00AD119C" w:rsidRDefault="004036ED">
            <w:pPr>
              <w:adjustRightInd w:val="0"/>
              <w:rPr>
                <w:color w:val="000000"/>
              </w:rPr>
            </w:pPr>
            <w:r>
              <w:rPr>
                <w:color w:val="000000"/>
              </w:rPr>
              <w:t>1</w:t>
            </w:r>
          </w:p>
        </w:tc>
      </w:tr>
      <w:tr w:rsidR="00AD119C" w14:paraId="76796548" w14:textId="77777777">
        <w:trPr>
          <w:cantSplit/>
        </w:trPr>
        <w:tc>
          <w:tcPr>
            <w:tcW w:w="5529" w:type="dxa"/>
            <w:tcBorders>
              <w:top w:val="nil"/>
              <w:left w:val="nil"/>
              <w:bottom w:val="nil"/>
              <w:right w:val="nil"/>
              <w:tl2br w:val="nil"/>
              <w:tr2bl w:val="nil"/>
            </w:tcBorders>
            <w:shd w:val="clear" w:color="auto" w:fill="FFFFFF"/>
          </w:tcPr>
          <w:p w14:paraId="5B5EA3C8"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M</w:t>
            </w:r>
            <w:r>
              <w:rPr>
                <w:sz w:val="24"/>
                <w:lang w:val="en-US"/>
              </w:rPr>
              <w:t xml:space="preserve">ean </w:t>
            </w:r>
            <w:r>
              <w:rPr>
                <w:rFonts w:hint="eastAsia"/>
                <w:sz w:val="24"/>
                <w:lang w:val="en-US" w:eastAsia="zh-CN"/>
              </w:rPr>
              <w:t>cell</w:t>
            </w:r>
            <w:r>
              <w:rPr>
                <w:sz w:val="24"/>
                <w:lang w:val="en-US"/>
              </w:rPr>
              <w:t xml:space="preserve"> h</w:t>
            </w:r>
            <w:r>
              <w:rPr>
                <w:rFonts w:hint="eastAsia"/>
                <w:sz w:val="24"/>
                <w:lang w:val="en-US" w:eastAsia="zh-CN"/>
              </w:rPr>
              <w:t>a</w:t>
            </w:r>
            <w:r>
              <w:rPr>
                <w:sz w:val="24"/>
                <w:lang w:val="en-US"/>
              </w:rPr>
              <w:t xml:space="preserve">emoglobin </w:t>
            </w:r>
            <w:r>
              <w:rPr>
                <w:rFonts w:hint="eastAsia"/>
                <w:sz w:val="24"/>
                <w:lang w:val="en-US" w:eastAsia="zh-CN"/>
              </w:rPr>
              <w:t>d</w:t>
            </w:r>
            <w:r>
              <w:rPr>
                <w:sz w:val="24"/>
                <w:lang w:val="en-US"/>
              </w:rPr>
              <w:t>ecreased (MCH)</w:t>
            </w:r>
          </w:p>
        </w:tc>
        <w:tc>
          <w:tcPr>
            <w:tcW w:w="1701" w:type="dxa"/>
            <w:tcBorders>
              <w:top w:val="nil"/>
              <w:left w:val="nil"/>
              <w:bottom w:val="nil"/>
              <w:right w:val="nil"/>
              <w:tl2br w:val="nil"/>
              <w:tr2bl w:val="nil"/>
            </w:tcBorders>
            <w:shd w:val="clear" w:color="auto" w:fill="FFFFFF"/>
          </w:tcPr>
          <w:p w14:paraId="58BE285D"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121F6988"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5A202F8A"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1FCCB69F" w14:textId="77777777" w:rsidR="00AD119C" w:rsidRDefault="004036ED">
            <w:pPr>
              <w:adjustRightInd w:val="0"/>
              <w:rPr>
                <w:color w:val="000000"/>
              </w:rPr>
            </w:pPr>
            <w:r>
              <w:rPr>
                <w:color w:val="000000"/>
              </w:rPr>
              <w:t>2</w:t>
            </w:r>
          </w:p>
        </w:tc>
        <w:tc>
          <w:tcPr>
            <w:tcW w:w="1417" w:type="dxa"/>
            <w:tcBorders>
              <w:top w:val="nil"/>
              <w:left w:val="nil"/>
              <w:bottom w:val="nil"/>
              <w:right w:val="nil"/>
              <w:tl2br w:val="nil"/>
              <w:tr2bl w:val="nil"/>
            </w:tcBorders>
            <w:shd w:val="clear" w:color="auto" w:fill="FFFFFF"/>
          </w:tcPr>
          <w:p w14:paraId="0B86C469"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4C29B108" w14:textId="77777777" w:rsidR="00AD119C" w:rsidRDefault="004036ED">
            <w:pPr>
              <w:adjustRightInd w:val="0"/>
              <w:rPr>
                <w:color w:val="000000"/>
              </w:rPr>
            </w:pPr>
            <w:r>
              <w:rPr>
                <w:color w:val="000000"/>
              </w:rPr>
              <w:t>2</w:t>
            </w:r>
          </w:p>
        </w:tc>
      </w:tr>
      <w:tr w:rsidR="00AD119C" w14:paraId="5DA04926" w14:textId="77777777">
        <w:trPr>
          <w:cantSplit/>
        </w:trPr>
        <w:tc>
          <w:tcPr>
            <w:tcW w:w="5529" w:type="dxa"/>
            <w:tcBorders>
              <w:top w:val="nil"/>
              <w:left w:val="nil"/>
              <w:bottom w:val="nil"/>
              <w:right w:val="nil"/>
              <w:tl2br w:val="nil"/>
              <w:tr2bl w:val="nil"/>
            </w:tcBorders>
            <w:shd w:val="clear" w:color="auto" w:fill="FFFFFF"/>
          </w:tcPr>
          <w:p w14:paraId="2A2F7225"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C</w:t>
            </w:r>
            <w:r>
              <w:rPr>
                <w:sz w:val="24"/>
                <w:lang w:val="en-US"/>
              </w:rPr>
              <w:t xml:space="preserve">arbohydrate antigen 19‑9 </w:t>
            </w:r>
            <w:r>
              <w:rPr>
                <w:rFonts w:hint="eastAsia"/>
                <w:sz w:val="24"/>
                <w:lang w:val="en-US" w:eastAsia="zh-CN"/>
              </w:rPr>
              <w:t>i</w:t>
            </w:r>
            <w:r>
              <w:rPr>
                <w:sz w:val="24"/>
                <w:lang w:val="en-US"/>
              </w:rPr>
              <w:t>ncreased (CA 19‑9)</w:t>
            </w:r>
          </w:p>
        </w:tc>
        <w:tc>
          <w:tcPr>
            <w:tcW w:w="1701" w:type="dxa"/>
            <w:tcBorders>
              <w:top w:val="nil"/>
              <w:left w:val="nil"/>
              <w:bottom w:val="nil"/>
              <w:right w:val="nil"/>
              <w:tl2br w:val="nil"/>
              <w:tr2bl w:val="nil"/>
            </w:tcBorders>
            <w:shd w:val="clear" w:color="auto" w:fill="FFFFFF"/>
          </w:tcPr>
          <w:p w14:paraId="793AB9FF"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5CFE738E"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28A3FB9C"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35F84E2A"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11DB6778"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291D21A4" w14:textId="77777777" w:rsidR="00AD119C" w:rsidRDefault="004036ED">
            <w:pPr>
              <w:adjustRightInd w:val="0"/>
              <w:rPr>
                <w:color w:val="000000"/>
              </w:rPr>
            </w:pPr>
            <w:r>
              <w:rPr>
                <w:color w:val="000000"/>
              </w:rPr>
              <w:t>1</w:t>
            </w:r>
          </w:p>
        </w:tc>
      </w:tr>
      <w:tr w:rsidR="00AD119C" w14:paraId="515099BB" w14:textId="77777777">
        <w:trPr>
          <w:cantSplit/>
        </w:trPr>
        <w:tc>
          <w:tcPr>
            <w:tcW w:w="5529" w:type="dxa"/>
            <w:tcBorders>
              <w:top w:val="nil"/>
              <w:left w:val="nil"/>
              <w:bottom w:val="nil"/>
              <w:right w:val="nil"/>
              <w:tl2br w:val="nil"/>
              <w:tr2bl w:val="nil"/>
            </w:tcBorders>
            <w:shd w:val="clear" w:color="auto" w:fill="FFFFFF"/>
          </w:tcPr>
          <w:p w14:paraId="692315F6" w14:textId="77777777" w:rsidR="00AD119C" w:rsidRDefault="004036ED">
            <w:pPr>
              <w:pStyle w:val="Compact"/>
              <w:spacing w:line="480" w:lineRule="auto"/>
              <w:rPr>
                <w:color w:val="000000"/>
                <w:sz w:val="24"/>
                <w:lang w:val="en-US"/>
              </w:rPr>
            </w:pPr>
            <w:r>
              <w:rPr>
                <w:sz w:val="24"/>
                <w:lang w:val="en-US"/>
              </w:rPr>
              <w:t xml:space="preserve">   Weight decreased</w:t>
            </w:r>
          </w:p>
        </w:tc>
        <w:tc>
          <w:tcPr>
            <w:tcW w:w="1701" w:type="dxa"/>
            <w:tcBorders>
              <w:top w:val="nil"/>
              <w:left w:val="nil"/>
              <w:bottom w:val="nil"/>
              <w:right w:val="nil"/>
              <w:tl2br w:val="nil"/>
              <w:tr2bl w:val="nil"/>
            </w:tcBorders>
            <w:shd w:val="clear" w:color="auto" w:fill="FFFFFF"/>
          </w:tcPr>
          <w:p w14:paraId="020E726F"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7F48CDA8"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2706B539"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47631A9B"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4000906A"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70B0FFC2" w14:textId="77777777" w:rsidR="00AD119C" w:rsidRDefault="004036ED">
            <w:pPr>
              <w:adjustRightInd w:val="0"/>
              <w:rPr>
                <w:color w:val="000000"/>
              </w:rPr>
            </w:pPr>
            <w:r>
              <w:rPr>
                <w:color w:val="000000"/>
              </w:rPr>
              <w:t>1</w:t>
            </w:r>
          </w:p>
        </w:tc>
      </w:tr>
      <w:tr w:rsidR="00AD119C" w14:paraId="7D5A5E2E" w14:textId="77777777">
        <w:trPr>
          <w:cantSplit/>
        </w:trPr>
        <w:tc>
          <w:tcPr>
            <w:tcW w:w="5529" w:type="dxa"/>
            <w:tcBorders>
              <w:top w:val="nil"/>
              <w:left w:val="nil"/>
              <w:bottom w:val="nil"/>
              <w:right w:val="nil"/>
              <w:tl2br w:val="nil"/>
              <w:tr2bl w:val="nil"/>
            </w:tcBorders>
            <w:shd w:val="clear" w:color="auto" w:fill="FFFFFF"/>
          </w:tcPr>
          <w:p w14:paraId="1C267646" w14:textId="77777777" w:rsidR="00AD119C" w:rsidRDefault="004036ED">
            <w:pPr>
              <w:pStyle w:val="Compact"/>
              <w:spacing w:line="480" w:lineRule="auto"/>
              <w:rPr>
                <w:color w:val="000000"/>
                <w:sz w:val="24"/>
                <w:lang w:val="en-US" w:eastAsia="zh-CN"/>
              </w:rPr>
            </w:pPr>
            <w:r>
              <w:rPr>
                <w:sz w:val="24"/>
                <w:lang w:val="en-US"/>
              </w:rPr>
              <w:t xml:space="preserve">   </w:t>
            </w:r>
            <w:r>
              <w:rPr>
                <w:rFonts w:hint="eastAsia"/>
                <w:sz w:val="24"/>
                <w:lang w:val="en-US" w:eastAsia="zh-CN"/>
              </w:rPr>
              <w:t xml:space="preserve">Blood </w:t>
            </w:r>
            <w:r>
              <w:rPr>
                <w:sz w:val="24"/>
                <w:lang w:val="en-US"/>
              </w:rPr>
              <w:t>albumin</w:t>
            </w:r>
            <w:r>
              <w:rPr>
                <w:rFonts w:hint="eastAsia"/>
                <w:sz w:val="24"/>
                <w:lang w:val="en-US" w:eastAsia="zh-CN"/>
              </w:rPr>
              <w:t xml:space="preserve"> i</w:t>
            </w:r>
            <w:r>
              <w:rPr>
                <w:sz w:val="24"/>
                <w:lang w:val="en-US"/>
              </w:rPr>
              <w:t>ncreased</w:t>
            </w:r>
          </w:p>
        </w:tc>
        <w:tc>
          <w:tcPr>
            <w:tcW w:w="1701" w:type="dxa"/>
            <w:tcBorders>
              <w:top w:val="nil"/>
              <w:left w:val="nil"/>
              <w:bottom w:val="nil"/>
              <w:right w:val="nil"/>
              <w:tl2br w:val="nil"/>
              <w:tr2bl w:val="nil"/>
            </w:tcBorders>
            <w:shd w:val="clear" w:color="auto" w:fill="FFFFFF"/>
          </w:tcPr>
          <w:p w14:paraId="0A941F05"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6F76B025"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37507786"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250621BA"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7748B26F"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3AF252AC" w14:textId="77777777" w:rsidR="00AD119C" w:rsidRDefault="004036ED">
            <w:pPr>
              <w:adjustRightInd w:val="0"/>
              <w:rPr>
                <w:color w:val="000000"/>
              </w:rPr>
            </w:pPr>
            <w:r>
              <w:rPr>
                <w:color w:val="000000"/>
              </w:rPr>
              <w:t>1</w:t>
            </w:r>
          </w:p>
        </w:tc>
      </w:tr>
      <w:tr w:rsidR="00AD119C" w14:paraId="26AF3F61" w14:textId="77777777">
        <w:trPr>
          <w:cantSplit/>
        </w:trPr>
        <w:tc>
          <w:tcPr>
            <w:tcW w:w="5529" w:type="dxa"/>
            <w:tcBorders>
              <w:top w:val="nil"/>
              <w:left w:val="nil"/>
              <w:bottom w:val="nil"/>
              <w:right w:val="nil"/>
              <w:tl2br w:val="nil"/>
              <w:tr2bl w:val="nil"/>
            </w:tcBorders>
            <w:shd w:val="clear" w:color="auto" w:fill="FFFFFF"/>
          </w:tcPr>
          <w:p w14:paraId="0EDC18C7"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B</w:t>
            </w:r>
            <w:r>
              <w:rPr>
                <w:sz w:val="24"/>
                <w:lang w:val="en-US"/>
              </w:rPr>
              <w:t xml:space="preserve">lood pressure </w:t>
            </w:r>
            <w:r>
              <w:rPr>
                <w:rFonts w:hint="eastAsia"/>
                <w:sz w:val="24"/>
                <w:lang w:val="en-US" w:eastAsia="zh-CN"/>
              </w:rPr>
              <w:t>d</w:t>
            </w:r>
            <w:r>
              <w:rPr>
                <w:sz w:val="24"/>
                <w:lang w:val="en-US"/>
              </w:rPr>
              <w:t>ecreased (hypotension)</w:t>
            </w:r>
          </w:p>
        </w:tc>
        <w:tc>
          <w:tcPr>
            <w:tcW w:w="1701" w:type="dxa"/>
            <w:tcBorders>
              <w:top w:val="nil"/>
              <w:left w:val="nil"/>
              <w:bottom w:val="nil"/>
              <w:right w:val="nil"/>
              <w:tl2br w:val="nil"/>
              <w:tr2bl w:val="nil"/>
            </w:tcBorders>
            <w:shd w:val="clear" w:color="auto" w:fill="FFFFFF"/>
          </w:tcPr>
          <w:p w14:paraId="2CAF4CC2"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5C20665F"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620437AE"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56D90100"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5E084154"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7DBF15AB" w14:textId="77777777" w:rsidR="00AD119C" w:rsidRDefault="004036ED">
            <w:pPr>
              <w:adjustRightInd w:val="0"/>
              <w:rPr>
                <w:color w:val="000000"/>
              </w:rPr>
            </w:pPr>
            <w:r>
              <w:rPr>
                <w:color w:val="000000"/>
              </w:rPr>
              <w:t>1</w:t>
            </w:r>
          </w:p>
        </w:tc>
      </w:tr>
      <w:tr w:rsidR="00AD119C" w14:paraId="41EF19E6" w14:textId="77777777">
        <w:trPr>
          <w:cantSplit/>
        </w:trPr>
        <w:tc>
          <w:tcPr>
            <w:tcW w:w="5529" w:type="dxa"/>
            <w:tcBorders>
              <w:top w:val="nil"/>
              <w:left w:val="nil"/>
              <w:bottom w:val="nil"/>
              <w:right w:val="nil"/>
              <w:tl2br w:val="nil"/>
              <w:tr2bl w:val="nil"/>
            </w:tcBorders>
            <w:shd w:val="clear" w:color="auto" w:fill="FFFFFF"/>
          </w:tcPr>
          <w:p w14:paraId="5C55A3CA" w14:textId="77777777" w:rsidR="00AD119C" w:rsidRDefault="004036ED">
            <w:pPr>
              <w:adjustRightInd w:val="0"/>
              <w:rPr>
                <w:b/>
                <w:bCs/>
                <w:color w:val="000000"/>
              </w:rPr>
            </w:pPr>
            <w:r>
              <w:rPr>
                <w:b/>
                <w:bCs/>
                <w:color w:val="000000"/>
              </w:rPr>
              <w:t>Infections and infestations</w:t>
            </w:r>
          </w:p>
        </w:tc>
        <w:tc>
          <w:tcPr>
            <w:tcW w:w="1701" w:type="dxa"/>
            <w:tcBorders>
              <w:top w:val="nil"/>
              <w:left w:val="nil"/>
              <w:bottom w:val="nil"/>
              <w:right w:val="nil"/>
              <w:tl2br w:val="nil"/>
              <w:tr2bl w:val="nil"/>
            </w:tcBorders>
            <w:shd w:val="clear" w:color="auto" w:fill="FFFFFF"/>
          </w:tcPr>
          <w:p w14:paraId="5C7960EF"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3788A7E3"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109D7AFF" w14:textId="77777777" w:rsidR="00AD119C" w:rsidRDefault="004036ED">
            <w:pPr>
              <w:adjustRightInd w:val="0"/>
              <w:rPr>
                <w:color w:val="000000"/>
              </w:rPr>
            </w:pPr>
            <w:r>
              <w:rPr>
                <w:color w:val="000000"/>
              </w:rPr>
              <w:t>4 (36.4)</w:t>
            </w:r>
          </w:p>
        </w:tc>
        <w:tc>
          <w:tcPr>
            <w:tcW w:w="993" w:type="dxa"/>
            <w:tcBorders>
              <w:top w:val="nil"/>
              <w:left w:val="nil"/>
              <w:bottom w:val="nil"/>
              <w:right w:val="nil"/>
              <w:tl2br w:val="nil"/>
              <w:tr2bl w:val="nil"/>
            </w:tcBorders>
            <w:shd w:val="clear" w:color="auto" w:fill="FFFFFF"/>
          </w:tcPr>
          <w:p w14:paraId="04843FB7" w14:textId="77777777" w:rsidR="00AD119C" w:rsidRDefault="004036ED">
            <w:pPr>
              <w:adjustRightInd w:val="0"/>
              <w:rPr>
                <w:color w:val="000000"/>
              </w:rPr>
            </w:pPr>
            <w:r>
              <w:rPr>
                <w:color w:val="000000"/>
              </w:rPr>
              <w:t>6</w:t>
            </w:r>
          </w:p>
        </w:tc>
        <w:tc>
          <w:tcPr>
            <w:tcW w:w="1417" w:type="dxa"/>
            <w:tcBorders>
              <w:top w:val="nil"/>
              <w:left w:val="nil"/>
              <w:bottom w:val="nil"/>
              <w:right w:val="nil"/>
              <w:tl2br w:val="nil"/>
              <w:tr2bl w:val="nil"/>
            </w:tcBorders>
            <w:shd w:val="clear" w:color="auto" w:fill="FFFFFF"/>
          </w:tcPr>
          <w:p w14:paraId="608CEFFF" w14:textId="77777777" w:rsidR="00AD119C" w:rsidRDefault="004036ED">
            <w:pPr>
              <w:adjustRightInd w:val="0"/>
              <w:rPr>
                <w:color w:val="000000"/>
              </w:rPr>
            </w:pPr>
            <w:r>
              <w:rPr>
                <w:color w:val="000000"/>
              </w:rPr>
              <w:t>4 (36.4)</w:t>
            </w:r>
          </w:p>
        </w:tc>
        <w:tc>
          <w:tcPr>
            <w:tcW w:w="992" w:type="dxa"/>
            <w:tcBorders>
              <w:top w:val="nil"/>
              <w:left w:val="nil"/>
              <w:bottom w:val="nil"/>
              <w:right w:val="nil"/>
              <w:tl2br w:val="nil"/>
              <w:tr2bl w:val="nil"/>
            </w:tcBorders>
            <w:shd w:val="clear" w:color="auto" w:fill="FFFFFF"/>
          </w:tcPr>
          <w:p w14:paraId="19E00366" w14:textId="77777777" w:rsidR="00AD119C" w:rsidRDefault="004036ED">
            <w:pPr>
              <w:adjustRightInd w:val="0"/>
              <w:rPr>
                <w:color w:val="000000"/>
              </w:rPr>
            </w:pPr>
            <w:r>
              <w:rPr>
                <w:color w:val="000000"/>
              </w:rPr>
              <w:t>6</w:t>
            </w:r>
          </w:p>
        </w:tc>
      </w:tr>
      <w:tr w:rsidR="00AD119C" w14:paraId="00EE4159" w14:textId="77777777">
        <w:trPr>
          <w:cantSplit/>
        </w:trPr>
        <w:tc>
          <w:tcPr>
            <w:tcW w:w="5529" w:type="dxa"/>
            <w:tcBorders>
              <w:top w:val="nil"/>
              <w:left w:val="nil"/>
              <w:bottom w:val="nil"/>
              <w:right w:val="nil"/>
              <w:tl2br w:val="nil"/>
              <w:tr2bl w:val="nil"/>
            </w:tcBorders>
            <w:shd w:val="clear" w:color="auto" w:fill="FFFFFF"/>
          </w:tcPr>
          <w:p w14:paraId="0CC16F17"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P</w:t>
            </w:r>
            <w:r>
              <w:rPr>
                <w:sz w:val="24"/>
                <w:lang w:val="en-US"/>
              </w:rPr>
              <w:t>neumonia</w:t>
            </w:r>
          </w:p>
        </w:tc>
        <w:tc>
          <w:tcPr>
            <w:tcW w:w="1701" w:type="dxa"/>
            <w:tcBorders>
              <w:top w:val="nil"/>
              <w:left w:val="nil"/>
              <w:bottom w:val="nil"/>
              <w:right w:val="nil"/>
              <w:tl2br w:val="nil"/>
              <w:tr2bl w:val="nil"/>
            </w:tcBorders>
            <w:shd w:val="clear" w:color="auto" w:fill="FFFFFF"/>
          </w:tcPr>
          <w:p w14:paraId="73CF735C"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78897E7D"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4DC67B2B" w14:textId="77777777" w:rsidR="00AD119C" w:rsidRDefault="004036ED">
            <w:pPr>
              <w:adjustRightInd w:val="0"/>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527000E7" w14:textId="77777777" w:rsidR="00AD119C" w:rsidRDefault="004036ED">
            <w:pPr>
              <w:adjustRightInd w:val="0"/>
              <w:rPr>
                <w:color w:val="000000"/>
              </w:rPr>
            </w:pPr>
            <w:r>
              <w:rPr>
                <w:color w:val="000000"/>
              </w:rPr>
              <w:t>3</w:t>
            </w:r>
          </w:p>
        </w:tc>
        <w:tc>
          <w:tcPr>
            <w:tcW w:w="1417" w:type="dxa"/>
            <w:tcBorders>
              <w:top w:val="nil"/>
              <w:left w:val="nil"/>
              <w:bottom w:val="nil"/>
              <w:right w:val="nil"/>
              <w:tl2br w:val="nil"/>
              <w:tr2bl w:val="nil"/>
            </w:tcBorders>
            <w:shd w:val="clear" w:color="auto" w:fill="FFFFFF"/>
          </w:tcPr>
          <w:p w14:paraId="2DDF876B" w14:textId="77777777" w:rsidR="00AD119C" w:rsidRDefault="004036ED">
            <w:pPr>
              <w:adjustRightInd w:val="0"/>
              <w:rPr>
                <w:color w:val="000000"/>
              </w:rPr>
            </w:pPr>
            <w:r>
              <w:rPr>
                <w:color w:val="000000"/>
              </w:rPr>
              <w:t>3 (27.3)</w:t>
            </w:r>
          </w:p>
        </w:tc>
        <w:tc>
          <w:tcPr>
            <w:tcW w:w="992" w:type="dxa"/>
            <w:tcBorders>
              <w:top w:val="nil"/>
              <w:left w:val="nil"/>
              <w:bottom w:val="nil"/>
              <w:right w:val="nil"/>
              <w:tl2br w:val="nil"/>
              <w:tr2bl w:val="nil"/>
            </w:tcBorders>
            <w:shd w:val="clear" w:color="auto" w:fill="FFFFFF"/>
          </w:tcPr>
          <w:p w14:paraId="735AE41E" w14:textId="77777777" w:rsidR="00AD119C" w:rsidRDefault="004036ED">
            <w:pPr>
              <w:adjustRightInd w:val="0"/>
              <w:rPr>
                <w:color w:val="000000"/>
              </w:rPr>
            </w:pPr>
            <w:r>
              <w:rPr>
                <w:color w:val="000000"/>
              </w:rPr>
              <w:t>3</w:t>
            </w:r>
          </w:p>
        </w:tc>
      </w:tr>
      <w:tr w:rsidR="00AD119C" w14:paraId="7E933EF5" w14:textId="77777777">
        <w:trPr>
          <w:cantSplit/>
        </w:trPr>
        <w:tc>
          <w:tcPr>
            <w:tcW w:w="5529" w:type="dxa"/>
            <w:tcBorders>
              <w:top w:val="nil"/>
              <w:left w:val="nil"/>
              <w:bottom w:val="nil"/>
              <w:right w:val="nil"/>
              <w:tl2br w:val="nil"/>
              <w:tr2bl w:val="nil"/>
            </w:tcBorders>
            <w:shd w:val="clear" w:color="auto" w:fill="FFFFFF"/>
          </w:tcPr>
          <w:p w14:paraId="4F4D9CEB" w14:textId="77777777" w:rsidR="00AD119C" w:rsidRDefault="004036ED">
            <w:pPr>
              <w:pStyle w:val="Compact"/>
              <w:spacing w:line="480" w:lineRule="auto"/>
              <w:rPr>
                <w:color w:val="000000"/>
                <w:sz w:val="24"/>
                <w:lang w:val="en-US"/>
              </w:rPr>
            </w:pPr>
            <w:r>
              <w:rPr>
                <w:sz w:val="24"/>
                <w:lang w:val="en-US"/>
              </w:rPr>
              <w:t xml:space="preserve">   Nasopharyngitis</w:t>
            </w:r>
          </w:p>
        </w:tc>
        <w:tc>
          <w:tcPr>
            <w:tcW w:w="1701" w:type="dxa"/>
            <w:tcBorders>
              <w:top w:val="nil"/>
              <w:left w:val="nil"/>
              <w:bottom w:val="nil"/>
              <w:right w:val="nil"/>
              <w:tl2br w:val="nil"/>
              <w:tr2bl w:val="nil"/>
            </w:tcBorders>
            <w:shd w:val="clear" w:color="auto" w:fill="FFFFFF"/>
          </w:tcPr>
          <w:p w14:paraId="6F89B5F1"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1115CA4D"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0BFEA73F"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4362C300"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3EDFA9CC"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2581C5F0" w14:textId="77777777" w:rsidR="00AD119C" w:rsidRDefault="004036ED">
            <w:pPr>
              <w:adjustRightInd w:val="0"/>
              <w:rPr>
                <w:color w:val="000000"/>
              </w:rPr>
            </w:pPr>
            <w:r>
              <w:rPr>
                <w:color w:val="000000"/>
              </w:rPr>
              <w:t>1</w:t>
            </w:r>
          </w:p>
        </w:tc>
      </w:tr>
      <w:tr w:rsidR="00AD119C" w14:paraId="73E2668C" w14:textId="77777777">
        <w:trPr>
          <w:cantSplit/>
        </w:trPr>
        <w:tc>
          <w:tcPr>
            <w:tcW w:w="5529" w:type="dxa"/>
            <w:tcBorders>
              <w:top w:val="nil"/>
              <w:left w:val="nil"/>
              <w:bottom w:val="nil"/>
              <w:right w:val="nil"/>
              <w:tl2br w:val="nil"/>
              <w:tr2bl w:val="nil"/>
            </w:tcBorders>
            <w:shd w:val="clear" w:color="auto" w:fill="FFFFFF"/>
          </w:tcPr>
          <w:p w14:paraId="71E334BD" w14:textId="77777777" w:rsidR="00AD119C" w:rsidRDefault="004036ED">
            <w:pPr>
              <w:pStyle w:val="Compact"/>
              <w:spacing w:line="480" w:lineRule="auto"/>
              <w:rPr>
                <w:color w:val="000000"/>
                <w:sz w:val="24"/>
                <w:lang w:val="en-US"/>
              </w:rPr>
            </w:pPr>
            <w:r>
              <w:rPr>
                <w:sz w:val="24"/>
                <w:lang w:val="en-US"/>
              </w:rPr>
              <w:lastRenderedPageBreak/>
              <w:t xml:space="preserve">   Rhinitis</w:t>
            </w:r>
          </w:p>
        </w:tc>
        <w:tc>
          <w:tcPr>
            <w:tcW w:w="1701" w:type="dxa"/>
            <w:tcBorders>
              <w:top w:val="nil"/>
              <w:left w:val="nil"/>
              <w:bottom w:val="nil"/>
              <w:right w:val="nil"/>
              <w:tl2br w:val="nil"/>
              <w:tr2bl w:val="nil"/>
            </w:tcBorders>
            <w:shd w:val="clear" w:color="auto" w:fill="FFFFFF"/>
          </w:tcPr>
          <w:p w14:paraId="346B1AB1"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0BEBBEA9"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6DFE225F"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49799391"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581F01A8"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388F7E05" w14:textId="77777777" w:rsidR="00AD119C" w:rsidRDefault="004036ED">
            <w:pPr>
              <w:adjustRightInd w:val="0"/>
              <w:rPr>
                <w:color w:val="000000"/>
              </w:rPr>
            </w:pPr>
            <w:r>
              <w:rPr>
                <w:color w:val="000000"/>
              </w:rPr>
              <w:t>1</w:t>
            </w:r>
          </w:p>
        </w:tc>
      </w:tr>
      <w:tr w:rsidR="00AD119C" w14:paraId="2112C2CB" w14:textId="77777777">
        <w:trPr>
          <w:cantSplit/>
        </w:trPr>
        <w:tc>
          <w:tcPr>
            <w:tcW w:w="5529" w:type="dxa"/>
            <w:tcBorders>
              <w:top w:val="nil"/>
              <w:left w:val="nil"/>
              <w:bottom w:val="nil"/>
              <w:right w:val="nil"/>
              <w:tl2br w:val="nil"/>
              <w:tr2bl w:val="nil"/>
            </w:tcBorders>
            <w:shd w:val="clear" w:color="auto" w:fill="FFFFFF"/>
          </w:tcPr>
          <w:p w14:paraId="4F84F5CE" w14:textId="77777777" w:rsidR="00AD119C" w:rsidRDefault="004036ED">
            <w:pPr>
              <w:pStyle w:val="Compact"/>
              <w:spacing w:line="480" w:lineRule="auto"/>
              <w:rPr>
                <w:color w:val="000000"/>
                <w:sz w:val="24"/>
                <w:lang w:val="en-US"/>
              </w:rPr>
            </w:pPr>
            <w:r>
              <w:rPr>
                <w:sz w:val="24"/>
                <w:lang w:val="en-US"/>
              </w:rPr>
              <w:t xml:space="preserve">   Upper respiratory tract infection</w:t>
            </w:r>
          </w:p>
        </w:tc>
        <w:tc>
          <w:tcPr>
            <w:tcW w:w="1701" w:type="dxa"/>
            <w:tcBorders>
              <w:top w:val="nil"/>
              <w:left w:val="nil"/>
              <w:bottom w:val="nil"/>
              <w:right w:val="nil"/>
              <w:tl2br w:val="nil"/>
              <w:tr2bl w:val="nil"/>
            </w:tcBorders>
            <w:shd w:val="clear" w:color="auto" w:fill="FFFFFF"/>
          </w:tcPr>
          <w:p w14:paraId="3AD6BDDF"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5B3EEC47"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17FB3896"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1BB68F56"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45A59C9A"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7D7588EC" w14:textId="77777777" w:rsidR="00AD119C" w:rsidRDefault="004036ED">
            <w:pPr>
              <w:adjustRightInd w:val="0"/>
              <w:rPr>
                <w:color w:val="000000"/>
              </w:rPr>
            </w:pPr>
            <w:r>
              <w:rPr>
                <w:color w:val="000000"/>
              </w:rPr>
              <w:t>1</w:t>
            </w:r>
          </w:p>
        </w:tc>
      </w:tr>
      <w:tr w:rsidR="00AD119C" w14:paraId="480AE159" w14:textId="77777777">
        <w:trPr>
          <w:cantSplit/>
        </w:trPr>
        <w:tc>
          <w:tcPr>
            <w:tcW w:w="5529" w:type="dxa"/>
            <w:tcBorders>
              <w:top w:val="nil"/>
              <w:left w:val="nil"/>
              <w:bottom w:val="nil"/>
              <w:right w:val="nil"/>
              <w:tl2br w:val="nil"/>
              <w:tr2bl w:val="nil"/>
            </w:tcBorders>
            <w:shd w:val="clear" w:color="auto" w:fill="FFFFFF"/>
          </w:tcPr>
          <w:p w14:paraId="67C79F5D" w14:textId="77777777" w:rsidR="00AD119C" w:rsidRDefault="004036ED">
            <w:pPr>
              <w:pStyle w:val="Compact"/>
              <w:spacing w:line="480" w:lineRule="auto"/>
              <w:rPr>
                <w:b/>
                <w:bCs/>
                <w:color w:val="000000"/>
                <w:sz w:val="24"/>
                <w:lang w:val="en-US"/>
              </w:rPr>
            </w:pPr>
            <w:r>
              <w:rPr>
                <w:b/>
                <w:bCs/>
                <w:sz w:val="24"/>
                <w:lang w:val="en-US"/>
              </w:rPr>
              <w:t>Injury, poisoning and procedural complications</w:t>
            </w:r>
          </w:p>
        </w:tc>
        <w:tc>
          <w:tcPr>
            <w:tcW w:w="1701" w:type="dxa"/>
            <w:tcBorders>
              <w:top w:val="nil"/>
              <w:left w:val="nil"/>
              <w:bottom w:val="nil"/>
              <w:right w:val="nil"/>
              <w:tl2br w:val="nil"/>
              <w:tr2bl w:val="nil"/>
            </w:tcBorders>
            <w:shd w:val="clear" w:color="auto" w:fill="FFFFFF"/>
          </w:tcPr>
          <w:p w14:paraId="7039A6C6"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6EBFDAA9"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5134726A" w14:textId="77777777" w:rsidR="00AD119C" w:rsidRDefault="004036ED">
            <w:pPr>
              <w:adjustRightInd w:val="0"/>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6416316F" w14:textId="77777777" w:rsidR="00AD119C" w:rsidRDefault="004036ED">
            <w:pPr>
              <w:adjustRightInd w:val="0"/>
              <w:rPr>
                <w:color w:val="000000"/>
              </w:rPr>
            </w:pPr>
            <w:r>
              <w:rPr>
                <w:color w:val="000000"/>
              </w:rPr>
              <w:t>5</w:t>
            </w:r>
          </w:p>
        </w:tc>
        <w:tc>
          <w:tcPr>
            <w:tcW w:w="1417" w:type="dxa"/>
            <w:tcBorders>
              <w:top w:val="nil"/>
              <w:left w:val="nil"/>
              <w:bottom w:val="nil"/>
              <w:right w:val="nil"/>
              <w:tl2br w:val="nil"/>
              <w:tr2bl w:val="nil"/>
            </w:tcBorders>
            <w:shd w:val="clear" w:color="auto" w:fill="FFFFFF"/>
          </w:tcPr>
          <w:p w14:paraId="427362DD" w14:textId="77777777" w:rsidR="00AD119C" w:rsidRDefault="004036ED">
            <w:pPr>
              <w:adjustRightInd w:val="0"/>
              <w:rPr>
                <w:color w:val="000000"/>
              </w:rPr>
            </w:pPr>
            <w:r>
              <w:rPr>
                <w:color w:val="000000"/>
              </w:rPr>
              <w:t>3 (27.3)</w:t>
            </w:r>
          </w:p>
        </w:tc>
        <w:tc>
          <w:tcPr>
            <w:tcW w:w="992" w:type="dxa"/>
            <w:tcBorders>
              <w:top w:val="nil"/>
              <w:left w:val="nil"/>
              <w:bottom w:val="nil"/>
              <w:right w:val="nil"/>
              <w:tl2br w:val="nil"/>
              <w:tr2bl w:val="nil"/>
            </w:tcBorders>
            <w:shd w:val="clear" w:color="auto" w:fill="FFFFFF"/>
          </w:tcPr>
          <w:p w14:paraId="5FA49592" w14:textId="77777777" w:rsidR="00AD119C" w:rsidRDefault="004036ED">
            <w:pPr>
              <w:adjustRightInd w:val="0"/>
              <w:rPr>
                <w:color w:val="000000"/>
              </w:rPr>
            </w:pPr>
            <w:r>
              <w:rPr>
                <w:color w:val="000000"/>
              </w:rPr>
              <w:t>5</w:t>
            </w:r>
          </w:p>
        </w:tc>
      </w:tr>
      <w:tr w:rsidR="00AD119C" w14:paraId="091B6C2C" w14:textId="77777777">
        <w:trPr>
          <w:cantSplit/>
        </w:trPr>
        <w:tc>
          <w:tcPr>
            <w:tcW w:w="5529" w:type="dxa"/>
            <w:tcBorders>
              <w:top w:val="nil"/>
              <w:left w:val="nil"/>
              <w:bottom w:val="nil"/>
              <w:right w:val="nil"/>
              <w:tl2br w:val="nil"/>
              <w:tr2bl w:val="nil"/>
            </w:tcBorders>
            <w:shd w:val="clear" w:color="auto" w:fill="FFFFFF"/>
          </w:tcPr>
          <w:p w14:paraId="6473EEF8" w14:textId="77777777" w:rsidR="00AD119C" w:rsidRDefault="004036ED">
            <w:pPr>
              <w:pStyle w:val="Compact"/>
              <w:spacing w:line="480" w:lineRule="auto"/>
              <w:rPr>
                <w:color w:val="000000"/>
                <w:sz w:val="24"/>
                <w:lang w:val="en-US"/>
              </w:rPr>
            </w:pPr>
            <w:r>
              <w:rPr>
                <w:sz w:val="24"/>
                <w:lang w:val="en-US"/>
              </w:rPr>
              <w:t xml:space="preserve">   Infusion‑related reaction</w:t>
            </w:r>
          </w:p>
        </w:tc>
        <w:tc>
          <w:tcPr>
            <w:tcW w:w="1701" w:type="dxa"/>
            <w:tcBorders>
              <w:top w:val="nil"/>
              <w:left w:val="nil"/>
              <w:bottom w:val="nil"/>
              <w:right w:val="nil"/>
              <w:tl2br w:val="nil"/>
              <w:tr2bl w:val="nil"/>
            </w:tcBorders>
            <w:shd w:val="clear" w:color="auto" w:fill="FFFFFF"/>
          </w:tcPr>
          <w:p w14:paraId="4EA37F8D"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71612DCB"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3826C254" w14:textId="77777777" w:rsidR="00AD119C" w:rsidRDefault="004036ED">
            <w:pPr>
              <w:adjustRightInd w:val="0"/>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41F9D47A" w14:textId="77777777" w:rsidR="00AD119C" w:rsidRDefault="004036ED">
            <w:pPr>
              <w:adjustRightInd w:val="0"/>
              <w:rPr>
                <w:color w:val="000000"/>
              </w:rPr>
            </w:pPr>
            <w:r>
              <w:rPr>
                <w:color w:val="000000"/>
              </w:rPr>
              <w:t>5</w:t>
            </w:r>
          </w:p>
        </w:tc>
        <w:tc>
          <w:tcPr>
            <w:tcW w:w="1417" w:type="dxa"/>
            <w:tcBorders>
              <w:top w:val="nil"/>
              <w:left w:val="nil"/>
              <w:bottom w:val="nil"/>
              <w:right w:val="nil"/>
              <w:tl2br w:val="nil"/>
              <w:tr2bl w:val="nil"/>
            </w:tcBorders>
            <w:shd w:val="clear" w:color="auto" w:fill="FFFFFF"/>
          </w:tcPr>
          <w:p w14:paraId="28591C7F" w14:textId="77777777" w:rsidR="00AD119C" w:rsidRDefault="004036ED">
            <w:pPr>
              <w:adjustRightInd w:val="0"/>
              <w:rPr>
                <w:color w:val="000000"/>
              </w:rPr>
            </w:pPr>
            <w:r>
              <w:rPr>
                <w:color w:val="000000"/>
              </w:rPr>
              <w:t>3 (27.3)</w:t>
            </w:r>
          </w:p>
        </w:tc>
        <w:tc>
          <w:tcPr>
            <w:tcW w:w="992" w:type="dxa"/>
            <w:tcBorders>
              <w:top w:val="nil"/>
              <w:left w:val="nil"/>
              <w:bottom w:val="nil"/>
              <w:right w:val="nil"/>
              <w:tl2br w:val="nil"/>
              <w:tr2bl w:val="nil"/>
            </w:tcBorders>
            <w:shd w:val="clear" w:color="auto" w:fill="FFFFFF"/>
          </w:tcPr>
          <w:p w14:paraId="7DA6F53F" w14:textId="77777777" w:rsidR="00AD119C" w:rsidRDefault="004036ED">
            <w:pPr>
              <w:adjustRightInd w:val="0"/>
              <w:rPr>
                <w:color w:val="000000"/>
              </w:rPr>
            </w:pPr>
            <w:r>
              <w:rPr>
                <w:color w:val="000000"/>
              </w:rPr>
              <w:t>5</w:t>
            </w:r>
          </w:p>
        </w:tc>
      </w:tr>
      <w:tr w:rsidR="00AD119C" w14:paraId="4FB188AD" w14:textId="77777777">
        <w:trPr>
          <w:cantSplit/>
        </w:trPr>
        <w:tc>
          <w:tcPr>
            <w:tcW w:w="5529" w:type="dxa"/>
            <w:tcBorders>
              <w:top w:val="nil"/>
              <w:left w:val="nil"/>
              <w:bottom w:val="nil"/>
              <w:right w:val="nil"/>
              <w:tl2br w:val="nil"/>
              <w:tr2bl w:val="nil"/>
            </w:tcBorders>
            <w:shd w:val="clear" w:color="auto" w:fill="FFFFFF"/>
          </w:tcPr>
          <w:p w14:paraId="7C11983E" w14:textId="77777777" w:rsidR="00AD119C" w:rsidRDefault="004036ED">
            <w:pPr>
              <w:pStyle w:val="Compact"/>
              <w:spacing w:line="480" w:lineRule="auto"/>
              <w:rPr>
                <w:b/>
                <w:bCs/>
                <w:color w:val="000000"/>
                <w:sz w:val="24"/>
                <w:lang w:val="en-US"/>
              </w:rPr>
            </w:pPr>
            <w:r>
              <w:rPr>
                <w:b/>
                <w:bCs/>
                <w:sz w:val="24"/>
                <w:lang w:val="en-US"/>
              </w:rPr>
              <w:t>Renal and urinary disorders</w:t>
            </w:r>
          </w:p>
        </w:tc>
        <w:tc>
          <w:tcPr>
            <w:tcW w:w="1701" w:type="dxa"/>
            <w:tcBorders>
              <w:top w:val="nil"/>
              <w:left w:val="nil"/>
              <w:bottom w:val="nil"/>
              <w:right w:val="nil"/>
              <w:tl2br w:val="nil"/>
              <w:tr2bl w:val="nil"/>
            </w:tcBorders>
            <w:shd w:val="clear" w:color="auto" w:fill="FFFFFF"/>
          </w:tcPr>
          <w:p w14:paraId="4A0A6E92"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0D40AE2F"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0566FE12" w14:textId="77777777" w:rsidR="00AD119C" w:rsidRDefault="004036ED">
            <w:pPr>
              <w:adjustRightInd w:val="0"/>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5B2DA678" w14:textId="77777777" w:rsidR="00AD119C" w:rsidRDefault="004036ED">
            <w:pPr>
              <w:adjustRightInd w:val="0"/>
              <w:rPr>
                <w:color w:val="000000"/>
              </w:rPr>
            </w:pPr>
            <w:r>
              <w:rPr>
                <w:color w:val="000000"/>
              </w:rPr>
              <w:t>4</w:t>
            </w:r>
          </w:p>
        </w:tc>
        <w:tc>
          <w:tcPr>
            <w:tcW w:w="1417" w:type="dxa"/>
            <w:tcBorders>
              <w:top w:val="nil"/>
              <w:left w:val="nil"/>
              <w:bottom w:val="nil"/>
              <w:right w:val="nil"/>
              <w:tl2br w:val="nil"/>
              <w:tr2bl w:val="nil"/>
            </w:tcBorders>
            <w:shd w:val="clear" w:color="auto" w:fill="FFFFFF"/>
          </w:tcPr>
          <w:p w14:paraId="015830B3" w14:textId="77777777" w:rsidR="00AD119C" w:rsidRDefault="004036ED">
            <w:pPr>
              <w:adjustRightInd w:val="0"/>
              <w:rPr>
                <w:color w:val="000000"/>
              </w:rPr>
            </w:pPr>
            <w:r>
              <w:rPr>
                <w:color w:val="000000"/>
              </w:rPr>
              <w:t>3 (27.3)</w:t>
            </w:r>
          </w:p>
        </w:tc>
        <w:tc>
          <w:tcPr>
            <w:tcW w:w="992" w:type="dxa"/>
            <w:tcBorders>
              <w:top w:val="nil"/>
              <w:left w:val="nil"/>
              <w:bottom w:val="nil"/>
              <w:right w:val="nil"/>
              <w:tl2br w:val="nil"/>
              <w:tr2bl w:val="nil"/>
            </w:tcBorders>
            <w:shd w:val="clear" w:color="auto" w:fill="FFFFFF"/>
          </w:tcPr>
          <w:p w14:paraId="2F50F41B" w14:textId="77777777" w:rsidR="00AD119C" w:rsidRDefault="004036ED">
            <w:pPr>
              <w:adjustRightInd w:val="0"/>
              <w:rPr>
                <w:color w:val="000000"/>
              </w:rPr>
            </w:pPr>
            <w:r>
              <w:rPr>
                <w:color w:val="000000"/>
              </w:rPr>
              <w:t>4</w:t>
            </w:r>
          </w:p>
        </w:tc>
      </w:tr>
      <w:tr w:rsidR="00AD119C" w14:paraId="10454A3A" w14:textId="77777777">
        <w:trPr>
          <w:cantSplit/>
        </w:trPr>
        <w:tc>
          <w:tcPr>
            <w:tcW w:w="5529" w:type="dxa"/>
            <w:tcBorders>
              <w:top w:val="nil"/>
              <w:left w:val="nil"/>
              <w:bottom w:val="nil"/>
              <w:right w:val="nil"/>
              <w:tl2br w:val="nil"/>
              <w:tr2bl w:val="nil"/>
            </w:tcBorders>
            <w:shd w:val="clear" w:color="auto" w:fill="FFFFFF"/>
          </w:tcPr>
          <w:p w14:paraId="68D52428" w14:textId="77777777" w:rsidR="00AD119C" w:rsidRDefault="004036ED">
            <w:pPr>
              <w:pStyle w:val="Compact"/>
              <w:spacing w:line="480" w:lineRule="auto"/>
              <w:rPr>
                <w:color w:val="000000"/>
                <w:sz w:val="24"/>
                <w:lang w:val="en-US"/>
              </w:rPr>
            </w:pPr>
            <w:r>
              <w:rPr>
                <w:sz w:val="24"/>
                <w:lang w:val="en-US"/>
              </w:rPr>
              <w:t xml:space="preserve">   Urinary tract inflammation</w:t>
            </w:r>
          </w:p>
        </w:tc>
        <w:tc>
          <w:tcPr>
            <w:tcW w:w="1701" w:type="dxa"/>
            <w:tcBorders>
              <w:top w:val="nil"/>
              <w:left w:val="nil"/>
              <w:bottom w:val="nil"/>
              <w:right w:val="nil"/>
              <w:tl2br w:val="nil"/>
              <w:tr2bl w:val="nil"/>
            </w:tcBorders>
            <w:shd w:val="clear" w:color="auto" w:fill="FFFFFF"/>
          </w:tcPr>
          <w:p w14:paraId="53D909D1"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485A775C"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51A1D57E" w14:textId="77777777" w:rsidR="00AD119C" w:rsidRDefault="004036ED">
            <w:pPr>
              <w:adjustRightInd w:val="0"/>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48883125" w14:textId="77777777" w:rsidR="00AD119C" w:rsidRDefault="004036ED">
            <w:pPr>
              <w:adjustRightInd w:val="0"/>
              <w:rPr>
                <w:color w:val="000000"/>
              </w:rPr>
            </w:pPr>
            <w:r>
              <w:rPr>
                <w:color w:val="000000"/>
              </w:rPr>
              <w:t>4</w:t>
            </w:r>
          </w:p>
        </w:tc>
        <w:tc>
          <w:tcPr>
            <w:tcW w:w="1417" w:type="dxa"/>
            <w:tcBorders>
              <w:top w:val="nil"/>
              <w:left w:val="nil"/>
              <w:bottom w:val="nil"/>
              <w:right w:val="nil"/>
              <w:tl2br w:val="nil"/>
              <w:tr2bl w:val="nil"/>
            </w:tcBorders>
            <w:shd w:val="clear" w:color="auto" w:fill="FFFFFF"/>
          </w:tcPr>
          <w:p w14:paraId="2BD22146" w14:textId="77777777" w:rsidR="00AD119C" w:rsidRDefault="004036ED">
            <w:pPr>
              <w:adjustRightInd w:val="0"/>
              <w:rPr>
                <w:color w:val="000000"/>
              </w:rPr>
            </w:pPr>
            <w:r>
              <w:rPr>
                <w:color w:val="000000"/>
              </w:rPr>
              <w:t>3 (27.3)</w:t>
            </w:r>
          </w:p>
        </w:tc>
        <w:tc>
          <w:tcPr>
            <w:tcW w:w="992" w:type="dxa"/>
            <w:tcBorders>
              <w:top w:val="nil"/>
              <w:left w:val="nil"/>
              <w:bottom w:val="nil"/>
              <w:right w:val="nil"/>
              <w:tl2br w:val="nil"/>
              <w:tr2bl w:val="nil"/>
            </w:tcBorders>
            <w:shd w:val="clear" w:color="auto" w:fill="FFFFFF"/>
          </w:tcPr>
          <w:p w14:paraId="37534330" w14:textId="77777777" w:rsidR="00AD119C" w:rsidRDefault="004036ED">
            <w:pPr>
              <w:adjustRightInd w:val="0"/>
              <w:rPr>
                <w:color w:val="000000"/>
              </w:rPr>
            </w:pPr>
            <w:r>
              <w:rPr>
                <w:color w:val="000000"/>
              </w:rPr>
              <w:t>4</w:t>
            </w:r>
          </w:p>
        </w:tc>
      </w:tr>
      <w:tr w:rsidR="00AD119C" w14:paraId="6BCC560C" w14:textId="77777777">
        <w:trPr>
          <w:cantSplit/>
        </w:trPr>
        <w:tc>
          <w:tcPr>
            <w:tcW w:w="5529" w:type="dxa"/>
            <w:tcBorders>
              <w:top w:val="nil"/>
              <w:left w:val="nil"/>
              <w:bottom w:val="nil"/>
              <w:right w:val="nil"/>
              <w:tl2br w:val="nil"/>
              <w:tr2bl w:val="nil"/>
            </w:tcBorders>
            <w:shd w:val="clear" w:color="auto" w:fill="FFFFFF"/>
          </w:tcPr>
          <w:p w14:paraId="4D3D58FA" w14:textId="77777777" w:rsidR="00AD119C" w:rsidRDefault="004036ED">
            <w:pPr>
              <w:pStyle w:val="Compact"/>
              <w:spacing w:line="480" w:lineRule="auto"/>
              <w:rPr>
                <w:b/>
                <w:bCs/>
                <w:color w:val="000000"/>
                <w:sz w:val="24"/>
                <w:lang w:val="en-US"/>
              </w:rPr>
            </w:pPr>
            <w:r>
              <w:rPr>
                <w:b/>
                <w:bCs/>
                <w:sz w:val="24"/>
                <w:lang w:val="en-US"/>
              </w:rPr>
              <w:t>Metabolism and nutrition disorders</w:t>
            </w:r>
          </w:p>
        </w:tc>
        <w:tc>
          <w:tcPr>
            <w:tcW w:w="1701" w:type="dxa"/>
            <w:tcBorders>
              <w:top w:val="nil"/>
              <w:left w:val="nil"/>
              <w:bottom w:val="nil"/>
              <w:right w:val="nil"/>
              <w:tl2br w:val="nil"/>
              <w:tr2bl w:val="nil"/>
            </w:tcBorders>
            <w:shd w:val="clear" w:color="auto" w:fill="FFFFFF"/>
          </w:tcPr>
          <w:p w14:paraId="458B5AB8"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0E240DE7"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18360E38" w14:textId="77777777" w:rsidR="00AD119C" w:rsidRDefault="004036ED">
            <w:pPr>
              <w:adjustRightInd w:val="0"/>
              <w:rPr>
                <w:color w:val="000000"/>
              </w:rPr>
            </w:pPr>
            <w:r>
              <w:rPr>
                <w:color w:val="000000"/>
              </w:rPr>
              <w:t>2 (18.2)</w:t>
            </w:r>
          </w:p>
        </w:tc>
        <w:tc>
          <w:tcPr>
            <w:tcW w:w="993" w:type="dxa"/>
            <w:tcBorders>
              <w:top w:val="nil"/>
              <w:left w:val="nil"/>
              <w:bottom w:val="nil"/>
              <w:right w:val="nil"/>
              <w:tl2br w:val="nil"/>
              <w:tr2bl w:val="nil"/>
            </w:tcBorders>
            <w:shd w:val="clear" w:color="auto" w:fill="FFFFFF"/>
          </w:tcPr>
          <w:p w14:paraId="6CCC2FC4" w14:textId="77777777" w:rsidR="00AD119C" w:rsidRDefault="004036ED">
            <w:pPr>
              <w:adjustRightInd w:val="0"/>
              <w:rPr>
                <w:color w:val="000000"/>
              </w:rPr>
            </w:pPr>
            <w:r>
              <w:rPr>
                <w:color w:val="000000"/>
              </w:rPr>
              <w:t>6</w:t>
            </w:r>
          </w:p>
        </w:tc>
        <w:tc>
          <w:tcPr>
            <w:tcW w:w="1417" w:type="dxa"/>
            <w:tcBorders>
              <w:top w:val="nil"/>
              <w:left w:val="nil"/>
              <w:bottom w:val="nil"/>
              <w:right w:val="nil"/>
              <w:tl2br w:val="nil"/>
              <w:tr2bl w:val="nil"/>
            </w:tcBorders>
            <w:shd w:val="clear" w:color="auto" w:fill="FFFFFF"/>
          </w:tcPr>
          <w:p w14:paraId="70515F99"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7CCD51E9" w14:textId="77777777" w:rsidR="00AD119C" w:rsidRDefault="004036ED">
            <w:pPr>
              <w:adjustRightInd w:val="0"/>
              <w:rPr>
                <w:color w:val="000000"/>
              </w:rPr>
            </w:pPr>
            <w:r>
              <w:rPr>
                <w:color w:val="000000"/>
              </w:rPr>
              <w:t>6</w:t>
            </w:r>
          </w:p>
        </w:tc>
      </w:tr>
      <w:tr w:rsidR="00AD119C" w14:paraId="728CFDD3" w14:textId="77777777">
        <w:trPr>
          <w:cantSplit/>
        </w:trPr>
        <w:tc>
          <w:tcPr>
            <w:tcW w:w="5529" w:type="dxa"/>
            <w:tcBorders>
              <w:top w:val="nil"/>
              <w:left w:val="nil"/>
              <w:bottom w:val="nil"/>
              <w:right w:val="nil"/>
              <w:tl2br w:val="nil"/>
              <w:tr2bl w:val="nil"/>
            </w:tcBorders>
            <w:shd w:val="clear" w:color="auto" w:fill="FFFFFF"/>
          </w:tcPr>
          <w:p w14:paraId="190DF4AF" w14:textId="77777777" w:rsidR="00AD119C" w:rsidRDefault="004036ED">
            <w:pPr>
              <w:pStyle w:val="Compact"/>
              <w:spacing w:line="480" w:lineRule="auto"/>
              <w:rPr>
                <w:color w:val="000000"/>
                <w:sz w:val="24"/>
                <w:lang w:val="en-US"/>
              </w:rPr>
            </w:pPr>
            <w:r>
              <w:rPr>
                <w:sz w:val="24"/>
                <w:lang w:val="en-US"/>
              </w:rPr>
              <w:t xml:space="preserve">   Hyperuric</w:t>
            </w:r>
            <w:r>
              <w:rPr>
                <w:rFonts w:hint="eastAsia"/>
                <w:sz w:val="24"/>
                <w:lang w:val="en-US" w:eastAsia="zh-CN"/>
              </w:rPr>
              <w:t>a</w:t>
            </w:r>
            <w:r>
              <w:rPr>
                <w:sz w:val="24"/>
                <w:lang w:val="en-US"/>
              </w:rPr>
              <w:t>emia</w:t>
            </w:r>
          </w:p>
        </w:tc>
        <w:tc>
          <w:tcPr>
            <w:tcW w:w="1701" w:type="dxa"/>
            <w:tcBorders>
              <w:top w:val="nil"/>
              <w:left w:val="nil"/>
              <w:bottom w:val="nil"/>
              <w:right w:val="nil"/>
              <w:tl2br w:val="nil"/>
              <w:tr2bl w:val="nil"/>
            </w:tcBorders>
            <w:shd w:val="clear" w:color="auto" w:fill="FFFFFF"/>
          </w:tcPr>
          <w:p w14:paraId="4770ADD3"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48C93FBC"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6B9EDF18" w14:textId="77777777" w:rsidR="00AD119C" w:rsidRDefault="004036ED">
            <w:pPr>
              <w:adjustRightInd w:val="0"/>
              <w:rPr>
                <w:color w:val="000000"/>
              </w:rPr>
            </w:pPr>
            <w:r>
              <w:rPr>
                <w:color w:val="000000"/>
              </w:rPr>
              <w:t>2 (18.2)</w:t>
            </w:r>
          </w:p>
        </w:tc>
        <w:tc>
          <w:tcPr>
            <w:tcW w:w="993" w:type="dxa"/>
            <w:tcBorders>
              <w:top w:val="nil"/>
              <w:left w:val="nil"/>
              <w:bottom w:val="nil"/>
              <w:right w:val="nil"/>
              <w:tl2br w:val="nil"/>
              <w:tr2bl w:val="nil"/>
            </w:tcBorders>
            <w:shd w:val="clear" w:color="auto" w:fill="FFFFFF"/>
          </w:tcPr>
          <w:p w14:paraId="48E186B7" w14:textId="77777777" w:rsidR="00AD119C" w:rsidRDefault="004036ED">
            <w:pPr>
              <w:adjustRightInd w:val="0"/>
              <w:rPr>
                <w:color w:val="000000"/>
              </w:rPr>
            </w:pPr>
            <w:r>
              <w:rPr>
                <w:color w:val="000000"/>
              </w:rPr>
              <w:t>6</w:t>
            </w:r>
          </w:p>
        </w:tc>
        <w:tc>
          <w:tcPr>
            <w:tcW w:w="1417" w:type="dxa"/>
            <w:tcBorders>
              <w:top w:val="nil"/>
              <w:left w:val="nil"/>
              <w:bottom w:val="nil"/>
              <w:right w:val="nil"/>
              <w:tl2br w:val="nil"/>
              <w:tr2bl w:val="nil"/>
            </w:tcBorders>
            <w:shd w:val="clear" w:color="auto" w:fill="FFFFFF"/>
          </w:tcPr>
          <w:p w14:paraId="0EFA0302"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2852261D" w14:textId="77777777" w:rsidR="00AD119C" w:rsidRDefault="004036ED">
            <w:pPr>
              <w:adjustRightInd w:val="0"/>
              <w:rPr>
                <w:color w:val="000000"/>
              </w:rPr>
            </w:pPr>
            <w:r>
              <w:rPr>
                <w:color w:val="000000"/>
              </w:rPr>
              <w:t>6</w:t>
            </w:r>
          </w:p>
        </w:tc>
      </w:tr>
      <w:tr w:rsidR="00AD119C" w14:paraId="76155B8A" w14:textId="77777777">
        <w:trPr>
          <w:cantSplit/>
        </w:trPr>
        <w:tc>
          <w:tcPr>
            <w:tcW w:w="5529" w:type="dxa"/>
            <w:tcBorders>
              <w:top w:val="nil"/>
              <w:left w:val="nil"/>
              <w:bottom w:val="nil"/>
              <w:right w:val="nil"/>
              <w:tl2br w:val="nil"/>
              <w:tr2bl w:val="nil"/>
            </w:tcBorders>
            <w:shd w:val="clear" w:color="auto" w:fill="FFFFFF"/>
          </w:tcPr>
          <w:p w14:paraId="25F278F2" w14:textId="77777777" w:rsidR="00AD119C" w:rsidRDefault="004036ED">
            <w:pPr>
              <w:pStyle w:val="Compact"/>
              <w:spacing w:line="480" w:lineRule="auto"/>
              <w:rPr>
                <w:b/>
                <w:bCs/>
                <w:color w:val="000000"/>
                <w:sz w:val="24"/>
                <w:lang w:val="en-US"/>
              </w:rPr>
            </w:pPr>
            <w:r>
              <w:rPr>
                <w:b/>
                <w:bCs/>
                <w:sz w:val="24"/>
                <w:lang w:val="en-US"/>
              </w:rPr>
              <w:t>Hepatobiliary disorders</w:t>
            </w:r>
          </w:p>
        </w:tc>
        <w:tc>
          <w:tcPr>
            <w:tcW w:w="1701" w:type="dxa"/>
            <w:tcBorders>
              <w:top w:val="nil"/>
              <w:left w:val="nil"/>
              <w:bottom w:val="nil"/>
              <w:right w:val="nil"/>
              <w:tl2br w:val="nil"/>
              <w:tr2bl w:val="nil"/>
            </w:tcBorders>
            <w:shd w:val="clear" w:color="auto" w:fill="FFFFFF"/>
          </w:tcPr>
          <w:p w14:paraId="6216A7F7"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1A369695"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3B3BA287" w14:textId="77777777" w:rsidR="00AD119C" w:rsidRDefault="004036ED">
            <w:pPr>
              <w:adjustRightInd w:val="0"/>
              <w:rPr>
                <w:color w:val="000000"/>
              </w:rPr>
            </w:pPr>
            <w:r>
              <w:rPr>
                <w:color w:val="000000"/>
              </w:rPr>
              <w:t>2 (18.2)</w:t>
            </w:r>
          </w:p>
        </w:tc>
        <w:tc>
          <w:tcPr>
            <w:tcW w:w="993" w:type="dxa"/>
            <w:tcBorders>
              <w:top w:val="nil"/>
              <w:left w:val="nil"/>
              <w:bottom w:val="nil"/>
              <w:right w:val="nil"/>
              <w:tl2br w:val="nil"/>
              <w:tr2bl w:val="nil"/>
            </w:tcBorders>
            <w:shd w:val="clear" w:color="auto" w:fill="FFFFFF"/>
          </w:tcPr>
          <w:p w14:paraId="79D6EB0F" w14:textId="77777777" w:rsidR="00AD119C" w:rsidRDefault="004036ED">
            <w:pPr>
              <w:adjustRightInd w:val="0"/>
              <w:rPr>
                <w:color w:val="000000"/>
              </w:rPr>
            </w:pPr>
            <w:r>
              <w:rPr>
                <w:color w:val="000000"/>
              </w:rPr>
              <w:t>2</w:t>
            </w:r>
          </w:p>
        </w:tc>
        <w:tc>
          <w:tcPr>
            <w:tcW w:w="1417" w:type="dxa"/>
            <w:tcBorders>
              <w:top w:val="nil"/>
              <w:left w:val="nil"/>
              <w:bottom w:val="nil"/>
              <w:right w:val="nil"/>
              <w:tl2br w:val="nil"/>
              <w:tr2bl w:val="nil"/>
            </w:tcBorders>
            <w:shd w:val="clear" w:color="auto" w:fill="FFFFFF"/>
          </w:tcPr>
          <w:p w14:paraId="45048C5E"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5A89DDF8" w14:textId="77777777" w:rsidR="00AD119C" w:rsidRDefault="004036ED">
            <w:pPr>
              <w:adjustRightInd w:val="0"/>
              <w:rPr>
                <w:color w:val="000000"/>
              </w:rPr>
            </w:pPr>
            <w:r>
              <w:rPr>
                <w:color w:val="000000"/>
              </w:rPr>
              <w:t>2</w:t>
            </w:r>
          </w:p>
        </w:tc>
      </w:tr>
      <w:tr w:rsidR="00AD119C" w14:paraId="644B7955" w14:textId="77777777">
        <w:trPr>
          <w:cantSplit/>
        </w:trPr>
        <w:tc>
          <w:tcPr>
            <w:tcW w:w="5529" w:type="dxa"/>
            <w:tcBorders>
              <w:top w:val="nil"/>
              <w:left w:val="nil"/>
              <w:bottom w:val="nil"/>
              <w:right w:val="nil"/>
              <w:tl2br w:val="nil"/>
              <w:tr2bl w:val="nil"/>
            </w:tcBorders>
            <w:shd w:val="clear" w:color="auto" w:fill="FFFFFF"/>
          </w:tcPr>
          <w:p w14:paraId="2C65C547" w14:textId="77777777" w:rsidR="00AD119C" w:rsidRDefault="004036ED">
            <w:pPr>
              <w:pStyle w:val="Compact"/>
              <w:spacing w:line="480" w:lineRule="auto"/>
              <w:rPr>
                <w:color w:val="000000"/>
                <w:sz w:val="24"/>
                <w:lang w:val="en-US"/>
              </w:rPr>
            </w:pPr>
            <w:r>
              <w:rPr>
                <w:sz w:val="24"/>
                <w:lang w:val="en-US"/>
              </w:rPr>
              <w:t xml:space="preserve">   Hepatic function abnormal</w:t>
            </w:r>
          </w:p>
        </w:tc>
        <w:tc>
          <w:tcPr>
            <w:tcW w:w="1701" w:type="dxa"/>
            <w:tcBorders>
              <w:top w:val="nil"/>
              <w:left w:val="nil"/>
              <w:bottom w:val="nil"/>
              <w:right w:val="nil"/>
              <w:tl2br w:val="nil"/>
              <w:tr2bl w:val="nil"/>
            </w:tcBorders>
            <w:shd w:val="clear" w:color="auto" w:fill="FFFFFF"/>
          </w:tcPr>
          <w:p w14:paraId="574E1048"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68D36BAD"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11D6BDAB" w14:textId="77777777" w:rsidR="00AD119C" w:rsidRDefault="004036ED">
            <w:pPr>
              <w:adjustRightInd w:val="0"/>
              <w:rPr>
                <w:color w:val="000000"/>
              </w:rPr>
            </w:pPr>
            <w:r>
              <w:rPr>
                <w:color w:val="000000"/>
              </w:rPr>
              <w:t>2 (18.2)</w:t>
            </w:r>
          </w:p>
        </w:tc>
        <w:tc>
          <w:tcPr>
            <w:tcW w:w="993" w:type="dxa"/>
            <w:tcBorders>
              <w:top w:val="nil"/>
              <w:left w:val="nil"/>
              <w:bottom w:val="nil"/>
              <w:right w:val="nil"/>
              <w:tl2br w:val="nil"/>
              <w:tr2bl w:val="nil"/>
            </w:tcBorders>
            <w:shd w:val="clear" w:color="auto" w:fill="FFFFFF"/>
          </w:tcPr>
          <w:p w14:paraId="7636F939" w14:textId="77777777" w:rsidR="00AD119C" w:rsidRDefault="004036ED">
            <w:pPr>
              <w:adjustRightInd w:val="0"/>
              <w:rPr>
                <w:color w:val="000000"/>
              </w:rPr>
            </w:pPr>
            <w:r>
              <w:rPr>
                <w:color w:val="000000"/>
              </w:rPr>
              <w:t>2</w:t>
            </w:r>
          </w:p>
        </w:tc>
        <w:tc>
          <w:tcPr>
            <w:tcW w:w="1417" w:type="dxa"/>
            <w:tcBorders>
              <w:top w:val="nil"/>
              <w:left w:val="nil"/>
              <w:bottom w:val="nil"/>
              <w:right w:val="nil"/>
              <w:tl2br w:val="nil"/>
              <w:tr2bl w:val="nil"/>
            </w:tcBorders>
            <w:shd w:val="clear" w:color="auto" w:fill="FFFFFF"/>
          </w:tcPr>
          <w:p w14:paraId="3603F113" w14:textId="77777777" w:rsidR="00AD119C" w:rsidRDefault="004036ED">
            <w:pPr>
              <w:adjustRightInd w:val="0"/>
              <w:rPr>
                <w:color w:val="000000"/>
              </w:rPr>
            </w:pPr>
            <w:r>
              <w:rPr>
                <w:color w:val="000000"/>
              </w:rPr>
              <w:t>2 (18.2)</w:t>
            </w:r>
          </w:p>
        </w:tc>
        <w:tc>
          <w:tcPr>
            <w:tcW w:w="992" w:type="dxa"/>
            <w:tcBorders>
              <w:top w:val="nil"/>
              <w:left w:val="nil"/>
              <w:bottom w:val="nil"/>
              <w:right w:val="nil"/>
              <w:tl2br w:val="nil"/>
              <w:tr2bl w:val="nil"/>
            </w:tcBorders>
            <w:shd w:val="clear" w:color="auto" w:fill="FFFFFF"/>
          </w:tcPr>
          <w:p w14:paraId="504438FF" w14:textId="77777777" w:rsidR="00AD119C" w:rsidRDefault="004036ED">
            <w:pPr>
              <w:adjustRightInd w:val="0"/>
              <w:rPr>
                <w:color w:val="000000"/>
              </w:rPr>
            </w:pPr>
            <w:r>
              <w:rPr>
                <w:color w:val="000000"/>
              </w:rPr>
              <w:t>2</w:t>
            </w:r>
          </w:p>
        </w:tc>
      </w:tr>
      <w:tr w:rsidR="00AD119C" w14:paraId="1B7EE031" w14:textId="77777777">
        <w:trPr>
          <w:cantSplit/>
        </w:trPr>
        <w:tc>
          <w:tcPr>
            <w:tcW w:w="5529" w:type="dxa"/>
            <w:tcBorders>
              <w:top w:val="nil"/>
              <w:left w:val="nil"/>
              <w:bottom w:val="nil"/>
              <w:right w:val="nil"/>
              <w:tl2br w:val="nil"/>
              <w:tr2bl w:val="nil"/>
            </w:tcBorders>
            <w:shd w:val="clear" w:color="auto" w:fill="FFFFFF"/>
          </w:tcPr>
          <w:p w14:paraId="3E7AA4E5" w14:textId="77777777" w:rsidR="00AD119C" w:rsidRDefault="004036ED">
            <w:pPr>
              <w:pStyle w:val="Compact"/>
              <w:spacing w:line="480" w:lineRule="auto"/>
              <w:rPr>
                <w:b/>
                <w:bCs/>
                <w:color w:val="000000"/>
                <w:sz w:val="24"/>
                <w:lang w:val="en-US" w:eastAsia="zh-CN"/>
              </w:rPr>
            </w:pPr>
            <w:r>
              <w:rPr>
                <w:rFonts w:hint="eastAsia"/>
                <w:b/>
                <w:bCs/>
                <w:sz w:val="24"/>
                <w:lang w:val="en-US" w:eastAsia="zh-CN"/>
              </w:rPr>
              <w:t>I</w:t>
            </w:r>
            <w:r>
              <w:rPr>
                <w:b/>
                <w:bCs/>
                <w:sz w:val="24"/>
                <w:lang w:val="en-US"/>
              </w:rPr>
              <w:t>mmune system disorder</w:t>
            </w:r>
            <w:r>
              <w:rPr>
                <w:rFonts w:hint="eastAsia"/>
                <w:b/>
                <w:bCs/>
                <w:sz w:val="24"/>
                <w:lang w:val="en-US" w:eastAsia="zh-CN"/>
              </w:rPr>
              <w:t>s</w:t>
            </w:r>
          </w:p>
        </w:tc>
        <w:tc>
          <w:tcPr>
            <w:tcW w:w="1701" w:type="dxa"/>
            <w:tcBorders>
              <w:top w:val="nil"/>
              <w:left w:val="nil"/>
              <w:bottom w:val="nil"/>
              <w:right w:val="nil"/>
              <w:tl2br w:val="nil"/>
              <w:tr2bl w:val="nil"/>
            </w:tcBorders>
            <w:shd w:val="clear" w:color="auto" w:fill="FFFFFF"/>
          </w:tcPr>
          <w:p w14:paraId="0214B811"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6FE6139A"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688AFA53"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36B22AFA"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6C279714"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45DBC770" w14:textId="77777777" w:rsidR="00AD119C" w:rsidRDefault="004036ED">
            <w:pPr>
              <w:adjustRightInd w:val="0"/>
              <w:rPr>
                <w:color w:val="000000"/>
              </w:rPr>
            </w:pPr>
            <w:r>
              <w:rPr>
                <w:color w:val="000000"/>
              </w:rPr>
              <w:t>1</w:t>
            </w:r>
          </w:p>
        </w:tc>
      </w:tr>
      <w:tr w:rsidR="00AD119C" w14:paraId="16058939" w14:textId="77777777">
        <w:trPr>
          <w:cantSplit/>
        </w:trPr>
        <w:tc>
          <w:tcPr>
            <w:tcW w:w="5529" w:type="dxa"/>
            <w:tcBorders>
              <w:top w:val="nil"/>
              <w:left w:val="nil"/>
              <w:bottom w:val="nil"/>
              <w:right w:val="nil"/>
              <w:tl2br w:val="nil"/>
              <w:tr2bl w:val="nil"/>
            </w:tcBorders>
            <w:shd w:val="clear" w:color="auto" w:fill="FFFFFF"/>
          </w:tcPr>
          <w:p w14:paraId="6D6B7CBB" w14:textId="77777777" w:rsidR="00AD119C" w:rsidRDefault="004036ED">
            <w:pPr>
              <w:pStyle w:val="Compact"/>
              <w:spacing w:line="480" w:lineRule="auto"/>
              <w:rPr>
                <w:color w:val="000000"/>
                <w:sz w:val="24"/>
                <w:lang w:val="en-US"/>
              </w:rPr>
            </w:pPr>
            <w:r>
              <w:rPr>
                <w:sz w:val="24"/>
                <w:lang w:val="en-US"/>
              </w:rPr>
              <w:t xml:space="preserve">   Hypogammaglobulinemia (low gamma‑globulin)</w:t>
            </w:r>
          </w:p>
        </w:tc>
        <w:tc>
          <w:tcPr>
            <w:tcW w:w="1701" w:type="dxa"/>
            <w:tcBorders>
              <w:top w:val="nil"/>
              <w:left w:val="nil"/>
              <w:bottom w:val="nil"/>
              <w:right w:val="nil"/>
              <w:tl2br w:val="nil"/>
              <w:tr2bl w:val="nil"/>
            </w:tcBorders>
            <w:shd w:val="clear" w:color="auto" w:fill="FFFFFF"/>
          </w:tcPr>
          <w:p w14:paraId="4F9D1655"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586E9338"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2512AB1B"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583AE387"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66379F23"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7EE0ED88" w14:textId="77777777" w:rsidR="00AD119C" w:rsidRDefault="004036ED">
            <w:pPr>
              <w:adjustRightInd w:val="0"/>
              <w:rPr>
                <w:color w:val="000000"/>
              </w:rPr>
            </w:pPr>
            <w:r>
              <w:rPr>
                <w:color w:val="000000"/>
              </w:rPr>
              <w:t>1</w:t>
            </w:r>
          </w:p>
        </w:tc>
      </w:tr>
      <w:tr w:rsidR="00AD119C" w14:paraId="20DB6AC6" w14:textId="77777777">
        <w:trPr>
          <w:cantSplit/>
        </w:trPr>
        <w:tc>
          <w:tcPr>
            <w:tcW w:w="5529" w:type="dxa"/>
            <w:tcBorders>
              <w:top w:val="nil"/>
              <w:left w:val="nil"/>
              <w:bottom w:val="nil"/>
              <w:right w:val="nil"/>
              <w:tl2br w:val="nil"/>
              <w:tr2bl w:val="nil"/>
            </w:tcBorders>
            <w:shd w:val="clear" w:color="auto" w:fill="FFFFFF"/>
          </w:tcPr>
          <w:p w14:paraId="6D6E0B46" w14:textId="77777777" w:rsidR="00AD119C" w:rsidRDefault="004036ED">
            <w:pPr>
              <w:pStyle w:val="Compact"/>
              <w:spacing w:line="480" w:lineRule="auto"/>
              <w:rPr>
                <w:b/>
                <w:bCs/>
                <w:color w:val="000000"/>
                <w:sz w:val="24"/>
                <w:lang w:val="en-US"/>
              </w:rPr>
            </w:pPr>
            <w:r>
              <w:rPr>
                <w:b/>
                <w:bCs/>
                <w:sz w:val="24"/>
                <w:lang w:val="en-US"/>
              </w:rPr>
              <w:lastRenderedPageBreak/>
              <w:t>Skin and subcutaneous tissue disorders</w:t>
            </w:r>
          </w:p>
        </w:tc>
        <w:tc>
          <w:tcPr>
            <w:tcW w:w="1701" w:type="dxa"/>
            <w:tcBorders>
              <w:top w:val="nil"/>
              <w:left w:val="nil"/>
              <w:bottom w:val="nil"/>
              <w:right w:val="nil"/>
              <w:tl2br w:val="nil"/>
              <w:tr2bl w:val="nil"/>
            </w:tcBorders>
            <w:shd w:val="clear" w:color="auto" w:fill="FFFFFF"/>
          </w:tcPr>
          <w:p w14:paraId="31B365C8"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4A546C1E"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23C49929"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483480B4"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213A45D2"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53954741" w14:textId="77777777" w:rsidR="00AD119C" w:rsidRDefault="004036ED">
            <w:pPr>
              <w:adjustRightInd w:val="0"/>
              <w:rPr>
                <w:color w:val="000000"/>
              </w:rPr>
            </w:pPr>
            <w:r>
              <w:rPr>
                <w:color w:val="000000"/>
              </w:rPr>
              <w:t>1</w:t>
            </w:r>
          </w:p>
        </w:tc>
      </w:tr>
      <w:tr w:rsidR="00AD119C" w14:paraId="0BD91A1C" w14:textId="77777777">
        <w:trPr>
          <w:cantSplit/>
        </w:trPr>
        <w:tc>
          <w:tcPr>
            <w:tcW w:w="5529" w:type="dxa"/>
            <w:tcBorders>
              <w:top w:val="nil"/>
              <w:left w:val="nil"/>
              <w:bottom w:val="nil"/>
              <w:right w:val="nil"/>
              <w:tl2br w:val="nil"/>
              <w:tr2bl w:val="nil"/>
            </w:tcBorders>
            <w:shd w:val="clear" w:color="auto" w:fill="FFFFFF"/>
          </w:tcPr>
          <w:p w14:paraId="1C9BDF76" w14:textId="77777777" w:rsidR="00AD119C" w:rsidRDefault="004036ED">
            <w:pPr>
              <w:pStyle w:val="Compact"/>
              <w:spacing w:line="480" w:lineRule="auto"/>
              <w:rPr>
                <w:color w:val="000000"/>
                <w:sz w:val="24"/>
                <w:lang w:val="en-US"/>
              </w:rPr>
            </w:pPr>
            <w:r>
              <w:rPr>
                <w:sz w:val="24"/>
                <w:lang w:val="en-US"/>
              </w:rPr>
              <w:t xml:space="preserve">   Alopecia</w:t>
            </w:r>
          </w:p>
        </w:tc>
        <w:tc>
          <w:tcPr>
            <w:tcW w:w="1701" w:type="dxa"/>
            <w:tcBorders>
              <w:top w:val="nil"/>
              <w:left w:val="nil"/>
              <w:bottom w:val="nil"/>
              <w:right w:val="nil"/>
              <w:tl2br w:val="nil"/>
              <w:tr2bl w:val="nil"/>
            </w:tcBorders>
            <w:shd w:val="clear" w:color="auto" w:fill="FFFFFF"/>
          </w:tcPr>
          <w:p w14:paraId="22D867D1"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63138E5F"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0049BD5D"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27F24D03"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158136B9"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191D15C6" w14:textId="77777777" w:rsidR="00AD119C" w:rsidRDefault="004036ED">
            <w:pPr>
              <w:adjustRightInd w:val="0"/>
              <w:rPr>
                <w:color w:val="000000"/>
              </w:rPr>
            </w:pPr>
            <w:r>
              <w:rPr>
                <w:color w:val="000000"/>
              </w:rPr>
              <w:t>1</w:t>
            </w:r>
          </w:p>
        </w:tc>
      </w:tr>
      <w:tr w:rsidR="00AD119C" w14:paraId="3DA955A3" w14:textId="77777777">
        <w:trPr>
          <w:cantSplit/>
        </w:trPr>
        <w:tc>
          <w:tcPr>
            <w:tcW w:w="5529" w:type="dxa"/>
            <w:tcBorders>
              <w:top w:val="nil"/>
              <w:left w:val="nil"/>
              <w:bottom w:val="nil"/>
              <w:right w:val="nil"/>
              <w:tl2br w:val="nil"/>
              <w:tr2bl w:val="nil"/>
            </w:tcBorders>
            <w:shd w:val="clear" w:color="auto" w:fill="FFFFFF"/>
          </w:tcPr>
          <w:p w14:paraId="22CB5B19" w14:textId="77777777" w:rsidR="00AD119C" w:rsidRDefault="004036ED">
            <w:pPr>
              <w:pStyle w:val="Compact"/>
              <w:spacing w:line="480" w:lineRule="auto"/>
              <w:rPr>
                <w:b/>
                <w:bCs/>
                <w:color w:val="000000"/>
                <w:sz w:val="24"/>
                <w:lang w:val="en-US"/>
              </w:rPr>
            </w:pPr>
            <w:r>
              <w:rPr>
                <w:b/>
                <w:bCs/>
                <w:sz w:val="24"/>
                <w:lang w:val="en-US"/>
              </w:rPr>
              <w:t>General disorders and administration site conditions</w:t>
            </w:r>
          </w:p>
        </w:tc>
        <w:tc>
          <w:tcPr>
            <w:tcW w:w="1701" w:type="dxa"/>
            <w:tcBorders>
              <w:top w:val="nil"/>
              <w:left w:val="nil"/>
              <w:bottom w:val="nil"/>
              <w:right w:val="nil"/>
              <w:tl2br w:val="nil"/>
              <w:tr2bl w:val="nil"/>
            </w:tcBorders>
            <w:shd w:val="clear" w:color="auto" w:fill="FFFFFF"/>
          </w:tcPr>
          <w:p w14:paraId="6E728706"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3AB2F32E"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7E280B3E"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61443A10" w14:textId="77777777" w:rsidR="00AD119C" w:rsidRDefault="004036ED">
            <w:pPr>
              <w:adjustRightInd w:val="0"/>
              <w:rPr>
                <w:color w:val="000000"/>
              </w:rPr>
            </w:pPr>
            <w:r>
              <w:rPr>
                <w:color w:val="000000"/>
              </w:rPr>
              <w:t>2</w:t>
            </w:r>
          </w:p>
        </w:tc>
        <w:tc>
          <w:tcPr>
            <w:tcW w:w="1417" w:type="dxa"/>
            <w:tcBorders>
              <w:top w:val="nil"/>
              <w:left w:val="nil"/>
              <w:bottom w:val="nil"/>
              <w:right w:val="nil"/>
              <w:tl2br w:val="nil"/>
              <w:tr2bl w:val="nil"/>
            </w:tcBorders>
            <w:shd w:val="clear" w:color="auto" w:fill="FFFFFF"/>
          </w:tcPr>
          <w:p w14:paraId="1174716D"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3B300E82" w14:textId="77777777" w:rsidR="00AD119C" w:rsidRDefault="004036ED">
            <w:pPr>
              <w:adjustRightInd w:val="0"/>
              <w:rPr>
                <w:color w:val="000000"/>
              </w:rPr>
            </w:pPr>
            <w:r>
              <w:rPr>
                <w:color w:val="000000"/>
              </w:rPr>
              <w:t>2</w:t>
            </w:r>
          </w:p>
        </w:tc>
      </w:tr>
      <w:tr w:rsidR="00AD119C" w14:paraId="380DB7F1" w14:textId="77777777">
        <w:trPr>
          <w:cantSplit/>
        </w:trPr>
        <w:tc>
          <w:tcPr>
            <w:tcW w:w="5529" w:type="dxa"/>
            <w:tcBorders>
              <w:top w:val="nil"/>
              <w:left w:val="nil"/>
              <w:bottom w:val="nil"/>
              <w:right w:val="nil"/>
              <w:tl2br w:val="nil"/>
              <w:tr2bl w:val="nil"/>
            </w:tcBorders>
            <w:shd w:val="clear" w:color="auto" w:fill="FFFFFF"/>
          </w:tcPr>
          <w:p w14:paraId="244721D6" w14:textId="77777777" w:rsidR="00AD119C" w:rsidRDefault="004036ED">
            <w:pPr>
              <w:pStyle w:val="Compact"/>
              <w:spacing w:line="480" w:lineRule="auto"/>
              <w:rPr>
                <w:color w:val="000000"/>
                <w:sz w:val="24"/>
                <w:lang w:val="en-US"/>
              </w:rPr>
            </w:pPr>
            <w:r>
              <w:rPr>
                <w:sz w:val="24"/>
                <w:lang w:val="en-US"/>
              </w:rPr>
              <w:t xml:space="preserve">   Influenza</w:t>
            </w:r>
            <w:r>
              <w:rPr>
                <w:rFonts w:hint="eastAsia"/>
                <w:sz w:val="24"/>
                <w:lang w:val="en-US" w:eastAsia="zh-CN"/>
              </w:rPr>
              <w:t xml:space="preserve"> </w:t>
            </w:r>
            <w:r>
              <w:rPr>
                <w:sz w:val="24"/>
                <w:lang w:val="en-US"/>
              </w:rPr>
              <w:t>like illness</w:t>
            </w:r>
          </w:p>
        </w:tc>
        <w:tc>
          <w:tcPr>
            <w:tcW w:w="1701" w:type="dxa"/>
            <w:tcBorders>
              <w:top w:val="nil"/>
              <w:left w:val="nil"/>
              <w:bottom w:val="nil"/>
              <w:right w:val="nil"/>
              <w:tl2br w:val="nil"/>
              <w:tr2bl w:val="nil"/>
            </w:tcBorders>
            <w:shd w:val="clear" w:color="auto" w:fill="FFFFFF"/>
          </w:tcPr>
          <w:p w14:paraId="57E9DD7E"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41E300F1"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3CA7F30B"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1223D081" w14:textId="77777777" w:rsidR="00AD119C" w:rsidRDefault="004036ED">
            <w:pPr>
              <w:adjustRightInd w:val="0"/>
              <w:rPr>
                <w:color w:val="000000"/>
              </w:rPr>
            </w:pPr>
            <w:r>
              <w:rPr>
                <w:color w:val="000000"/>
              </w:rPr>
              <w:t>2</w:t>
            </w:r>
          </w:p>
        </w:tc>
        <w:tc>
          <w:tcPr>
            <w:tcW w:w="1417" w:type="dxa"/>
            <w:tcBorders>
              <w:top w:val="nil"/>
              <w:left w:val="nil"/>
              <w:bottom w:val="nil"/>
              <w:right w:val="nil"/>
              <w:tl2br w:val="nil"/>
              <w:tr2bl w:val="nil"/>
            </w:tcBorders>
            <w:shd w:val="clear" w:color="auto" w:fill="FFFFFF"/>
          </w:tcPr>
          <w:p w14:paraId="0302A0BC"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16DD04CC" w14:textId="77777777" w:rsidR="00AD119C" w:rsidRDefault="004036ED">
            <w:pPr>
              <w:adjustRightInd w:val="0"/>
              <w:rPr>
                <w:color w:val="000000"/>
              </w:rPr>
            </w:pPr>
            <w:r>
              <w:rPr>
                <w:color w:val="000000"/>
              </w:rPr>
              <w:t>2</w:t>
            </w:r>
          </w:p>
        </w:tc>
      </w:tr>
      <w:tr w:rsidR="00AD119C" w14:paraId="545A630E" w14:textId="77777777">
        <w:trPr>
          <w:cantSplit/>
        </w:trPr>
        <w:tc>
          <w:tcPr>
            <w:tcW w:w="5529" w:type="dxa"/>
            <w:tcBorders>
              <w:top w:val="nil"/>
              <w:left w:val="nil"/>
              <w:bottom w:val="nil"/>
              <w:right w:val="nil"/>
              <w:tl2br w:val="nil"/>
              <w:tr2bl w:val="nil"/>
            </w:tcBorders>
            <w:shd w:val="clear" w:color="auto" w:fill="FFFFFF"/>
          </w:tcPr>
          <w:p w14:paraId="01565B04" w14:textId="77777777" w:rsidR="00AD119C" w:rsidRDefault="004036ED">
            <w:pPr>
              <w:pStyle w:val="Compact"/>
              <w:spacing w:line="480" w:lineRule="auto"/>
              <w:rPr>
                <w:b/>
                <w:bCs/>
                <w:color w:val="000000"/>
                <w:sz w:val="24"/>
                <w:lang w:val="en-US"/>
              </w:rPr>
            </w:pPr>
            <w:r>
              <w:rPr>
                <w:b/>
                <w:bCs/>
                <w:sz w:val="24"/>
                <w:lang w:val="en-US"/>
              </w:rPr>
              <w:t>Gastrointestinal disorders</w:t>
            </w:r>
          </w:p>
        </w:tc>
        <w:tc>
          <w:tcPr>
            <w:tcW w:w="1701" w:type="dxa"/>
            <w:tcBorders>
              <w:top w:val="nil"/>
              <w:left w:val="nil"/>
              <w:bottom w:val="nil"/>
              <w:right w:val="nil"/>
              <w:tl2br w:val="nil"/>
              <w:tr2bl w:val="nil"/>
            </w:tcBorders>
            <w:shd w:val="clear" w:color="auto" w:fill="FFFFFF"/>
          </w:tcPr>
          <w:p w14:paraId="68EE6059"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1BF32382"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59A5E3C1"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4C1F3F6D"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65D10A0B"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1F7B32D9" w14:textId="77777777" w:rsidR="00AD119C" w:rsidRDefault="004036ED">
            <w:pPr>
              <w:adjustRightInd w:val="0"/>
              <w:rPr>
                <w:color w:val="000000"/>
              </w:rPr>
            </w:pPr>
            <w:r>
              <w:rPr>
                <w:color w:val="000000"/>
              </w:rPr>
              <w:t>1</w:t>
            </w:r>
          </w:p>
        </w:tc>
      </w:tr>
      <w:tr w:rsidR="00AD119C" w14:paraId="6EC1A2EA" w14:textId="77777777">
        <w:trPr>
          <w:cantSplit/>
        </w:trPr>
        <w:tc>
          <w:tcPr>
            <w:tcW w:w="5529" w:type="dxa"/>
            <w:tcBorders>
              <w:top w:val="nil"/>
              <w:left w:val="nil"/>
              <w:bottom w:val="nil"/>
              <w:right w:val="nil"/>
              <w:tl2br w:val="nil"/>
              <w:tr2bl w:val="nil"/>
            </w:tcBorders>
            <w:shd w:val="clear" w:color="auto" w:fill="FFFFFF"/>
          </w:tcPr>
          <w:p w14:paraId="2A970114" w14:textId="77777777" w:rsidR="00AD119C" w:rsidRDefault="004036ED">
            <w:pPr>
              <w:pStyle w:val="Compact"/>
              <w:spacing w:line="480" w:lineRule="auto"/>
              <w:rPr>
                <w:color w:val="000000"/>
                <w:sz w:val="24"/>
                <w:lang w:val="en-US"/>
              </w:rPr>
            </w:pPr>
            <w:r>
              <w:rPr>
                <w:sz w:val="24"/>
                <w:lang w:val="en-US"/>
              </w:rPr>
              <w:t xml:space="preserve">   Non‑infectious gingivitis</w:t>
            </w:r>
          </w:p>
        </w:tc>
        <w:tc>
          <w:tcPr>
            <w:tcW w:w="1701" w:type="dxa"/>
            <w:tcBorders>
              <w:top w:val="nil"/>
              <w:left w:val="nil"/>
              <w:bottom w:val="nil"/>
              <w:right w:val="nil"/>
              <w:tl2br w:val="nil"/>
              <w:tr2bl w:val="nil"/>
            </w:tcBorders>
            <w:shd w:val="clear" w:color="auto" w:fill="FFFFFF"/>
          </w:tcPr>
          <w:p w14:paraId="7E1132CE"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74D7012B"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7754C408"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09F15907"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0AF1073C"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5BAF4A48" w14:textId="77777777" w:rsidR="00AD119C" w:rsidRDefault="004036ED">
            <w:pPr>
              <w:adjustRightInd w:val="0"/>
              <w:rPr>
                <w:color w:val="000000"/>
              </w:rPr>
            </w:pPr>
            <w:r>
              <w:rPr>
                <w:color w:val="000000"/>
              </w:rPr>
              <w:t>1</w:t>
            </w:r>
          </w:p>
        </w:tc>
      </w:tr>
      <w:tr w:rsidR="00AD119C" w14:paraId="1188BB43" w14:textId="77777777">
        <w:trPr>
          <w:cantSplit/>
        </w:trPr>
        <w:tc>
          <w:tcPr>
            <w:tcW w:w="5529" w:type="dxa"/>
            <w:tcBorders>
              <w:top w:val="nil"/>
              <w:left w:val="nil"/>
              <w:bottom w:val="nil"/>
              <w:right w:val="nil"/>
              <w:tl2br w:val="nil"/>
              <w:tr2bl w:val="nil"/>
            </w:tcBorders>
            <w:shd w:val="clear" w:color="auto" w:fill="FFFFFF"/>
          </w:tcPr>
          <w:p w14:paraId="1593E764" w14:textId="77777777" w:rsidR="00AD119C" w:rsidRDefault="004036ED">
            <w:pPr>
              <w:pStyle w:val="Compact"/>
              <w:spacing w:line="480" w:lineRule="auto"/>
              <w:rPr>
                <w:b/>
                <w:bCs/>
                <w:color w:val="000000"/>
                <w:sz w:val="24"/>
                <w:lang w:val="en-US" w:eastAsia="zh-CN"/>
              </w:rPr>
            </w:pPr>
            <w:r>
              <w:rPr>
                <w:rFonts w:hint="eastAsia"/>
                <w:b/>
                <w:bCs/>
                <w:sz w:val="24"/>
                <w:lang w:val="en-US" w:eastAsia="zh-CN"/>
              </w:rPr>
              <w:t>C</w:t>
            </w:r>
            <w:r>
              <w:rPr>
                <w:b/>
                <w:bCs/>
                <w:sz w:val="24"/>
                <w:lang w:val="en-US"/>
              </w:rPr>
              <w:t>ardiac disorder</w:t>
            </w:r>
            <w:r>
              <w:rPr>
                <w:rFonts w:hint="eastAsia"/>
                <w:b/>
                <w:bCs/>
                <w:sz w:val="24"/>
                <w:lang w:val="en-US" w:eastAsia="zh-CN"/>
              </w:rPr>
              <w:t>s</w:t>
            </w:r>
          </w:p>
        </w:tc>
        <w:tc>
          <w:tcPr>
            <w:tcW w:w="1701" w:type="dxa"/>
            <w:tcBorders>
              <w:top w:val="nil"/>
              <w:left w:val="nil"/>
              <w:bottom w:val="nil"/>
              <w:right w:val="nil"/>
              <w:tl2br w:val="nil"/>
              <w:tr2bl w:val="nil"/>
            </w:tcBorders>
            <w:shd w:val="clear" w:color="auto" w:fill="FFFFFF"/>
          </w:tcPr>
          <w:p w14:paraId="6620AEE2"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0EE1FFDA"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0F210951"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016F27F8"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205D09C5"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2C4C98A5" w14:textId="77777777" w:rsidR="00AD119C" w:rsidRDefault="004036ED">
            <w:pPr>
              <w:adjustRightInd w:val="0"/>
              <w:rPr>
                <w:color w:val="000000"/>
              </w:rPr>
            </w:pPr>
            <w:r>
              <w:rPr>
                <w:color w:val="000000"/>
              </w:rPr>
              <w:t>1</w:t>
            </w:r>
          </w:p>
        </w:tc>
      </w:tr>
      <w:tr w:rsidR="00AD119C" w14:paraId="19BAE03D" w14:textId="77777777">
        <w:trPr>
          <w:cantSplit/>
        </w:trPr>
        <w:tc>
          <w:tcPr>
            <w:tcW w:w="5529" w:type="dxa"/>
            <w:tcBorders>
              <w:top w:val="nil"/>
              <w:left w:val="nil"/>
              <w:bottom w:val="nil"/>
              <w:right w:val="nil"/>
              <w:tl2br w:val="nil"/>
              <w:tr2bl w:val="nil"/>
            </w:tcBorders>
            <w:shd w:val="clear" w:color="auto" w:fill="FFFFFF"/>
          </w:tcPr>
          <w:p w14:paraId="4584B5D8" w14:textId="77777777" w:rsidR="00AD119C" w:rsidRDefault="004036ED">
            <w:pPr>
              <w:pStyle w:val="Compact"/>
              <w:spacing w:line="480" w:lineRule="auto"/>
              <w:rPr>
                <w:color w:val="000000"/>
                <w:sz w:val="24"/>
                <w:lang w:val="en-US"/>
              </w:rPr>
            </w:pPr>
            <w:r>
              <w:rPr>
                <w:sz w:val="24"/>
                <w:lang w:val="en-US"/>
              </w:rPr>
              <w:t xml:space="preserve">   Sinus bradycardia</w:t>
            </w:r>
          </w:p>
        </w:tc>
        <w:tc>
          <w:tcPr>
            <w:tcW w:w="1701" w:type="dxa"/>
            <w:tcBorders>
              <w:top w:val="nil"/>
              <w:left w:val="nil"/>
              <w:bottom w:val="nil"/>
              <w:right w:val="nil"/>
              <w:tl2br w:val="nil"/>
              <w:tr2bl w:val="nil"/>
            </w:tcBorders>
            <w:shd w:val="clear" w:color="auto" w:fill="FFFFFF"/>
          </w:tcPr>
          <w:p w14:paraId="0F410004" w14:textId="77777777" w:rsidR="00AD119C" w:rsidRDefault="004036ED">
            <w:pPr>
              <w:adjustRightInd w:val="0"/>
              <w:rPr>
                <w:color w:val="000000"/>
              </w:rPr>
            </w:pPr>
            <w:r>
              <w:rPr>
                <w:color w:val="000000"/>
              </w:rPr>
              <w:t>0</w:t>
            </w:r>
          </w:p>
        </w:tc>
        <w:tc>
          <w:tcPr>
            <w:tcW w:w="992" w:type="dxa"/>
            <w:tcBorders>
              <w:top w:val="nil"/>
              <w:left w:val="nil"/>
              <w:bottom w:val="nil"/>
              <w:right w:val="nil"/>
              <w:tl2br w:val="nil"/>
              <w:tr2bl w:val="nil"/>
            </w:tcBorders>
            <w:shd w:val="clear" w:color="auto" w:fill="FFFFFF"/>
          </w:tcPr>
          <w:p w14:paraId="4BAA61D5" w14:textId="77777777" w:rsidR="00AD119C" w:rsidRDefault="004036ED">
            <w:pPr>
              <w:adjustRightInd w:val="0"/>
              <w:rPr>
                <w:color w:val="000000"/>
              </w:rPr>
            </w:pPr>
            <w:r>
              <w:rPr>
                <w:color w:val="000000"/>
              </w:rPr>
              <w:t>0</w:t>
            </w:r>
          </w:p>
        </w:tc>
        <w:tc>
          <w:tcPr>
            <w:tcW w:w="1704" w:type="dxa"/>
            <w:tcBorders>
              <w:top w:val="nil"/>
              <w:left w:val="nil"/>
              <w:bottom w:val="nil"/>
              <w:right w:val="nil"/>
              <w:tl2br w:val="nil"/>
              <w:tr2bl w:val="nil"/>
            </w:tcBorders>
            <w:shd w:val="clear" w:color="auto" w:fill="FFFFFF"/>
          </w:tcPr>
          <w:p w14:paraId="6278140D" w14:textId="77777777" w:rsidR="00AD119C" w:rsidRDefault="004036ED">
            <w:pPr>
              <w:adjustRightInd w:val="0"/>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33A6113D" w14:textId="77777777" w:rsidR="00AD119C" w:rsidRDefault="004036ED">
            <w:pPr>
              <w:adjustRightInd w:val="0"/>
              <w:rPr>
                <w:color w:val="000000"/>
              </w:rPr>
            </w:pPr>
            <w:r>
              <w:rPr>
                <w:color w:val="000000"/>
              </w:rPr>
              <w:t>1</w:t>
            </w:r>
          </w:p>
        </w:tc>
        <w:tc>
          <w:tcPr>
            <w:tcW w:w="1417" w:type="dxa"/>
            <w:tcBorders>
              <w:top w:val="nil"/>
              <w:left w:val="nil"/>
              <w:bottom w:val="nil"/>
              <w:right w:val="nil"/>
              <w:tl2br w:val="nil"/>
              <w:tr2bl w:val="nil"/>
            </w:tcBorders>
            <w:shd w:val="clear" w:color="auto" w:fill="FFFFFF"/>
          </w:tcPr>
          <w:p w14:paraId="04F014D3" w14:textId="77777777" w:rsidR="00AD119C" w:rsidRDefault="004036ED">
            <w:pPr>
              <w:adjustRightInd w:val="0"/>
              <w:rPr>
                <w:color w:val="000000"/>
              </w:rPr>
            </w:pPr>
            <w:r>
              <w:rPr>
                <w:color w:val="000000"/>
              </w:rPr>
              <w:t>1 (9.1)</w:t>
            </w:r>
          </w:p>
        </w:tc>
        <w:tc>
          <w:tcPr>
            <w:tcW w:w="992" w:type="dxa"/>
            <w:tcBorders>
              <w:top w:val="nil"/>
              <w:left w:val="nil"/>
              <w:bottom w:val="nil"/>
              <w:right w:val="nil"/>
              <w:tl2br w:val="nil"/>
              <w:tr2bl w:val="nil"/>
            </w:tcBorders>
            <w:shd w:val="clear" w:color="auto" w:fill="FFFFFF"/>
          </w:tcPr>
          <w:p w14:paraId="095B96F5" w14:textId="77777777" w:rsidR="00AD119C" w:rsidRDefault="004036ED">
            <w:pPr>
              <w:adjustRightInd w:val="0"/>
              <w:rPr>
                <w:color w:val="000000"/>
              </w:rPr>
            </w:pPr>
            <w:r>
              <w:rPr>
                <w:color w:val="000000"/>
              </w:rPr>
              <w:t>1</w:t>
            </w:r>
          </w:p>
        </w:tc>
      </w:tr>
      <w:tr w:rsidR="00AD119C" w14:paraId="1DD8B2C2" w14:textId="77777777">
        <w:trPr>
          <w:cantSplit/>
        </w:trPr>
        <w:tc>
          <w:tcPr>
            <w:tcW w:w="5529" w:type="dxa"/>
            <w:tcBorders>
              <w:top w:val="nil"/>
              <w:left w:val="nil"/>
              <w:right w:val="nil"/>
              <w:tl2br w:val="nil"/>
              <w:tr2bl w:val="nil"/>
            </w:tcBorders>
            <w:shd w:val="clear" w:color="auto" w:fill="FFFFFF"/>
          </w:tcPr>
          <w:p w14:paraId="31395695" w14:textId="77777777" w:rsidR="00AD119C" w:rsidRDefault="004036ED">
            <w:pPr>
              <w:pStyle w:val="Compact"/>
              <w:spacing w:line="480" w:lineRule="auto"/>
              <w:rPr>
                <w:b/>
                <w:bCs/>
                <w:color w:val="000000"/>
                <w:sz w:val="24"/>
                <w:lang w:val="en-US"/>
              </w:rPr>
            </w:pPr>
            <w:r>
              <w:rPr>
                <w:b/>
                <w:bCs/>
                <w:sz w:val="24"/>
                <w:lang w:val="en-US"/>
              </w:rPr>
              <w:t>Blood and lymphatic system disorders</w:t>
            </w:r>
          </w:p>
        </w:tc>
        <w:tc>
          <w:tcPr>
            <w:tcW w:w="1701" w:type="dxa"/>
            <w:tcBorders>
              <w:top w:val="nil"/>
              <w:left w:val="nil"/>
              <w:right w:val="nil"/>
              <w:tl2br w:val="nil"/>
              <w:tr2bl w:val="nil"/>
            </w:tcBorders>
            <w:shd w:val="clear" w:color="auto" w:fill="FFFFFF"/>
          </w:tcPr>
          <w:p w14:paraId="7FBB6479" w14:textId="77777777" w:rsidR="00AD119C" w:rsidRDefault="004036ED">
            <w:pPr>
              <w:adjustRightInd w:val="0"/>
              <w:rPr>
                <w:color w:val="000000"/>
              </w:rPr>
            </w:pPr>
            <w:r>
              <w:rPr>
                <w:color w:val="000000"/>
              </w:rPr>
              <w:t>0</w:t>
            </w:r>
          </w:p>
        </w:tc>
        <w:tc>
          <w:tcPr>
            <w:tcW w:w="992" w:type="dxa"/>
            <w:tcBorders>
              <w:top w:val="nil"/>
              <w:left w:val="nil"/>
              <w:right w:val="nil"/>
              <w:tl2br w:val="nil"/>
              <w:tr2bl w:val="nil"/>
            </w:tcBorders>
            <w:shd w:val="clear" w:color="auto" w:fill="FFFFFF"/>
          </w:tcPr>
          <w:p w14:paraId="530A67B3" w14:textId="77777777" w:rsidR="00AD119C" w:rsidRDefault="004036ED">
            <w:pPr>
              <w:adjustRightInd w:val="0"/>
              <w:rPr>
                <w:color w:val="000000"/>
              </w:rPr>
            </w:pPr>
            <w:r>
              <w:rPr>
                <w:color w:val="000000"/>
              </w:rPr>
              <w:t>0</w:t>
            </w:r>
          </w:p>
        </w:tc>
        <w:tc>
          <w:tcPr>
            <w:tcW w:w="1704" w:type="dxa"/>
            <w:tcBorders>
              <w:top w:val="nil"/>
              <w:left w:val="nil"/>
              <w:right w:val="nil"/>
              <w:tl2br w:val="nil"/>
              <w:tr2bl w:val="nil"/>
            </w:tcBorders>
            <w:shd w:val="clear" w:color="auto" w:fill="FFFFFF"/>
          </w:tcPr>
          <w:p w14:paraId="51390DAD" w14:textId="77777777" w:rsidR="00AD119C" w:rsidRDefault="004036ED">
            <w:pPr>
              <w:adjustRightInd w:val="0"/>
              <w:rPr>
                <w:color w:val="000000"/>
              </w:rPr>
            </w:pPr>
            <w:r>
              <w:rPr>
                <w:color w:val="000000"/>
              </w:rPr>
              <w:t>1 (9.1)</w:t>
            </w:r>
          </w:p>
        </w:tc>
        <w:tc>
          <w:tcPr>
            <w:tcW w:w="993" w:type="dxa"/>
            <w:tcBorders>
              <w:top w:val="nil"/>
              <w:left w:val="nil"/>
              <w:right w:val="nil"/>
              <w:tl2br w:val="nil"/>
              <w:tr2bl w:val="nil"/>
            </w:tcBorders>
            <w:shd w:val="clear" w:color="auto" w:fill="FFFFFF"/>
          </w:tcPr>
          <w:p w14:paraId="14CE82E9" w14:textId="77777777" w:rsidR="00AD119C" w:rsidRDefault="004036ED">
            <w:pPr>
              <w:adjustRightInd w:val="0"/>
              <w:rPr>
                <w:color w:val="000000"/>
              </w:rPr>
            </w:pPr>
            <w:r>
              <w:rPr>
                <w:color w:val="000000"/>
              </w:rPr>
              <w:t>1</w:t>
            </w:r>
          </w:p>
        </w:tc>
        <w:tc>
          <w:tcPr>
            <w:tcW w:w="1417" w:type="dxa"/>
            <w:tcBorders>
              <w:top w:val="nil"/>
              <w:left w:val="nil"/>
              <w:right w:val="nil"/>
              <w:tl2br w:val="nil"/>
              <w:tr2bl w:val="nil"/>
            </w:tcBorders>
            <w:shd w:val="clear" w:color="auto" w:fill="FFFFFF"/>
          </w:tcPr>
          <w:p w14:paraId="5180EF0C" w14:textId="77777777" w:rsidR="00AD119C" w:rsidRDefault="004036ED">
            <w:pPr>
              <w:adjustRightInd w:val="0"/>
              <w:rPr>
                <w:color w:val="000000"/>
              </w:rPr>
            </w:pPr>
            <w:r>
              <w:rPr>
                <w:color w:val="000000"/>
              </w:rPr>
              <w:t>1 (9.1)</w:t>
            </w:r>
          </w:p>
        </w:tc>
        <w:tc>
          <w:tcPr>
            <w:tcW w:w="992" w:type="dxa"/>
            <w:tcBorders>
              <w:top w:val="nil"/>
              <w:left w:val="nil"/>
              <w:right w:val="nil"/>
              <w:tl2br w:val="nil"/>
              <w:tr2bl w:val="nil"/>
            </w:tcBorders>
            <w:shd w:val="clear" w:color="auto" w:fill="FFFFFF"/>
          </w:tcPr>
          <w:p w14:paraId="5A5F875C" w14:textId="77777777" w:rsidR="00AD119C" w:rsidRDefault="004036ED">
            <w:pPr>
              <w:adjustRightInd w:val="0"/>
              <w:rPr>
                <w:color w:val="000000"/>
              </w:rPr>
            </w:pPr>
            <w:r>
              <w:rPr>
                <w:color w:val="000000"/>
              </w:rPr>
              <w:t>1</w:t>
            </w:r>
          </w:p>
        </w:tc>
      </w:tr>
      <w:tr w:rsidR="00AD119C" w14:paraId="4AF69436" w14:textId="77777777">
        <w:trPr>
          <w:cantSplit/>
        </w:trPr>
        <w:tc>
          <w:tcPr>
            <w:tcW w:w="5529" w:type="dxa"/>
            <w:tcBorders>
              <w:top w:val="nil"/>
              <w:left w:val="nil"/>
              <w:bottom w:val="single" w:sz="4" w:space="0" w:color="auto"/>
              <w:right w:val="nil"/>
              <w:tl2br w:val="nil"/>
              <w:tr2bl w:val="nil"/>
            </w:tcBorders>
            <w:shd w:val="clear" w:color="auto" w:fill="FFFFFF"/>
          </w:tcPr>
          <w:p w14:paraId="1D4E8A41" w14:textId="77777777" w:rsidR="00AD119C" w:rsidRDefault="004036ED">
            <w:pPr>
              <w:pStyle w:val="Compact"/>
              <w:spacing w:line="480" w:lineRule="auto"/>
              <w:rPr>
                <w:color w:val="000000"/>
                <w:sz w:val="24"/>
                <w:lang w:val="en-US"/>
              </w:rPr>
            </w:pPr>
            <w:r>
              <w:rPr>
                <w:sz w:val="24"/>
                <w:lang w:val="en-US"/>
              </w:rPr>
              <w:t xml:space="preserve">   An</w:t>
            </w:r>
            <w:r>
              <w:rPr>
                <w:rFonts w:hint="eastAsia"/>
                <w:sz w:val="24"/>
                <w:lang w:val="en-US" w:eastAsia="zh-CN"/>
              </w:rPr>
              <w:t>a</w:t>
            </w:r>
            <w:r>
              <w:rPr>
                <w:sz w:val="24"/>
                <w:lang w:val="en-US"/>
              </w:rPr>
              <w:t>emia</w:t>
            </w:r>
          </w:p>
        </w:tc>
        <w:tc>
          <w:tcPr>
            <w:tcW w:w="1701" w:type="dxa"/>
            <w:tcBorders>
              <w:top w:val="nil"/>
              <w:left w:val="nil"/>
              <w:bottom w:val="single" w:sz="4" w:space="0" w:color="auto"/>
              <w:right w:val="nil"/>
              <w:tl2br w:val="nil"/>
              <w:tr2bl w:val="nil"/>
            </w:tcBorders>
            <w:shd w:val="clear" w:color="auto" w:fill="FFFFFF"/>
          </w:tcPr>
          <w:p w14:paraId="691AA7EB" w14:textId="77777777" w:rsidR="00AD119C" w:rsidRDefault="004036ED">
            <w:pPr>
              <w:adjustRightInd w:val="0"/>
              <w:rPr>
                <w:color w:val="000000"/>
              </w:rPr>
            </w:pPr>
            <w:r>
              <w:rPr>
                <w:color w:val="000000"/>
              </w:rPr>
              <w:t>0</w:t>
            </w:r>
          </w:p>
        </w:tc>
        <w:tc>
          <w:tcPr>
            <w:tcW w:w="992" w:type="dxa"/>
            <w:tcBorders>
              <w:top w:val="nil"/>
              <w:left w:val="nil"/>
              <w:bottom w:val="single" w:sz="4" w:space="0" w:color="auto"/>
              <w:right w:val="nil"/>
              <w:tl2br w:val="nil"/>
              <w:tr2bl w:val="nil"/>
            </w:tcBorders>
            <w:shd w:val="clear" w:color="auto" w:fill="FFFFFF"/>
          </w:tcPr>
          <w:p w14:paraId="3EA8C713" w14:textId="77777777" w:rsidR="00AD119C" w:rsidRDefault="004036ED">
            <w:pPr>
              <w:adjustRightInd w:val="0"/>
              <w:rPr>
                <w:color w:val="000000"/>
              </w:rPr>
            </w:pPr>
            <w:r>
              <w:rPr>
                <w:color w:val="000000"/>
              </w:rPr>
              <w:t>0</w:t>
            </w:r>
          </w:p>
        </w:tc>
        <w:tc>
          <w:tcPr>
            <w:tcW w:w="1704" w:type="dxa"/>
            <w:tcBorders>
              <w:top w:val="nil"/>
              <w:left w:val="nil"/>
              <w:bottom w:val="single" w:sz="4" w:space="0" w:color="auto"/>
              <w:right w:val="nil"/>
              <w:tl2br w:val="nil"/>
              <w:tr2bl w:val="nil"/>
            </w:tcBorders>
            <w:shd w:val="clear" w:color="auto" w:fill="FFFFFF"/>
          </w:tcPr>
          <w:p w14:paraId="6BEA0289" w14:textId="77777777" w:rsidR="00AD119C" w:rsidRDefault="004036ED">
            <w:pPr>
              <w:adjustRightInd w:val="0"/>
              <w:rPr>
                <w:color w:val="000000"/>
              </w:rPr>
            </w:pPr>
            <w:r>
              <w:rPr>
                <w:color w:val="000000"/>
              </w:rPr>
              <w:t>1 (9.1)</w:t>
            </w:r>
          </w:p>
        </w:tc>
        <w:tc>
          <w:tcPr>
            <w:tcW w:w="993" w:type="dxa"/>
            <w:tcBorders>
              <w:top w:val="nil"/>
              <w:left w:val="nil"/>
              <w:bottom w:val="single" w:sz="4" w:space="0" w:color="auto"/>
              <w:right w:val="nil"/>
              <w:tl2br w:val="nil"/>
              <w:tr2bl w:val="nil"/>
            </w:tcBorders>
            <w:shd w:val="clear" w:color="auto" w:fill="FFFFFF"/>
          </w:tcPr>
          <w:p w14:paraId="0B702B6C" w14:textId="77777777" w:rsidR="00AD119C" w:rsidRDefault="004036ED">
            <w:pPr>
              <w:adjustRightInd w:val="0"/>
              <w:rPr>
                <w:color w:val="000000"/>
              </w:rPr>
            </w:pPr>
            <w:r>
              <w:rPr>
                <w:color w:val="000000"/>
              </w:rPr>
              <w:t>1</w:t>
            </w:r>
          </w:p>
        </w:tc>
        <w:tc>
          <w:tcPr>
            <w:tcW w:w="1417" w:type="dxa"/>
            <w:tcBorders>
              <w:top w:val="nil"/>
              <w:left w:val="nil"/>
              <w:bottom w:val="single" w:sz="4" w:space="0" w:color="auto"/>
              <w:right w:val="nil"/>
              <w:tl2br w:val="nil"/>
              <w:tr2bl w:val="nil"/>
            </w:tcBorders>
            <w:shd w:val="clear" w:color="auto" w:fill="FFFFFF"/>
          </w:tcPr>
          <w:p w14:paraId="693E8634" w14:textId="77777777" w:rsidR="00AD119C" w:rsidRDefault="004036ED">
            <w:pPr>
              <w:adjustRightInd w:val="0"/>
              <w:rPr>
                <w:color w:val="000000"/>
              </w:rPr>
            </w:pPr>
            <w:r>
              <w:rPr>
                <w:color w:val="000000"/>
              </w:rPr>
              <w:t>1 (9.1)</w:t>
            </w:r>
          </w:p>
        </w:tc>
        <w:tc>
          <w:tcPr>
            <w:tcW w:w="992" w:type="dxa"/>
            <w:tcBorders>
              <w:top w:val="nil"/>
              <w:left w:val="nil"/>
              <w:bottom w:val="single" w:sz="4" w:space="0" w:color="auto"/>
              <w:right w:val="nil"/>
              <w:tl2br w:val="nil"/>
              <w:tr2bl w:val="nil"/>
            </w:tcBorders>
            <w:shd w:val="clear" w:color="auto" w:fill="FFFFFF"/>
          </w:tcPr>
          <w:p w14:paraId="1EAF6D08" w14:textId="77777777" w:rsidR="00AD119C" w:rsidRDefault="004036ED">
            <w:pPr>
              <w:adjustRightInd w:val="0"/>
              <w:rPr>
                <w:color w:val="000000"/>
              </w:rPr>
            </w:pPr>
            <w:r>
              <w:rPr>
                <w:color w:val="000000"/>
              </w:rPr>
              <w:t>1</w:t>
            </w:r>
          </w:p>
        </w:tc>
      </w:tr>
    </w:tbl>
    <w:p w14:paraId="70A0C051" w14:textId="77777777" w:rsidR="00AD119C" w:rsidRDefault="00AD119C">
      <w:pPr>
        <w:adjustRightInd w:val="0"/>
        <w:rPr>
          <w:color w:val="000000"/>
          <w:shd w:val="clear" w:color="auto" w:fill="FFFFFF"/>
        </w:rPr>
      </w:pPr>
    </w:p>
    <w:p w14:paraId="61FEE86C" w14:textId="77777777" w:rsidR="00AD119C" w:rsidRDefault="004036ED">
      <w:pPr>
        <w:widowControl/>
        <w:spacing w:line="240" w:lineRule="auto"/>
        <w:jc w:val="left"/>
      </w:pPr>
      <w:r>
        <w:br w:type="page"/>
      </w:r>
    </w:p>
    <w:p w14:paraId="0B2760F6" w14:textId="77777777" w:rsidR="00AD119C" w:rsidRDefault="004036ED">
      <w:pPr>
        <w:adjustRightInd w:val="0"/>
      </w:pPr>
      <w:r>
        <w:rPr>
          <w:b/>
          <w:color w:val="000000"/>
          <w:shd w:val="clear" w:color="auto" w:fill="FFFFFF"/>
        </w:rPr>
        <w:lastRenderedPageBreak/>
        <w:t xml:space="preserve">Table S4. </w:t>
      </w:r>
      <w:r>
        <w:rPr>
          <w:b/>
          <w:bCs/>
          <w:color w:val="000000"/>
          <w:shd w:val="clear" w:color="auto" w:fill="FFFFFF"/>
        </w:rPr>
        <w:t>All TRSAEs in the SS (n=11)</w:t>
      </w:r>
    </w:p>
    <w:tbl>
      <w:tblPr>
        <w:tblW w:w="0" w:type="auto"/>
        <w:tblLayout w:type="fixed"/>
        <w:tblCellMar>
          <w:left w:w="0" w:type="dxa"/>
          <w:right w:w="0" w:type="dxa"/>
        </w:tblCellMar>
        <w:tblLook w:val="04A0" w:firstRow="1" w:lastRow="0" w:firstColumn="1" w:lastColumn="0" w:noHBand="0" w:noVBand="1"/>
      </w:tblPr>
      <w:tblGrid>
        <w:gridCol w:w="4536"/>
        <w:gridCol w:w="1701"/>
        <w:gridCol w:w="993"/>
        <w:gridCol w:w="1559"/>
        <w:gridCol w:w="1279"/>
        <w:gridCol w:w="1417"/>
        <w:gridCol w:w="993"/>
      </w:tblGrid>
      <w:tr w:rsidR="00AD119C" w14:paraId="2C2017BB" w14:textId="77777777">
        <w:trPr>
          <w:cantSplit/>
          <w:tblHeader/>
        </w:trPr>
        <w:tc>
          <w:tcPr>
            <w:tcW w:w="4536" w:type="dxa"/>
            <w:vMerge w:val="restart"/>
            <w:tcBorders>
              <w:top w:val="single" w:sz="6" w:space="0" w:color="000000"/>
              <w:left w:val="nil"/>
              <w:right w:val="nil"/>
              <w:tl2br w:val="nil"/>
              <w:tr2bl w:val="nil"/>
            </w:tcBorders>
            <w:shd w:val="clear" w:color="auto" w:fill="FFFFFF"/>
          </w:tcPr>
          <w:p w14:paraId="00BF7C29" w14:textId="77777777" w:rsidR="00AD119C" w:rsidRDefault="00AD119C">
            <w:pPr>
              <w:keepNext/>
              <w:adjustRightInd w:val="0"/>
              <w:jc w:val="left"/>
              <w:rPr>
                <w:b/>
                <w:bCs/>
              </w:rPr>
            </w:pPr>
          </w:p>
          <w:p w14:paraId="4D0AEC9D" w14:textId="77777777" w:rsidR="00AD119C" w:rsidRDefault="004036ED">
            <w:pPr>
              <w:keepNext/>
              <w:adjustRightInd w:val="0"/>
              <w:jc w:val="left"/>
              <w:rPr>
                <w:b/>
                <w:bCs/>
              </w:rPr>
            </w:pPr>
            <w:r>
              <w:rPr>
                <w:b/>
                <w:bCs/>
              </w:rPr>
              <w:t>System organ class (SOC)</w:t>
            </w:r>
          </w:p>
          <w:p w14:paraId="372413F6" w14:textId="77777777" w:rsidR="00AD119C" w:rsidRDefault="004036ED">
            <w:pPr>
              <w:keepNext/>
              <w:adjustRightInd w:val="0"/>
              <w:ind w:firstLineChars="100" w:firstLine="240"/>
              <w:jc w:val="left"/>
              <w:rPr>
                <w:b/>
                <w:color w:val="000000"/>
              </w:rPr>
            </w:pPr>
            <w:r>
              <w:rPr>
                <w:rFonts w:hint="eastAsia"/>
                <w:b/>
                <w:bCs/>
              </w:rPr>
              <w:t>P</w:t>
            </w:r>
            <w:r>
              <w:rPr>
                <w:b/>
                <w:bCs/>
              </w:rPr>
              <w:t>referred term (PT)</w:t>
            </w:r>
          </w:p>
        </w:tc>
        <w:tc>
          <w:tcPr>
            <w:tcW w:w="2694" w:type="dxa"/>
            <w:gridSpan w:val="2"/>
            <w:tcBorders>
              <w:top w:val="single" w:sz="6" w:space="0" w:color="000000"/>
              <w:left w:val="nil"/>
              <w:bottom w:val="nil"/>
              <w:right w:val="nil"/>
              <w:tl2br w:val="nil"/>
              <w:tr2bl w:val="nil"/>
            </w:tcBorders>
            <w:shd w:val="clear" w:color="auto" w:fill="FFFFFF"/>
          </w:tcPr>
          <w:p w14:paraId="7E1E89E6" w14:textId="77777777" w:rsidR="00AD119C" w:rsidRDefault="004036ED">
            <w:pPr>
              <w:keepNext/>
              <w:pBdr>
                <w:bottom w:val="single" w:sz="6" w:space="0" w:color="auto"/>
              </w:pBdr>
              <w:adjustRightInd w:val="0"/>
              <w:jc w:val="left"/>
              <w:rPr>
                <w:b/>
                <w:color w:val="000000"/>
              </w:rPr>
            </w:pPr>
            <w:r>
              <w:rPr>
                <w:rFonts w:eastAsia="宋体" w:cs="Times New Roman" w:hint="eastAsia"/>
                <w:b/>
                <w:bCs/>
                <w:szCs w:val="24"/>
              </w:rPr>
              <w:t>O</w:t>
            </w:r>
            <w:r>
              <w:rPr>
                <w:rFonts w:eastAsia="宋体" w:cs="Times New Roman"/>
                <w:b/>
                <w:bCs/>
                <w:szCs w:val="24"/>
              </w:rPr>
              <w:t>binutuzumab β</w:t>
            </w:r>
            <w:r>
              <w:rPr>
                <w:rFonts w:hint="eastAsia"/>
                <w:b/>
                <w:color w:val="000000"/>
              </w:rPr>
              <w:t xml:space="preserve"> </w:t>
            </w:r>
            <w:r>
              <w:rPr>
                <w:b/>
                <w:color w:val="000000"/>
              </w:rPr>
              <w:t>500</w:t>
            </w:r>
            <w:r>
              <w:rPr>
                <w:rFonts w:hint="eastAsia"/>
                <w:b/>
                <w:color w:val="000000"/>
              </w:rPr>
              <w:t xml:space="preserve"> </w:t>
            </w:r>
            <w:r>
              <w:rPr>
                <w:b/>
                <w:color w:val="000000"/>
              </w:rPr>
              <w:t>mg (n=3)</w:t>
            </w:r>
          </w:p>
        </w:tc>
        <w:tc>
          <w:tcPr>
            <w:tcW w:w="2838" w:type="dxa"/>
            <w:gridSpan w:val="2"/>
            <w:tcBorders>
              <w:top w:val="single" w:sz="6" w:space="0" w:color="000000"/>
              <w:left w:val="nil"/>
              <w:bottom w:val="nil"/>
              <w:right w:val="nil"/>
              <w:tl2br w:val="nil"/>
              <w:tr2bl w:val="nil"/>
            </w:tcBorders>
            <w:shd w:val="clear" w:color="auto" w:fill="FFFFFF"/>
          </w:tcPr>
          <w:p w14:paraId="749D2BF8" w14:textId="77777777" w:rsidR="00AD119C" w:rsidRDefault="004036ED">
            <w:pPr>
              <w:keepNext/>
              <w:pBdr>
                <w:bottom w:val="single" w:sz="6" w:space="0" w:color="auto"/>
              </w:pBdr>
              <w:adjustRightInd w:val="0"/>
              <w:jc w:val="left"/>
              <w:rPr>
                <w:b/>
                <w:color w:val="000000"/>
              </w:rPr>
            </w:pPr>
            <w:r>
              <w:rPr>
                <w:rFonts w:eastAsia="宋体" w:cs="Times New Roman" w:hint="eastAsia"/>
                <w:b/>
                <w:bCs/>
                <w:szCs w:val="24"/>
              </w:rPr>
              <w:t>O</w:t>
            </w:r>
            <w:r>
              <w:rPr>
                <w:rFonts w:eastAsia="宋体" w:cs="Times New Roman"/>
                <w:b/>
                <w:bCs/>
                <w:szCs w:val="24"/>
              </w:rPr>
              <w:t>binutuzumab β</w:t>
            </w:r>
            <w:r>
              <w:rPr>
                <w:b/>
                <w:color w:val="000000"/>
              </w:rPr>
              <w:t xml:space="preserve"> 1000</w:t>
            </w:r>
            <w:r>
              <w:rPr>
                <w:rFonts w:hint="eastAsia"/>
                <w:b/>
                <w:color w:val="000000"/>
              </w:rPr>
              <w:t xml:space="preserve"> </w:t>
            </w:r>
            <w:r>
              <w:rPr>
                <w:b/>
                <w:color w:val="000000"/>
              </w:rPr>
              <w:t>mg (n=11)</w:t>
            </w:r>
          </w:p>
        </w:tc>
        <w:tc>
          <w:tcPr>
            <w:tcW w:w="2410" w:type="dxa"/>
            <w:gridSpan w:val="2"/>
            <w:tcBorders>
              <w:top w:val="single" w:sz="6" w:space="0" w:color="000000"/>
              <w:left w:val="nil"/>
              <w:bottom w:val="nil"/>
              <w:right w:val="nil"/>
              <w:tl2br w:val="nil"/>
              <w:tr2bl w:val="nil"/>
            </w:tcBorders>
            <w:shd w:val="clear" w:color="auto" w:fill="FFFFFF"/>
          </w:tcPr>
          <w:p w14:paraId="4CACCD31" w14:textId="77777777" w:rsidR="00AD119C" w:rsidRDefault="004036ED">
            <w:pPr>
              <w:keepNext/>
              <w:pBdr>
                <w:bottom w:val="single" w:sz="6" w:space="0" w:color="auto"/>
              </w:pBdr>
              <w:adjustRightInd w:val="0"/>
              <w:jc w:val="left"/>
              <w:rPr>
                <w:b/>
                <w:color w:val="000000"/>
              </w:rPr>
            </w:pPr>
            <w:r>
              <w:rPr>
                <w:b/>
                <w:color w:val="000000"/>
              </w:rPr>
              <w:t>Total</w:t>
            </w:r>
          </w:p>
          <w:p w14:paraId="1C48B3A2" w14:textId="77777777" w:rsidR="00AD119C" w:rsidRDefault="004036ED">
            <w:pPr>
              <w:keepNext/>
              <w:pBdr>
                <w:bottom w:val="single" w:sz="6" w:space="0" w:color="auto"/>
              </w:pBdr>
              <w:adjustRightInd w:val="0"/>
              <w:jc w:val="left"/>
              <w:rPr>
                <w:b/>
                <w:color w:val="000000"/>
              </w:rPr>
            </w:pPr>
            <w:r>
              <w:rPr>
                <w:b/>
                <w:color w:val="000000"/>
              </w:rPr>
              <w:t>(n=11)</w:t>
            </w:r>
          </w:p>
        </w:tc>
      </w:tr>
      <w:tr w:rsidR="00AD119C" w14:paraId="344560B3" w14:textId="77777777">
        <w:trPr>
          <w:cantSplit/>
          <w:tblHeader/>
        </w:trPr>
        <w:tc>
          <w:tcPr>
            <w:tcW w:w="4536" w:type="dxa"/>
            <w:vMerge/>
            <w:tcBorders>
              <w:left w:val="nil"/>
              <w:bottom w:val="single" w:sz="6" w:space="0" w:color="000000"/>
              <w:right w:val="nil"/>
              <w:tl2br w:val="nil"/>
              <w:tr2bl w:val="nil"/>
            </w:tcBorders>
            <w:shd w:val="clear" w:color="auto" w:fill="FFFFFF"/>
          </w:tcPr>
          <w:p w14:paraId="663B3E84" w14:textId="77777777" w:rsidR="00AD119C" w:rsidRDefault="00AD119C">
            <w:pPr>
              <w:keepNext/>
              <w:adjustRightInd w:val="0"/>
              <w:ind w:firstLineChars="100" w:firstLine="240"/>
              <w:jc w:val="left"/>
              <w:rPr>
                <w:b/>
                <w:color w:val="000000"/>
              </w:rPr>
            </w:pPr>
          </w:p>
        </w:tc>
        <w:tc>
          <w:tcPr>
            <w:tcW w:w="1701" w:type="dxa"/>
            <w:tcBorders>
              <w:top w:val="nil"/>
              <w:left w:val="nil"/>
              <w:bottom w:val="single" w:sz="6" w:space="0" w:color="000000"/>
              <w:right w:val="nil"/>
              <w:tl2br w:val="nil"/>
              <w:tr2bl w:val="nil"/>
            </w:tcBorders>
            <w:shd w:val="clear" w:color="auto" w:fill="FFFFFF"/>
          </w:tcPr>
          <w:p w14:paraId="09DA4924" w14:textId="77777777" w:rsidR="00AD119C" w:rsidRDefault="004036ED">
            <w:pPr>
              <w:keepNext/>
              <w:adjustRightInd w:val="0"/>
              <w:jc w:val="left"/>
              <w:rPr>
                <w:b/>
                <w:color w:val="000000"/>
              </w:rPr>
            </w:pPr>
            <w:r>
              <w:rPr>
                <w:b/>
                <w:color w:val="000000"/>
              </w:rPr>
              <w:t>Patient</w:t>
            </w:r>
            <w:r>
              <w:rPr>
                <w:rFonts w:hint="eastAsia"/>
                <w:b/>
                <w:color w:val="000000"/>
              </w:rPr>
              <w:t>s</w:t>
            </w:r>
            <w:r>
              <w:rPr>
                <w:b/>
                <w:color w:val="000000"/>
              </w:rPr>
              <w:t xml:space="preserve"> (%)</w:t>
            </w:r>
          </w:p>
        </w:tc>
        <w:tc>
          <w:tcPr>
            <w:tcW w:w="993" w:type="dxa"/>
            <w:tcBorders>
              <w:top w:val="nil"/>
              <w:left w:val="nil"/>
              <w:bottom w:val="single" w:sz="6" w:space="0" w:color="000000"/>
              <w:right w:val="nil"/>
              <w:tl2br w:val="nil"/>
              <w:tr2bl w:val="nil"/>
            </w:tcBorders>
            <w:shd w:val="clear" w:color="auto" w:fill="FFFFFF"/>
          </w:tcPr>
          <w:p w14:paraId="16348EDF" w14:textId="77777777" w:rsidR="00AD119C" w:rsidRDefault="004036ED">
            <w:pPr>
              <w:keepNext/>
              <w:adjustRightInd w:val="0"/>
              <w:jc w:val="left"/>
              <w:rPr>
                <w:b/>
                <w:color w:val="000000"/>
              </w:rPr>
            </w:pPr>
            <w:r>
              <w:rPr>
                <w:b/>
                <w:color w:val="000000"/>
              </w:rPr>
              <w:t>Events</w:t>
            </w:r>
          </w:p>
        </w:tc>
        <w:tc>
          <w:tcPr>
            <w:tcW w:w="1559" w:type="dxa"/>
            <w:tcBorders>
              <w:top w:val="nil"/>
              <w:left w:val="nil"/>
              <w:bottom w:val="single" w:sz="6" w:space="0" w:color="000000"/>
              <w:right w:val="nil"/>
              <w:tl2br w:val="nil"/>
              <w:tr2bl w:val="nil"/>
            </w:tcBorders>
            <w:shd w:val="clear" w:color="auto" w:fill="FFFFFF"/>
          </w:tcPr>
          <w:p w14:paraId="7959BB9A" w14:textId="77777777" w:rsidR="00AD119C" w:rsidRDefault="004036ED">
            <w:pPr>
              <w:keepNext/>
              <w:adjustRightInd w:val="0"/>
              <w:jc w:val="left"/>
              <w:rPr>
                <w:b/>
                <w:color w:val="000000"/>
              </w:rPr>
            </w:pPr>
            <w:r>
              <w:rPr>
                <w:b/>
                <w:color w:val="000000"/>
              </w:rPr>
              <w:t>Patient</w:t>
            </w:r>
            <w:r>
              <w:rPr>
                <w:rFonts w:hint="eastAsia"/>
                <w:b/>
                <w:color w:val="000000"/>
              </w:rPr>
              <w:t>s</w:t>
            </w:r>
            <w:r>
              <w:rPr>
                <w:b/>
                <w:color w:val="000000"/>
              </w:rPr>
              <w:t xml:space="preserve"> (%)</w:t>
            </w:r>
          </w:p>
        </w:tc>
        <w:tc>
          <w:tcPr>
            <w:tcW w:w="1279" w:type="dxa"/>
            <w:tcBorders>
              <w:top w:val="nil"/>
              <w:left w:val="nil"/>
              <w:bottom w:val="single" w:sz="6" w:space="0" w:color="000000"/>
              <w:right w:val="nil"/>
              <w:tl2br w:val="nil"/>
              <w:tr2bl w:val="nil"/>
            </w:tcBorders>
            <w:shd w:val="clear" w:color="auto" w:fill="FFFFFF"/>
          </w:tcPr>
          <w:p w14:paraId="027F04CD" w14:textId="77777777" w:rsidR="00AD119C" w:rsidRDefault="004036ED">
            <w:pPr>
              <w:keepNext/>
              <w:adjustRightInd w:val="0"/>
              <w:jc w:val="left"/>
              <w:rPr>
                <w:b/>
                <w:color w:val="000000"/>
              </w:rPr>
            </w:pPr>
            <w:r>
              <w:rPr>
                <w:b/>
                <w:color w:val="000000"/>
              </w:rPr>
              <w:t>Events</w:t>
            </w:r>
          </w:p>
        </w:tc>
        <w:tc>
          <w:tcPr>
            <w:tcW w:w="1417" w:type="dxa"/>
            <w:tcBorders>
              <w:top w:val="nil"/>
              <w:left w:val="nil"/>
              <w:bottom w:val="single" w:sz="6" w:space="0" w:color="000000"/>
              <w:right w:val="nil"/>
              <w:tl2br w:val="nil"/>
              <w:tr2bl w:val="nil"/>
            </w:tcBorders>
            <w:shd w:val="clear" w:color="auto" w:fill="FFFFFF"/>
          </w:tcPr>
          <w:p w14:paraId="5DE7D7B4" w14:textId="77777777" w:rsidR="00AD119C" w:rsidRDefault="004036ED">
            <w:pPr>
              <w:keepNext/>
              <w:adjustRightInd w:val="0"/>
              <w:jc w:val="left"/>
              <w:rPr>
                <w:b/>
                <w:color w:val="000000"/>
              </w:rPr>
            </w:pPr>
            <w:r>
              <w:rPr>
                <w:b/>
                <w:color w:val="000000"/>
              </w:rPr>
              <w:t>Patient</w:t>
            </w:r>
            <w:r>
              <w:rPr>
                <w:rFonts w:hint="eastAsia"/>
                <w:b/>
                <w:color w:val="000000"/>
              </w:rPr>
              <w:t>s</w:t>
            </w:r>
            <w:r>
              <w:rPr>
                <w:b/>
                <w:color w:val="000000"/>
              </w:rPr>
              <w:t xml:space="preserve"> (%)</w:t>
            </w:r>
          </w:p>
        </w:tc>
        <w:tc>
          <w:tcPr>
            <w:tcW w:w="993" w:type="dxa"/>
            <w:tcBorders>
              <w:top w:val="nil"/>
              <w:left w:val="nil"/>
              <w:bottom w:val="single" w:sz="6" w:space="0" w:color="000000"/>
              <w:right w:val="nil"/>
              <w:tl2br w:val="nil"/>
              <w:tr2bl w:val="nil"/>
            </w:tcBorders>
            <w:shd w:val="clear" w:color="auto" w:fill="FFFFFF"/>
          </w:tcPr>
          <w:p w14:paraId="224B0D2E" w14:textId="77777777" w:rsidR="00AD119C" w:rsidRDefault="004036ED">
            <w:pPr>
              <w:keepNext/>
              <w:adjustRightInd w:val="0"/>
              <w:jc w:val="left"/>
              <w:rPr>
                <w:b/>
                <w:color w:val="000000"/>
              </w:rPr>
            </w:pPr>
            <w:r>
              <w:rPr>
                <w:b/>
                <w:color w:val="000000"/>
              </w:rPr>
              <w:t>Events</w:t>
            </w:r>
          </w:p>
        </w:tc>
      </w:tr>
      <w:tr w:rsidR="00AD119C" w14:paraId="06F123C4" w14:textId="77777777">
        <w:trPr>
          <w:cantSplit/>
        </w:trPr>
        <w:tc>
          <w:tcPr>
            <w:tcW w:w="4536" w:type="dxa"/>
            <w:tcBorders>
              <w:top w:val="nil"/>
              <w:left w:val="nil"/>
              <w:bottom w:val="nil"/>
              <w:right w:val="nil"/>
              <w:tl2br w:val="nil"/>
              <w:tr2bl w:val="nil"/>
            </w:tcBorders>
            <w:shd w:val="clear" w:color="auto" w:fill="FFFFFF"/>
          </w:tcPr>
          <w:p w14:paraId="649B7556" w14:textId="77777777" w:rsidR="00AD119C" w:rsidRDefault="004036ED">
            <w:pPr>
              <w:adjustRightInd w:val="0"/>
              <w:jc w:val="left"/>
              <w:rPr>
                <w:color w:val="000000"/>
              </w:rPr>
            </w:pPr>
            <w:r>
              <w:rPr>
                <w:b/>
                <w:bCs/>
              </w:rPr>
              <w:t>Patients with ≥1 TRSAE</w:t>
            </w:r>
          </w:p>
        </w:tc>
        <w:tc>
          <w:tcPr>
            <w:tcW w:w="1701" w:type="dxa"/>
            <w:tcBorders>
              <w:top w:val="nil"/>
              <w:left w:val="nil"/>
              <w:bottom w:val="nil"/>
              <w:right w:val="nil"/>
              <w:tl2br w:val="nil"/>
              <w:tr2bl w:val="nil"/>
            </w:tcBorders>
            <w:shd w:val="clear" w:color="auto" w:fill="FFFFFF"/>
          </w:tcPr>
          <w:p w14:paraId="3AF15AEE" w14:textId="77777777" w:rsidR="00AD119C" w:rsidRDefault="004036ED">
            <w:pPr>
              <w:adjustRightInd w:val="0"/>
              <w:jc w:val="left"/>
              <w:rPr>
                <w:color w:val="000000"/>
              </w:rPr>
            </w:pPr>
            <w:r>
              <w:rPr>
                <w:color w:val="000000"/>
              </w:rPr>
              <w:t>1 (33.3)</w:t>
            </w:r>
          </w:p>
        </w:tc>
        <w:tc>
          <w:tcPr>
            <w:tcW w:w="993" w:type="dxa"/>
            <w:tcBorders>
              <w:top w:val="nil"/>
              <w:left w:val="nil"/>
              <w:bottom w:val="nil"/>
              <w:right w:val="nil"/>
              <w:tl2br w:val="nil"/>
              <w:tr2bl w:val="nil"/>
            </w:tcBorders>
            <w:shd w:val="clear" w:color="auto" w:fill="FFFFFF"/>
          </w:tcPr>
          <w:p w14:paraId="583A2B82" w14:textId="77777777" w:rsidR="00AD119C" w:rsidRDefault="004036ED">
            <w:pPr>
              <w:adjustRightInd w:val="0"/>
              <w:jc w:val="left"/>
              <w:rPr>
                <w:color w:val="000000"/>
              </w:rPr>
            </w:pPr>
            <w:r>
              <w:rPr>
                <w:color w:val="000000"/>
              </w:rPr>
              <w:t>1</w:t>
            </w:r>
          </w:p>
        </w:tc>
        <w:tc>
          <w:tcPr>
            <w:tcW w:w="1559" w:type="dxa"/>
            <w:tcBorders>
              <w:top w:val="nil"/>
              <w:left w:val="nil"/>
              <w:bottom w:val="nil"/>
              <w:right w:val="nil"/>
              <w:tl2br w:val="nil"/>
              <w:tr2bl w:val="nil"/>
            </w:tcBorders>
            <w:shd w:val="clear" w:color="auto" w:fill="FFFFFF"/>
          </w:tcPr>
          <w:p w14:paraId="4AA40C44" w14:textId="77777777" w:rsidR="00AD119C" w:rsidRDefault="004036ED">
            <w:pPr>
              <w:adjustRightInd w:val="0"/>
              <w:jc w:val="left"/>
              <w:rPr>
                <w:color w:val="000000"/>
              </w:rPr>
            </w:pPr>
            <w:r>
              <w:rPr>
                <w:color w:val="000000"/>
              </w:rPr>
              <w:t>3 (27.3)</w:t>
            </w:r>
          </w:p>
        </w:tc>
        <w:tc>
          <w:tcPr>
            <w:tcW w:w="1279" w:type="dxa"/>
            <w:tcBorders>
              <w:top w:val="nil"/>
              <w:left w:val="nil"/>
              <w:bottom w:val="nil"/>
              <w:right w:val="nil"/>
              <w:tl2br w:val="nil"/>
              <w:tr2bl w:val="nil"/>
            </w:tcBorders>
            <w:shd w:val="clear" w:color="auto" w:fill="FFFFFF"/>
          </w:tcPr>
          <w:p w14:paraId="12777814" w14:textId="77777777" w:rsidR="00AD119C" w:rsidRDefault="004036ED">
            <w:pPr>
              <w:adjustRightInd w:val="0"/>
              <w:jc w:val="left"/>
              <w:rPr>
                <w:color w:val="000000"/>
              </w:rPr>
            </w:pPr>
            <w:r>
              <w:rPr>
                <w:color w:val="000000"/>
              </w:rPr>
              <w:t>3</w:t>
            </w:r>
          </w:p>
        </w:tc>
        <w:tc>
          <w:tcPr>
            <w:tcW w:w="1417" w:type="dxa"/>
            <w:tcBorders>
              <w:top w:val="nil"/>
              <w:left w:val="nil"/>
              <w:bottom w:val="nil"/>
              <w:right w:val="nil"/>
              <w:tl2br w:val="nil"/>
              <w:tr2bl w:val="nil"/>
            </w:tcBorders>
            <w:shd w:val="clear" w:color="auto" w:fill="FFFFFF"/>
          </w:tcPr>
          <w:p w14:paraId="0C4655E9" w14:textId="77777777" w:rsidR="00AD119C" w:rsidRDefault="004036ED">
            <w:pPr>
              <w:adjustRightInd w:val="0"/>
              <w:jc w:val="left"/>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015A796E" w14:textId="77777777" w:rsidR="00AD119C" w:rsidRDefault="004036ED">
            <w:pPr>
              <w:adjustRightInd w:val="0"/>
              <w:jc w:val="left"/>
              <w:rPr>
                <w:color w:val="000000"/>
              </w:rPr>
            </w:pPr>
            <w:r>
              <w:rPr>
                <w:color w:val="000000"/>
              </w:rPr>
              <w:t>4</w:t>
            </w:r>
          </w:p>
        </w:tc>
      </w:tr>
      <w:tr w:rsidR="00AD119C" w14:paraId="018ABD9C" w14:textId="77777777">
        <w:trPr>
          <w:cantSplit/>
        </w:trPr>
        <w:tc>
          <w:tcPr>
            <w:tcW w:w="4536" w:type="dxa"/>
            <w:tcBorders>
              <w:top w:val="nil"/>
              <w:left w:val="nil"/>
              <w:bottom w:val="nil"/>
              <w:right w:val="nil"/>
              <w:tl2br w:val="nil"/>
              <w:tr2bl w:val="nil"/>
            </w:tcBorders>
            <w:shd w:val="clear" w:color="auto" w:fill="FFFFFF"/>
          </w:tcPr>
          <w:p w14:paraId="6BF5CF86" w14:textId="77777777" w:rsidR="00AD119C" w:rsidRDefault="004036ED">
            <w:pPr>
              <w:pStyle w:val="Compact"/>
              <w:spacing w:line="480" w:lineRule="auto"/>
              <w:rPr>
                <w:b/>
                <w:bCs/>
                <w:color w:val="000000"/>
                <w:sz w:val="24"/>
                <w:lang w:val="en-US"/>
              </w:rPr>
            </w:pPr>
            <w:r>
              <w:rPr>
                <w:b/>
                <w:bCs/>
                <w:sz w:val="24"/>
                <w:lang w:val="en-US"/>
              </w:rPr>
              <w:t>Infections and infestations</w:t>
            </w:r>
          </w:p>
        </w:tc>
        <w:tc>
          <w:tcPr>
            <w:tcW w:w="1701" w:type="dxa"/>
            <w:tcBorders>
              <w:top w:val="nil"/>
              <w:left w:val="nil"/>
              <w:bottom w:val="nil"/>
              <w:right w:val="nil"/>
              <w:tl2br w:val="nil"/>
              <w:tr2bl w:val="nil"/>
            </w:tcBorders>
            <w:shd w:val="clear" w:color="auto" w:fill="FFFFFF"/>
          </w:tcPr>
          <w:p w14:paraId="50272B4C" w14:textId="77777777" w:rsidR="00AD119C" w:rsidRDefault="004036ED">
            <w:pPr>
              <w:adjustRightInd w:val="0"/>
              <w:jc w:val="left"/>
              <w:rPr>
                <w:color w:val="000000"/>
              </w:rPr>
            </w:pPr>
            <w:r>
              <w:rPr>
                <w:color w:val="000000"/>
              </w:rPr>
              <w:t>0</w:t>
            </w:r>
          </w:p>
        </w:tc>
        <w:tc>
          <w:tcPr>
            <w:tcW w:w="993" w:type="dxa"/>
            <w:tcBorders>
              <w:top w:val="nil"/>
              <w:left w:val="nil"/>
              <w:bottom w:val="nil"/>
              <w:right w:val="nil"/>
              <w:tl2br w:val="nil"/>
              <w:tr2bl w:val="nil"/>
            </w:tcBorders>
            <w:shd w:val="clear" w:color="auto" w:fill="FFFFFF"/>
          </w:tcPr>
          <w:p w14:paraId="09B4DC27" w14:textId="77777777" w:rsidR="00AD119C" w:rsidRDefault="004036ED">
            <w:pPr>
              <w:adjustRightInd w:val="0"/>
              <w:jc w:val="left"/>
              <w:rPr>
                <w:color w:val="000000"/>
              </w:rPr>
            </w:pPr>
            <w:r>
              <w:rPr>
                <w:color w:val="000000"/>
              </w:rPr>
              <w:t>0</w:t>
            </w:r>
          </w:p>
        </w:tc>
        <w:tc>
          <w:tcPr>
            <w:tcW w:w="1559" w:type="dxa"/>
            <w:tcBorders>
              <w:top w:val="nil"/>
              <w:left w:val="nil"/>
              <w:bottom w:val="nil"/>
              <w:right w:val="nil"/>
              <w:tl2br w:val="nil"/>
              <w:tr2bl w:val="nil"/>
            </w:tcBorders>
            <w:shd w:val="clear" w:color="auto" w:fill="FFFFFF"/>
          </w:tcPr>
          <w:p w14:paraId="7A6E79F7" w14:textId="77777777" w:rsidR="00AD119C" w:rsidRDefault="004036ED">
            <w:pPr>
              <w:adjustRightInd w:val="0"/>
              <w:jc w:val="left"/>
              <w:rPr>
                <w:color w:val="000000"/>
              </w:rPr>
            </w:pPr>
            <w:r>
              <w:rPr>
                <w:color w:val="000000"/>
              </w:rPr>
              <w:t>3 (27.3)</w:t>
            </w:r>
          </w:p>
        </w:tc>
        <w:tc>
          <w:tcPr>
            <w:tcW w:w="1279" w:type="dxa"/>
            <w:tcBorders>
              <w:top w:val="nil"/>
              <w:left w:val="nil"/>
              <w:bottom w:val="nil"/>
              <w:right w:val="nil"/>
              <w:tl2br w:val="nil"/>
              <w:tr2bl w:val="nil"/>
            </w:tcBorders>
            <w:shd w:val="clear" w:color="auto" w:fill="FFFFFF"/>
          </w:tcPr>
          <w:p w14:paraId="7B49E29A" w14:textId="77777777" w:rsidR="00AD119C" w:rsidRDefault="004036ED">
            <w:pPr>
              <w:adjustRightInd w:val="0"/>
              <w:jc w:val="left"/>
              <w:rPr>
                <w:color w:val="000000"/>
              </w:rPr>
            </w:pPr>
            <w:r>
              <w:rPr>
                <w:color w:val="000000"/>
              </w:rPr>
              <w:t>3</w:t>
            </w:r>
          </w:p>
        </w:tc>
        <w:tc>
          <w:tcPr>
            <w:tcW w:w="1417" w:type="dxa"/>
            <w:tcBorders>
              <w:top w:val="nil"/>
              <w:left w:val="nil"/>
              <w:bottom w:val="nil"/>
              <w:right w:val="nil"/>
              <w:tl2br w:val="nil"/>
              <w:tr2bl w:val="nil"/>
            </w:tcBorders>
            <w:shd w:val="clear" w:color="auto" w:fill="FFFFFF"/>
          </w:tcPr>
          <w:p w14:paraId="5C87211C" w14:textId="77777777" w:rsidR="00AD119C" w:rsidRDefault="004036ED">
            <w:pPr>
              <w:adjustRightInd w:val="0"/>
              <w:jc w:val="left"/>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470E100E" w14:textId="77777777" w:rsidR="00AD119C" w:rsidRDefault="004036ED">
            <w:pPr>
              <w:adjustRightInd w:val="0"/>
              <w:jc w:val="left"/>
              <w:rPr>
                <w:color w:val="000000"/>
              </w:rPr>
            </w:pPr>
            <w:r>
              <w:rPr>
                <w:color w:val="000000"/>
              </w:rPr>
              <w:t>3</w:t>
            </w:r>
          </w:p>
        </w:tc>
      </w:tr>
      <w:tr w:rsidR="00AD119C" w14:paraId="5F551708" w14:textId="77777777">
        <w:trPr>
          <w:cantSplit/>
        </w:trPr>
        <w:tc>
          <w:tcPr>
            <w:tcW w:w="4536" w:type="dxa"/>
            <w:tcBorders>
              <w:top w:val="nil"/>
              <w:left w:val="nil"/>
              <w:bottom w:val="nil"/>
              <w:right w:val="nil"/>
              <w:tl2br w:val="nil"/>
              <w:tr2bl w:val="nil"/>
            </w:tcBorders>
            <w:shd w:val="clear" w:color="auto" w:fill="FFFFFF"/>
          </w:tcPr>
          <w:p w14:paraId="4298B8F4" w14:textId="77777777" w:rsidR="00AD119C" w:rsidRDefault="004036ED">
            <w:pPr>
              <w:pStyle w:val="Compact"/>
              <w:spacing w:line="480" w:lineRule="auto"/>
              <w:rPr>
                <w:color w:val="000000"/>
                <w:sz w:val="24"/>
                <w:lang w:val="en-US"/>
              </w:rPr>
            </w:pPr>
            <w:r>
              <w:rPr>
                <w:sz w:val="24"/>
                <w:lang w:val="en-US"/>
              </w:rPr>
              <w:t xml:space="preserve">   </w:t>
            </w:r>
            <w:r>
              <w:rPr>
                <w:rFonts w:hint="eastAsia"/>
                <w:sz w:val="24"/>
                <w:lang w:val="en-US" w:eastAsia="zh-CN"/>
              </w:rPr>
              <w:t>P</w:t>
            </w:r>
            <w:r>
              <w:rPr>
                <w:sz w:val="24"/>
                <w:lang w:val="en-US"/>
              </w:rPr>
              <w:t>neumonia (serious)</w:t>
            </w:r>
          </w:p>
        </w:tc>
        <w:tc>
          <w:tcPr>
            <w:tcW w:w="1701" w:type="dxa"/>
            <w:tcBorders>
              <w:top w:val="nil"/>
              <w:left w:val="nil"/>
              <w:bottom w:val="nil"/>
              <w:right w:val="nil"/>
              <w:tl2br w:val="nil"/>
              <w:tr2bl w:val="nil"/>
            </w:tcBorders>
            <w:shd w:val="clear" w:color="auto" w:fill="FFFFFF"/>
          </w:tcPr>
          <w:p w14:paraId="77FC33B8" w14:textId="77777777" w:rsidR="00AD119C" w:rsidRDefault="004036ED">
            <w:pPr>
              <w:adjustRightInd w:val="0"/>
              <w:jc w:val="left"/>
              <w:rPr>
                <w:color w:val="000000"/>
              </w:rPr>
            </w:pPr>
            <w:r>
              <w:rPr>
                <w:color w:val="000000"/>
              </w:rPr>
              <w:t>0</w:t>
            </w:r>
          </w:p>
        </w:tc>
        <w:tc>
          <w:tcPr>
            <w:tcW w:w="993" w:type="dxa"/>
            <w:tcBorders>
              <w:top w:val="nil"/>
              <w:left w:val="nil"/>
              <w:bottom w:val="nil"/>
              <w:right w:val="nil"/>
              <w:tl2br w:val="nil"/>
              <w:tr2bl w:val="nil"/>
            </w:tcBorders>
            <w:shd w:val="clear" w:color="auto" w:fill="FFFFFF"/>
          </w:tcPr>
          <w:p w14:paraId="2158FF4D" w14:textId="77777777" w:rsidR="00AD119C" w:rsidRDefault="004036ED">
            <w:pPr>
              <w:adjustRightInd w:val="0"/>
              <w:jc w:val="left"/>
              <w:rPr>
                <w:color w:val="000000"/>
              </w:rPr>
            </w:pPr>
            <w:r>
              <w:rPr>
                <w:color w:val="000000"/>
              </w:rPr>
              <w:t>0</w:t>
            </w:r>
          </w:p>
        </w:tc>
        <w:tc>
          <w:tcPr>
            <w:tcW w:w="1559" w:type="dxa"/>
            <w:tcBorders>
              <w:top w:val="nil"/>
              <w:left w:val="nil"/>
              <w:bottom w:val="nil"/>
              <w:right w:val="nil"/>
              <w:tl2br w:val="nil"/>
              <w:tr2bl w:val="nil"/>
            </w:tcBorders>
            <w:shd w:val="clear" w:color="auto" w:fill="FFFFFF"/>
          </w:tcPr>
          <w:p w14:paraId="6E46DE59" w14:textId="77777777" w:rsidR="00AD119C" w:rsidRDefault="004036ED">
            <w:pPr>
              <w:adjustRightInd w:val="0"/>
              <w:jc w:val="left"/>
              <w:rPr>
                <w:color w:val="000000"/>
              </w:rPr>
            </w:pPr>
            <w:r>
              <w:rPr>
                <w:color w:val="000000"/>
              </w:rPr>
              <w:t>3 (27.3)</w:t>
            </w:r>
          </w:p>
        </w:tc>
        <w:tc>
          <w:tcPr>
            <w:tcW w:w="1279" w:type="dxa"/>
            <w:tcBorders>
              <w:top w:val="nil"/>
              <w:left w:val="nil"/>
              <w:bottom w:val="nil"/>
              <w:right w:val="nil"/>
              <w:tl2br w:val="nil"/>
              <w:tr2bl w:val="nil"/>
            </w:tcBorders>
            <w:shd w:val="clear" w:color="auto" w:fill="FFFFFF"/>
          </w:tcPr>
          <w:p w14:paraId="2FCCF112" w14:textId="77777777" w:rsidR="00AD119C" w:rsidRDefault="004036ED">
            <w:pPr>
              <w:adjustRightInd w:val="0"/>
              <w:jc w:val="left"/>
              <w:rPr>
                <w:color w:val="000000"/>
              </w:rPr>
            </w:pPr>
            <w:r>
              <w:rPr>
                <w:color w:val="000000"/>
              </w:rPr>
              <w:t>3</w:t>
            </w:r>
          </w:p>
        </w:tc>
        <w:tc>
          <w:tcPr>
            <w:tcW w:w="1417" w:type="dxa"/>
            <w:tcBorders>
              <w:top w:val="nil"/>
              <w:left w:val="nil"/>
              <w:bottom w:val="nil"/>
              <w:right w:val="nil"/>
              <w:tl2br w:val="nil"/>
              <w:tr2bl w:val="nil"/>
            </w:tcBorders>
            <w:shd w:val="clear" w:color="auto" w:fill="FFFFFF"/>
          </w:tcPr>
          <w:p w14:paraId="64491960" w14:textId="77777777" w:rsidR="00AD119C" w:rsidRDefault="004036ED">
            <w:pPr>
              <w:adjustRightInd w:val="0"/>
              <w:jc w:val="left"/>
              <w:rPr>
                <w:color w:val="000000"/>
              </w:rPr>
            </w:pPr>
            <w:r>
              <w:rPr>
                <w:color w:val="000000"/>
              </w:rPr>
              <w:t>3 (27.3)</w:t>
            </w:r>
          </w:p>
        </w:tc>
        <w:tc>
          <w:tcPr>
            <w:tcW w:w="993" w:type="dxa"/>
            <w:tcBorders>
              <w:top w:val="nil"/>
              <w:left w:val="nil"/>
              <w:bottom w:val="nil"/>
              <w:right w:val="nil"/>
              <w:tl2br w:val="nil"/>
              <w:tr2bl w:val="nil"/>
            </w:tcBorders>
            <w:shd w:val="clear" w:color="auto" w:fill="FFFFFF"/>
          </w:tcPr>
          <w:p w14:paraId="635F6FE9" w14:textId="77777777" w:rsidR="00AD119C" w:rsidRDefault="004036ED">
            <w:pPr>
              <w:adjustRightInd w:val="0"/>
              <w:jc w:val="left"/>
              <w:rPr>
                <w:color w:val="000000"/>
              </w:rPr>
            </w:pPr>
            <w:r>
              <w:rPr>
                <w:color w:val="000000"/>
              </w:rPr>
              <w:t>3</w:t>
            </w:r>
          </w:p>
        </w:tc>
      </w:tr>
      <w:tr w:rsidR="00AD119C" w14:paraId="4A4DC69F" w14:textId="77777777">
        <w:trPr>
          <w:cantSplit/>
        </w:trPr>
        <w:tc>
          <w:tcPr>
            <w:tcW w:w="4536" w:type="dxa"/>
            <w:tcBorders>
              <w:top w:val="nil"/>
              <w:left w:val="nil"/>
              <w:bottom w:val="nil"/>
              <w:right w:val="nil"/>
              <w:tl2br w:val="nil"/>
              <w:tr2bl w:val="nil"/>
            </w:tcBorders>
            <w:shd w:val="clear" w:color="auto" w:fill="FFFFFF"/>
          </w:tcPr>
          <w:p w14:paraId="5E61827E" w14:textId="77777777" w:rsidR="00AD119C" w:rsidRDefault="004036ED">
            <w:pPr>
              <w:adjustRightInd w:val="0"/>
              <w:jc w:val="left"/>
              <w:rPr>
                <w:b/>
                <w:bCs/>
                <w:color w:val="000000"/>
              </w:rPr>
            </w:pPr>
            <w:r>
              <w:rPr>
                <w:rFonts w:hint="eastAsia"/>
                <w:b/>
                <w:bCs/>
              </w:rPr>
              <w:t>I</w:t>
            </w:r>
            <w:r>
              <w:rPr>
                <w:b/>
                <w:bCs/>
              </w:rPr>
              <w:t>nvestigation</w:t>
            </w:r>
            <w:r>
              <w:rPr>
                <w:rFonts w:hint="eastAsia"/>
                <w:b/>
                <w:bCs/>
              </w:rPr>
              <w:t>s</w:t>
            </w:r>
          </w:p>
        </w:tc>
        <w:tc>
          <w:tcPr>
            <w:tcW w:w="1701" w:type="dxa"/>
            <w:tcBorders>
              <w:top w:val="nil"/>
              <w:left w:val="nil"/>
              <w:bottom w:val="nil"/>
              <w:right w:val="nil"/>
              <w:tl2br w:val="nil"/>
              <w:tr2bl w:val="nil"/>
            </w:tcBorders>
            <w:shd w:val="clear" w:color="auto" w:fill="FFFFFF"/>
          </w:tcPr>
          <w:p w14:paraId="5DD80DE3" w14:textId="77777777" w:rsidR="00AD119C" w:rsidRDefault="004036ED">
            <w:pPr>
              <w:adjustRightInd w:val="0"/>
              <w:jc w:val="left"/>
              <w:rPr>
                <w:color w:val="000000"/>
              </w:rPr>
            </w:pPr>
            <w:r>
              <w:rPr>
                <w:color w:val="000000"/>
              </w:rPr>
              <w:t>1 (33.3)</w:t>
            </w:r>
          </w:p>
        </w:tc>
        <w:tc>
          <w:tcPr>
            <w:tcW w:w="993" w:type="dxa"/>
            <w:tcBorders>
              <w:top w:val="nil"/>
              <w:left w:val="nil"/>
              <w:bottom w:val="nil"/>
              <w:right w:val="nil"/>
              <w:tl2br w:val="nil"/>
              <w:tr2bl w:val="nil"/>
            </w:tcBorders>
            <w:shd w:val="clear" w:color="auto" w:fill="FFFFFF"/>
          </w:tcPr>
          <w:p w14:paraId="4499AFCE" w14:textId="77777777" w:rsidR="00AD119C" w:rsidRDefault="004036ED">
            <w:pPr>
              <w:adjustRightInd w:val="0"/>
              <w:jc w:val="left"/>
              <w:rPr>
                <w:color w:val="000000"/>
              </w:rPr>
            </w:pPr>
            <w:r>
              <w:rPr>
                <w:color w:val="000000"/>
              </w:rPr>
              <w:t>1</w:t>
            </w:r>
          </w:p>
        </w:tc>
        <w:tc>
          <w:tcPr>
            <w:tcW w:w="1559" w:type="dxa"/>
            <w:tcBorders>
              <w:top w:val="nil"/>
              <w:left w:val="nil"/>
              <w:bottom w:val="nil"/>
              <w:right w:val="nil"/>
              <w:tl2br w:val="nil"/>
              <w:tr2bl w:val="nil"/>
            </w:tcBorders>
            <w:shd w:val="clear" w:color="auto" w:fill="FFFFFF"/>
          </w:tcPr>
          <w:p w14:paraId="56FA52B8" w14:textId="77777777" w:rsidR="00AD119C" w:rsidRDefault="004036ED">
            <w:pPr>
              <w:adjustRightInd w:val="0"/>
              <w:jc w:val="left"/>
              <w:rPr>
                <w:color w:val="000000"/>
              </w:rPr>
            </w:pPr>
            <w:r>
              <w:rPr>
                <w:color w:val="000000"/>
              </w:rPr>
              <w:t>0</w:t>
            </w:r>
          </w:p>
        </w:tc>
        <w:tc>
          <w:tcPr>
            <w:tcW w:w="1279" w:type="dxa"/>
            <w:tcBorders>
              <w:top w:val="nil"/>
              <w:left w:val="nil"/>
              <w:bottom w:val="nil"/>
              <w:right w:val="nil"/>
              <w:tl2br w:val="nil"/>
              <w:tr2bl w:val="nil"/>
            </w:tcBorders>
            <w:shd w:val="clear" w:color="auto" w:fill="FFFFFF"/>
          </w:tcPr>
          <w:p w14:paraId="5C44315D" w14:textId="77777777" w:rsidR="00AD119C" w:rsidRDefault="004036ED">
            <w:pPr>
              <w:adjustRightInd w:val="0"/>
              <w:jc w:val="left"/>
              <w:rPr>
                <w:color w:val="000000"/>
              </w:rPr>
            </w:pPr>
            <w:r>
              <w:rPr>
                <w:color w:val="000000"/>
              </w:rPr>
              <w:t>0</w:t>
            </w:r>
          </w:p>
        </w:tc>
        <w:tc>
          <w:tcPr>
            <w:tcW w:w="1417" w:type="dxa"/>
            <w:tcBorders>
              <w:top w:val="nil"/>
              <w:left w:val="nil"/>
              <w:bottom w:val="nil"/>
              <w:right w:val="nil"/>
              <w:tl2br w:val="nil"/>
              <w:tr2bl w:val="nil"/>
            </w:tcBorders>
            <w:shd w:val="clear" w:color="auto" w:fill="FFFFFF"/>
          </w:tcPr>
          <w:p w14:paraId="3F26926E" w14:textId="77777777" w:rsidR="00AD119C" w:rsidRDefault="004036ED">
            <w:pPr>
              <w:adjustRightInd w:val="0"/>
              <w:jc w:val="left"/>
              <w:rPr>
                <w:color w:val="000000"/>
              </w:rPr>
            </w:pPr>
            <w:r>
              <w:rPr>
                <w:color w:val="000000"/>
              </w:rPr>
              <w:t>1 (9.1)</w:t>
            </w:r>
          </w:p>
        </w:tc>
        <w:tc>
          <w:tcPr>
            <w:tcW w:w="993" w:type="dxa"/>
            <w:tcBorders>
              <w:top w:val="nil"/>
              <w:left w:val="nil"/>
              <w:bottom w:val="nil"/>
              <w:right w:val="nil"/>
              <w:tl2br w:val="nil"/>
              <w:tr2bl w:val="nil"/>
            </w:tcBorders>
            <w:shd w:val="clear" w:color="auto" w:fill="FFFFFF"/>
          </w:tcPr>
          <w:p w14:paraId="45CC510A" w14:textId="77777777" w:rsidR="00AD119C" w:rsidRDefault="004036ED">
            <w:pPr>
              <w:adjustRightInd w:val="0"/>
              <w:jc w:val="left"/>
              <w:rPr>
                <w:color w:val="000000"/>
              </w:rPr>
            </w:pPr>
            <w:r>
              <w:rPr>
                <w:color w:val="000000"/>
              </w:rPr>
              <w:t>1</w:t>
            </w:r>
          </w:p>
        </w:tc>
      </w:tr>
      <w:tr w:rsidR="00AD119C" w14:paraId="203859FE" w14:textId="77777777">
        <w:trPr>
          <w:cantSplit/>
        </w:trPr>
        <w:tc>
          <w:tcPr>
            <w:tcW w:w="4536" w:type="dxa"/>
            <w:tcBorders>
              <w:top w:val="nil"/>
              <w:left w:val="nil"/>
              <w:bottom w:val="single" w:sz="6" w:space="0" w:color="000000"/>
              <w:right w:val="nil"/>
              <w:tl2br w:val="nil"/>
              <w:tr2bl w:val="nil"/>
            </w:tcBorders>
            <w:shd w:val="clear" w:color="auto" w:fill="FFFFFF"/>
          </w:tcPr>
          <w:p w14:paraId="24C9A15F" w14:textId="77777777" w:rsidR="00AD119C" w:rsidRDefault="004036ED">
            <w:pPr>
              <w:adjustRightInd w:val="0"/>
              <w:jc w:val="left"/>
              <w:rPr>
                <w:color w:val="000000"/>
              </w:rPr>
            </w:pPr>
            <w:r>
              <w:t xml:space="preserve">   </w:t>
            </w:r>
            <w:r>
              <w:rPr>
                <w:rFonts w:hint="eastAsia"/>
              </w:rPr>
              <w:t>N</w:t>
            </w:r>
            <w:r>
              <w:t xml:space="preserve">eutrophil count </w:t>
            </w:r>
            <w:r>
              <w:rPr>
                <w:rFonts w:hint="eastAsia"/>
              </w:rPr>
              <w:t>d</w:t>
            </w:r>
            <w:r>
              <w:t>ecreased (neutropenia)</w:t>
            </w:r>
          </w:p>
        </w:tc>
        <w:tc>
          <w:tcPr>
            <w:tcW w:w="1701" w:type="dxa"/>
            <w:tcBorders>
              <w:top w:val="nil"/>
              <w:left w:val="nil"/>
              <w:bottom w:val="single" w:sz="6" w:space="0" w:color="000000"/>
              <w:right w:val="nil"/>
              <w:tl2br w:val="nil"/>
              <w:tr2bl w:val="nil"/>
            </w:tcBorders>
            <w:shd w:val="clear" w:color="auto" w:fill="FFFFFF"/>
          </w:tcPr>
          <w:p w14:paraId="66408AA8" w14:textId="77777777" w:rsidR="00AD119C" w:rsidRDefault="004036ED">
            <w:pPr>
              <w:adjustRightInd w:val="0"/>
              <w:jc w:val="left"/>
              <w:rPr>
                <w:color w:val="000000"/>
              </w:rPr>
            </w:pPr>
            <w:r>
              <w:rPr>
                <w:color w:val="000000"/>
              </w:rPr>
              <w:t>1 (33.3)</w:t>
            </w:r>
          </w:p>
        </w:tc>
        <w:tc>
          <w:tcPr>
            <w:tcW w:w="993" w:type="dxa"/>
            <w:tcBorders>
              <w:top w:val="nil"/>
              <w:left w:val="nil"/>
              <w:bottom w:val="single" w:sz="6" w:space="0" w:color="000000"/>
              <w:right w:val="nil"/>
              <w:tl2br w:val="nil"/>
              <w:tr2bl w:val="nil"/>
            </w:tcBorders>
            <w:shd w:val="clear" w:color="auto" w:fill="FFFFFF"/>
          </w:tcPr>
          <w:p w14:paraId="5514445E" w14:textId="77777777" w:rsidR="00AD119C" w:rsidRDefault="004036ED">
            <w:pPr>
              <w:adjustRightInd w:val="0"/>
              <w:jc w:val="left"/>
              <w:rPr>
                <w:color w:val="000000"/>
              </w:rPr>
            </w:pPr>
            <w:r>
              <w:rPr>
                <w:color w:val="000000"/>
              </w:rPr>
              <w:t>1</w:t>
            </w:r>
          </w:p>
        </w:tc>
        <w:tc>
          <w:tcPr>
            <w:tcW w:w="1559" w:type="dxa"/>
            <w:tcBorders>
              <w:top w:val="nil"/>
              <w:left w:val="nil"/>
              <w:bottom w:val="single" w:sz="6" w:space="0" w:color="000000"/>
              <w:right w:val="nil"/>
              <w:tl2br w:val="nil"/>
              <w:tr2bl w:val="nil"/>
            </w:tcBorders>
            <w:shd w:val="clear" w:color="auto" w:fill="FFFFFF"/>
          </w:tcPr>
          <w:p w14:paraId="058FB53A" w14:textId="77777777" w:rsidR="00AD119C" w:rsidRDefault="004036ED">
            <w:pPr>
              <w:adjustRightInd w:val="0"/>
              <w:jc w:val="left"/>
              <w:rPr>
                <w:color w:val="000000"/>
              </w:rPr>
            </w:pPr>
            <w:r>
              <w:rPr>
                <w:color w:val="000000"/>
              </w:rPr>
              <w:t>0</w:t>
            </w:r>
          </w:p>
        </w:tc>
        <w:tc>
          <w:tcPr>
            <w:tcW w:w="1279" w:type="dxa"/>
            <w:tcBorders>
              <w:top w:val="nil"/>
              <w:left w:val="nil"/>
              <w:bottom w:val="single" w:sz="6" w:space="0" w:color="000000"/>
              <w:right w:val="nil"/>
              <w:tl2br w:val="nil"/>
              <w:tr2bl w:val="nil"/>
            </w:tcBorders>
            <w:shd w:val="clear" w:color="auto" w:fill="FFFFFF"/>
          </w:tcPr>
          <w:p w14:paraId="752814D6" w14:textId="77777777" w:rsidR="00AD119C" w:rsidRDefault="004036ED">
            <w:pPr>
              <w:adjustRightInd w:val="0"/>
              <w:jc w:val="left"/>
              <w:rPr>
                <w:color w:val="000000"/>
              </w:rPr>
            </w:pPr>
            <w:r>
              <w:rPr>
                <w:color w:val="000000"/>
              </w:rPr>
              <w:t>0</w:t>
            </w:r>
          </w:p>
        </w:tc>
        <w:tc>
          <w:tcPr>
            <w:tcW w:w="1417" w:type="dxa"/>
            <w:tcBorders>
              <w:top w:val="nil"/>
              <w:left w:val="nil"/>
              <w:bottom w:val="single" w:sz="6" w:space="0" w:color="000000"/>
              <w:right w:val="nil"/>
              <w:tl2br w:val="nil"/>
              <w:tr2bl w:val="nil"/>
            </w:tcBorders>
            <w:shd w:val="clear" w:color="auto" w:fill="FFFFFF"/>
          </w:tcPr>
          <w:p w14:paraId="1DB43A60" w14:textId="77777777" w:rsidR="00AD119C" w:rsidRDefault="004036ED">
            <w:pPr>
              <w:adjustRightInd w:val="0"/>
              <w:jc w:val="left"/>
              <w:rPr>
                <w:color w:val="000000"/>
              </w:rPr>
            </w:pPr>
            <w:r>
              <w:rPr>
                <w:color w:val="000000"/>
              </w:rPr>
              <w:t>1 (9.1)</w:t>
            </w:r>
          </w:p>
        </w:tc>
        <w:tc>
          <w:tcPr>
            <w:tcW w:w="993" w:type="dxa"/>
            <w:tcBorders>
              <w:top w:val="nil"/>
              <w:left w:val="nil"/>
              <w:bottom w:val="single" w:sz="6" w:space="0" w:color="000000"/>
              <w:right w:val="nil"/>
              <w:tl2br w:val="nil"/>
              <w:tr2bl w:val="nil"/>
            </w:tcBorders>
            <w:shd w:val="clear" w:color="auto" w:fill="FFFFFF"/>
          </w:tcPr>
          <w:p w14:paraId="26302641" w14:textId="77777777" w:rsidR="00AD119C" w:rsidRDefault="004036ED">
            <w:pPr>
              <w:adjustRightInd w:val="0"/>
              <w:jc w:val="left"/>
              <w:rPr>
                <w:color w:val="000000"/>
              </w:rPr>
            </w:pPr>
            <w:r>
              <w:rPr>
                <w:color w:val="000000"/>
              </w:rPr>
              <w:t>1</w:t>
            </w:r>
          </w:p>
        </w:tc>
      </w:tr>
    </w:tbl>
    <w:p w14:paraId="2CE1189A" w14:textId="77777777" w:rsidR="00AD119C" w:rsidRDefault="00AD119C">
      <w:pPr>
        <w:pStyle w:val="a0"/>
        <w:ind w:firstLineChars="0" w:firstLine="0"/>
      </w:pPr>
    </w:p>
    <w:p w14:paraId="52798FAE" w14:textId="77777777" w:rsidR="00AD119C" w:rsidRDefault="00AD119C">
      <w:pPr>
        <w:pStyle w:val="af0"/>
        <w:spacing w:beforeAutospacing="0" w:afterAutospacing="0" w:line="480" w:lineRule="auto"/>
        <w:jc w:val="both"/>
        <w:rPr>
          <w:rFonts w:ascii="Times New Roman" w:hAnsi="Times New Roman"/>
        </w:rPr>
        <w:sectPr w:rsidR="00AD119C" w:rsidSect="002837D1">
          <w:pgSz w:w="16838" w:h="11906" w:orient="landscape"/>
          <w:pgMar w:top="1134" w:right="1134" w:bottom="1134" w:left="1418" w:header="851" w:footer="680" w:gutter="0"/>
          <w:cols w:space="425"/>
          <w:docGrid w:linePitch="326"/>
        </w:sectPr>
      </w:pPr>
    </w:p>
    <w:p w14:paraId="1C89E7D8" w14:textId="77777777" w:rsidR="00AD119C" w:rsidRDefault="004036ED">
      <w:pPr>
        <w:keepNext/>
        <w:widowControl/>
        <w:shd w:val="clear" w:color="auto" w:fill="FFFFFF"/>
        <w:rPr>
          <w:rFonts w:eastAsia="宋体" w:cs="Times New Roman"/>
          <w:b/>
          <w:color w:val="000000" w:themeColor="text1"/>
          <w:szCs w:val="24"/>
        </w:rPr>
      </w:pPr>
      <w:r>
        <w:rPr>
          <w:rFonts w:eastAsia="宋体" w:cs="Times New Roman"/>
          <w:b/>
          <w:color w:val="000000" w:themeColor="text1"/>
          <w:szCs w:val="24"/>
        </w:rPr>
        <w:lastRenderedPageBreak/>
        <w:t>Table S5. Adverse Events of Special Interest over the Entire Treatment Period</w:t>
      </w:r>
    </w:p>
    <w:tbl>
      <w:tblPr>
        <w:tblStyle w:val="210"/>
        <w:tblW w:w="5000" w:type="pct"/>
        <w:tblLook w:val="04A0" w:firstRow="1" w:lastRow="0" w:firstColumn="1" w:lastColumn="0" w:noHBand="0" w:noVBand="1"/>
      </w:tblPr>
      <w:tblGrid>
        <w:gridCol w:w="7068"/>
        <w:gridCol w:w="2286"/>
      </w:tblGrid>
      <w:tr w:rsidR="00AD119C" w14:paraId="39A05904" w14:textId="77777777" w:rsidTr="00AD11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77" w:type="pct"/>
            <w:tcBorders>
              <w:top w:val="single" w:sz="4" w:space="0" w:color="7F7F7F" w:themeColor="text1" w:themeTint="80"/>
              <w:bottom w:val="single" w:sz="4" w:space="0" w:color="auto"/>
            </w:tcBorders>
          </w:tcPr>
          <w:p w14:paraId="719016F1" w14:textId="77777777" w:rsidR="00AD119C" w:rsidRDefault="00AD119C">
            <w:pPr>
              <w:contextualSpacing/>
              <w:rPr>
                <w:b w:val="0"/>
                <w:bCs w:val="0"/>
                <w:color w:val="000000" w:themeColor="text1"/>
                <w:szCs w:val="24"/>
              </w:rPr>
            </w:pPr>
          </w:p>
        </w:tc>
        <w:tc>
          <w:tcPr>
            <w:tcW w:w="1222" w:type="pct"/>
            <w:tcBorders>
              <w:top w:val="single" w:sz="4" w:space="0" w:color="7F7F7F" w:themeColor="text1" w:themeTint="80"/>
              <w:bottom w:val="single" w:sz="4" w:space="0" w:color="auto"/>
            </w:tcBorders>
          </w:tcPr>
          <w:p w14:paraId="3FCD14B6" w14:textId="77777777" w:rsidR="00AD119C" w:rsidRDefault="004036ED">
            <w:pPr>
              <w:contextualSpacing/>
              <w:cnfStyle w:val="100000000000" w:firstRow="1" w:lastRow="0" w:firstColumn="0" w:lastColumn="0" w:oddVBand="0" w:evenVBand="0" w:oddHBand="0" w:evenHBand="0" w:firstRowFirstColumn="0" w:firstRowLastColumn="0" w:lastRowFirstColumn="0" w:lastRowLastColumn="0"/>
            </w:pPr>
            <w:r>
              <w:rPr>
                <w:color w:val="000000" w:themeColor="text1"/>
                <w:szCs w:val="24"/>
              </w:rPr>
              <w:t>Obinutuzumab β (N=11),</w:t>
            </w:r>
            <w:r>
              <w:t xml:space="preserve"> n (%)</w:t>
            </w:r>
          </w:p>
        </w:tc>
      </w:tr>
      <w:tr w:rsidR="00AD119C" w14:paraId="41CFD9C8" w14:textId="77777777" w:rsidTr="00AD119C">
        <w:tc>
          <w:tcPr>
            <w:cnfStyle w:val="001000000000" w:firstRow="0" w:lastRow="0" w:firstColumn="1" w:lastColumn="0" w:oddVBand="0" w:evenVBand="0" w:oddHBand="0" w:evenHBand="0" w:firstRowFirstColumn="0" w:firstRowLastColumn="0" w:lastRowFirstColumn="0" w:lastRowLastColumn="0"/>
            <w:tcW w:w="3777" w:type="pct"/>
            <w:tcBorders>
              <w:top w:val="single" w:sz="4" w:space="0" w:color="auto"/>
              <w:bottom w:val="nil"/>
            </w:tcBorders>
          </w:tcPr>
          <w:p w14:paraId="5783D28E" w14:textId="77777777" w:rsidR="00AD119C" w:rsidRDefault="004036ED">
            <w:pPr>
              <w:contextualSpacing/>
              <w:rPr>
                <w:color w:val="000000" w:themeColor="text1"/>
                <w:szCs w:val="24"/>
              </w:rPr>
            </w:pPr>
            <w:r>
              <w:rPr>
                <w:rFonts w:hint="eastAsia"/>
                <w:color w:val="000000" w:themeColor="text1"/>
                <w:szCs w:val="24"/>
              </w:rPr>
              <w:t>G</w:t>
            </w:r>
            <w:r>
              <w:rPr>
                <w:color w:val="000000" w:themeColor="text1"/>
                <w:szCs w:val="24"/>
              </w:rPr>
              <w:t xml:space="preserve">rade </w:t>
            </w:r>
            <w:r>
              <w:rPr>
                <w:kern w:val="0"/>
                <w:szCs w:val="24"/>
                <w:shd w:val="clear" w:color="auto" w:fill="FFFFFF"/>
              </w:rPr>
              <w:t>≥</w:t>
            </w:r>
            <w:r>
              <w:rPr>
                <w:color w:val="000000" w:themeColor="text1"/>
                <w:szCs w:val="24"/>
              </w:rPr>
              <w:t>3</w:t>
            </w:r>
            <w:r>
              <w:rPr>
                <w:rFonts w:hint="eastAsia"/>
                <w:color w:val="000000" w:themeColor="text1"/>
                <w:szCs w:val="24"/>
              </w:rPr>
              <w:t xml:space="preserve"> Infections</w:t>
            </w:r>
          </w:p>
        </w:tc>
        <w:tc>
          <w:tcPr>
            <w:tcW w:w="1222" w:type="pct"/>
            <w:tcBorders>
              <w:top w:val="single" w:sz="4" w:space="0" w:color="auto"/>
              <w:bottom w:val="nil"/>
            </w:tcBorders>
          </w:tcPr>
          <w:p w14:paraId="77318532"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rFonts w:hint="eastAsia"/>
                <w:color w:val="000000" w:themeColor="text1"/>
                <w:szCs w:val="24"/>
              </w:rPr>
              <w:t>4 (36.4)</w:t>
            </w:r>
          </w:p>
        </w:tc>
      </w:tr>
      <w:tr w:rsidR="00AD119C" w14:paraId="72B41866" w14:textId="77777777" w:rsidTr="00AD119C">
        <w:tc>
          <w:tcPr>
            <w:cnfStyle w:val="001000000000" w:firstRow="0" w:lastRow="0" w:firstColumn="1" w:lastColumn="0" w:oddVBand="0" w:evenVBand="0" w:oddHBand="0" w:evenHBand="0" w:firstRowFirstColumn="0" w:firstRowLastColumn="0" w:lastRowFirstColumn="0" w:lastRowLastColumn="0"/>
            <w:tcW w:w="3777" w:type="pct"/>
            <w:tcBorders>
              <w:top w:val="nil"/>
              <w:bottom w:val="nil"/>
            </w:tcBorders>
          </w:tcPr>
          <w:p w14:paraId="5DE2A8FE" w14:textId="77777777" w:rsidR="00AD119C" w:rsidRDefault="004036ED">
            <w:pPr>
              <w:ind w:leftChars="100" w:left="240"/>
              <w:contextualSpacing/>
              <w:rPr>
                <w:b w:val="0"/>
                <w:bCs w:val="0"/>
                <w:color w:val="000000" w:themeColor="text1"/>
                <w:szCs w:val="24"/>
              </w:rPr>
            </w:pPr>
            <w:r>
              <w:rPr>
                <w:rFonts w:hint="eastAsia"/>
                <w:b w:val="0"/>
                <w:bCs w:val="0"/>
                <w:color w:val="000000" w:themeColor="text1"/>
                <w:szCs w:val="24"/>
              </w:rPr>
              <w:t>P</w:t>
            </w:r>
            <w:r>
              <w:rPr>
                <w:b w:val="0"/>
                <w:bCs w:val="0"/>
                <w:color w:val="000000" w:themeColor="text1"/>
                <w:szCs w:val="24"/>
              </w:rPr>
              <w:t>neumonia</w:t>
            </w:r>
          </w:p>
        </w:tc>
        <w:tc>
          <w:tcPr>
            <w:tcW w:w="1222" w:type="pct"/>
            <w:tcBorders>
              <w:top w:val="nil"/>
              <w:bottom w:val="nil"/>
            </w:tcBorders>
          </w:tcPr>
          <w:p w14:paraId="5B7A0238"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3 (27.3)</w:t>
            </w:r>
          </w:p>
        </w:tc>
      </w:tr>
      <w:tr w:rsidR="00AD119C" w14:paraId="7A8183B5" w14:textId="77777777" w:rsidTr="00AD119C">
        <w:tc>
          <w:tcPr>
            <w:cnfStyle w:val="001000000000" w:firstRow="0" w:lastRow="0" w:firstColumn="1" w:lastColumn="0" w:oddVBand="0" w:evenVBand="0" w:oddHBand="0" w:evenHBand="0" w:firstRowFirstColumn="0" w:firstRowLastColumn="0" w:lastRowFirstColumn="0" w:lastRowLastColumn="0"/>
            <w:tcW w:w="3777" w:type="pct"/>
            <w:tcBorders>
              <w:top w:val="nil"/>
            </w:tcBorders>
          </w:tcPr>
          <w:p w14:paraId="0218FD24" w14:textId="77777777" w:rsidR="00AD119C" w:rsidRDefault="004036ED">
            <w:pPr>
              <w:ind w:leftChars="100" w:left="240"/>
              <w:contextualSpacing/>
              <w:rPr>
                <w:b w:val="0"/>
                <w:bCs w:val="0"/>
                <w:color w:val="000000" w:themeColor="text1"/>
                <w:szCs w:val="24"/>
              </w:rPr>
            </w:pPr>
            <w:r>
              <w:rPr>
                <w:b w:val="0"/>
                <w:bCs w:val="0"/>
                <w:color w:val="000000" w:themeColor="text1"/>
                <w:szCs w:val="24"/>
              </w:rPr>
              <w:t>Urinary tract infection</w:t>
            </w:r>
          </w:p>
        </w:tc>
        <w:tc>
          <w:tcPr>
            <w:tcW w:w="1222" w:type="pct"/>
            <w:tcBorders>
              <w:top w:val="nil"/>
            </w:tcBorders>
          </w:tcPr>
          <w:p w14:paraId="13B3F9C4"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1 (9.1)</w:t>
            </w:r>
          </w:p>
        </w:tc>
      </w:tr>
      <w:tr w:rsidR="00AD119C" w14:paraId="78C333AF" w14:textId="77777777" w:rsidTr="00AD119C">
        <w:tc>
          <w:tcPr>
            <w:cnfStyle w:val="001000000000" w:firstRow="0" w:lastRow="0" w:firstColumn="1" w:lastColumn="0" w:oddVBand="0" w:evenVBand="0" w:oddHBand="0" w:evenHBand="0" w:firstRowFirstColumn="0" w:firstRowLastColumn="0" w:lastRowFirstColumn="0" w:lastRowLastColumn="0"/>
            <w:tcW w:w="3777" w:type="pct"/>
            <w:tcBorders>
              <w:top w:val="nil"/>
            </w:tcBorders>
          </w:tcPr>
          <w:p w14:paraId="55A6ADBD" w14:textId="77777777" w:rsidR="00AD119C" w:rsidRDefault="004036ED">
            <w:pPr>
              <w:contextualSpacing/>
              <w:rPr>
                <w:color w:val="000000" w:themeColor="text1"/>
                <w:szCs w:val="24"/>
              </w:rPr>
            </w:pPr>
            <w:r>
              <w:rPr>
                <w:color w:val="000000" w:themeColor="text1"/>
                <w:szCs w:val="24"/>
              </w:rPr>
              <w:t>Infusion-related reactions</w:t>
            </w:r>
          </w:p>
        </w:tc>
        <w:tc>
          <w:tcPr>
            <w:tcW w:w="1222" w:type="pct"/>
            <w:tcBorders>
              <w:top w:val="nil"/>
            </w:tcBorders>
          </w:tcPr>
          <w:p w14:paraId="76641694"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3 (27.3)</w:t>
            </w:r>
          </w:p>
        </w:tc>
      </w:tr>
      <w:tr w:rsidR="00AD119C" w14:paraId="3A02D00E" w14:textId="77777777" w:rsidTr="00AD119C">
        <w:tc>
          <w:tcPr>
            <w:cnfStyle w:val="001000000000" w:firstRow="0" w:lastRow="0" w:firstColumn="1" w:lastColumn="0" w:oddVBand="0" w:evenVBand="0" w:oddHBand="0" w:evenHBand="0" w:firstRowFirstColumn="0" w:firstRowLastColumn="0" w:lastRowFirstColumn="0" w:lastRowLastColumn="0"/>
            <w:tcW w:w="3777" w:type="pct"/>
          </w:tcPr>
          <w:p w14:paraId="73A2AD98" w14:textId="77777777" w:rsidR="00AD119C" w:rsidRDefault="004036ED">
            <w:pPr>
              <w:contextualSpacing/>
              <w:rPr>
                <w:color w:val="000000" w:themeColor="text1"/>
                <w:szCs w:val="24"/>
              </w:rPr>
            </w:pPr>
            <w:r>
              <w:rPr>
                <w:color w:val="000000" w:themeColor="text1"/>
                <w:szCs w:val="24"/>
              </w:rPr>
              <w:t xml:space="preserve">Neutropenia, grade </w:t>
            </w:r>
            <w:r>
              <w:rPr>
                <w:kern w:val="0"/>
                <w:szCs w:val="24"/>
                <w:shd w:val="clear" w:color="auto" w:fill="FFFFFF"/>
              </w:rPr>
              <w:t>≥</w:t>
            </w:r>
            <w:r>
              <w:rPr>
                <w:color w:val="000000" w:themeColor="text1"/>
                <w:szCs w:val="24"/>
              </w:rPr>
              <w:t>3</w:t>
            </w:r>
          </w:p>
        </w:tc>
        <w:tc>
          <w:tcPr>
            <w:tcW w:w="1222" w:type="pct"/>
          </w:tcPr>
          <w:p w14:paraId="42EA8526" w14:textId="77777777" w:rsidR="00AD119C" w:rsidRDefault="004036ED">
            <w:pPr>
              <w:contextualSpacing/>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1 (9.1)</w:t>
            </w:r>
          </w:p>
        </w:tc>
      </w:tr>
    </w:tbl>
    <w:p w14:paraId="18F48D58" w14:textId="77777777" w:rsidR="00AD119C" w:rsidRDefault="004036ED">
      <w:pPr>
        <w:widowControl/>
        <w:spacing w:line="240" w:lineRule="auto"/>
        <w:jc w:val="left"/>
        <w:rPr>
          <w:rFonts w:cs="Times New Roman"/>
          <w:b/>
          <w:bCs/>
          <w:kern w:val="0"/>
          <w:szCs w:val="24"/>
        </w:rPr>
      </w:pPr>
      <w:r>
        <w:rPr>
          <w:b/>
          <w:bCs/>
        </w:rPr>
        <w:br w:type="page"/>
      </w:r>
    </w:p>
    <w:p w14:paraId="78DF1DCA" w14:textId="77777777" w:rsidR="00AD119C" w:rsidRDefault="004036ED">
      <w:pPr>
        <w:pStyle w:val="af0"/>
        <w:spacing w:beforeAutospacing="0" w:afterAutospacing="0"/>
        <w:jc w:val="both"/>
        <w:rPr>
          <w:rFonts w:ascii="Times New Roman" w:hAnsi="Times New Roman"/>
          <w:b/>
          <w:bCs/>
        </w:rPr>
      </w:pPr>
      <w:r>
        <w:rPr>
          <w:rFonts w:ascii="Times New Roman" w:hAnsi="Times New Roman"/>
          <w:b/>
          <w:bCs/>
        </w:rPr>
        <w:lastRenderedPageBreak/>
        <w:t>Table S6. Efficacy Outcomes in the Obinutuzumab β Study Population</w:t>
      </w:r>
    </w:p>
    <w:tbl>
      <w:tblPr>
        <w:tblStyle w:val="210"/>
        <w:tblpPr w:leftFromText="180" w:rightFromText="180" w:vertAnchor="text" w:horzAnchor="margin" w:tblpX="-426" w:tblpY="149"/>
        <w:tblW w:w="9782" w:type="dxa"/>
        <w:tblLook w:val="04A0" w:firstRow="1" w:lastRow="0" w:firstColumn="1" w:lastColumn="0" w:noHBand="0" w:noVBand="1"/>
      </w:tblPr>
      <w:tblGrid>
        <w:gridCol w:w="4254"/>
        <w:gridCol w:w="1984"/>
        <w:gridCol w:w="1985"/>
        <w:gridCol w:w="1559"/>
      </w:tblGrid>
      <w:tr w:rsidR="00AD119C" w14:paraId="1C438C70" w14:textId="77777777" w:rsidTr="00DD0FB9">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4254" w:type="dxa"/>
          </w:tcPr>
          <w:p w14:paraId="2286D0C3" w14:textId="77777777" w:rsidR="00AD119C" w:rsidRDefault="004036ED" w:rsidP="00BA7F87">
            <w:pPr>
              <w:rPr>
                <w:color w:val="000000" w:themeColor="text1"/>
                <w:szCs w:val="24"/>
              </w:rPr>
            </w:pPr>
            <w:r>
              <w:rPr>
                <w:color w:val="000000" w:themeColor="text1"/>
                <w:szCs w:val="24"/>
              </w:rPr>
              <w:t>Outcome</w:t>
            </w:r>
          </w:p>
        </w:tc>
        <w:tc>
          <w:tcPr>
            <w:tcW w:w="1984" w:type="dxa"/>
          </w:tcPr>
          <w:p w14:paraId="29037E6A" w14:textId="77777777" w:rsidR="00AD119C" w:rsidRDefault="004036ED" w:rsidP="00BA7F87">
            <w:pPr>
              <w:cnfStyle w:val="100000000000" w:firstRow="1" w:lastRow="0" w:firstColumn="0" w:lastColumn="0" w:oddVBand="0" w:evenVBand="0" w:oddHBand="0" w:evenHBand="0" w:firstRowFirstColumn="0" w:firstRowLastColumn="0" w:lastRowFirstColumn="0" w:lastRowLastColumn="0"/>
              <w:rPr>
                <w:color w:val="000000" w:themeColor="text1"/>
                <w:szCs w:val="24"/>
              </w:rPr>
            </w:pPr>
            <w:r>
              <w:rPr>
                <w:rFonts w:hint="eastAsia"/>
                <w:szCs w:val="24"/>
              </w:rPr>
              <w:t>O</w:t>
            </w:r>
            <w:r>
              <w:rPr>
                <w:szCs w:val="24"/>
              </w:rPr>
              <w:t>binutuzumab β</w:t>
            </w:r>
          </w:p>
          <w:p w14:paraId="06157D7B" w14:textId="77777777" w:rsidR="00AD119C" w:rsidRDefault="004036ED" w:rsidP="00BA7F87">
            <w:pPr>
              <w:cnfStyle w:val="100000000000" w:firstRow="1"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500</w:t>
            </w:r>
            <w:r>
              <w:rPr>
                <w:rFonts w:hint="eastAsia"/>
                <w:b w:val="0"/>
                <w:bCs w:val="0"/>
                <w:color w:val="000000" w:themeColor="text1"/>
                <w:szCs w:val="24"/>
              </w:rPr>
              <w:t xml:space="preserve"> </w:t>
            </w:r>
            <w:r>
              <w:rPr>
                <w:color w:val="000000" w:themeColor="text1"/>
                <w:szCs w:val="24"/>
              </w:rPr>
              <w:t>mg (n=3)</w:t>
            </w:r>
          </w:p>
        </w:tc>
        <w:tc>
          <w:tcPr>
            <w:tcW w:w="1985" w:type="dxa"/>
          </w:tcPr>
          <w:p w14:paraId="017B8A6A" w14:textId="77777777" w:rsidR="00AD119C" w:rsidRDefault="004036ED" w:rsidP="00BA7F87">
            <w:pPr>
              <w:cnfStyle w:val="100000000000" w:firstRow="1" w:lastRow="0" w:firstColumn="0" w:lastColumn="0" w:oddVBand="0" w:evenVBand="0" w:oddHBand="0" w:evenHBand="0" w:firstRowFirstColumn="0" w:firstRowLastColumn="0" w:lastRowFirstColumn="0" w:lastRowLastColumn="0"/>
              <w:rPr>
                <w:color w:val="000000" w:themeColor="text1"/>
                <w:szCs w:val="24"/>
              </w:rPr>
            </w:pPr>
            <w:r>
              <w:rPr>
                <w:rFonts w:hint="eastAsia"/>
                <w:szCs w:val="24"/>
              </w:rPr>
              <w:t>O</w:t>
            </w:r>
            <w:r>
              <w:rPr>
                <w:szCs w:val="24"/>
              </w:rPr>
              <w:t>binutuzumab β</w:t>
            </w:r>
          </w:p>
          <w:p w14:paraId="7B79B6DB" w14:textId="77777777" w:rsidR="00AD119C" w:rsidRDefault="004036ED" w:rsidP="00BA7F87">
            <w:pPr>
              <w:cnfStyle w:val="100000000000" w:firstRow="1"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1000</w:t>
            </w:r>
            <w:r>
              <w:rPr>
                <w:rFonts w:hint="eastAsia"/>
                <w:b w:val="0"/>
                <w:bCs w:val="0"/>
                <w:color w:val="000000" w:themeColor="text1"/>
                <w:szCs w:val="24"/>
              </w:rPr>
              <w:t xml:space="preserve"> </w:t>
            </w:r>
            <w:r>
              <w:rPr>
                <w:color w:val="000000" w:themeColor="text1"/>
                <w:szCs w:val="24"/>
              </w:rPr>
              <w:t>mg (n=8)</w:t>
            </w:r>
          </w:p>
        </w:tc>
        <w:tc>
          <w:tcPr>
            <w:tcW w:w="1559" w:type="dxa"/>
          </w:tcPr>
          <w:p w14:paraId="0768F22A" w14:textId="77777777" w:rsidR="00AD119C" w:rsidRDefault="004036ED" w:rsidP="00BA7F87">
            <w:pPr>
              <w:cnfStyle w:val="100000000000" w:firstRow="1"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Total</w:t>
            </w:r>
          </w:p>
          <w:p w14:paraId="601EE4FC" w14:textId="77777777" w:rsidR="00AD119C" w:rsidRDefault="004036ED" w:rsidP="00BA7F87">
            <w:pPr>
              <w:cnfStyle w:val="100000000000" w:firstRow="1"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(n=11)</w:t>
            </w:r>
          </w:p>
        </w:tc>
      </w:tr>
      <w:tr w:rsidR="00AD119C" w14:paraId="173B82AD"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666F65F3" w14:textId="77777777" w:rsidR="00AD119C" w:rsidRDefault="004036ED">
            <w:pPr>
              <w:rPr>
                <w:color w:val="000000" w:themeColor="text1"/>
                <w:szCs w:val="24"/>
              </w:rPr>
            </w:pPr>
            <w:r>
              <w:rPr>
                <w:color w:val="000000" w:themeColor="text1"/>
                <w:szCs w:val="24"/>
              </w:rPr>
              <w:t>EDSS deterioration rate, % (95% CI)</w:t>
            </w:r>
          </w:p>
        </w:tc>
        <w:tc>
          <w:tcPr>
            <w:tcW w:w="1984" w:type="dxa"/>
          </w:tcPr>
          <w:p w14:paraId="5AA6FD22"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w:t>
            </w:r>
          </w:p>
        </w:tc>
        <w:tc>
          <w:tcPr>
            <w:tcW w:w="1985" w:type="dxa"/>
          </w:tcPr>
          <w:p w14:paraId="5349E3BB"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w:t>
            </w:r>
          </w:p>
        </w:tc>
        <w:tc>
          <w:tcPr>
            <w:tcW w:w="1559" w:type="dxa"/>
          </w:tcPr>
          <w:p w14:paraId="54B269BB"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25.8</w:t>
            </w:r>
          </w:p>
          <w:p w14:paraId="5B8EFAE1"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(9.1, 73.3)</w:t>
            </w:r>
          </w:p>
        </w:tc>
      </w:tr>
      <w:tr w:rsidR="00AD119C" w14:paraId="1CD64B32"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6110E0C4" w14:textId="77777777" w:rsidR="00AD119C" w:rsidRDefault="004036ED">
            <w:pPr>
              <w:rPr>
                <w:color w:val="000000" w:themeColor="text1"/>
                <w:szCs w:val="24"/>
              </w:rPr>
            </w:pPr>
            <w:r>
              <w:rPr>
                <w:color w:val="000000" w:themeColor="text1"/>
                <w:szCs w:val="24"/>
              </w:rPr>
              <w:t>Cumulative number of active MRI lesions</w:t>
            </w:r>
          </w:p>
        </w:tc>
        <w:tc>
          <w:tcPr>
            <w:tcW w:w="1984" w:type="dxa"/>
          </w:tcPr>
          <w:p w14:paraId="5F8BA8B3" w14:textId="77777777" w:rsidR="00AD119C" w:rsidRDefault="00AD119C">
            <w:pPr>
              <w:cnfStyle w:val="000000000000" w:firstRow="0" w:lastRow="0" w:firstColumn="0" w:lastColumn="0" w:oddVBand="0" w:evenVBand="0" w:oddHBand="0" w:evenHBand="0" w:firstRowFirstColumn="0" w:firstRowLastColumn="0" w:lastRowFirstColumn="0" w:lastRowLastColumn="0"/>
              <w:rPr>
                <w:color w:val="000000" w:themeColor="text1"/>
                <w:szCs w:val="24"/>
              </w:rPr>
            </w:pPr>
          </w:p>
        </w:tc>
        <w:tc>
          <w:tcPr>
            <w:tcW w:w="1985" w:type="dxa"/>
          </w:tcPr>
          <w:p w14:paraId="0BD3D1A4" w14:textId="77777777" w:rsidR="00AD119C" w:rsidRDefault="00AD119C">
            <w:pPr>
              <w:cnfStyle w:val="000000000000" w:firstRow="0" w:lastRow="0" w:firstColumn="0" w:lastColumn="0" w:oddVBand="0" w:evenVBand="0" w:oddHBand="0" w:evenHBand="0" w:firstRowFirstColumn="0" w:firstRowLastColumn="0" w:lastRowFirstColumn="0" w:lastRowLastColumn="0"/>
              <w:rPr>
                <w:color w:val="000000" w:themeColor="text1"/>
                <w:szCs w:val="24"/>
              </w:rPr>
            </w:pPr>
          </w:p>
        </w:tc>
        <w:tc>
          <w:tcPr>
            <w:tcW w:w="1559" w:type="dxa"/>
          </w:tcPr>
          <w:p w14:paraId="581E48A8" w14:textId="77777777" w:rsidR="00AD119C" w:rsidRDefault="00AD119C">
            <w:pPr>
              <w:cnfStyle w:val="000000000000" w:firstRow="0" w:lastRow="0" w:firstColumn="0" w:lastColumn="0" w:oddVBand="0" w:evenVBand="0" w:oddHBand="0" w:evenHBand="0" w:firstRowFirstColumn="0" w:firstRowLastColumn="0" w:lastRowFirstColumn="0" w:lastRowLastColumn="0"/>
              <w:rPr>
                <w:color w:val="000000" w:themeColor="text1"/>
                <w:szCs w:val="24"/>
              </w:rPr>
            </w:pPr>
          </w:p>
        </w:tc>
      </w:tr>
      <w:tr w:rsidR="00AD119C" w14:paraId="3BA1E817"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640F81CC" w14:textId="77777777" w:rsidR="00AD119C" w:rsidRDefault="004036ED">
            <w:pPr>
              <w:ind w:firstLineChars="100" w:firstLine="240"/>
              <w:rPr>
                <w:color w:val="000000" w:themeColor="text1"/>
                <w:szCs w:val="24"/>
              </w:rPr>
            </w:pPr>
            <w:r>
              <w:rPr>
                <w:b w:val="0"/>
                <w:bCs w:val="0"/>
                <w:color w:val="000000" w:themeColor="text1"/>
                <w:szCs w:val="24"/>
              </w:rPr>
              <w:t>Mean (SD)</w:t>
            </w:r>
          </w:p>
        </w:tc>
        <w:tc>
          <w:tcPr>
            <w:tcW w:w="1984" w:type="dxa"/>
          </w:tcPr>
          <w:p w14:paraId="41F357A2"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0.0 (0.0)</w:t>
            </w:r>
          </w:p>
        </w:tc>
        <w:tc>
          <w:tcPr>
            <w:tcW w:w="1985" w:type="dxa"/>
          </w:tcPr>
          <w:p w14:paraId="2F75CA9A"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0.5 (0.8)</w:t>
            </w:r>
          </w:p>
        </w:tc>
        <w:tc>
          <w:tcPr>
            <w:tcW w:w="1559" w:type="dxa"/>
          </w:tcPr>
          <w:p w14:paraId="54EA4D3C"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0.4 (0.7)</w:t>
            </w:r>
          </w:p>
        </w:tc>
      </w:tr>
      <w:tr w:rsidR="00AD119C" w14:paraId="1E339DA0"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4D518668" w14:textId="77777777" w:rsidR="00AD119C" w:rsidRDefault="004036ED">
            <w:pPr>
              <w:ind w:firstLineChars="100" w:firstLine="240"/>
              <w:rPr>
                <w:color w:val="000000" w:themeColor="text1"/>
                <w:szCs w:val="24"/>
              </w:rPr>
            </w:pPr>
            <w:r>
              <w:rPr>
                <w:b w:val="0"/>
                <w:bCs w:val="0"/>
                <w:color w:val="000000" w:themeColor="text1"/>
                <w:szCs w:val="24"/>
              </w:rPr>
              <w:t>Median (Q1, Q3)</w:t>
            </w:r>
          </w:p>
        </w:tc>
        <w:tc>
          <w:tcPr>
            <w:tcW w:w="1984" w:type="dxa"/>
          </w:tcPr>
          <w:p w14:paraId="4B9E2BA2"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0.0 (0.0, 0.0)</w:t>
            </w:r>
          </w:p>
        </w:tc>
        <w:tc>
          <w:tcPr>
            <w:tcW w:w="1985" w:type="dxa"/>
          </w:tcPr>
          <w:p w14:paraId="0DFCB641"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0.0 (0.0, 1.0)</w:t>
            </w:r>
          </w:p>
        </w:tc>
        <w:tc>
          <w:tcPr>
            <w:tcW w:w="1559" w:type="dxa"/>
          </w:tcPr>
          <w:p w14:paraId="32E88B45"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0.0 (0.0, 1.0)</w:t>
            </w:r>
          </w:p>
        </w:tc>
      </w:tr>
      <w:tr w:rsidR="00AD119C" w14:paraId="3E9C699D"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3D32C882" w14:textId="77777777" w:rsidR="00AD119C" w:rsidRDefault="004036ED">
            <w:pPr>
              <w:ind w:firstLineChars="100" w:firstLine="240"/>
              <w:rPr>
                <w:color w:val="000000" w:themeColor="text1"/>
                <w:szCs w:val="24"/>
              </w:rPr>
            </w:pPr>
            <w:r>
              <w:rPr>
                <w:b w:val="0"/>
                <w:bCs w:val="0"/>
                <w:color w:val="000000" w:themeColor="text1"/>
                <w:szCs w:val="24"/>
              </w:rPr>
              <w:t>Min, Max</w:t>
            </w:r>
          </w:p>
        </w:tc>
        <w:tc>
          <w:tcPr>
            <w:tcW w:w="1984" w:type="dxa"/>
          </w:tcPr>
          <w:p w14:paraId="604304B5"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0, 0</w:t>
            </w:r>
          </w:p>
        </w:tc>
        <w:tc>
          <w:tcPr>
            <w:tcW w:w="1985" w:type="dxa"/>
          </w:tcPr>
          <w:p w14:paraId="061879A9"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0, 2</w:t>
            </w:r>
          </w:p>
        </w:tc>
        <w:tc>
          <w:tcPr>
            <w:tcW w:w="1559" w:type="dxa"/>
          </w:tcPr>
          <w:p w14:paraId="73FFFD11"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0, 2</w:t>
            </w:r>
          </w:p>
        </w:tc>
      </w:tr>
      <w:tr w:rsidR="00AD119C" w14:paraId="49E0823B"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118C905E" w14:textId="77777777" w:rsidR="00AD119C" w:rsidRDefault="004036ED">
            <w:pPr>
              <w:rPr>
                <w:color w:val="000000" w:themeColor="text1"/>
                <w:szCs w:val="24"/>
              </w:rPr>
            </w:pPr>
            <w:r>
              <w:rPr>
                <w:color w:val="000000" w:themeColor="text1"/>
                <w:szCs w:val="24"/>
              </w:rPr>
              <w:t>Total number of active MRI lesions</w:t>
            </w:r>
          </w:p>
        </w:tc>
        <w:tc>
          <w:tcPr>
            <w:tcW w:w="1984" w:type="dxa"/>
          </w:tcPr>
          <w:p w14:paraId="588B21F1"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w:t>
            </w:r>
          </w:p>
        </w:tc>
        <w:tc>
          <w:tcPr>
            <w:tcW w:w="1985" w:type="dxa"/>
          </w:tcPr>
          <w:p w14:paraId="6CA1F270"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4</w:t>
            </w:r>
          </w:p>
        </w:tc>
        <w:tc>
          <w:tcPr>
            <w:tcW w:w="1559" w:type="dxa"/>
          </w:tcPr>
          <w:p w14:paraId="1BDEB55D"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4</w:t>
            </w:r>
          </w:p>
        </w:tc>
      </w:tr>
      <w:tr w:rsidR="00AD119C" w14:paraId="540C859B"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44F0FC48" w14:textId="77777777" w:rsidR="00AD119C" w:rsidRDefault="004036ED">
            <w:pPr>
              <w:rPr>
                <w:b w:val="0"/>
                <w:bCs w:val="0"/>
                <w:color w:val="000000" w:themeColor="text1"/>
                <w:szCs w:val="24"/>
              </w:rPr>
            </w:pPr>
            <w:r>
              <w:rPr>
                <w:color w:val="000000" w:themeColor="text1"/>
                <w:szCs w:val="24"/>
              </w:rPr>
              <w:t>Annualized active lesion rate (95% CI)</w:t>
            </w:r>
          </w:p>
        </w:tc>
        <w:tc>
          <w:tcPr>
            <w:tcW w:w="1984" w:type="dxa"/>
          </w:tcPr>
          <w:p w14:paraId="6C0B30BE"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0.0</w:t>
            </w:r>
          </w:p>
        </w:tc>
        <w:tc>
          <w:tcPr>
            <w:tcW w:w="1985" w:type="dxa"/>
          </w:tcPr>
          <w:p w14:paraId="0459DA05"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0.3</w:t>
            </w:r>
          </w:p>
        </w:tc>
        <w:tc>
          <w:tcPr>
            <w:tcW w:w="1559" w:type="dxa"/>
          </w:tcPr>
          <w:p w14:paraId="060DA200"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0.2 (0.2, 0.3)</w:t>
            </w:r>
          </w:p>
        </w:tc>
      </w:tr>
      <w:tr w:rsidR="00AD119C" w14:paraId="55DB15C6"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7F6E8091" w14:textId="77777777" w:rsidR="00AD119C" w:rsidRDefault="004036ED">
            <w:pPr>
              <w:rPr>
                <w:color w:val="000000" w:themeColor="text1"/>
                <w:szCs w:val="24"/>
              </w:rPr>
            </w:pPr>
            <w:r>
              <w:rPr>
                <w:color w:val="000000" w:themeColor="text1"/>
                <w:szCs w:val="24"/>
              </w:rPr>
              <w:t>Subjects hospitalized due to NMOSD recurrence, n (%)</w:t>
            </w:r>
          </w:p>
        </w:tc>
        <w:tc>
          <w:tcPr>
            <w:tcW w:w="1984" w:type="dxa"/>
          </w:tcPr>
          <w:p w14:paraId="4D474525"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w:t>
            </w:r>
          </w:p>
        </w:tc>
        <w:tc>
          <w:tcPr>
            <w:tcW w:w="1985" w:type="dxa"/>
          </w:tcPr>
          <w:p w14:paraId="423469B1"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1 (12.5)</w:t>
            </w:r>
          </w:p>
        </w:tc>
        <w:tc>
          <w:tcPr>
            <w:tcW w:w="1559" w:type="dxa"/>
          </w:tcPr>
          <w:p w14:paraId="6FC78F8D"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1 (9.1)</w:t>
            </w:r>
          </w:p>
        </w:tc>
      </w:tr>
      <w:tr w:rsidR="00AD119C" w14:paraId="69157599"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50DF2904" w14:textId="77777777" w:rsidR="00AD119C" w:rsidRDefault="004036ED">
            <w:pPr>
              <w:rPr>
                <w:b w:val="0"/>
                <w:bCs w:val="0"/>
                <w:color w:val="000000" w:themeColor="text1"/>
                <w:szCs w:val="24"/>
              </w:rPr>
            </w:pPr>
            <w:r>
              <w:rPr>
                <w:color w:val="000000" w:themeColor="text1"/>
                <w:szCs w:val="24"/>
              </w:rPr>
              <w:t>Total number of hospitalizations due to NMOSD recurrence</w:t>
            </w:r>
          </w:p>
        </w:tc>
        <w:tc>
          <w:tcPr>
            <w:tcW w:w="1984" w:type="dxa"/>
          </w:tcPr>
          <w:p w14:paraId="1C35615C"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w:t>
            </w:r>
          </w:p>
        </w:tc>
        <w:tc>
          <w:tcPr>
            <w:tcW w:w="1985" w:type="dxa"/>
          </w:tcPr>
          <w:p w14:paraId="46E4D745"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w:t>
            </w:r>
          </w:p>
        </w:tc>
        <w:tc>
          <w:tcPr>
            <w:tcW w:w="1559" w:type="dxa"/>
          </w:tcPr>
          <w:p w14:paraId="54234B88"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2</w:t>
            </w:r>
          </w:p>
        </w:tc>
      </w:tr>
      <w:tr w:rsidR="00AD119C" w14:paraId="675B7AE4"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774D5C93" w14:textId="77777777" w:rsidR="00AD119C" w:rsidRDefault="004036ED">
            <w:pPr>
              <w:rPr>
                <w:color w:val="000000" w:themeColor="text1"/>
                <w:szCs w:val="24"/>
              </w:rPr>
            </w:pPr>
            <w:r>
              <w:rPr>
                <w:color w:val="000000" w:themeColor="text1"/>
                <w:szCs w:val="24"/>
              </w:rPr>
              <w:t>Person-years of follow-up</w:t>
            </w:r>
          </w:p>
        </w:tc>
        <w:tc>
          <w:tcPr>
            <w:tcW w:w="1984" w:type="dxa"/>
          </w:tcPr>
          <w:p w14:paraId="6DE5661D"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6.5</w:t>
            </w:r>
          </w:p>
        </w:tc>
        <w:tc>
          <w:tcPr>
            <w:tcW w:w="1985" w:type="dxa"/>
          </w:tcPr>
          <w:p w14:paraId="148B6A56"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11.6</w:t>
            </w:r>
          </w:p>
        </w:tc>
        <w:tc>
          <w:tcPr>
            <w:tcW w:w="1559" w:type="dxa"/>
          </w:tcPr>
          <w:p w14:paraId="437B2C33"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18.1</w:t>
            </w:r>
          </w:p>
        </w:tc>
      </w:tr>
      <w:tr w:rsidR="00AD119C" w14:paraId="3F991A60" w14:textId="77777777" w:rsidTr="00AD119C">
        <w:tc>
          <w:tcPr>
            <w:cnfStyle w:val="001000000000" w:firstRow="0" w:lastRow="0" w:firstColumn="1" w:lastColumn="0" w:oddVBand="0" w:evenVBand="0" w:oddHBand="0" w:evenHBand="0" w:firstRowFirstColumn="0" w:firstRowLastColumn="0" w:lastRowFirstColumn="0" w:lastRowLastColumn="0"/>
            <w:tcW w:w="4254" w:type="dxa"/>
          </w:tcPr>
          <w:p w14:paraId="3B8658EA" w14:textId="77777777" w:rsidR="00AD119C" w:rsidRDefault="004036ED">
            <w:pPr>
              <w:rPr>
                <w:color w:val="000000" w:themeColor="text1"/>
                <w:szCs w:val="24"/>
              </w:rPr>
            </w:pPr>
            <w:r>
              <w:rPr>
                <w:color w:val="000000" w:themeColor="text1"/>
                <w:szCs w:val="24"/>
              </w:rPr>
              <w:t>Annualized hospitalization rate due to NMOSD recurrence (95% CI)</w:t>
            </w:r>
          </w:p>
        </w:tc>
        <w:tc>
          <w:tcPr>
            <w:tcW w:w="1984" w:type="dxa"/>
          </w:tcPr>
          <w:p w14:paraId="2C0DEBEA"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0.0</w:t>
            </w:r>
          </w:p>
        </w:tc>
        <w:tc>
          <w:tcPr>
            <w:tcW w:w="1985" w:type="dxa"/>
          </w:tcPr>
          <w:p w14:paraId="2D2040DB"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0.2</w:t>
            </w:r>
          </w:p>
        </w:tc>
        <w:tc>
          <w:tcPr>
            <w:tcW w:w="1559" w:type="dxa"/>
          </w:tcPr>
          <w:p w14:paraId="4964EB06" w14:textId="77777777" w:rsidR="00AD119C" w:rsidRDefault="004036ED">
            <w:pPr>
              <w:cnfStyle w:val="000000000000" w:firstRow="0" w:lastRow="0" w:firstColumn="0" w:lastColumn="0" w:oddVBand="0" w:evenVBand="0" w:oddHBand="0" w:evenHBand="0" w:firstRowFirstColumn="0" w:firstRowLastColumn="0" w:lastRowFirstColumn="0" w:lastRowLastColumn="0"/>
              <w:rPr>
                <w:color w:val="000000" w:themeColor="text1"/>
                <w:szCs w:val="24"/>
              </w:rPr>
            </w:pPr>
            <w:r>
              <w:rPr>
                <w:color w:val="000000" w:themeColor="text1"/>
                <w:szCs w:val="24"/>
              </w:rPr>
              <w:t>0.1 (0.07, 0.2)</w:t>
            </w:r>
          </w:p>
        </w:tc>
      </w:tr>
    </w:tbl>
    <w:p w14:paraId="6F959C81" w14:textId="77777777" w:rsidR="00AD119C" w:rsidRDefault="004036ED">
      <w:pPr>
        <w:spacing w:line="408" w:lineRule="auto"/>
        <w:rPr>
          <w:rFonts w:eastAsia="宋体" w:cs="Times New Roman"/>
          <w:color w:val="000000" w:themeColor="text1"/>
          <w:szCs w:val="24"/>
        </w:rPr>
      </w:pPr>
      <w:r>
        <w:rPr>
          <w:rFonts w:eastAsia="宋体" w:cs="Times New Roman"/>
          <w:b/>
          <w:bCs/>
          <w:color w:val="000000" w:themeColor="text1"/>
          <w:szCs w:val="24"/>
        </w:rPr>
        <w:t xml:space="preserve">Notes: </w:t>
      </w:r>
      <w:r>
        <w:rPr>
          <w:rFonts w:eastAsia="宋体" w:cs="Times New Roman"/>
          <w:color w:val="000000" w:themeColor="text1"/>
          <w:szCs w:val="24"/>
        </w:rPr>
        <w:t>EDSS: Expanded Disability Status Scale. MRI: Magnetic resonance imaging. Q1: First quartile, Q3: Third quartile, SD: Standard deviation. Annualized active lesion rate = Total number of active MRI lesions / Person-years of follow-up. Annualized hospitalization rate due to NMOSD recurrence = Total number of hospitalizations due to NMOSD recurrence / Person-years of follow-up.</w:t>
      </w:r>
    </w:p>
    <w:p w14:paraId="59A1F394" w14:textId="77777777" w:rsidR="00AD119C" w:rsidRDefault="004036ED">
      <w:pPr>
        <w:keepNext/>
        <w:widowControl/>
        <w:shd w:val="clear" w:color="auto" w:fill="FFFFFF"/>
        <w:rPr>
          <w:rFonts w:eastAsia="宋体" w:cs="Times New Roman"/>
          <w:b/>
          <w:color w:val="000000" w:themeColor="text1"/>
          <w:szCs w:val="24"/>
        </w:rPr>
      </w:pPr>
      <w:r>
        <w:rPr>
          <w:rFonts w:eastAsia="宋体" w:cs="Times New Roman"/>
          <w:b/>
          <w:color w:val="000000" w:themeColor="text1"/>
          <w:szCs w:val="24"/>
        </w:rPr>
        <w:lastRenderedPageBreak/>
        <w:t>Table S7. Pharmacokinetic Parameters of Obinutuzumab β in Patients</w:t>
      </w:r>
      <w:r>
        <w:rPr>
          <w:rFonts w:eastAsia="宋体" w:cs="Times New Roman" w:hint="eastAsia"/>
          <w:b/>
          <w:color w:val="000000" w:themeColor="text1"/>
          <w:szCs w:val="24"/>
        </w:rPr>
        <w:t xml:space="preserve"> with </w:t>
      </w:r>
      <w:r>
        <w:rPr>
          <w:rFonts w:eastAsia="宋体" w:cs="Times New Roman"/>
          <w:b/>
          <w:color w:val="000000" w:themeColor="text1"/>
          <w:szCs w:val="24"/>
        </w:rPr>
        <w:t>NMOSD</w:t>
      </w:r>
    </w:p>
    <w:tbl>
      <w:tblPr>
        <w:tblW w:w="5000" w:type="pct"/>
        <w:tblCellMar>
          <w:left w:w="0" w:type="dxa"/>
          <w:right w:w="0" w:type="dxa"/>
        </w:tblCellMar>
        <w:tblLook w:val="04A0" w:firstRow="1" w:lastRow="0" w:firstColumn="1" w:lastColumn="0" w:noHBand="0" w:noVBand="1"/>
      </w:tblPr>
      <w:tblGrid>
        <w:gridCol w:w="3352"/>
        <w:gridCol w:w="3033"/>
        <w:gridCol w:w="2969"/>
      </w:tblGrid>
      <w:tr w:rsidR="00AD119C" w14:paraId="65271A02" w14:textId="77777777">
        <w:trPr>
          <w:trHeight w:val="431"/>
          <w:tblHeader/>
        </w:trPr>
        <w:tc>
          <w:tcPr>
            <w:tcW w:w="1792" w:type="pct"/>
            <w:tcBorders>
              <w:top w:val="single" w:sz="4" w:space="0" w:color="000000"/>
              <w:left w:val="nil"/>
              <w:bottom w:val="single" w:sz="4" w:space="0" w:color="000000"/>
              <w:right w:val="nil"/>
            </w:tcBorders>
            <w:shd w:val="clear" w:color="auto" w:fill="FFFFFF"/>
            <w:tcMar>
              <w:top w:w="72" w:type="dxa"/>
              <w:left w:w="144" w:type="dxa"/>
              <w:bottom w:w="72" w:type="dxa"/>
              <w:right w:w="144" w:type="dxa"/>
            </w:tcMar>
          </w:tcPr>
          <w:p w14:paraId="350A5234" w14:textId="77777777" w:rsidR="00AD119C" w:rsidRDefault="004036ED" w:rsidP="00BA7F87">
            <w:pPr>
              <w:keepNext/>
              <w:widowControl/>
              <w:rPr>
                <w:rFonts w:eastAsia="宋体" w:cs="Times New Roman"/>
                <w:b/>
                <w:bCs/>
                <w:color w:val="000000" w:themeColor="text1"/>
                <w:kern w:val="0"/>
                <w:szCs w:val="24"/>
              </w:rPr>
            </w:pPr>
            <w:r>
              <w:rPr>
                <w:rFonts w:eastAsia="宋体" w:cs="Times New Roman" w:hint="eastAsia"/>
                <w:b/>
                <w:bCs/>
                <w:color w:val="000000" w:themeColor="text1"/>
                <w:kern w:val="0"/>
                <w:szCs w:val="24"/>
              </w:rPr>
              <w:t>PK</w:t>
            </w:r>
            <w:r>
              <w:rPr>
                <w:rFonts w:eastAsia="宋体" w:cs="Times New Roman"/>
                <w:b/>
                <w:bCs/>
                <w:color w:val="000000" w:themeColor="text1"/>
                <w:kern w:val="0"/>
                <w:szCs w:val="24"/>
              </w:rPr>
              <w:t xml:space="preserve"> parameters</w:t>
            </w:r>
          </w:p>
        </w:tc>
        <w:tc>
          <w:tcPr>
            <w:tcW w:w="1621" w:type="pct"/>
            <w:tcBorders>
              <w:top w:val="single" w:sz="4" w:space="0" w:color="000000"/>
              <w:left w:val="nil"/>
              <w:bottom w:val="single" w:sz="4" w:space="0" w:color="000000"/>
              <w:right w:val="nil"/>
            </w:tcBorders>
            <w:shd w:val="clear" w:color="auto" w:fill="FFFFFF"/>
            <w:tcMar>
              <w:top w:w="72" w:type="dxa"/>
              <w:left w:w="144" w:type="dxa"/>
              <w:bottom w:w="72" w:type="dxa"/>
              <w:right w:w="144" w:type="dxa"/>
            </w:tcMar>
          </w:tcPr>
          <w:p w14:paraId="68005BC5" w14:textId="77777777" w:rsidR="00AD119C" w:rsidRDefault="004036ED" w:rsidP="00BA7F87">
            <w:pPr>
              <w:keepNext/>
              <w:widowControl/>
              <w:jc w:val="left"/>
              <w:rPr>
                <w:rFonts w:cs="Times New Roman"/>
                <w:b/>
                <w:bCs/>
                <w:color w:val="000000" w:themeColor="text1"/>
                <w:szCs w:val="24"/>
              </w:rPr>
            </w:pPr>
            <w:r>
              <w:rPr>
                <w:rFonts w:cs="Times New Roman"/>
                <w:b/>
                <w:bCs/>
                <w:color w:val="000000" w:themeColor="text1"/>
                <w:szCs w:val="24"/>
              </w:rPr>
              <w:t xml:space="preserve">Obinutuzumab β </w:t>
            </w:r>
          </w:p>
          <w:p w14:paraId="70CD8E52" w14:textId="77777777" w:rsidR="00AD119C" w:rsidRDefault="004036ED" w:rsidP="00BA7F87">
            <w:pPr>
              <w:keepNext/>
              <w:widowControl/>
              <w:jc w:val="left"/>
              <w:rPr>
                <w:rFonts w:eastAsia="宋体" w:cs="Times New Roman"/>
                <w:b/>
                <w:bCs/>
                <w:color w:val="000000" w:themeColor="text1"/>
                <w:kern w:val="0"/>
                <w:szCs w:val="24"/>
              </w:rPr>
            </w:pPr>
            <w:r>
              <w:rPr>
                <w:rFonts w:eastAsia="宋体" w:cs="Times New Roman"/>
                <w:b/>
                <w:bCs/>
                <w:color w:val="000000" w:themeColor="text1"/>
                <w:kern w:val="0"/>
                <w:szCs w:val="24"/>
              </w:rPr>
              <w:t>500</w:t>
            </w:r>
            <w:r>
              <w:rPr>
                <w:rFonts w:eastAsia="宋体" w:cs="Times New Roman" w:hint="eastAsia"/>
                <w:color w:val="000000" w:themeColor="text1"/>
                <w:kern w:val="0"/>
                <w:szCs w:val="24"/>
              </w:rPr>
              <w:t xml:space="preserve"> </w:t>
            </w:r>
            <w:r>
              <w:rPr>
                <w:rFonts w:eastAsia="宋体" w:cs="Times New Roman"/>
                <w:b/>
                <w:bCs/>
                <w:color w:val="000000" w:themeColor="text1"/>
                <w:kern w:val="0"/>
                <w:szCs w:val="24"/>
              </w:rPr>
              <w:t>mg (n=2)</w:t>
            </w:r>
          </w:p>
        </w:tc>
        <w:tc>
          <w:tcPr>
            <w:tcW w:w="1587" w:type="pct"/>
            <w:tcBorders>
              <w:top w:val="single" w:sz="4" w:space="0" w:color="000000"/>
              <w:left w:val="nil"/>
              <w:bottom w:val="single" w:sz="4" w:space="0" w:color="000000"/>
              <w:right w:val="nil"/>
            </w:tcBorders>
            <w:shd w:val="clear" w:color="auto" w:fill="FFFFFF"/>
            <w:tcMar>
              <w:top w:w="72" w:type="dxa"/>
              <w:left w:w="144" w:type="dxa"/>
              <w:bottom w:w="72" w:type="dxa"/>
              <w:right w:w="144" w:type="dxa"/>
            </w:tcMar>
          </w:tcPr>
          <w:p w14:paraId="18D9E65D" w14:textId="77777777" w:rsidR="00AD119C" w:rsidRDefault="004036ED" w:rsidP="00BA7F87">
            <w:pPr>
              <w:keepNext/>
              <w:widowControl/>
              <w:jc w:val="left"/>
              <w:rPr>
                <w:rFonts w:cs="Times New Roman"/>
                <w:b/>
                <w:bCs/>
                <w:color w:val="000000" w:themeColor="text1"/>
                <w:szCs w:val="24"/>
              </w:rPr>
            </w:pPr>
            <w:r>
              <w:rPr>
                <w:rFonts w:cs="Times New Roman"/>
                <w:b/>
                <w:bCs/>
                <w:color w:val="000000" w:themeColor="text1"/>
                <w:szCs w:val="24"/>
              </w:rPr>
              <w:t xml:space="preserve">Obinutuzumab β </w:t>
            </w:r>
          </w:p>
          <w:p w14:paraId="7A6739F3" w14:textId="77777777" w:rsidR="00AD119C" w:rsidRDefault="004036ED" w:rsidP="00BA7F87">
            <w:pPr>
              <w:keepNext/>
              <w:widowControl/>
              <w:jc w:val="left"/>
              <w:rPr>
                <w:rFonts w:eastAsia="宋体" w:cs="Times New Roman"/>
                <w:b/>
                <w:bCs/>
                <w:color w:val="000000" w:themeColor="text1"/>
                <w:kern w:val="0"/>
                <w:szCs w:val="24"/>
              </w:rPr>
            </w:pPr>
            <w:r>
              <w:rPr>
                <w:rFonts w:eastAsia="宋体" w:cs="Times New Roman"/>
                <w:b/>
                <w:bCs/>
                <w:color w:val="000000" w:themeColor="text1"/>
                <w:kern w:val="0"/>
                <w:szCs w:val="24"/>
              </w:rPr>
              <w:t>1000</w:t>
            </w:r>
            <w:r>
              <w:rPr>
                <w:rFonts w:eastAsia="宋体" w:cs="Times New Roman" w:hint="eastAsia"/>
                <w:color w:val="000000" w:themeColor="text1"/>
                <w:kern w:val="0"/>
                <w:szCs w:val="24"/>
              </w:rPr>
              <w:t xml:space="preserve"> </w:t>
            </w:r>
            <w:r>
              <w:rPr>
                <w:rFonts w:eastAsia="宋体" w:cs="Times New Roman"/>
                <w:b/>
                <w:bCs/>
                <w:color w:val="000000" w:themeColor="text1"/>
                <w:kern w:val="0"/>
                <w:szCs w:val="24"/>
              </w:rPr>
              <w:t>mg (n=8)</w:t>
            </w:r>
          </w:p>
        </w:tc>
      </w:tr>
      <w:tr w:rsidR="00AD119C" w14:paraId="4A8AB596" w14:textId="77777777">
        <w:tblPrEx>
          <w:jc w:val="center"/>
        </w:tblPrEx>
        <w:trPr>
          <w:trHeight w:val="364"/>
          <w:jc w:val="center"/>
        </w:trPr>
        <w:tc>
          <w:tcPr>
            <w:tcW w:w="1792" w:type="pct"/>
            <w:tcBorders>
              <w:top w:val="nil"/>
              <w:left w:val="nil"/>
              <w:bottom w:val="nil"/>
              <w:right w:val="nil"/>
            </w:tcBorders>
            <w:shd w:val="clear" w:color="auto" w:fill="FFFFFF"/>
            <w:tcMar>
              <w:top w:w="72" w:type="dxa"/>
              <w:left w:w="144" w:type="dxa"/>
              <w:bottom w:w="72" w:type="dxa"/>
              <w:right w:w="144" w:type="dxa"/>
            </w:tcMar>
          </w:tcPr>
          <w:p w14:paraId="281DACF3"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t</w:t>
            </w:r>
            <w:r>
              <w:rPr>
                <w:rFonts w:eastAsia="宋体" w:cs="Times New Roman"/>
                <w:color w:val="000000" w:themeColor="text1"/>
                <w:kern w:val="0"/>
                <w:szCs w:val="24"/>
                <w:vertAlign w:val="subscript"/>
              </w:rPr>
              <w:t>1/2</w:t>
            </w:r>
            <w:r>
              <w:rPr>
                <w:rFonts w:eastAsia="宋体" w:cs="Times New Roman"/>
                <w:color w:val="000000" w:themeColor="text1"/>
                <w:kern w:val="0"/>
                <w:szCs w:val="24"/>
              </w:rPr>
              <w:t xml:space="preserve"> (d)</w:t>
            </w:r>
            <w:r>
              <w:rPr>
                <w:rFonts w:cs="Times New Roman"/>
                <w:color w:val="000000" w:themeColor="text1"/>
                <w:szCs w:val="24"/>
              </w:rPr>
              <w:t xml:space="preserve"> </w:t>
            </w:r>
            <w:r>
              <w:rPr>
                <w:rFonts w:eastAsia="宋体" w:cs="Times New Roman"/>
                <w:color w:val="000000" w:themeColor="text1"/>
                <w:kern w:val="0"/>
                <w:szCs w:val="24"/>
              </w:rPr>
              <w:t>Median (min, max)</w:t>
            </w:r>
          </w:p>
        </w:tc>
        <w:tc>
          <w:tcPr>
            <w:tcW w:w="1621" w:type="pct"/>
            <w:tcBorders>
              <w:top w:val="nil"/>
              <w:left w:val="nil"/>
              <w:bottom w:val="nil"/>
              <w:right w:val="nil"/>
            </w:tcBorders>
            <w:shd w:val="clear" w:color="auto" w:fill="FFFFFF"/>
            <w:tcMar>
              <w:top w:w="72" w:type="dxa"/>
              <w:left w:w="144" w:type="dxa"/>
              <w:bottom w:w="72" w:type="dxa"/>
              <w:right w:w="144" w:type="dxa"/>
            </w:tcMar>
          </w:tcPr>
          <w:p w14:paraId="1580A12D" w14:textId="77777777" w:rsidR="00AD119C" w:rsidRDefault="004036ED">
            <w:pPr>
              <w:pStyle w:val="a0"/>
              <w:spacing w:after="0"/>
              <w:ind w:firstLineChars="0" w:firstLine="0"/>
              <w:rPr>
                <w:rFonts w:eastAsia="宋体" w:cs="Times New Roman"/>
                <w:color w:val="000000" w:themeColor="text1"/>
                <w:kern w:val="0"/>
                <w:szCs w:val="24"/>
              </w:rPr>
            </w:pPr>
            <w:r>
              <w:rPr>
                <w:rFonts w:eastAsia="宋体" w:cs="Times New Roman"/>
                <w:szCs w:val="24"/>
              </w:rPr>
              <w:t>20.4 (18.8, 22.1)</w:t>
            </w:r>
          </w:p>
        </w:tc>
        <w:tc>
          <w:tcPr>
            <w:tcW w:w="1587" w:type="pct"/>
            <w:tcBorders>
              <w:top w:val="nil"/>
              <w:left w:val="nil"/>
              <w:bottom w:val="nil"/>
              <w:right w:val="nil"/>
            </w:tcBorders>
            <w:shd w:val="clear" w:color="auto" w:fill="FFFFFF"/>
            <w:tcMar>
              <w:top w:w="72" w:type="dxa"/>
              <w:left w:w="144" w:type="dxa"/>
              <w:bottom w:w="72" w:type="dxa"/>
              <w:right w:w="144" w:type="dxa"/>
            </w:tcMar>
          </w:tcPr>
          <w:p w14:paraId="02B3E5FC" w14:textId="77777777" w:rsidR="00AD119C" w:rsidRDefault="004036ED">
            <w:pPr>
              <w:pStyle w:val="a0"/>
              <w:spacing w:after="0"/>
              <w:ind w:firstLineChars="0" w:firstLine="0"/>
              <w:rPr>
                <w:rFonts w:eastAsia="宋体" w:cs="Times New Roman"/>
                <w:color w:val="000000" w:themeColor="text1"/>
                <w:kern w:val="0"/>
                <w:szCs w:val="24"/>
              </w:rPr>
            </w:pPr>
            <w:r>
              <w:rPr>
                <w:rFonts w:eastAsia="宋体" w:cs="Times New Roman"/>
                <w:szCs w:val="24"/>
              </w:rPr>
              <w:t>17.9 (8.3, 26.3)</w:t>
            </w:r>
          </w:p>
        </w:tc>
      </w:tr>
      <w:tr w:rsidR="00AD119C" w14:paraId="470B27D1" w14:textId="77777777">
        <w:tblPrEx>
          <w:jc w:val="center"/>
        </w:tblPrEx>
        <w:trPr>
          <w:trHeight w:val="396"/>
          <w:jc w:val="center"/>
        </w:trPr>
        <w:tc>
          <w:tcPr>
            <w:tcW w:w="1792" w:type="pct"/>
            <w:tcBorders>
              <w:top w:val="nil"/>
              <w:left w:val="nil"/>
              <w:bottom w:val="nil"/>
              <w:right w:val="nil"/>
            </w:tcBorders>
            <w:shd w:val="clear" w:color="auto" w:fill="FFFFFF"/>
            <w:tcMar>
              <w:top w:w="72" w:type="dxa"/>
              <w:left w:w="144" w:type="dxa"/>
              <w:bottom w:w="72" w:type="dxa"/>
              <w:right w:w="144" w:type="dxa"/>
            </w:tcMar>
          </w:tcPr>
          <w:p w14:paraId="46650872"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C</w:t>
            </w:r>
            <w:r>
              <w:rPr>
                <w:rFonts w:eastAsia="宋体" w:cs="Times New Roman"/>
                <w:color w:val="000000" w:themeColor="text1"/>
                <w:kern w:val="0"/>
                <w:szCs w:val="24"/>
                <w:vertAlign w:val="subscript"/>
              </w:rPr>
              <w:t xml:space="preserve">max </w:t>
            </w:r>
            <w:r>
              <w:rPr>
                <w:rFonts w:eastAsia="宋体" w:cs="Times New Roman"/>
                <w:color w:val="000000" w:themeColor="text1"/>
                <w:kern w:val="0"/>
                <w:szCs w:val="24"/>
              </w:rPr>
              <w:t>(ug/mL)</w:t>
            </w:r>
            <w:r>
              <w:rPr>
                <w:rFonts w:cs="Times New Roman"/>
                <w:color w:val="000000" w:themeColor="text1"/>
                <w:szCs w:val="24"/>
              </w:rPr>
              <w:t xml:space="preserve"> </w:t>
            </w:r>
          </w:p>
        </w:tc>
        <w:tc>
          <w:tcPr>
            <w:tcW w:w="1621" w:type="pct"/>
            <w:tcBorders>
              <w:top w:val="nil"/>
              <w:left w:val="nil"/>
              <w:bottom w:val="nil"/>
              <w:right w:val="nil"/>
            </w:tcBorders>
            <w:shd w:val="clear" w:color="auto" w:fill="FFFFFF"/>
            <w:tcMar>
              <w:top w:w="72" w:type="dxa"/>
              <w:left w:w="144" w:type="dxa"/>
              <w:bottom w:w="72" w:type="dxa"/>
              <w:right w:w="144" w:type="dxa"/>
            </w:tcMar>
          </w:tcPr>
          <w:p w14:paraId="2D01DCCD"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228.7±19.9</w:t>
            </w:r>
          </w:p>
        </w:tc>
        <w:tc>
          <w:tcPr>
            <w:tcW w:w="1587" w:type="pct"/>
            <w:tcBorders>
              <w:top w:val="nil"/>
              <w:left w:val="nil"/>
              <w:bottom w:val="nil"/>
              <w:right w:val="nil"/>
            </w:tcBorders>
            <w:shd w:val="clear" w:color="auto" w:fill="FFFFFF"/>
            <w:tcMar>
              <w:top w:w="72" w:type="dxa"/>
              <w:left w:w="144" w:type="dxa"/>
              <w:bottom w:w="72" w:type="dxa"/>
              <w:right w:w="144" w:type="dxa"/>
            </w:tcMar>
          </w:tcPr>
          <w:p w14:paraId="3B8060B7"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487.1±</w:t>
            </w:r>
            <w:r>
              <w:rPr>
                <w:rFonts w:eastAsia="宋体" w:cs="Times New Roman"/>
                <w:szCs w:val="24"/>
              </w:rPr>
              <w:t>118.4</w:t>
            </w:r>
          </w:p>
        </w:tc>
      </w:tr>
      <w:tr w:rsidR="00AD119C" w14:paraId="44AA6906" w14:textId="77777777">
        <w:tblPrEx>
          <w:jc w:val="center"/>
        </w:tblPrEx>
        <w:trPr>
          <w:trHeight w:val="334"/>
          <w:jc w:val="center"/>
        </w:trPr>
        <w:tc>
          <w:tcPr>
            <w:tcW w:w="1792" w:type="pct"/>
            <w:tcBorders>
              <w:top w:val="nil"/>
              <w:left w:val="nil"/>
              <w:right w:val="nil"/>
            </w:tcBorders>
            <w:shd w:val="clear" w:color="auto" w:fill="FFFFFF"/>
            <w:tcMar>
              <w:top w:w="72" w:type="dxa"/>
              <w:left w:w="144" w:type="dxa"/>
              <w:bottom w:w="72" w:type="dxa"/>
              <w:right w:w="144" w:type="dxa"/>
            </w:tcMar>
          </w:tcPr>
          <w:p w14:paraId="120366E1"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CL</w:t>
            </w:r>
            <w:r>
              <w:rPr>
                <w:rFonts w:eastAsia="宋体" w:cs="Times New Roman"/>
                <w:color w:val="000000" w:themeColor="text1"/>
                <w:kern w:val="0"/>
                <w:szCs w:val="24"/>
                <w:vertAlign w:val="subscript"/>
              </w:rPr>
              <w:t>_obs</w:t>
            </w:r>
            <w:r>
              <w:rPr>
                <w:rFonts w:eastAsia="宋体" w:cs="Times New Roman"/>
                <w:color w:val="000000" w:themeColor="text1"/>
                <w:kern w:val="0"/>
                <w:szCs w:val="24"/>
              </w:rPr>
              <w:t xml:space="preserve"> (mL/h)</w:t>
            </w:r>
            <w:r>
              <w:rPr>
                <w:rFonts w:cs="Times New Roman"/>
                <w:color w:val="000000" w:themeColor="text1"/>
                <w:szCs w:val="24"/>
              </w:rPr>
              <w:t xml:space="preserve"> </w:t>
            </w:r>
          </w:p>
        </w:tc>
        <w:tc>
          <w:tcPr>
            <w:tcW w:w="1621" w:type="pct"/>
            <w:tcBorders>
              <w:top w:val="nil"/>
              <w:left w:val="nil"/>
              <w:right w:val="nil"/>
            </w:tcBorders>
            <w:shd w:val="clear" w:color="auto" w:fill="FFFFFF"/>
            <w:tcMar>
              <w:top w:w="72" w:type="dxa"/>
              <w:left w:w="144" w:type="dxa"/>
              <w:bottom w:w="72" w:type="dxa"/>
              <w:right w:w="144" w:type="dxa"/>
            </w:tcMar>
          </w:tcPr>
          <w:p w14:paraId="278E7312"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3.5±0.33</w:t>
            </w:r>
          </w:p>
        </w:tc>
        <w:tc>
          <w:tcPr>
            <w:tcW w:w="1587" w:type="pct"/>
            <w:tcBorders>
              <w:top w:val="nil"/>
              <w:left w:val="nil"/>
              <w:right w:val="nil"/>
            </w:tcBorders>
            <w:shd w:val="clear" w:color="auto" w:fill="FFFFFF"/>
            <w:tcMar>
              <w:top w:w="72" w:type="dxa"/>
              <w:left w:w="144" w:type="dxa"/>
              <w:bottom w:w="72" w:type="dxa"/>
              <w:right w:w="144" w:type="dxa"/>
            </w:tcMar>
          </w:tcPr>
          <w:p w14:paraId="1EE14F42"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5.1±1.7</w:t>
            </w:r>
          </w:p>
        </w:tc>
      </w:tr>
      <w:tr w:rsidR="00AD119C" w14:paraId="2C2701F4" w14:textId="77777777">
        <w:tblPrEx>
          <w:jc w:val="center"/>
        </w:tblPrEx>
        <w:trPr>
          <w:trHeight w:val="334"/>
          <w:jc w:val="center"/>
        </w:trPr>
        <w:tc>
          <w:tcPr>
            <w:tcW w:w="1792" w:type="pct"/>
            <w:tcBorders>
              <w:top w:val="nil"/>
              <w:left w:val="nil"/>
              <w:right w:val="nil"/>
            </w:tcBorders>
            <w:shd w:val="clear" w:color="auto" w:fill="FFFFFF"/>
            <w:tcMar>
              <w:top w:w="72" w:type="dxa"/>
              <w:left w:w="144" w:type="dxa"/>
              <w:bottom w:w="72" w:type="dxa"/>
              <w:right w:w="144" w:type="dxa"/>
            </w:tcMar>
          </w:tcPr>
          <w:p w14:paraId="588BE10C"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AUC</w:t>
            </w:r>
            <w:r>
              <w:rPr>
                <w:rFonts w:eastAsia="宋体" w:cs="Times New Roman"/>
                <w:color w:val="000000" w:themeColor="text1"/>
                <w:kern w:val="0"/>
                <w:szCs w:val="24"/>
                <w:vertAlign w:val="subscript"/>
              </w:rPr>
              <w:t xml:space="preserve">0-t </w:t>
            </w:r>
            <w:r>
              <w:rPr>
                <w:rFonts w:eastAsia="宋体" w:cs="Times New Roman"/>
                <w:color w:val="000000" w:themeColor="text1"/>
                <w:kern w:val="0"/>
                <w:szCs w:val="24"/>
              </w:rPr>
              <w:t>(h*ug/mL)</w:t>
            </w:r>
          </w:p>
        </w:tc>
        <w:tc>
          <w:tcPr>
            <w:tcW w:w="1621" w:type="pct"/>
            <w:tcBorders>
              <w:top w:val="nil"/>
              <w:left w:val="nil"/>
              <w:right w:val="nil"/>
            </w:tcBorders>
            <w:shd w:val="clear" w:color="auto" w:fill="FFFFFF"/>
            <w:tcMar>
              <w:top w:w="72" w:type="dxa"/>
              <w:left w:w="144" w:type="dxa"/>
              <w:bottom w:w="72" w:type="dxa"/>
              <w:right w:w="144" w:type="dxa"/>
            </w:tcMar>
          </w:tcPr>
          <w:p w14:paraId="09456959"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128800.1±9542.1</w:t>
            </w:r>
          </w:p>
        </w:tc>
        <w:tc>
          <w:tcPr>
            <w:tcW w:w="1587" w:type="pct"/>
            <w:tcBorders>
              <w:top w:val="nil"/>
              <w:left w:val="nil"/>
              <w:right w:val="nil"/>
            </w:tcBorders>
            <w:shd w:val="clear" w:color="auto" w:fill="FFFFFF"/>
            <w:tcMar>
              <w:top w:w="72" w:type="dxa"/>
              <w:left w:w="144" w:type="dxa"/>
              <w:bottom w:w="72" w:type="dxa"/>
              <w:right w:w="144" w:type="dxa"/>
            </w:tcMar>
          </w:tcPr>
          <w:p w14:paraId="46E72298"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205391.5±68594.8</w:t>
            </w:r>
          </w:p>
        </w:tc>
      </w:tr>
      <w:tr w:rsidR="00AD119C" w14:paraId="0E5A94C4" w14:textId="77777777">
        <w:tblPrEx>
          <w:jc w:val="center"/>
        </w:tblPrEx>
        <w:trPr>
          <w:trHeight w:val="334"/>
          <w:jc w:val="center"/>
        </w:trPr>
        <w:tc>
          <w:tcPr>
            <w:tcW w:w="1792" w:type="pct"/>
            <w:tcBorders>
              <w:top w:val="nil"/>
              <w:left w:val="nil"/>
              <w:right w:val="nil"/>
            </w:tcBorders>
            <w:shd w:val="clear" w:color="auto" w:fill="FFFFFF"/>
            <w:tcMar>
              <w:top w:w="72" w:type="dxa"/>
              <w:left w:w="144" w:type="dxa"/>
              <w:bottom w:w="72" w:type="dxa"/>
              <w:right w:w="144" w:type="dxa"/>
            </w:tcMar>
          </w:tcPr>
          <w:p w14:paraId="6F82B438"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AUC</w:t>
            </w:r>
            <w:r>
              <w:rPr>
                <w:rFonts w:eastAsia="宋体" w:cs="Times New Roman"/>
                <w:color w:val="000000" w:themeColor="text1"/>
                <w:kern w:val="0"/>
                <w:szCs w:val="24"/>
                <w:vertAlign w:val="subscript"/>
              </w:rPr>
              <w:t xml:space="preserve">0-∞ </w:t>
            </w:r>
            <w:r>
              <w:rPr>
                <w:rFonts w:eastAsia="宋体" w:cs="Times New Roman"/>
                <w:color w:val="000000" w:themeColor="text1"/>
                <w:kern w:val="0"/>
                <w:szCs w:val="24"/>
              </w:rPr>
              <w:t>(h*ug/mL)</w:t>
            </w:r>
          </w:p>
        </w:tc>
        <w:tc>
          <w:tcPr>
            <w:tcW w:w="1621" w:type="pct"/>
            <w:tcBorders>
              <w:top w:val="nil"/>
              <w:left w:val="nil"/>
              <w:right w:val="nil"/>
            </w:tcBorders>
            <w:shd w:val="clear" w:color="auto" w:fill="FFFFFF"/>
            <w:tcMar>
              <w:top w:w="72" w:type="dxa"/>
              <w:left w:w="144" w:type="dxa"/>
              <w:bottom w:w="72" w:type="dxa"/>
              <w:right w:w="144" w:type="dxa"/>
            </w:tcMar>
          </w:tcPr>
          <w:p w14:paraId="0448CC99"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141507.2±13067.5</w:t>
            </w:r>
          </w:p>
        </w:tc>
        <w:tc>
          <w:tcPr>
            <w:tcW w:w="1587" w:type="pct"/>
            <w:tcBorders>
              <w:top w:val="nil"/>
              <w:left w:val="nil"/>
              <w:right w:val="nil"/>
            </w:tcBorders>
            <w:shd w:val="clear" w:color="auto" w:fill="FFFFFF"/>
            <w:tcMar>
              <w:top w:w="72" w:type="dxa"/>
              <w:left w:w="144" w:type="dxa"/>
              <w:bottom w:w="72" w:type="dxa"/>
              <w:right w:w="144" w:type="dxa"/>
            </w:tcMar>
          </w:tcPr>
          <w:p w14:paraId="77DDAD9F"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214896.8±71902.9</w:t>
            </w:r>
          </w:p>
        </w:tc>
      </w:tr>
      <w:tr w:rsidR="00AD119C" w14:paraId="3963292A" w14:textId="77777777">
        <w:tblPrEx>
          <w:jc w:val="center"/>
        </w:tblPrEx>
        <w:trPr>
          <w:trHeight w:val="334"/>
          <w:jc w:val="center"/>
        </w:trPr>
        <w:tc>
          <w:tcPr>
            <w:tcW w:w="1792" w:type="pct"/>
            <w:tcBorders>
              <w:top w:val="nil"/>
              <w:left w:val="nil"/>
              <w:right w:val="nil"/>
            </w:tcBorders>
            <w:shd w:val="clear" w:color="auto" w:fill="FFFFFF"/>
            <w:tcMar>
              <w:top w:w="72" w:type="dxa"/>
              <w:left w:w="144" w:type="dxa"/>
              <w:bottom w:w="72" w:type="dxa"/>
              <w:right w:w="144" w:type="dxa"/>
            </w:tcMar>
          </w:tcPr>
          <w:p w14:paraId="4409DB2D"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T</w:t>
            </w:r>
            <w:r>
              <w:rPr>
                <w:rFonts w:eastAsia="宋体" w:cs="Times New Roman"/>
                <w:color w:val="000000" w:themeColor="text1"/>
                <w:kern w:val="0"/>
                <w:szCs w:val="24"/>
                <w:vertAlign w:val="subscript"/>
              </w:rPr>
              <w:t xml:space="preserve">max </w:t>
            </w:r>
            <w:r>
              <w:rPr>
                <w:rFonts w:eastAsia="宋体" w:cs="Times New Roman"/>
                <w:color w:val="000000" w:themeColor="text1"/>
                <w:kern w:val="0"/>
                <w:szCs w:val="24"/>
              </w:rPr>
              <w:t>(h) Median (min, max)</w:t>
            </w:r>
          </w:p>
        </w:tc>
        <w:tc>
          <w:tcPr>
            <w:tcW w:w="1621" w:type="pct"/>
            <w:tcBorders>
              <w:top w:val="nil"/>
              <w:left w:val="nil"/>
              <w:right w:val="nil"/>
            </w:tcBorders>
            <w:shd w:val="clear" w:color="auto" w:fill="FFFFFF"/>
            <w:tcMar>
              <w:top w:w="72" w:type="dxa"/>
              <w:left w:w="144" w:type="dxa"/>
              <w:bottom w:w="72" w:type="dxa"/>
              <w:right w:w="144" w:type="dxa"/>
            </w:tcMar>
          </w:tcPr>
          <w:p w14:paraId="492A1B1F"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9.8 (2.6, 10.0)</w:t>
            </w:r>
          </w:p>
        </w:tc>
        <w:tc>
          <w:tcPr>
            <w:tcW w:w="1587" w:type="pct"/>
            <w:tcBorders>
              <w:top w:val="nil"/>
              <w:left w:val="nil"/>
              <w:right w:val="nil"/>
            </w:tcBorders>
            <w:shd w:val="clear" w:color="auto" w:fill="FFFFFF"/>
            <w:tcMar>
              <w:top w:w="72" w:type="dxa"/>
              <w:left w:w="144" w:type="dxa"/>
              <w:bottom w:w="72" w:type="dxa"/>
              <w:right w:w="144" w:type="dxa"/>
            </w:tcMar>
          </w:tcPr>
          <w:p w14:paraId="6F5F62EE"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7.2 (3.3, 11.7)</w:t>
            </w:r>
          </w:p>
        </w:tc>
      </w:tr>
      <w:tr w:rsidR="00AD119C" w14:paraId="44AB0311" w14:textId="77777777">
        <w:tblPrEx>
          <w:jc w:val="center"/>
        </w:tblPrEx>
        <w:trPr>
          <w:trHeight w:val="334"/>
          <w:jc w:val="center"/>
        </w:trPr>
        <w:tc>
          <w:tcPr>
            <w:tcW w:w="1792" w:type="pct"/>
            <w:tcBorders>
              <w:top w:val="nil"/>
              <w:left w:val="nil"/>
              <w:right w:val="nil"/>
            </w:tcBorders>
            <w:shd w:val="clear" w:color="auto" w:fill="FFFFFF"/>
            <w:tcMar>
              <w:top w:w="72" w:type="dxa"/>
              <w:left w:w="144" w:type="dxa"/>
              <w:bottom w:w="72" w:type="dxa"/>
              <w:right w:w="144" w:type="dxa"/>
            </w:tcMar>
          </w:tcPr>
          <w:p w14:paraId="2C2F0EE5"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V</w:t>
            </w:r>
            <w:r>
              <w:rPr>
                <w:rFonts w:eastAsia="宋体" w:cs="Times New Roman"/>
                <w:color w:val="000000" w:themeColor="text1"/>
                <w:kern w:val="0"/>
                <w:szCs w:val="24"/>
                <w:vertAlign w:val="subscript"/>
              </w:rPr>
              <w:t>d</w:t>
            </w:r>
            <w:r>
              <w:rPr>
                <w:rFonts w:eastAsia="宋体" w:cs="Times New Roman"/>
                <w:color w:val="000000" w:themeColor="text1"/>
                <w:kern w:val="0"/>
                <w:szCs w:val="24"/>
              </w:rPr>
              <w:t xml:space="preserve"> (mL)</w:t>
            </w:r>
          </w:p>
        </w:tc>
        <w:tc>
          <w:tcPr>
            <w:tcW w:w="1621" w:type="pct"/>
            <w:tcBorders>
              <w:top w:val="nil"/>
              <w:left w:val="nil"/>
              <w:right w:val="nil"/>
            </w:tcBorders>
            <w:shd w:val="clear" w:color="auto" w:fill="FFFFFF"/>
            <w:tcMar>
              <w:top w:w="72" w:type="dxa"/>
              <w:left w:w="144" w:type="dxa"/>
              <w:bottom w:w="72" w:type="dxa"/>
              <w:right w:w="144" w:type="dxa"/>
            </w:tcMar>
          </w:tcPr>
          <w:p w14:paraId="245B2A7B"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2496.4±52.4</w:t>
            </w:r>
          </w:p>
        </w:tc>
        <w:tc>
          <w:tcPr>
            <w:tcW w:w="1587" w:type="pct"/>
            <w:tcBorders>
              <w:top w:val="nil"/>
              <w:left w:val="nil"/>
              <w:right w:val="nil"/>
            </w:tcBorders>
            <w:shd w:val="clear" w:color="auto" w:fill="FFFFFF"/>
            <w:tcMar>
              <w:top w:w="72" w:type="dxa"/>
              <w:left w:w="144" w:type="dxa"/>
              <w:bottom w:w="72" w:type="dxa"/>
              <w:right w:w="144" w:type="dxa"/>
            </w:tcMar>
          </w:tcPr>
          <w:p w14:paraId="58796881" w14:textId="77777777" w:rsidR="00AD119C" w:rsidRDefault="004036ED">
            <w:pPr>
              <w:widowControl/>
              <w:spacing w:line="276" w:lineRule="auto"/>
              <w:rPr>
                <w:rFonts w:eastAsia="宋体" w:cs="Times New Roman"/>
                <w:color w:val="000000" w:themeColor="text1"/>
                <w:kern w:val="0"/>
                <w:szCs w:val="24"/>
              </w:rPr>
            </w:pPr>
            <w:r>
              <w:rPr>
                <w:rFonts w:eastAsia="宋体" w:cs="Times New Roman"/>
                <w:color w:val="000000" w:themeColor="text1"/>
                <w:kern w:val="0"/>
                <w:szCs w:val="24"/>
              </w:rPr>
              <w:t>3106.1±953.2</w:t>
            </w:r>
          </w:p>
        </w:tc>
      </w:tr>
      <w:tr w:rsidR="00AD119C" w14:paraId="1FE1642A" w14:textId="77777777">
        <w:tblPrEx>
          <w:jc w:val="center"/>
        </w:tblPrEx>
        <w:trPr>
          <w:trHeight w:val="24"/>
          <w:jc w:val="center"/>
        </w:trPr>
        <w:tc>
          <w:tcPr>
            <w:tcW w:w="5000" w:type="pct"/>
            <w:gridSpan w:val="3"/>
            <w:tcBorders>
              <w:top w:val="single" w:sz="4" w:space="0" w:color="auto"/>
              <w:left w:val="nil"/>
              <w:bottom w:val="nil"/>
              <w:right w:val="nil"/>
            </w:tcBorders>
            <w:shd w:val="clear" w:color="auto" w:fill="FFFFFF"/>
            <w:tcMar>
              <w:top w:w="72" w:type="dxa"/>
              <w:left w:w="144" w:type="dxa"/>
              <w:bottom w:w="72" w:type="dxa"/>
              <w:right w:w="144" w:type="dxa"/>
            </w:tcMar>
          </w:tcPr>
          <w:p w14:paraId="6FA173B9" w14:textId="77777777" w:rsidR="00AD119C" w:rsidRDefault="004036ED">
            <w:pPr>
              <w:widowControl/>
              <w:spacing w:line="276" w:lineRule="auto"/>
              <w:rPr>
                <w:rFonts w:eastAsia="宋体" w:cs="Times New Roman"/>
                <w:color w:val="000000" w:themeColor="text1"/>
                <w:kern w:val="0"/>
                <w:szCs w:val="24"/>
              </w:rPr>
            </w:pPr>
            <w:r>
              <w:rPr>
                <w:rFonts w:eastAsia="宋体" w:cs="Times New Roman"/>
                <w:b/>
                <w:bCs/>
                <w:color w:val="000000" w:themeColor="text1"/>
                <w:szCs w:val="24"/>
              </w:rPr>
              <w:t xml:space="preserve">Abbreviations: </w:t>
            </w:r>
            <w:r>
              <w:rPr>
                <w:rFonts w:eastAsia="宋体" w:cs="Times New Roman"/>
                <w:szCs w:val="24"/>
              </w:rPr>
              <w:t>AUC</w:t>
            </w:r>
            <w:r>
              <w:rPr>
                <w:rFonts w:eastAsia="宋体" w:cs="Times New Roman"/>
                <w:szCs w:val="24"/>
                <w:vertAlign w:val="subscript"/>
              </w:rPr>
              <w:t>0-t</w:t>
            </w:r>
            <w:r>
              <w:rPr>
                <w:rFonts w:eastAsia="宋体" w:cs="Times New Roman"/>
                <w:szCs w:val="24"/>
              </w:rPr>
              <w:t>: area under the concentration–time curve from time zero to last measurable concentration; AUC</w:t>
            </w:r>
            <w:r>
              <w:rPr>
                <w:rFonts w:eastAsia="宋体" w:cs="Times New Roman"/>
                <w:szCs w:val="24"/>
                <w:vertAlign w:val="subscript"/>
              </w:rPr>
              <w:t>0-</w:t>
            </w:r>
            <w:r>
              <w:rPr>
                <w:rFonts w:eastAsia="宋体" w:cs="Times New Roman"/>
                <w:color w:val="000000"/>
                <w:szCs w:val="24"/>
                <w:vertAlign w:val="subscript"/>
                <w:lang w:eastAsia="ja-JP"/>
              </w:rPr>
              <w:t>∞</w:t>
            </w:r>
            <w:r>
              <w:rPr>
                <w:rFonts w:eastAsia="宋体" w:cs="Times New Roman"/>
                <w:szCs w:val="24"/>
              </w:rPr>
              <w:t xml:space="preserve">: area under the concentration–time curve from time zero to infinity; </w:t>
            </w:r>
            <w:r>
              <w:rPr>
                <w:rFonts w:eastAsia="宋体" w:cs="Times New Roman"/>
                <w:color w:val="000000" w:themeColor="text1"/>
                <w:kern w:val="0"/>
                <w:szCs w:val="24"/>
              </w:rPr>
              <w:t>CL</w:t>
            </w:r>
            <w:r>
              <w:rPr>
                <w:rFonts w:eastAsia="宋体" w:cs="Times New Roman"/>
                <w:color w:val="000000" w:themeColor="text1"/>
                <w:kern w:val="0"/>
                <w:szCs w:val="24"/>
                <w:vertAlign w:val="subscript"/>
              </w:rPr>
              <w:t>_obs</w:t>
            </w:r>
            <w:r>
              <w:rPr>
                <w:rFonts w:eastAsia="宋体" w:cs="Times New Roman"/>
                <w:color w:val="000000" w:themeColor="text1"/>
                <w:kern w:val="0"/>
                <w:szCs w:val="24"/>
              </w:rPr>
              <w:t>: clearance;</w:t>
            </w:r>
            <w:r>
              <w:rPr>
                <w:rFonts w:eastAsia="宋体" w:cs="Times New Roman"/>
                <w:szCs w:val="24"/>
              </w:rPr>
              <w:t xml:space="preserve"> </w:t>
            </w:r>
            <w:r>
              <w:rPr>
                <w:rFonts w:eastAsia="宋体" w:cs="Times New Roman"/>
                <w:color w:val="000000" w:themeColor="text1"/>
                <w:kern w:val="0"/>
                <w:szCs w:val="24"/>
              </w:rPr>
              <w:t>C</w:t>
            </w:r>
            <w:r>
              <w:rPr>
                <w:rFonts w:eastAsia="宋体" w:cs="Times New Roman"/>
                <w:color w:val="000000" w:themeColor="text1"/>
                <w:kern w:val="0"/>
                <w:szCs w:val="24"/>
                <w:vertAlign w:val="subscript"/>
              </w:rPr>
              <w:t>max</w:t>
            </w:r>
            <w:r>
              <w:rPr>
                <w:rFonts w:eastAsia="宋体" w:cs="Times New Roman"/>
                <w:color w:val="000000" w:themeColor="text1"/>
                <w:kern w:val="0"/>
                <w:szCs w:val="24"/>
              </w:rPr>
              <w:t>:</w:t>
            </w:r>
            <w:r>
              <w:rPr>
                <w:rFonts w:eastAsia="宋体" w:cs="Times New Roman"/>
                <w:color w:val="000000" w:themeColor="text1"/>
                <w:kern w:val="0"/>
                <w:szCs w:val="24"/>
                <w:vertAlign w:val="subscript"/>
              </w:rPr>
              <w:t xml:space="preserve"> </w:t>
            </w:r>
            <w:r>
              <w:rPr>
                <w:rFonts w:eastAsia="宋体" w:cs="Times New Roman"/>
                <w:color w:val="000000" w:themeColor="text1"/>
                <w:kern w:val="0"/>
                <w:szCs w:val="24"/>
              </w:rPr>
              <w:t xml:space="preserve">maximum plasma concentration; </w:t>
            </w:r>
            <w:r>
              <w:rPr>
                <w:rFonts w:eastAsia="宋体" w:cs="Times New Roman" w:hint="eastAsia"/>
                <w:color w:val="000000" w:themeColor="text1"/>
                <w:kern w:val="0"/>
                <w:szCs w:val="24"/>
              </w:rPr>
              <w:t xml:space="preserve">PK: </w:t>
            </w:r>
            <w:r>
              <w:rPr>
                <w:rFonts w:eastAsia="宋体" w:cs="Times New Roman"/>
                <w:color w:val="000000" w:themeColor="text1"/>
                <w:kern w:val="0"/>
                <w:szCs w:val="24"/>
              </w:rPr>
              <w:t>Pharmacokinetic</w:t>
            </w:r>
            <w:r>
              <w:rPr>
                <w:rFonts w:eastAsia="宋体" w:cs="Times New Roman" w:hint="eastAsia"/>
                <w:color w:val="000000" w:themeColor="text1"/>
                <w:kern w:val="0"/>
                <w:szCs w:val="24"/>
              </w:rPr>
              <w:t xml:space="preserve">; </w:t>
            </w:r>
            <w:r>
              <w:rPr>
                <w:rFonts w:eastAsia="宋体" w:cs="Times New Roman"/>
                <w:color w:val="000000" w:themeColor="text1"/>
                <w:kern w:val="0"/>
                <w:szCs w:val="24"/>
              </w:rPr>
              <w:t>t</w:t>
            </w:r>
            <w:r>
              <w:rPr>
                <w:rFonts w:eastAsia="宋体" w:cs="Times New Roman"/>
                <w:color w:val="000000" w:themeColor="text1"/>
                <w:kern w:val="0"/>
                <w:szCs w:val="24"/>
                <w:vertAlign w:val="subscript"/>
              </w:rPr>
              <w:t>1/2</w:t>
            </w:r>
            <w:r>
              <w:rPr>
                <w:rFonts w:eastAsia="宋体" w:cs="Times New Roman"/>
                <w:color w:val="000000" w:themeColor="text1"/>
                <w:kern w:val="0"/>
                <w:szCs w:val="24"/>
              </w:rPr>
              <w:t xml:space="preserve">: half-life; </w:t>
            </w:r>
            <w:r>
              <w:rPr>
                <w:rFonts w:eastAsia="宋体" w:cs="Times New Roman"/>
                <w:szCs w:val="24"/>
              </w:rPr>
              <w:t>T</w:t>
            </w:r>
            <w:r>
              <w:rPr>
                <w:rFonts w:eastAsia="宋体" w:cs="Times New Roman"/>
                <w:szCs w:val="24"/>
                <w:vertAlign w:val="subscript"/>
              </w:rPr>
              <w:t>max</w:t>
            </w:r>
            <w:r>
              <w:rPr>
                <w:rFonts w:eastAsia="宋体" w:cs="Times New Roman"/>
                <w:szCs w:val="24"/>
              </w:rPr>
              <w:t>: time to reach maximum plasma concentration; V</w:t>
            </w:r>
            <w:r>
              <w:rPr>
                <w:rFonts w:eastAsia="宋体" w:cs="Times New Roman"/>
                <w:szCs w:val="24"/>
                <w:vertAlign w:val="subscript"/>
              </w:rPr>
              <w:t>d</w:t>
            </w:r>
            <w:r>
              <w:rPr>
                <w:rFonts w:eastAsia="宋体" w:cs="Times New Roman"/>
                <w:szCs w:val="24"/>
              </w:rPr>
              <w:t>: apparent volume of distribution.</w:t>
            </w:r>
          </w:p>
        </w:tc>
      </w:tr>
    </w:tbl>
    <w:p w14:paraId="24CC5EB9" w14:textId="77777777" w:rsidR="00AD119C" w:rsidRDefault="00AD119C">
      <w:pPr>
        <w:pStyle w:val="a0"/>
        <w:widowControl/>
        <w:spacing w:after="0" w:line="278" w:lineRule="auto"/>
        <w:ind w:firstLineChars="0" w:firstLine="0"/>
        <w:jc w:val="left"/>
        <w:rPr>
          <w:rFonts w:cs="Times New Roman"/>
          <w:szCs w:val="24"/>
        </w:rPr>
        <w:sectPr w:rsidR="00AD119C" w:rsidSect="002837D1">
          <w:pgSz w:w="11906" w:h="16838"/>
          <w:pgMar w:top="1134" w:right="1134" w:bottom="1134" w:left="1418" w:header="851" w:footer="680" w:gutter="0"/>
          <w:cols w:space="425"/>
          <w:docGrid w:linePitch="326"/>
        </w:sectPr>
      </w:pPr>
    </w:p>
    <w:p w14:paraId="4F5AB347" w14:textId="77777777" w:rsidR="00AD119C" w:rsidRDefault="004036ED">
      <w:pPr>
        <w:adjustRightInd w:val="0"/>
        <w:rPr>
          <w:rFonts w:cs="Times New Roman"/>
          <w:color w:val="000000"/>
          <w:szCs w:val="24"/>
          <w:shd w:val="clear" w:color="auto" w:fill="FFFFFF"/>
        </w:rPr>
      </w:pPr>
      <w:r>
        <w:rPr>
          <w:b/>
        </w:rPr>
        <w:lastRenderedPageBreak/>
        <w:t>Table S8.</w:t>
      </w:r>
      <w:r>
        <w:rPr>
          <w:b/>
          <w:bCs/>
        </w:rPr>
        <w:t xml:space="preserve"> Pharmacoe</w:t>
      </w:r>
      <w:r>
        <w:rPr>
          <w:rFonts w:cs="Times New Roman"/>
          <w:b/>
          <w:bCs/>
          <w:szCs w:val="24"/>
        </w:rPr>
        <w:t>conomic Analysis</w:t>
      </w:r>
      <w:r>
        <w:rPr>
          <w:rFonts w:cs="Times New Roman"/>
          <w:b/>
          <w:bCs/>
          <w:color w:val="000000"/>
          <w:szCs w:val="24"/>
          <w:shd w:val="clear" w:color="auto" w:fill="FFFFFF"/>
        </w:rPr>
        <w:t xml:space="preserve"> (</w:t>
      </w:r>
      <w:r>
        <w:rPr>
          <w:b/>
          <w:bCs/>
          <w:color w:val="000000"/>
          <w:shd w:val="clear" w:color="auto" w:fill="FFFFFF"/>
        </w:rPr>
        <w:t>b</w:t>
      </w:r>
      <w:r>
        <w:rPr>
          <w:rFonts w:cs="Times New Roman"/>
          <w:b/>
          <w:bCs/>
          <w:szCs w:val="24"/>
        </w:rPr>
        <w:t xml:space="preserve">ased on NMOSD Phase </w:t>
      </w:r>
      <w:r>
        <w:rPr>
          <w:b/>
          <w:bCs/>
        </w:rPr>
        <w:t>I</w:t>
      </w:r>
      <w:r>
        <w:rPr>
          <w:rFonts w:cs="Times New Roman"/>
          <w:b/>
          <w:bCs/>
          <w:szCs w:val="24"/>
        </w:rPr>
        <w:t>b/</w:t>
      </w:r>
      <w:r>
        <w:rPr>
          <w:b/>
          <w:bCs/>
        </w:rPr>
        <w:t>III</w:t>
      </w:r>
      <w:r>
        <w:rPr>
          <w:rFonts w:cs="Times New Roman"/>
          <w:b/>
          <w:bCs/>
          <w:szCs w:val="24"/>
        </w:rPr>
        <w:t xml:space="preserve"> Trial with 102 Participants: Mean Height </w:t>
      </w:r>
      <w:r>
        <w:rPr>
          <w:b/>
          <w:bCs/>
        </w:rPr>
        <w:t xml:space="preserve">of </w:t>
      </w:r>
      <w:r>
        <w:rPr>
          <w:rFonts w:cs="Times New Roman"/>
          <w:b/>
          <w:bCs/>
          <w:szCs w:val="24"/>
        </w:rPr>
        <w:t xml:space="preserve">160.4 cm, Mean Weight </w:t>
      </w:r>
      <w:r>
        <w:rPr>
          <w:b/>
          <w:bCs/>
        </w:rPr>
        <w:t xml:space="preserve">of </w:t>
      </w:r>
      <w:r>
        <w:rPr>
          <w:rFonts w:cs="Times New Roman"/>
          <w:b/>
          <w:bCs/>
          <w:szCs w:val="24"/>
        </w:rPr>
        <w:t xml:space="preserve">64.3 kg, Mean Body Surface Area </w:t>
      </w:r>
      <w:r>
        <w:rPr>
          <w:b/>
          <w:bCs/>
        </w:rPr>
        <w:t xml:space="preserve">of </w:t>
      </w:r>
      <w:r>
        <w:rPr>
          <w:rFonts w:cs="Times New Roman"/>
          <w:b/>
          <w:bCs/>
          <w:szCs w:val="24"/>
        </w:rPr>
        <w:t>1.67 m</w:t>
      </w:r>
      <w:r>
        <w:rPr>
          <w:rFonts w:cs="Times New Roman"/>
          <w:b/>
          <w:bCs/>
          <w:szCs w:val="24"/>
          <w:vertAlign w:val="superscript"/>
        </w:rPr>
        <w:t>2</w:t>
      </w:r>
      <w:r>
        <w:rPr>
          <w:b/>
          <w:bCs/>
        </w:rPr>
        <w:t>).</w:t>
      </w:r>
    </w:p>
    <w:tbl>
      <w:tblPr>
        <w:tblStyle w:val="Table"/>
        <w:tblW w:w="14173" w:type="dxa"/>
        <w:tblInd w:w="0" w:type="dxa"/>
        <w:tblLayout w:type="fixed"/>
        <w:tblLook w:val="04A0" w:firstRow="1" w:lastRow="0" w:firstColumn="1" w:lastColumn="0" w:noHBand="0" w:noVBand="1"/>
      </w:tblPr>
      <w:tblGrid>
        <w:gridCol w:w="2057"/>
        <w:gridCol w:w="1102"/>
        <w:gridCol w:w="2321"/>
        <w:gridCol w:w="1898"/>
        <w:gridCol w:w="1694"/>
        <w:gridCol w:w="1418"/>
        <w:gridCol w:w="1701"/>
        <w:gridCol w:w="1982"/>
      </w:tblGrid>
      <w:tr w:rsidR="00AD119C" w14:paraId="6AB14EED" w14:textId="77777777" w:rsidTr="002837D1">
        <w:trPr>
          <w:cnfStyle w:val="100000000000" w:firstRow="1" w:lastRow="0" w:firstColumn="0" w:lastColumn="0" w:oddVBand="0" w:evenVBand="0" w:oddHBand="0" w:evenHBand="0" w:firstRowFirstColumn="0" w:firstRowLastColumn="0" w:lastRowFirstColumn="0" w:lastRowLastColumn="0"/>
          <w:trHeight w:val="1294"/>
          <w:tblHeader/>
        </w:trPr>
        <w:tc>
          <w:tcPr>
            <w:tcW w:w="2057" w:type="dxa"/>
            <w:tcBorders>
              <w:top w:val="single" w:sz="4" w:space="0" w:color="auto"/>
              <w:bottom w:val="single" w:sz="2" w:space="0" w:color="auto"/>
            </w:tcBorders>
            <w:vAlign w:val="top"/>
          </w:tcPr>
          <w:p w14:paraId="659C7CFD" w14:textId="77777777" w:rsidR="00AD119C" w:rsidRPr="007C6C73" w:rsidRDefault="004036ED" w:rsidP="002837D1">
            <w:pPr>
              <w:pStyle w:val="Compact"/>
              <w:spacing w:before="0" w:after="0" w:line="360" w:lineRule="auto"/>
              <w:rPr>
                <w:b/>
                <w:bCs/>
                <w:sz w:val="21"/>
                <w:szCs w:val="21"/>
                <w:lang w:val="en-US"/>
              </w:rPr>
            </w:pPr>
            <w:r w:rsidRPr="007C6C73">
              <w:rPr>
                <w:b/>
                <w:bCs/>
                <w:sz w:val="21"/>
                <w:szCs w:val="21"/>
                <w:lang w:val="en-US"/>
              </w:rPr>
              <w:t>Comparator/study</w:t>
            </w:r>
          </w:p>
        </w:tc>
        <w:tc>
          <w:tcPr>
            <w:tcW w:w="1102" w:type="dxa"/>
            <w:tcBorders>
              <w:top w:val="single" w:sz="4" w:space="0" w:color="auto"/>
              <w:bottom w:val="single" w:sz="2" w:space="0" w:color="auto"/>
            </w:tcBorders>
            <w:vAlign w:val="top"/>
          </w:tcPr>
          <w:p w14:paraId="3F73D9B7" w14:textId="77777777" w:rsidR="00AD119C" w:rsidRPr="007C6C73" w:rsidRDefault="004036ED" w:rsidP="002837D1">
            <w:pPr>
              <w:pStyle w:val="Compact"/>
              <w:spacing w:before="0" w:after="0" w:line="360" w:lineRule="auto"/>
              <w:rPr>
                <w:b/>
                <w:bCs/>
                <w:sz w:val="21"/>
                <w:szCs w:val="21"/>
                <w:lang w:val="en-US"/>
              </w:rPr>
            </w:pPr>
            <w:r w:rsidRPr="007C6C73">
              <w:rPr>
                <w:b/>
                <w:bCs/>
                <w:sz w:val="21"/>
                <w:szCs w:val="21"/>
                <w:lang w:val="en-US"/>
              </w:rPr>
              <w:t>Study duration</w:t>
            </w:r>
          </w:p>
        </w:tc>
        <w:tc>
          <w:tcPr>
            <w:tcW w:w="2321" w:type="dxa"/>
            <w:tcBorders>
              <w:top w:val="single" w:sz="4" w:space="0" w:color="auto"/>
              <w:bottom w:val="single" w:sz="2" w:space="0" w:color="auto"/>
            </w:tcBorders>
            <w:vAlign w:val="top"/>
          </w:tcPr>
          <w:p w14:paraId="5A741938" w14:textId="77777777" w:rsidR="00AD119C" w:rsidRPr="007C6C73" w:rsidRDefault="004036ED" w:rsidP="002837D1">
            <w:pPr>
              <w:pStyle w:val="Compact"/>
              <w:spacing w:before="0" w:after="0" w:line="360" w:lineRule="auto"/>
              <w:rPr>
                <w:b/>
                <w:bCs/>
                <w:sz w:val="21"/>
                <w:szCs w:val="21"/>
                <w:lang w:val="en-US"/>
              </w:rPr>
            </w:pPr>
            <w:r w:rsidRPr="007C6C73">
              <w:rPr>
                <w:b/>
                <w:bCs/>
                <w:sz w:val="21"/>
                <w:szCs w:val="21"/>
                <w:lang w:val="en-US"/>
              </w:rPr>
              <w:t>Dosing schedule</w:t>
            </w:r>
          </w:p>
        </w:tc>
        <w:tc>
          <w:tcPr>
            <w:tcW w:w="1898" w:type="dxa"/>
            <w:tcBorders>
              <w:top w:val="single" w:sz="4" w:space="0" w:color="auto"/>
              <w:bottom w:val="single" w:sz="2" w:space="0" w:color="auto"/>
            </w:tcBorders>
            <w:vAlign w:val="top"/>
          </w:tcPr>
          <w:p w14:paraId="32F86E15" w14:textId="77777777" w:rsidR="00AD119C" w:rsidRPr="007C6C73" w:rsidRDefault="004036ED" w:rsidP="002837D1">
            <w:pPr>
              <w:pStyle w:val="Compact"/>
              <w:spacing w:before="0" w:after="0" w:line="360" w:lineRule="auto"/>
              <w:rPr>
                <w:b/>
                <w:bCs/>
                <w:sz w:val="21"/>
                <w:szCs w:val="21"/>
                <w:lang w:val="en-US"/>
              </w:rPr>
            </w:pPr>
            <w:r w:rsidRPr="007C6C73">
              <w:rPr>
                <w:b/>
                <w:bCs/>
                <w:sz w:val="21"/>
                <w:szCs w:val="21"/>
                <w:lang w:val="en-US"/>
              </w:rPr>
              <w:t>Approved product specification in China</w:t>
            </w:r>
          </w:p>
        </w:tc>
        <w:tc>
          <w:tcPr>
            <w:tcW w:w="1694" w:type="dxa"/>
            <w:tcBorders>
              <w:top w:val="single" w:sz="4" w:space="0" w:color="auto"/>
              <w:bottom w:val="single" w:sz="2" w:space="0" w:color="auto"/>
            </w:tcBorders>
            <w:vAlign w:val="top"/>
          </w:tcPr>
          <w:p w14:paraId="7FA3F551" w14:textId="77777777" w:rsidR="00AD119C" w:rsidRPr="007C6C73" w:rsidRDefault="004036ED" w:rsidP="002837D1">
            <w:pPr>
              <w:pStyle w:val="Compact"/>
              <w:spacing w:before="0" w:after="0" w:line="360" w:lineRule="auto"/>
              <w:rPr>
                <w:b/>
                <w:bCs/>
                <w:sz w:val="21"/>
                <w:szCs w:val="21"/>
                <w:lang w:val="en-US"/>
              </w:rPr>
            </w:pPr>
            <w:r w:rsidRPr="007C6C73">
              <w:rPr>
                <w:b/>
                <w:bCs/>
                <w:sz w:val="21"/>
                <w:szCs w:val="21"/>
                <w:lang w:val="en-US"/>
              </w:rPr>
              <w:t>Price (RMB/vial)</w:t>
            </w:r>
          </w:p>
        </w:tc>
        <w:tc>
          <w:tcPr>
            <w:tcW w:w="1418" w:type="dxa"/>
            <w:tcBorders>
              <w:top w:val="single" w:sz="4" w:space="0" w:color="auto"/>
              <w:bottom w:val="single" w:sz="2" w:space="0" w:color="auto"/>
            </w:tcBorders>
            <w:vAlign w:val="top"/>
          </w:tcPr>
          <w:p w14:paraId="50070E86" w14:textId="77777777" w:rsidR="00AD119C" w:rsidRPr="007C6C73" w:rsidRDefault="004036ED" w:rsidP="002837D1">
            <w:pPr>
              <w:pStyle w:val="Compact"/>
              <w:spacing w:before="0" w:after="0" w:line="360" w:lineRule="auto"/>
              <w:rPr>
                <w:b/>
                <w:bCs/>
                <w:sz w:val="21"/>
                <w:szCs w:val="21"/>
                <w:lang w:val="en-US"/>
              </w:rPr>
            </w:pPr>
            <w:r w:rsidRPr="007C6C73">
              <w:rPr>
                <w:b/>
                <w:bCs/>
                <w:sz w:val="21"/>
                <w:szCs w:val="21"/>
                <w:lang w:val="en-US"/>
              </w:rPr>
              <w:t>Total treatment cost (RMB)</w:t>
            </w:r>
          </w:p>
        </w:tc>
        <w:tc>
          <w:tcPr>
            <w:tcW w:w="1701" w:type="dxa"/>
            <w:tcBorders>
              <w:top w:val="single" w:sz="4" w:space="0" w:color="auto"/>
              <w:bottom w:val="single" w:sz="2" w:space="0" w:color="auto"/>
            </w:tcBorders>
            <w:vAlign w:val="top"/>
          </w:tcPr>
          <w:p w14:paraId="39C50C50" w14:textId="77777777" w:rsidR="00AD119C" w:rsidRPr="007C6C73" w:rsidRDefault="004036ED" w:rsidP="002837D1">
            <w:pPr>
              <w:pStyle w:val="Compact"/>
              <w:spacing w:before="0" w:after="0" w:line="360" w:lineRule="auto"/>
              <w:rPr>
                <w:b/>
                <w:bCs/>
                <w:sz w:val="21"/>
                <w:szCs w:val="21"/>
                <w:lang w:val="en-US"/>
              </w:rPr>
            </w:pPr>
            <w:r w:rsidRPr="007C6C73">
              <w:rPr>
                <w:b/>
                <w:bCs/>
                <w:sz w:val="21"/>
                <w:szCs w:val="21"/>
                <w:lang w:val="en-US"/>
              </w:rPr>
              <w:t>Annual average treatment cost (RMB)</w:t>
            </w:r>
          </w:p>
        </w:tc>
        <w:tc>
          <w:tcPr>
            <w:tcW w:w="1982" w:type="dxa"/>
            <w:tcBorders>
              <w:top w:val="single" w:sz="4" w:space="0" w:color="auto"/>
              <w:bottom w:val="single" w:sz="2" w:space="0" w:color="auto"/>
            </w:tcBorders>
            <w:vAlign w:val="top"/>
          </w:tcPr>
          <w:p w14:paraId="5776268A" w14:textId="77777777" w:rsidR="00AD119C" w:rsidRPr="007C6C73" w:rsidRDefault="004036ED" w:rsidP="002837D1">
            <w:pPr>
              <w:pStyle w:val="Compact"/>
              <w:spacing w:before="0" w:after="0" w:line="360" w:lineRule="auto"/>
              <w:rPr>
                <w:b/>
                <w:bCs/>
                <w:sz w:val="21"/>
                <w:szCs w:val="21"/>
                <w:lang w:val="en-US"/>
              </w:rPr>
            </w:pPr>
            <w:r w:rsidRPr="007C6C73">
              <w:rPr>
                <w:b/>
                <w:bCs/>
                <w:sz w:val="21"/>
                <w:szCs w:val="21"/>
                <w:lang w:val="en-US"/>
              </w:rPr>
              <w:t>vs.</w:t>
            </w:r>
            <w:r w:rsidRPr="007C6C73">
              <w:rPr>
                <w:rFonts w:hint="eastAsia"/>
                <w:b/>
                <w:bCs/>
                <w:sz w:val="21"/>
                <w:szCs w:val="21"/>
                <w:lang w:val="en-US" w:eastAsia="zh-CN"/>
              </w:rPr>
              <w:t xml:space="preserve"> </w:t>
            </w:r>
            <w:r w:rsidRPr="007C6C73">
              <w:rPr>
                <w:b/>
                <w:bCs/>
                <w:sz w:val="21"/>
                <w:szCs w:val="21"/>
                <w:lang w:val="en-US"/>
              </w:rPr>
              <w:t>obinutuzumab β injection</w:t>
            </w:r>
          </w:p>
        </w:tc>
      </w:tr>
      <w:tr w:rsidR="00AD119C" w14:paraId="72C57C75" w14:textId="77777777" w:rsidTr="00AD119C">
        <w:tc>
          <w:tcPr>
            <w:tcW w:w="2057" w:type="dxa"/>
            <w:tcBorders>
              <w:top w:val="single" w:sz="2" w:space="0" w:color="auto"/>
            </w:tcBorders>
          </w:tcPr>
          <w:p w14:paraId="2F2DCF49" w14:textId="77777777" w:rsidR="00AD119C" w:rsidRPr="007C6C73" w:rsidRDefault="004036ED">
            <w:pPr>
              <w:pStyle w:val="Compact"/>
              <w:spacing w:line="480" w:lineRule="auto"/>
              <w:rPr>
                <w:sz w:val="24"/>
                <w:lang w:val="en-US" w:eastAsia="zh-CN"/>
              </w:rPr>
            </w:pPr>
            <w:r w:rsidRPr="007C6C73">
              <w:rPr>
                <w:sz w:val="24"/>
                <w:lang w:val="en-US"/>
              </w:rPr>
              <w:t xml:space="preserve">Rituximab - RIN‑1 study </w:t>
            </w:r>
            <w:r w:rsidRPr="007C6C73">
              <w:rPr>
                <w:sz w:val="24"/>
                <w:lang w:val="en-US"/>
              </w:rPr>
              <w:fldChar w:fldCharType="begin"/>
            </w:r>
            <w:r w:rsidRPr="007C6C73">
              <w:rPr>
                <w:sz w:val="24"/>
                <w:lang w:val="en-US"/>
              </w:rPr>
              <w:instrText xml:space="preserve"> ADDIN EN.CITE &lt;EndNote&gt;&lt;Cite&gt;&lt;Author&gt;Tahara&lt;/Author&gt;&lt;Year&gt;2020&lt;/Year&gt;&lt;RecNum&gt;30&lt;/RecNum&gt;&lt;DisplayText&gt;[1]&lt;/DisplayText&gt;&lt;record&gt;&lt;rec-number&gt;30&lt;/rec-number&gt;&lt;foreign-keys&gt;&lt;key app="EN" db-id="5wsadefx2dasfseswfsxrsr355pfaw20502r" timestamp="1772632347"&gt;30&lt;/key&gt;&lt;/foreign-keys&gt;&lt;ref-type name="Journal Article"&gt;17&lt;/ref-type&gt;&lt;contributors&gt;&lt;authors&gt;&lt;author&gt;Tahara, Masayuki&lt;/author&gt;&lt;author&gt;Oeda, Tomoko&lt;/author&gt;&lt;author&gt;Okada, Kazumasa&lt;/author&gt;&lt;author&gt;Kiriyama, Takao&lt;/author&gt;&lt;author&gt;Ochi, Kazuhide&lt;/author&gt;&lt;author&gt;Maruyama, Hirofumi&lt;/author&gt;&lt;author&gt;Fukaura, Hikoaki&lt;/author&gt;&lt;author&gt;Nomura, Kyoichi&lt;/author&gt;&lt;author&gt;Shimizu, Yuko&lt;/author&gt;&lt;author&gt;Mori, Masahiro&lt;/author&gt;&lt;author&gt;Nakashima, Ichiro&lt;/author&gt;&lt;author&gt;Misu, Tatsuro&lt;/author&gt;&lt;author&gt;Umemura, Atsushi&lt;/author&gt;&lt;author&gt;Yamamoto, Kenji&lt;/author&gt;&lt;author&gt;Sawada, Hideyuki&lt;/author&gt;&lt;/authors&gt;&lt;/contributors&gt;&lt;titles&gt;&lt;title&gt;Safety and efficacy of rituximab in neuromyelitis optica spectrum disorders (RIN-1 study): a multicentre, randomised, double-blind, placebo-controlled trial&lt;/title&gt;&lt;secondary-title&gt;The Lancet Neurology&lt;/secondary-title&gt;&lt;/titles&gt;&lt;periodical&gt;&lt;full-title&gt;The Lancet Neurology&lt;/full-title&gt;&lt;/periodical&gt;&lt;pages&gt;298-306&lt;/pages&gt;&lt;volume&gt;19&lt;/volume&gt;&lt;number&gt;4&lt;/number&gt;&lt;dates&gt;&lt;year&gt;2020&lt;/year&gt;&lt;/dates&gt;&lt;publisher&gt;Elsevier&lt;/publisher&gt;&lt;isbn&gt;1474-4422&lt;/isbn&gt;&lt;urls&gt;&lt;related-urls&gt;&lt;url&gt;https://doi.org/10.1016/S1474-4422(20)30066-1&lt;/url&gt;&lt;/related-urls&gt;&lt;/urls&gt;&lt;electronic-resource-num&gt;10.1016/S1474-4422(20)30066-1&lt;/electronic-resource-num&gt;&lt;access-date&gt;2025/03/13&lt;/access-date&gt;&lt;/record&gt;&lt;/Cite&gt;&lt;/EndNote&gt;</w:instrText>
            </w:r>
            <w:r w:rsidRPr="007C6C73">
              <w:rPr>
                <w:sz w:val="24"/>
                <w:lang w:val="en-US"/>
              </w:rPr>
              <w:fldChar w:fldCharType="separate"/>
            </w:r>
            <w:r w:rsidRPr="007C6C73">
              <w:rPr>
                <w:sz w:val="24"/>
                <w:lang w:val="en-US"/>
              </w:rPr>
              <w:t>[1]</w:t>
            </w:r>
            <w:r w:rsidRPr="007C6C73">
              <w:rPr>
                <w:sz w:val="24"/>
                <w:lang w:val="en-US"/>
              </w:rPr>
              <w:fldChar w:fldCharType="end"/>
            </w:r>
            <w:r w:rsidRPr="007C6C73">
              <w:rPr>
                <w:sz w:val="24"/>
                <w:lang w:val="en-US" w:eastAsia="zh-CN"/>
              </w:rPr>
              <w:t xml:space="preserve"> </w:t>
            </w:r>
          </w:p>
        </w:tc>
        <w:tc>
          <w:tcPr>
            <w:tcW w:w="1102" w:type="dxa"/>
            <w:tcBorders>
              <w:top w:val="single" w:sz="2" w:space="0" w:color="auto"/>
            </w:tcBorders>
          </w:tcPr>
          <w:p w14:paraId="0B7600A9" w14:textId="77777777" w:rsidR="00AD119C" w:rsidRPr="007C6C73" w:rsidRDefault="004036ED">
            <w:pPr>
              <w:pStyle w:val="Compact"/>
              <w:spacing w:line="480" w:lineRule="auto"/>
              <w:rPr>
                <w:sz w:val="24"/>
                <w:lang w:val="en-US"/>
              </w:rPr>
            </w:pPr>
            <w:r w:rsidRPr="007C6C73">
              <w:rPr>
                <w:sz w:val="24"/>
                <w:lang w:val="en-US"/>
              </w:rPr>
              <w:t>72 weeks</w:t>
            </w:r>
          </w:p>
        </w:tc>
        <w:tc>
          <w:tcPr>
            <w:tcW w:w="2321" w:type="dxa"/>
            <w:tcBorders>
              <w:top w:val="single" w:sz="2" w:space="0" w:color="auto"/>
            </w:tcBorders>
          </w:tcPr>
          <w:p w14:paraId="4903FE67" w14:textId="77777777" w:rsidR="00AD119C" w:rsidRPr="007C6C73" w:rsidRDefault="004036ED">
            <w:pPr>
              <w:pStyle w:val="Compact"/>
              <w:spacing w:line="480" w:lineRule="auto"/>
              <w:rPr>
                <w:sz w:val="24"/>
                <w:lang w:val="en-US"/>
              </w:rPr>
            </w:pPr>
            <w:r w:rsidRPr="007C6C73">
              <w:rPr>
                <w:sz w:val="24"/>
                <w:lang w:val="en-US"/>
              </w:rPr>
              <w:t>D1, D8, D15, D29: 375 mg/m</w:t>
            </w:r>
            <w:r w:rsidRPr="007C6C73">
              <w:rPr>
                <w:sz w:val="24"/>
                <w:vertAlign w:val="superscript"/>
                <w:lang w:val="en-US"/>
              </w:rPr>
              <w:t>2</w:t>
            </w:r>
            <w:r w:rsidRPr="007C6C73">
              <w:rPr>
                <w:sz w:val="24"/>
                <w:lang w:val="en-US"/>
              </w:rPr>
              <w:t>; W24 &amp; W26: 1000 mg; W48 &amp; W50: 1000 mg</w:t>
            </w:r>
          </w:p>
        </w:tc>
        <w:tc>
          <w:tcPr>
            <w:tcW w:w="1898" w:type="dxa"/>
            <w:tcBorders>
              <w:top w:val="single" w:sz="2" w:space="0" w:color="auto"/>
            </w:tcBorders>
          </w:tcPr>
          <w:p w14:paraId="3943994C" w14:textId="77777777" w:rsidR="00AD119C" w:rsidRPr="007C6C73" w:rsidRDefault="004036ED">
            <w:pPr>
              <w:pStyle w:val="Compact"/>
              <w:spacing w:line="480" w:lineRule="auto"/>
              <w:rPr>
                <w:sz w:val="24"/>
                <w:lang w:val="en-US"/>
              </w:rPr>
            </w:pPr>
            <w:r w:rsidRPr="007C6C73">
              <w:rPr>
                <w:sz w:val="24"/>
                <w:lang w:val="en-US"/>
              </w:rPr>
              <w:t>100 mg/vial or 500 mg/vial</w:t>
            </w:r>
          </w:p>
        </w:tc>
        <w:tc>
          <w:tcPr>
            <w:tcW w:w="1694" w:type="dxa"/>
            <w:tcBorders>
              <w:top w:val="single" w:sz="2" w:space="0" w:color="auto"/>
            </w:tcBorders>
          </w:tcPr>
          <w:p w14:paraId="715CD751" w14:textId="77777777" w:rsidR="00AD119C" w:rsidRPr="007C6C73" w:rsidRDefault="004036ED">
            <w:pPr>
              <w:pStyle w:val="Compact"/>
              <w:spacing w:line="480" w:lineRule="auto"/>
              <w:rPr>
                <w:sz w:val="24"/>
                <w:lang w:val="en-US"/>
              </w:rPr>
            </w:pPr>
            <w:r w:rsidRPr="007C6C73">
              <w:rPr>
                <w:sz w:val="24"/>
                <w:lang w:val="en-US"/>
              </w:rPr>
              <w:t>2294/100 mg; 7866/500 mg</w:t>
            </w:r>
          </w:p>
        </w:tc>
        <w:tc>
          <w:tcPr>
            <w:tcW w:w="1418" w:type="dxa"/>
            <w:tcBorders>
              <w:top w:val="single" w:sz="2" w:space="0" w:color="auto"/>
            </w:tcBorders>
          </w:tcPr>
          <w:p w14:paraId="11BD2F0C" w14:textId="77777777" w:rsidR="00AD119C" w:rsidRPr="007C6C73" w:rsidRDefault="004036ED">
            <w:pPr>
              <w:pStyle w:val="Compact"/>
              <w:spacing w:line="480" w:lineRule="auto"/>
              <w:rPr>
                <w:sz w:val="24"/>
                <w:lang w:val="en-US"/>
              </w:rPr>
            </w:pPr>
            <w:r w:rsidRPr="007C6C73">
              <w:rPr>
                <w:rFonts w:hint="eastAsia"/>
                <w:sz w:val="24"/>
                <w:lang w:val="en-US" w:eastAsia="zh-CN"/>
              </w:rPr>
              <w:t>103,568</w:t>
            </w:r>
          </w:p>
        </w:tc>
        <w:tc>
          <w:tcPr>
            <w:tcW w:w="1701" w:type="dxa"/>
            <w:tcBorders>
              <w:top w:val="single" w:sz="2" w:space="0" w:color="auto"/>
            </w:tcBorders>
          </w:tcPr>
          <w:p w14:paraId="21C29323" w14:textId="77777777" w:rsidR="00AD119C" w:rsidRPr="007C6C73" w:rsidRDefault="004036ED">
            <w:pPr>
              <w:pStyle w:val="Compact"/>
              <w:spacing w:line="480" w:lineRule="auto"/>
              <w:rPr>
                <w:sz w:val="24"/>
                <w:lang w:val="en-US"/>
              </w:rPr>
            </w:pPr>
            <w:r w:rsidRPr="007C6C73">
              <w:rPr>
                <w:rFonts w:hint="eastAsia"/>
                <w:sz w:val="24"/>
                <w:lang w:val="en-US" w:eastAsia="zh-CN"/>
              </w:rPr>
              <w:t>75,049</w:t>
            </w:r>
          </w:p>
        </w:tc>
        <w:tc>
          <w:tcPr>
            <w:tcW w:w="1982" w:type="dxa"/>
            <w:tcBorders>
              <w:top w:val="single" w:sz="2" w:space="0" w:color="auto"/>
            </w:tcBorders>
          </w:tcPr>
          <w:p w14:paraId="40936CE6" w14:textId="77777777" w:rsidR="00AD119C" w:rsidRPr="007C6C73" w:rsidRDefault="004036ED">
            <w:pPr>
              <w:pStyle w:val="Compact"/>
              <w:spacing w:line="480" w:lineRule="auto"/>
              <w:rPr>
                <w:sz w:val="24"/>
                <w:lang w:val="en-US"/>
              </w:rPr>
            </w:pPr>
            <w:r w:rsidRPr="007C6C73">
              <w:rPr>
                <w:rFonts w:hint="eastAsia"/>
                <w:sz w:val="24"/>
                <w:lang w:val="en-US" w:eastAsia="zh-CN"/>
              </w:rPr>
              <w:t>2.7</w:t>
            </w:r>
            <w:r w:rsidRPr="007C6C73">
              <w:rPr>
                <w:sz w:val="24"/>
                <w:lang w:val="en-US"/>
              </w:rPr>
              <w:t>% higher</w:t>
            </w:r>
          </w:p>
        </w:tc>
      </w:tr>
      <w:tr w:rsidR="00AD119C" w14:paraId="7894D38C" w14:textId="77777777" w:rsidTr="00AD119C">
        <w:tc>
          <w:tcPr>
            <w:tcW w:w="2057" w:type="dxa"/>
          </w:tcPr>
          <w:p w14:paraId="1D448A98" w14:textId="77777777" w:rsidR="00AD119C" w:rsidRPr="007C6C73" w:rsidRDefault="004036ED">
            <w:pPr>
              <w:pStyle w:val="Compact"/>
              <w:spacing w:line="480" w:lineRule="auto"/>
              <w:rPr>
                <w:sz w:val="24"/>
                <w:lang w:val="en-US" w:eastAsia="zh-CN"/>
              </w:rPr>
            </w:pPr>
            <w:r w:rsidRPr="007C6C73">
              <w:rPr>
                <w:sz w:val="24"/>
                <w:lang w:val="en-US"/>
              </w:rPr>
              <w:t>Inebilizumab - phase III registration trial</w:t>
            </w:r>
            <w:r w:rsidRPr="007C6C73">
              <w:rPr>
                <w:sz w:val="24"/>
                <w:lang w:val="en-US" w:eastAsia="zh-CN"/>
              </w:rPr>
              <w:t xml:space="preserve"> </w:t>
            </w:r>
            <w:r w:rsidRPr="007C6C73">
              <w:rPr>
                <w:sz w:val="24"/>
                <w:lang w:val="en-US" w:eastAsia="zh-CN"/>
              </w:rPr>
              <w:fldChar w:fldCharType="begin">
                <w:fldData xml:space="preserve">PEVuZE5vdGU+PENpdGU+PEF1dGhvcj5DcmVlPC9BdXRob3I+PFllYXI+MjAxOTwvWWVhcj48UmVj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</w:fldData>
              </w:fldChar>
            </w:r>
            <w:r w:rsidRPr="007C6C73">
              <w:rPr>
                <w:sz w:val="24"/>
                <w:lang w:val="en-US" w:eastAsia="zh-CN"/>
              </w:rPr>
              <w:instrText xml:space="preserve"> ADDIN EN.CITE </w:instrText>
            </w:r>
            <w:r w:rsidRPr="007C6C73">
              <w:rPr>
                <w:sz w:val="24"/>
                <w:lang w:val="en-US" w:eastAsia="zh-CN"/>
              </w:rPr>
              <w:fldChar w:fldCharType="begin">
                <w:fldData xml:space="preserve">PEVuZE5vdGU+PENpdGU+PEF1dGhvcj5DcmVlPC9BdXRob3I+PFllYXI+MjAxOTwvWWVhcj48UmVj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</w:fldData>
              </w:fldChar>
            </w:r>
            <w:r w:rsidRPr="007C6C73">
              <w:rPr>
                <w:sz w:val="24"/>
                <w:lang w:val="en-US" w:eastAsia="zh-CN"/>
              </w:rPr>
              <w:instrText xml:space="preserve"> ADDIN EN.CITE.DATA </w:instrText>
            </w:r>
            <w:r w:rsidRPr="007C6C73">
              <w:rPr>
                <w:sz w:val="24"/>
                <w:lang w:val="en-US" w:eastAsia="zh-CN"/>
              </w:rPr>
            </w:r>
            <w:r w:rsidRPr="007C6C73">
              <w:rPr>
                <w:sz w:val="24"/>
                <w:lang w:val="en-US" w:eastAsia="zh-CN"/>
              </w:rPr>
              <w:fldChar w:fldCharType="end"/>
            </w:r>
            <w:r w:rsidRPr="007C6C73">
              <w:rPr>
                <w:sz w:val="24"/>
                <w:lang w:val="en-US" w:eastAsia="zh-CN"/>
              </w:rPr>
            </w:r>
            <w:r w:rsidRPr="007C6C73">
              <w:rPr>
                <w:sz w:val="24"/>
                <w:lang w:val="en-US" w:eastAsia="zh-CN"/>
              </w:rPr>
              <w:fldChar w:fldCharType="separate"/>
            </w:r>
            <w:r w:rsidRPr="007C6C73">
              <w:rPr>
                <w:sz w:val="24"/>
                <w:lang w:val="en-US" w:eastAsia="zh-CN"/>
              </w:rPr>
              <w:t>[2]</w:t>
            </w:r>
            <w:r w:rsidRPr="007C6C73">
              <w:rPr>
                <w:sz w:val="24"/>
                <w:lang w:val="en-US" w:eastAsia="zh-CN"/>
              </w:rPr>
              <w:fldChar w:fldCharType="end"/>
            </w:r>
          </w:p>
        </w:tc>
        <w:tc>
          <w:tcPr>
            <w:tcW w:w="1102" w:type="dxa"/>
          </w:tcPr>
          <w:p w14:paraId="6985A6E2" w14:textId="77777777" w:rsidR="00AD119C" w:rsidRPr="007C6C73" w:rsidRDefault="004036ED">
            <w:pPr>
              <w:pStyle w:val="Compact"/>
              <w:spacing w:line="480" w:lineRule="auto"/>
              <w:rPr>
                <w:sz w:val="24"/>
                <w:lang w:val="en-US"/>
              </w:rPr>
            </w:pPr>
            <w:r w:rsidRPr="007C6C73">
              <w:rPr>
                <w:sz w:val="24"/>
                <w:lang w:val="en-US"/>
              </w:rPr>
              <w:t>156 weeks</w:t>
            </w:r>
          </w:p>
        </w:tc>
        <w:tc>
          <w:tcPr>
            <w:tcW w:w="2321" w:type="dxa"/>
          </w:tcPr>
          <w:p w14:paraId="476018BF" w14:textId="77777777" w:rsidR="00AD119C" w:rsidRPr="007C6C73" w:rsidRDefault="004036ED">
            <w:pPr>
              <w:pStyle w:val="Compact"/>
              <w:spacing w:line="480" w:lineRule="auto"/>
              <w:rPr>
                <w:sz w:val="24"/>
                <w:lang w:val="en-US"/>
              </w:rPr>
            </w:pPr>
            <w:r w:rsidRPr="007C6C73">
              <w:rPr>
                <w:sz w:val="24"/>
                <w:lang w:val="en-US"/>
              </w:rPr>
              <w:t>D1, D15: 300 mg then 300 mg every 6 months</w:t>
            </w:r>
          </w:p>
        </w:tc>
        <w:tc>
          <w:tcPr>
            <w:tcW w:w="1898" w:type="dxa"/>
          </w:tcPr>
          <w:p w14:paraId="4CA23FC3" w14:textId="77777777" w:rsidR="00AD119C" w:rsidRPr="007C6C73" w:rsidRDefault="004036ED">
            <w:pPr>
              <w:pStyle w:val="Compact"/>
              <w:spacing w:line="480" w:lineRule="auto"/>
              <w:rPr>
                <w:sz w:val="24"/>
                <w:lang w:val="en-US"/>
              </w:rPr>
            </w:pPr>
            <w:r w:rsidRPr="007C6C73">
              <w:rPr>
                <w:sz w:val="24"/>
                <w:lang w:val="en-US"/>
              </w:rPr>
              <w:t>100 mg/vial</w:t>
            </w:r>
          </w:p>
        </w:tc>
        <w:tc>
          <w:tcPr>
            <w:tcW w:w="1694" w:type="dxa"/>
          </w:tcPr>
          <w:p w14:paraId="0774F6A8" w14:textId="77777777" w:rsidR="00AD119C" w:rsidRPr="007C6C73" w:rsidRDefault="004036ED">
            <w:pPr>
              <w:pStyle w:val="Compact"/>
              <w:spacing w:line="480" w:lineRule="auto"/>
              <w:rPr>
                <w:sz w:val="24"/>
                <w:lang w:val="en-US"/>
              </w:rPr>
            </w:pPr>
            <w:r w:rsidRPr="007C6C73">
              <w:rPr>
                <w:sz w:val="24"/>
                <w:lang w:val="en-US"/>
              </w:rPr>
              <w:t>22,250/100 mg</w:t>
            </w:r>
          </w:p>
        </w:tc>
        <w:tc>
          <w:tcPr>
            <w:tcW w:w="1418" w:type="dxa"/>
          </w:tcPr>
          <w:p w14:paraId="2D274434" w14:textId="77777777" w:rsidR="00AD119C" w:rsidRPr="007C6C73" w:rsidRDefault="004036ED">
            <w:pPr>
              <w:pStyle w:val="Compact"/>
              <w:spacing w:line="480" w:lineRule="auto"/>
              <w:rPr>
                <w:sz w:val="24"/>
                <w:lang w:val="en-US"/>
              </w:rPr>
            </w:pPr>
            <w:r w:rsidRPr="007C6C73">
              <w:rPr>
                <w:sz w:val="24"/>
                <w:lang w:val="en-US"/>
              </w:rPr>
              <w:t>46,7</w:t>
            </w:r>
            <w:r w:rsidRPr="007C6C73">
              <w:rPr>
                <w:rFonts w:hint="eastAsia"/>
                <w:sz w:val="24"/>
                <w:lang w:val="en-US" w:eastAsia="zh-CN"/>
              </w:rPr>
              <w:t>25</w:t>
            </w:r>
          </w:p>
        </w:tc>
        <w:tc>
          <w:tcPr>
            <w:tcW w:w="1701" w:type="dxa"/>
          </w:tcPr>
          <w:p w14:paraId="56704912" w14:textId="77777777" w:rsidR="00AD119C" w:rsidRPr="007C6C73" w:rsidRDefault="004036ED">
            <w:pPr>
              <w:pStyle w:val="Compact"/>
              <w:spacing w:line="480" w:lineRule="auto"/>
              <w:rPr>
                <w:sz w:val="24"/>
                <w:lang w:val="en-US"/>
              </w:rPr>
            </w:pPr>
            <w:r w:rsidRPr="007C6C73">
              <w:rPr>
                <w:sz w:val="24"/>
                <w:lang w:val="en-US"/>
              </w:rPr>
              <w:t>155,750</w:t>
            </w:r>
          </w:p>
        </w:tc>
        <w:tc>
          <w:tcPr>
            <w:tcW w:w="1982" w:type="dxa"/>
          </w:tcPr>
          <w:p w14:paraId="2CB00AA3" w14:textId="77777777" w:rsidR="00AD119C" w:rsidRPr="007C6C73" w:rsidRDefault="004036ED">
            <w:pPr>
              <w:pStyle w:val="Compact"/>
              <w:spacing w:line="480" w:lineRule="auto"/>
              <w:rPr>
                <w:sz w:val="24"/>
                <w:lang w:val="en-US"/>
              </w:rPr>
            </w:pPr>
            <w:r w:rsidRPr="007C6C73">
              <w:rPr>
                <w:sz w:val="24"/>
                <w:lang w:val="en-US"/>
              </w:rPr>
              <w:t>113% higher</w:t>
            </w:r>
          </w:p>
        </w:tc>
      </w:tr>
      <w:tr w:rsidR="00AD119C" w14:paraId="1110C0FE" w14:textId="77777777" w:rsidTr="00AD119C">
        <w:tc>
          <w:tcPr>
            <w:tcW w:w="2057" w:type="dxa"/>
            <w:tcBorders>
              <w:bottom w:val="single" w:sz="4" w:space="0" w:color="auto"/>
            </w:tcBorders>
          </w:tcPr>
          <w:p w14:paraId="008494E1" w14:textId="77777777" w:rsidR="00AD119C" w:rsidRPr="007C6C73" w:rsidRDefault="004036ED">
            <w:pPr>
              <w:pStyle w:val="Compact"/>
              <w:spacing w:line="480" w:lineRule="auto"/>
              <w:rPr>
                <w:sz w:val="24"/>
                <w:lang w:val="en-US"/>
              </w:rPr>
            </w:pPr>
            <w:r w:rsidRPr="007C6C73">
              <w:rPr>
                <w:sz w:val="24"/>
                <w:lang w:val="en-US"/>
              </w:rPr>
              <w:t>Obinutuzumab β</w:t>
            </w:r>
            <w:r w:rsidRPr="007C6C73">
              <w:rPr>
                <w:rFonts w:hint="eastAsia"/>
                <w:sz w:val="24"/>
                <w:lang w:val="en-US" w:eastAsia="zh-CN"/>
              </w:rPr>
              <w:t xml:space="preserve"> </w:t>
            </w:r>
            <w:r w:rsidRPr="007C6C73">
              <w:rPr>
                <w:sz w:val="24"/>
                <w:lang w:val="en-US"/>
              </w:rPr>
              <w:t>- phase Ib</w:t>
            </w:r>
          </w:p>
        </w:tc>
        <w:tc>
          <w:tcPr>
            <w:tcW w:w="1102" w:type="dxa"/>
            <w:tcBorders>
              <w:bottom w:val="single" w:sz="4" w:space="0" w:color="auto"/>
            </w:tcBorders>
          </w:tcPr>
          <w:p w14:paraId="79502851" w14:textId="77777777" w:rsidR="00AD119C" w:rsidRPr="007C6C73" w:rsidRDefault="004036ED">
            <w:pPr>
              <w:pStyle w:val="Compact"/>
              <w:spacing w:line="480" w:lineRule="auto"/>
              <w:rPr>
                <w:sz w:val="24"/>
                <w:lang w:val="en-US"/>
              </w:rPr>
            </w:pPr>
            <w:r w:rsidRPr="007C6C73">
              <w:rPr>
                <w:sz w:val="24"/>
                <w:lang w:val="en-US"/>
              </w:rPr>
              <w:t>234 weeks</w:t>
            </w:r>
          </w:p>
        </w:tc>
        <w:tc>
          <w:tcPr>
            <w:tcW w:w="2321" w:type="dxa"/>
            <w:tcBorders>
              <w:bottom w:val="single" w:sz="4" w:space="0" w:color="auto"/>
            </w:tcBorders>
          </w:tcPr>
          <w:p w14:paraId="1327AE8E" w14:textId="77777777" w:rsidR="00AD119C" w:rsidRPr="007C6C73" w:rsidRDefault="004036ED">
            <w:pPr>
              <w:pStyle w:val="Compact"/>
              <w:spacing w:line="480" w:lineRule="auto"/>
              <w:rPr>
                <w:sz w:val="24"/>
                <w:lang w:val="en-US"/>
              </w:rPr>
            </w:pPr>
            <w:r w:rsidRPr="007C6C73">
              <w:rPr>
                <w:sz w:val="24"/>
                <w:lang w:val="en-US"/>
              </w:rPr>
              <w:t>1000 mg at W1D1, W3D1, W25D1, W27D1, then every 6 months</w:t>
            </w:r>
          </w:p>
        </w:tc>
        <w:tc>
          <w:tcPr>
            <w:tcW w:w="1898" w:type="dxa"/>
            <w:tcBorders>
              <w:bottom w:val="single" w:sz="4" w:space="0" w:color="auto"/>
            </w:tcBorders>
          </w:tcPr>
          <w:p w14:paraId="746037A7" w14:textId="77777777" w:rsidR="00AD119C" w:rsidRPr="007C6C73" w:rsidRDefault="004036ED">
            <w:pPr>
              <w:pStyle w:val="Compact"/>
              <w:spacing w:line="480" w:lineRule="auto"/>
              <w:rPr>
                <w:sz w:val="24"/>
                <w:lang w:val="en-US"/>
              </w:rPr>
            </w:pPr>
            <w:r w:rsidRPr="007C6C73">
              <w:rPr>
                <w:sz w:val="24"/>
                <w:lang w:val="en-US"/>
              </w:rPr>
              <w:t>200 mg/vial</w:t>
            </w:r>
          </w:p>
        </w:tc>
        <w:tc>
          <w:tcPr>
            <w:tcW w:w="1694" w:type="dxa"/>
            <w:tcBorders>
              <w:bottom w:val="single" w:sz="4" w:space="0" w:color="auto"/>
            </w:tcBorders>
          </w:tcPr>
          <w:p w14:paraId="2A43F91B" w14:textId="77777777" w:rsidR="00AD119C" w:rsidRPr="007C6C73" w:rsidRDefault="004036ED">
            <w:pPr>
              <w:pStyle w:val="Compact"/>
              <w:spacing w:line="480" w:lineRule="auto"/>
              <w:rPr>
                <w:sz w:val="24"/>
                <w:lang w:val="en-US"/>
              </w:rPr>
            </w:pPr>
            <w:r w:rsidRPr="007C6C73">
              <w:rPr>
                <w:sz w:val="24"/>
                <w:lang w:val="en-US"/>
              </w:rPr>
              <w:t>5980/200 mg</w:t>
            </w:r>
          </w:p>
        </w:tc>
        <w:tc>
          <w:tcPr>
            <w:tcW w:w="1418" w:type="dxa"/>
            <w:tcBorders>
              <w:bottom w:val="single" w:sz="4" w:space="0" w:color="auto"/>
            </w:tcBorders>
          </w:tcPr>
          <w:p w14:paraId="0CB848F8" w14:textId="77777777" w:rsidR="00AD119C" w:rsidRPr="007C6C73" w:rsidRDefault="004036ED">
            <w:pPr>
              <w:pStyle w:val="Compact"/>
              <w:spacing w:line="480" w:lineRule="auto"/>
              <w:rPr>
                <w:sz w:val="24"/>
                <w:lang w:val="en-US"/>
              </w:rPr>
            </w:pPr>
            <w:r w:rsidRPr="007C6C73">
              <w:rPr>
                <w:sz w:val="24"/>
                <w:lang w:val="en-US"/>
              </w:rPr>
              <w:t>32</w:t>
            </w:r>
            <w:r w:rsidRPr="007C6C73">
              <w:rPr>
                <w:rFonts w:hint="eastAsia"/>
                <w:sz w:val="24"/>
                <w:lang w:val="en-US" w:eastAsia="zh-CN"/>
              </w:rPr>
              <w:t>8</w:t>
            </w:r>
            <w:r w:rsidRPr="007C6C73">
              <w:rPr>
                <w:sz w:val="24"/>
                <w:lang w:val="en-US"/>
              </w:rPr>
              <w:t>,900</w:t>
            </w:r>
          </w:p>
        </w:tc>
        <w:tc>
          <w:tcPr>
            <w:tcW w:w="1701" w:type="dxa"/>
            <w:tcBorders>
              <w:bottom w:val="single" w:sz="4" w:space="0" w:color="auto"/>
            </w:tcBorders>
          </w:tcPr>
          <w:p w14:paraId="14D40280" w14:textId="77777777" w:rsidR="00AD119C" w:rsidRPr="007C6C73" w:rsidRDefault="004036ED">
            <w:pPr>
              <w:pStyle w:val="Compact"/>
              <w:spacing w:line="480" w:lineRule="auto"/>
              <w:rPr>
                <w:sz w:val="24"/>
                <w:lang w:val="en-US"/>
              </w:rPr>
            </w:pPr>
            <w:r w:rsidRPr="007C6C73">
              <w:rPr>
                <w:sz w:val="24"/>
                <w:lang w:val="en-US"/>
              </w:rPr>
              <w:t>73,089</w:t>
            </w:r>
          </w:p>
        </w:tc>
        <w:tc>
          <w:tcPr>
            <w:tcW w:w="1982" w:type="dxa"/>
            <w:tcBorders>
              <w:bottom w:val="single" w:sz="4" w:space="0" w:color="auto"/>
            </w:tcBorders>
          </w:tcPr>
          <w:p w14:paraId="2470A904" w14:textId="77777777" w:rsidR="00AD119C" w:rsidRPr="007C6C73" w:rsidRDefault="004036ED">
            <w:pPr>
              <w:pStyle w:val="Compact"/>
              <w:spacing w:line="480" w:lineRule="auto"/>
              <w:rPr>
                <w:sz w:val="24"/>
                <w:lang w:val="en-US"/>
              </w:rPr>
            </w:pPr>
            <w:r w:rsidRPr="007C6C73">
              <w:rPr>
                <w:sz w:val="24"/>
                <w:lang w:val="en-US"/>
              </w:rPr>
              <w:t>NA</w:t>
            </w:r>
          </w:p>
        </w:tc>
      </w:tr>
    </w:tbl>
    <w:p w14:paraId="4AC88F23" w14:textId="77777777" w:rsidR="00AD119C" w:rsidRDefault="004036ED">
      <w:pPr>
        <w:adjustRightInd w:val="0"/>
        <w:rPr>
          <w:color w:val="000000"/>
          <w:shd w:val="clear" w:color="auto" w:fill="FFFFFF"/>
        </w:rPr>
      </w:pPr>
      <w:r>
        <w:rPr>
          <w:color w:val="000000"/>
          <w:shd w:val="clear" w:color="auto" w:fill="FFFFFF"/>
        </w:rPr>
        <w:t>D: day; W: week.</w:t>
      </w:r>
    </w:p>
    <w:p w14:paraId="0B281AC5" w14:textId="77777777" w:rsidR="00AD119C" w:rsidRDefault="00AD119C">
      <w:pPr>
        <w:pStyle w:val="a0"/>
        <w:ind w:firstLine="240"/>
        <w:sectPr w:rsidR="00AD119C" w:rsidSect="002837D1">
          <w:pgSz w:w="16838" w:h="11906" w:orient="landscape"/>
          <w:pgMar w:top="1134" w:right="1134" w:bottom="1134" w:left="1418" w:header="851" w:footer="680" w:gutter="0"/>
          <w:cols w:space="425"/>
          <w:docGrid w:linePitch="326"/>
        </w:sectPr>
      </w:pPr>
    </w:p>
    <w:p w14:paraId="1C979E02" w14:textId="77777777" w:rsidR="00AD119C" w:rsidRDefault="004036ED">
      <w:pPr>
        <w:pStyle w:val="a0"/>
        <w:widowControl/>
        <w:spacing w:after="0" w:line="278" w:lineRule="auto"/>
        <w:ind w:firstLineChars="0" w:firstLine="0"/>
        <w:jc w:val="left"/>
        <w:rPr>
          <w:rFonts w:cs="Times New Roman"/>
          <w:b/>
          <w:bCs/>
          <w:szCs w:val="24"/>
        </w:rPr>
      </w:pPr>
      <w:r>
        <w:rPr>
          <w:noProof/>
        </w:rPr>
        <w:lastRenderedPageBreak/>
        <w:drawing>
          <wp:inline distT="0" distB="0" distL="0" distR="0" wp14:anchorId="0EEFE4A5" wp14:editId="24235965">
            <wp:extent cx="5274310" cy="3164840"/>
            <wp:effectExtent l="0" t="0" r="2540" b="0"/>
            <wp:docPr id="20705730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573059"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3164840"/>
                    </a:xfrm>
                    <a:prstGeom prst="rect">
                      <a:avLst/>
                    </a:prstGeom>
                    <a:noFill/>
                    <a:ln>
                      <a:noFill/>
                    </a:ln>
                  </pic:spPr>
                </pic:pic>
              </a:graphicData>
            </a:graphic>
          </wp:inline>
        </w:drawing>
      </w:r>
    </w:p>
    <w:p w14:paraId="7F956D2B" w14:textId="77777777" w:rsidR="00AD119C" w:rsidRDefault="004036ED">
      <w:pPr>
        <w:rPr>
          <w:rFonts w:cs="Times New Roman"/>
          <w:szCs w:val="24"/>
        </w:rPr>
      </w:pPr>
      <w:r>
        <w:rPr>
          <w:rFonts w:cs="Times New Roman"/>
          <w:b/>
          <w:bCs/>
          <w:szCs w:val="24"/>
        </w:rPr>
        <w:t xml:space="preserve">Supplementary Figure S1. </w:t>
      </w:r>
      <w:r>
        <w:rPr>
          <w:rFonts w:cs="Times New Roman"/>
          <w:szCs w:val="24"/>
        </w:rPr>
        <w:t>Change in Annualized Relapse Rate (ARR) before and after Obinutuzumab β</w:t>
      </w:r>
      <w:r>
        <w:rPr>
          <w:rFonts w:cs="Times New Roman" w:hint="eastAsia"/>
          <w:szCs w:val="24"/>
        </w:rPr>
        <w:t xml:space="preserve"> </w:t>
      </w:r>
      <w:r>
        <w:rPr>
          <w:rFonts w:cs="Times New Roman"/>
          <w:szCs w:val="24"/>
        </w:rPr>
        <w:t>Administration.</w:t>
      </w:r>
    </w:p>
    <w:p w14:paraId="2289FE8A" w14:textId="77777777" w:rsidR="00AD119C" w:rsidRDefault="004036ED" w:rsidP="002837D1">
      <w:pPr>
        <w:pStyle w:val="a0"/>
        <w:spacing w:beforeLines="50" w:before="120" w:afterLines="50" w:line="240" w:lineRule="auto"/>
        <w:ind w:firstLineChars="0" w:firstLine="0"/>
        <w:rPr>
          <w:rFonts w:cs="Times New Roman"/>
          <w:szCs w:val="24"/>
        </w:rPr>
      </w:pPr>
      <w:r>
        <w:rPr>
          <w:rFonts w:cs="Times New Roman"/>
          <w:b/>
          <w:bCs/>
          <w:szCs w:val="24"/>
        </w:rPr>
        <w:t>Historical ARR:</w:t>
      </w:r>
      <w:r>
        <w:rPr>
          <w:rFonts w:cs="Times New Roman"/>
          <w:szCs w:val="24"/>
        </w:rPr>
        <w:t xml:space="preserve"> ARR in the 24 months before screening.</w:t>
      </w:r>
    </w:p>
    <w:p w14:paraId="22F6A79C" w14:textId="77777777" w:rsidR="00AD119C" w:rsidRDefault="004036ED" w:rsidP="002837D1">
      <w:pPr>
        <w:pStyle w:val="a0"/>
        <w:spacing w:beforeLines="50" w:before="120" w:afterLines="50" w:line="240" w:lineRule="auto"/>
        <w:ind w:firstLineChars="0" w:firstLine="0"/>
        <w:rPr>
          <w:rFonts w:cs="Times New Roman"/>
          <w:szCs w:val="24"/>
        </w:rPr>
      </w:pPr>
      <w:r>
        <w:rPr>
          <w:rFonts w:eastAsia="宋体" w:cs="Times New Roman"/>
          <w:b/>
          <w:bCs/>
          <w:color w:val="000000" w:themeColor="text1"/>
          <w:szCs w:val="24"/>
        </w:rPr>
        <w:t>Abbreviations:</w:t>
      </w:r>
      <w:r>
        <w:rPr>
          <w:rFonts w:cs="Times New Roman"/>
          <w:szCs w:val="24"/>
        </w:rPr>
        <w:t xml:space="preserve"> ARR, annualized relapse rate.</w:t>
      </w:r>
    </w:p>
    <w:p w14:paraId="6B88DD57" w14:textId="77777777" w:rsidR="00AD119C" w:rsidRDefault="004036ED">
      <w:pPr>
        <w:pStyle w:val="a0"/>
        <w:spacing w:after="0"/>
        <w:ind w:firstLine="240"/>
      </w:pPr>
      <w:r>
        <w:br w:type="page"/>
      </w:r>
    </w:p>
    <w:p w14:paraId="7CA0525B" w14:textId="77777777" w:rsidR="00AD119C" w:rsidRDefault="004036ED">
      <w:pPr>
        <w:rPr>
          <w:rFonts w:cs="Times New Roman"/>
          <w:szCs w:val="24"/>
        </w:rPr>
      </w:pPr>
      <w:r>
        <w:rPr>
          <w:noProof/>
        </w:rPr>
        <w:lastRenderedPageBreak/>
        <w:drawing>
          <wp:inline distT="0" distB="0" distL="0" distR="0" wp14:anchorId="7B294E28" wp14:editId="7AA845E5">
            <wp:extent cx="5274310" cy="3164840"/>
            <wp:effectExtent l="0" t="0" r="2540" b="0"/>
            <wp:docPr id="170250827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08273"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74310" cy="3164840"/>
                    </a:xfrm>
                    <a:prstGeom prst="rect">
                      <a:avLst/>
                    </a:prstGeom>
                    <a:noFill/>
                    <a:ln>
                      <a:noFill/>
                    </a:ln>
                  </pic:spPr>
                </pic:pic>
              </a:graphicData>
            </a:graphic>
          </wp:inline>
        </w:drawing>
      </w:r>
    </w:p>
    <w:p w14:paraId="2D8461B9" w14:textId="77777777" w:rsidR="00AD119C" w:rsidRDefault="004036ED">
      <w:pPr>
        <w:rPr>
          <w:rFonts w:cs="Times New Roman"/>
          <w:szCs w:val="24"/>
        </w:rPr>
      </w:pPr>
      <w:r>
        <w:rPr>
          <w:rFonts w:cs="Times New Roman"/>
          <w:b/>
          <w:bCs/>
          <w:szCs w:val="24"/>
        </w:rPr>
        <w:t>Supplementary Figure S2</w:t>
      </w:r>
      <w:r>
        <w:rPr>
          <w:rFonts w:cs="Times New Roman"/>
          <w:szCs w:val="24"/>
        </w:rPr>
        <w:t>. Changes in EDSS scores at each study visit during obinutuzumab β treatment. Data are presented as mean ± standard deviation. The EDSS scores remained stable or improved over time, indicating maintenance of neurological function in most participants.</w:t>
      </w:r>
    </w:p>
    <w:p w14:paraId="4AA5C901" w14:textId="77777777" w:rsidR="00AD119C" w:rsidRDefault="004036ED">
      <w:pPr>
        <w:pStyle w:val="a0"/>
        <w:spacing w:after="0"/>
        <w:ind w:firstLineChars="0" w:firstLine="0"/>
        <w:rPr>
          <w:rFonts w:cs="Times New Roman"/>
          <w:szCs w:val="24"/>
        </w:rPr>
      </w:pPr>
      <w:r>
        <w:rPr>
          <w:rFonts w:eastAsia="宋体" w:cs="Times New Roman"/>
          <w:b/>
          <w:bCs/>
          <w:color w:val="000000" w:themeColor="text1"/>
          <w:szCs w:val="24"/>
        </w:rPr>
        <w:t>Abbreviations:</w:t>
      </w:r>
      <w:r>
        <w:rPr>
          <w:rFonts w:cs="Times New Roman"/>
          <w:szCs w:val="24"/>
        </w:rPr>
        <w:t xml:space="preserve"> EDSS, </w:t>
      </w:r>
      <w:r>
        <w:rPr>
          <w:rFonts w:eastAsia="宋体" w:cs="Times New Roman"/>
          <w:szCs w:val="24"/>
        </w:rPr>
        <w:t>Expanded Disability Status Scale</w:t>
      </w:r>
      <w:r>
        <w:rPr>
          <w:rFonts w:cs="Times New Roman"/>
          <w:szCs w:val="24"/>
        </w:rPr>
        <w:t>.</w:t>
      </w:r>
    </w:p>
    <w:p w14:paraId="551CFA30" w14:textId="77777777" w:rsidR="00AD119C" w:rsidRDefault="00AD119C">
      <w:pPr>
        <w:rPr>
          <w:rFonts w:cs="Times New Roman"/>
          <w:szCs w:val="24"/>
        </w:rPr>
        <w:sectPr w:rsidR="00AD119C" w:rsidSect="002837D1">
          <w:pgSz w:w="11906" w:h="16838"/>
          <w:pgMar w:top="1134" w:right="1134" w:bottom="1134" w:left="1418" w:header="851" w:footer="680" w:gutter="0"/>
          <w:cols w:space="425"/>
          <w:docGrid w:linePitch="326"/>
        </w:sectPr>
      </w:pPr>
    </w:p>
    <w:p w14:paraId="53B6E093" w14:textId="77777777" w:rsidR="00AD119C" w:rsidRDefault="004036ED">
      <w:pPr>
        <w:pStyle w:val="a0"/>
        <w:tabs>
          <w:tab w:val="center" w:pos="4273"/>
        </w:tabs>
        <w:spacing w:after="0"/>
        <w:ind w:firstLine="240"/>
        <w:rPr>
          <w:rFonts w:cs="Times New Roman"/>
          <w:szCs w:val="24"/>
        </w:rPr>
      </w:pPr>
      <w:r>
        <w:rPr>
          <w:rFonts w:cs="Times New Roman"/>
          <w:noProof/>
          <w:szCs w:val="24"/>
        </w:rPr>
        <w:lastRenderedPageBreak/>
        <mc:AlternateContent>
          <mc:Choice Requires="wps">
            <w:drawing>
              <wp:inline distT="0" distB="0" distL="0" distR="0" wp14:anchorId="248E5BA7" wp14:editId="045EDA15">
                <wp:extent cx="314325" cy="295275"/>
                <wp:effectExtent l="0" t="0" r="9525" b="9525"/>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noFill/>
                          <a:miter lim="800000"/>
                        </a:ln>
                      </wps:spPr>
                      <wps:txbx>
                        <w:txbxContent>
                          <w:p w14:paraId="33AD9017" w14:textId="77777777" w:rsidR="00AD119C" w:rsidRDefault="004036ED">
                            <w:pPr>
                              <w:spacing w:line="240" w:lineRule="auto"/>
                              <w:rPr>
                                <w:b/>
                                <w:bCs/>
                              </w:rPr>
                            </w:pPr>
                            <w:r>
                              <w:rPr>
                                <w:b/>
                                <w:bCs/>
                              </w:rPr>
                              <w:t>A</w:t>
                            </w:r>
                          </w:p>
                        </w:txbxContent>
                      </wps:txbx>
                      <wps:bodyPr rot="0" vert="horz" wrap="square" lIns="91440" tIns="45720" rIns="91440" bIns="45720" anchor="t" anchorCtr="0">
                        <a:noAutofit/>
                      </wps:bodyPr>
                    </wps:wsp>
                  </a:graphicData>
                </a:graphic>
              </wp:inline>
            </w:drawing>
          </mc:Choice>
          <mc:Fallback>
            <w:pict>
              <v:shapetype w14:anchorId="248E5BA7" id="_x0000_t202" coordsize="21600,21600" o:spt="202" path="m,l,21600r21600,l21600,xe">
                <v:stroke joinstyle="miter"/>
                <v:path gradientshapeok="t" o:connecttype="rect"/>
              </v:shapetype>
              <v:shape id="文本框 2" o:spid="_x0000_s1026" type="#_x0000_t202" style="width:24.7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" stroked="f">
                <v:textbox>
                  <w:txbxContent>
                    <w:p w14:paraId="33AD9017" w14:textId="77777777" w:rsidR="00AD119C" w:rsidRDefault="004036ED">
                      <w:pPr>
                        <w:spacing w:line="240" w:lineRule="auto"/>
                        <w:rPr>
                          <w:b/>
                          <w:bCs/>
                        </w:rPr>
                      </w:pPr>
                      <w:r>
                        <w:rPr>
                          <w:b/>
                          <w:bCs/>
                        </w:rPr>
                        <w:t>A</w:t>
                      </w:r>
                    </w:p>
                  </w:txbxContent>
                </v:textbox>
                <w10:anchorlock/>
              </v:shape>
            </w:pict>
          </mc:Fallback>
        </mc:AlternateContent>
      </w:r>
    </w:p>
    <w:p w14:paraId="29D238C7" w14:textId="77777777" w:rsidR="00AD119C" w:rsidRDefault="004036ED" w:rsidP="00D36C92">
      <w:pPr>
        <w:pStyle w:val="a0"/>
        <w:spacing w:after="0" w:line="240" w:lineRule="auto"/>
        <w:ind w:firstLineChars="0" w:firstLine="0"/>
        <w:rPr>
          <w:rFonts w:cs="Times New Roman"/>
          <w:szCs w:val="24"/>
        </w:rPr>
      </w:pPr>
      <w:r>
        <w:rPr>
          <w:noProof/>
        </w:rPr>
        <w:drawing>
          <wp:inline distT="0" distB="0" distL="0" distR="0" wp14:anchorId="45E104E3" wp14:editId="64854736">
            <wp:extent cx="5274310" cy="3164840"/>
            <wp:effectExtent l="0" t="0" r="2540" b="0"/>
            <wp:docPr id="13193356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35619" name="图片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4310" cy="3164840"/>
                    </a:xfrm>
                    <a:prstGeom prst="rect">
                      <a:avLst/>
                    </a:prstGeom>
                    <a:noFill/>
                    <a:ln>
                      <a:noFill/>
                    </a:ln>
                  </pic:spPr>
                </pic:pic>
              </a:graphicData>
            </a:graphic>
          </wp:inline>
        </w:drawing>
      </w:r>
    </w:p>
    <w:p w14:paraId="6DB75791" w14:textId="77777777" w:rsidR="002837D1" w:rsidRDefault="004036ED">
      <w:pPr>
        <w:pStyle w:val="a0"/>
        <w:spacing w:after="0" w:line="240" w:lineRule="auto"/>
        <w:ind w:firstLineChars="0" w:firstLine="0"/>
        <w:rPr>
          <w:rFonts w:cs="Times New Roman"/>
          <w:szCs w:val="24"/>
        </w:rPr>
      </w:pPr>
      <w:r>
        <w:rPr>
          <w:rFonts w:cs="Times New Roman"/>
          <w:noProof/>
          <w:szCs w:val="24"/>
        </w:rPr>
        <mc:AlternateContent>
          <mc:Choice Requires="wps">
            <w:drawing>
              <wp:inline distT="0" distB="0" distL="0" distR="0" wp14:anchorId="6809DF25" wp14:editId="5DC28A4C">
                <wp:extent cx="314325" cy="314325"/>
                <wp:effectExtent l="0" t="0" r="9525" b="9525"/>
                <wp:docPr id="10594460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14325"/>
                        </a:xfrm>
                        <a:prstGeom prst="rect">
                          <a:avLst/>
                        </a:prstGeom>
                        <a:solidFill>
                          <a:srgbClr val="FFFFFF"/>
                        </a:solidFill>
                        <a:ln w="9525">
                          <a:noFill/>
                          <a:miter lim="800000"/>
                        </a:ln>
                      </wps:spPr>
                      <wps:txbx>
                        <w:txbxContent>
                          <w:p w14:paraId="020ED9A4" w14:textId="77777777" w:rsidR="00AD119C" w:rsidRDefault="004036ED">
                            <w:pPr>
                              <w:spacing w:line="240" w:lineRule="auto"/>
                              <w:rPr>
                                <w:b/>
                                <w:bCs/>
                              </w:rPr>
                            </w:pPr>
                            <w:r>
                              <w:rPr>
                                <w:b/>
                                <w:bCs/>
                              </w:rPr>
                              <w:t>B</w:t>
                            </w:r>
                          </w:p>
                        </w:txbxContent>
                      </wps:txbx>
                      <wps:bodyPr rot="0" vert="horz" wrap="square" lIns="91440" tIns="45720" rIns="91440" bIns="45720" anchor="t" anchorCtr="0">
                        <a:noAutofit/>
                      </wps:bodyPr>
                    </wps:wsp>
                  </a:graphicData>
                </a:graphic>
              </wp:inline>
            </w:drawing>
          </mc:Choice>
          <mc:Fallback>
            <w:pict>
              <v:shape w14:anchorId="6809DF25" id="_x0000_s1027" type="#_x0000_t202" style="width:24.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" stroked="f">
                <v:textbox>
                  <w:txbxContent>
                    <w:p w14:paraId="020ED9A4" w14:textId="77777777" w:rsidR="00AD119C" w:rsidRDefault="004036ED">
                      <w:pPr>
                        <w:spacing w:line="240" w:lineRule="auto"/>
                        <w:rPr>
                          <w:b/>
                          <w:bCs/>
                        </w:rPr>
                      </w:pPr>
                      <w:r>
                        <w:rPr>
                          <w:b/>
                          <w:bCs/>
                        </w:rPr>
                        <w:t>B</w:t>
                      </w:r>
                    </w:p>
                  </w:txbxContent>
                </v:textbox>
                <w10:anchorlock/>
              </v:shape>
            </w:pict>
          </mc:Fallback>
        </mc:AlternateContent>
      </w:r>
    </w:p>
    <w:p w14:paraId="00D8E7D0" w14:textId="3B70B408" w:rsidR="00AD119C" w:rsidRDefault="004036ED">
      <w:pPr>
        <w:pStyle w:val="a0"/>
        <w:spacing w:after="0" w:line="240" w:lineRule="auto"/>
        <w:ind w:firstLineChars="0" w:firstLine="0"/>
        <w:rPr>
          <w:rFonts w:cs="Times New Roman"/>
          <w:szCs w:val="24"/>
        </w:rPr>
      </w:pPr>
      <w:r>
        <w:rPr>
          <w:noProof/>
        </w:rPr>
        <w:drawing>
          <wp:inline distT="0" distB="0" distL="0" distR="0" wp14:anchorId="0B40691E" wp14:editId="410D5FC4">
            <wp:extent cx="5274310" cy="3164840"/>
            <wp:effectExtent l="0" t="0" r="2540" b="0"/>
            <wp:docPr id="170377419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74199" name="图片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74310" cy="3164840"/>
                    </a:xfrm>
                    <a:prstGeom prst="rect">
                      <a:avLst/>
                    </a:prstGeom>
                    <a:noFill/>
                    <a:ln>
                      <a:noFill/>
                    </a:ln>
                  </pic:spPr>
                </pic:pic>
              </a:graphicData>
            </a:graphic>
          </wp:inline>
        </w:drawing>
      </w:r>
    </w:p>
    <w:p w14:paraId="1C41CEE9" w14:textId="77777777" w:rsidR="00AD119C" w:rsidRDefault="004036ED">
      <w:pPr>
        <w:pStyle w:val="a0"/>
        <w:spacing w:after="0"/>
        <w:ind w:firstLineChars="0" w:firstLine="0"/>
        <w:rPr>
          <w:rFonts w:cs="Times New Roman"/>
          <w:szCs w:val="24"/>
        </w:rPr>
      </w:pPr>
      <w:r>
        <w:rPr>
          <w:rFonts w:cs="Times New Roman"/>
          <w:b/>
          <w:bCs/>
          <w:szCs w:val="24"/>
        </w:rPr>
        <w:t xml:space="preserve">Supplementary Figure S3. </w:t>
      </w:r>
      <w:r>
        <w:rPr>
          <w:rFonts w:cs="Times New Roman"/>
          <w:szCs w:val="24"/>
        </w:rPr>
        <w:t xml:space="preserve">Limb motor function was maintained or improved overall during the treatment of obinutuzumab β. (A) </w:t>
      </w:r>
      <w:r>
        <w:rPr>
          <w:rFonts w:cs="Times New Roman" w:hint="eastAsia"/>
          <w:szCs w:val="24"/>
        </w:rPr>
        <w:t xml:space="preserve">Timed </w:t>
      </w:r>
      <w:r>
        <w:rPr>
          <w:rFonts w:cs="Times New Roman"/>
          <w:szCs w:val="24"/>
        </w:rPr>
        <w:t>25-foot walk (</w:t>
      </w:r>
      <w:r>
        <w:rPr>
          <w:rFonts w:cs="Times New Roman" w:hint="eastAsia"/>
          <w:szCs w:val="24"/>
        </w:rPr>
        <w:t>T</w:t>
      </w:r>
      <w:r>
        <w:rPr>
          <w:rFonts w:cs="Times New Roman"/>
          <w:szCs w:val="24"/>
        </w:rPr>
        <w:t xml:space="preserve">25FW); (B) </w:t>
      </w:r>
      <w:r>
        <w:rPr>
          <w:rFonts w:cs="Times New Roman" w:hint="eastAsia"/>
          <w:szCs w:val="24"/>
        </w:rPr>
        <w:t>N</w:t>
      </w:r>
      <w:r>
        <w:rPr>
          <w:rFonts w:cs="Times New Roman"/>
          <w:szCs w:val="24"/>
        </w:rPr>
        <w:t>ine-hole peg test (9HPT).</w:t>
      </w:r>
    </w:p>
    <w:p w14:paraId="23AB8AE7" w14:textId="77777777" w:rsidR="00AD119C" w:rsidRDefault="004036ED">
      <w:pPr>
        <w:rPr>
          <w:rFonts w:cs="Times New Roman"/>
          <w:szCs w:val="24"/>
          <w:lang w:val="fr-CA"/>
        </w:rPr>
      </w:pPr>
      <w:r>
        <w:rPr>
          <w:noProof/>
        </w:rPr>
        <w:lastRenderedPageBreak/>
        <w:drawing>
          <wp:inline distT="0" distB="0" distL="0" distR="0" wp14:anchorId="391FC110" wp14:editId="123E5B02">
            <wp:extent cx="5274310" cy="3164840"/>
            <wp:effectExtent l="0" t="0" r="2540" b="0"/>
            <wp:docPr id="12495911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591119" name="图片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74310" cy="3164840"/>
                    </a:xfrm>
                    <a:prstGeom prst="rect">
                      <a:avLst/>
                    </a:prstGeom>
                    <a:noFill/>
                    <a:ln>
                      <a:noFill/>
                    </a:ln>
                  </pic:spPr>
                </pic:pic>
              </a:graphicData>
            </a:graphic>
          </wp:inline>
        </w:drawing>
      </w:r>
    </w:p>
    <w:p w14:paraId="06FC7F20" w14:textId="77777777" w:rsidR="00AD119C" w:rsidRDefault="004036ED">
      <w:pPr>
        <w:rPr>
          <w:rFonts w:cs="Times New Roman"/>
          <w:szCs w:val="24"/>
        </w:rPr>
      </w:pPr>
      <w:r>
        <w:rPr>
          <w:rFonts w:cs="Times New Roman"/>
          <w:b/>
          <w:bCs/>
          <w:szCs w:val="24"/>
        </w:rPr>
        <w:t>Supplementary Figure S4.</w:t>
      </w:r>
      <w:r>
        <w:rPr>
          <w:rFonts w:cs="Times New Roman"/>
          <w:szCs w:val="24"/>
        </w:rPr>
        <w:t xml:space="preserve"> The visual acuity of the left and right eyes remained stable overall during the treatment of obinutuzumab β.</w:t>
      </w:r>
    </w:p>
    <w:p w14:paraId="1FA59720" w14:textId="77777777" w:rsidR="00AD119C" w:rsidRDefault="00AD119C">
      <w:pPr>
        <w:rPr>
          <w:rFonts w:cs="Times New Roman"/>
          <w:szCs w:val="24"/>
        </w:rPr>
        <w:sectPr w:rsidR="00AD119C" w:rsidSect="002837D1">
          <w:pgSz w:w="11906" w:h="16838"/>
          <w:pgMar w:top="1134" w:right="1134" w:bottom="1134" w:left="1418" w:header="851" w:footer="680" w:gutter="0"/>
          <w:cols w:space="425"/>
          <w:docGrid w:linePitch="326"/>
        </w:sectPr>
      </w:pPr>
    </w:p>
    <w:p w14:paraId="2EA37411" w14:textId="77777777" w:rsidR="00AD119C" w:rsidRDefault="004036ED">
      <w:pPr>
        <w:rPr>
          <w:rFonts w:cs="Times New Roman"/>
          <w:szCs w:val="24"/>
        </w:rPr>
      </w:pPr>
      <w:r>
        <w:rPr>
          <w:noProof/>
        </w:rPr>
        <w:lastRenderedPageBreak/>
        <w:drawing>
          <wp:inline distT="0" distB="0" distL="0" distR="0" wp14:anchorId="7D36072E" wp14:editId="1CBE7D67">
            <wp:extent cx="5486400" cy="3291840"/>
            <wp:effectExtent l="0" t="0" r="0" b="3810"/>
            <wp:docPr id="1121333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3341" name="图片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86400" cy="3291840"/>
                    </a:xfrm>
                    <a:prstGeom prst="rect">
                      <a:avLst/>
                    </a:prstGeom>
                    <a:noFill/>
                    <a:ln>
                      <a:noFill/>
                    </a:ln>
                  </pic:spPr>
                </pic:pic>
              </a:graphicData>
            </a:graphic>
          </wp:inline>
        </w:drawing>
      </w:r>
      <w:r>
        <w:rPr>
          <w:rFonts w:cs="Times New Roman"/>
          <w:b/>
          <w:bCs/>
          <w:szCs w:val="24"/>
        </w:rPr>
        <w:t>Supplementary Figure S5.</w:t>
      </w:r>
      <w:r>
        <w:rPr>
          <w:rFonts w:cs="Times New Roman"/>
          <w:szCs w:val="24"/>
        </w:rPr>
        <w:t xml:space="preserve"> Impacts of </w:t>
      </w:r>
      <w:r>
        <w:rPr>
          <w:rFonts w:eastAsia="宋体" w:cs="Times New Roman"/>
          <w:szCs w:val="24"/>
        </w:rPr>
        <w:t>obinutuzumab β</w:t>
      </w:r>
      <w:r>
        <w:rPr>
          <w:rFonts w:cs="Times New Roman"/>
          <w:szCs w:val="24"/>
        </w:rPr>
        <w:t xml:space="preserve"> on serum AQP4-IgG in patients with NMOSD.</w:t>
      </w:r>
    </w:p>
    <w:p w14:paraId="4FA86C4E" w14:textId="77777777" w:rsidR="00AD119C" w:rsidRDefault="004036ED">
      <w:pPr>
        <w:pStyle w:val="a0"/>
        <w:spacing w:after="0"/>
        <w:ind w:firstLineChars="0" w:firstLine="0"/>
        <w:rPr>
          <w:rFonts w:eastAsia="宋体" w:cs="Times New Roman"/>
          <w:szCs w:val="24"/>
        </w:rPr>
      </w:pPr>
      <w:r>
        <w:rPr>
          <w:rFonts w:eastAsia="宋体" w:cs="Times New Roman"/>
          <w:b/>
          <w:bCs/>
          <w:color w:val="000000" w:themeColor="text1"/>
          <w:szCs w:val="24"/>
        </w:rPr>
        <w:t>Abbreviations:</w:t>
      </w:r>
      <w:r>
        <w:rPr>
          <w:rFonts w:eastAsia="宋体" w:cs="Times New Roman"/>
          <w:color w:val="000000" w:themeColor="text1"/>
          <w:szCs w:val="24"/>
        </w:rPr>
        <w:t xml:space="preserve"> NMOSD, </w:t>
      </w:r>
      <w:r>
        <w:rPr>
          <w:rFonts w:eastAsia="宋体" w:cs="Times New Roman"/>
          <w:szCs w:val="24"/>
        </w:rPr>
        <w:t>Neuromyelitis Optica Spectrum Disorders</w:t>
      </w:r>
      <w:r>
        <w:rPr>
          <w:rFonts w:eastAsia="宋体" w:cs="Times New Roman" w:hint="eastAsia"/>
          <w:szCs w:val="24"/>
        </w:rPr>
        <w:t>; CEC, Clinical Endpoint Committee</w:t>
      </w:r>
      <w:r>
        <w:rPr>
          <w:rFonts w:eastAsia="宋体" w:cs="Times New Roman"/>
          <w:szCs w:val="24"/>
        </w:rPr>
        <w:t>.</w:t>
      </w:r>
    </w:p>
    <w:p w14:paraId="0B4FD068" w14:textId="77777777" w:rsidR="00AD119C" w:rsidRDefault="004036ED">
      <w:pPr>
        <w:pStyle w:val="a0"/>
        <w:spacing w:after="0"/>
        <w:ind w:firstLine="240"/>
      </w:pPr>
      <w:r>
        <w:br w:type="page"/>
      </w:r>
    </w:p>
    <w:p w14:paraId="0FFADC55" w14:textId="77777777" w:rsidR="00AD119C" w:rsidRDefault="004036ED">
      <w:pPr>
        <w:jc w:val="center"/>
        <w:rPr>
          <w:rFonts w:cs="Times New Roman"/>
          <w:szCs w:val="24"/>
        </w:rPr>
      </w:pPr>
      <w:r>
        <w:rPr>
          <w:noProof/>
        </w:rPr>
        <w:lastRenderedPageBreak/>
        <w:drawing>
          <wp:inline distT="0" distB="0" distL="0" distR="0" wp14:anchorId="52DD9E7A" wp14:editId="1B1581CB">
            <wp:extent cx="5486400" cy="3291840"/>
            <wp:effectExtent l="0" t="0" r="0" b="3810"/>
            <wp:docPr id="18952781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78127" name="图片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486400" cy="3291840"/>
                    </a:xfrm>
                    <a:prstGeom prst="rect">
                      <a:avLst/>
                    </a:prstGeom>
                    <a:noFill/>
                    <a:ln>
                      <a:noFill/>
                    </a:ln>
                  </pic:spPr>
                </pic:pic>
              </a:graphicData>
            </a:graphic>
          </wp:inline>
        </w:drawing>
      </w:r>
    </w:p>
    <w:p w14:paraId="25E36559" w14:textId="77777777" w:rsidR="00AD119C" w:rsidRDefault="004036ED">
      <w:pPr>
        <w:rPr>
          <w:rFonts w:cs="Times New Roman"/>
          <w:szCs w:val="24"/>
        </w:rPr>
      </w:pPr>
      <w:r>
        <w:rPr>
          <w:rFonts w:cs="Times New Roman"/>
          <w:b/>
          <w:bCs/>
          <w:szCs w:val="24"/>
        </w:rPr>
        <w:t>Supplementary Figure S6.</w:t>
      </w:r>
      <w:r>
        <w:rPr>
          <w:rFonts w:cs="Times New Roman"/>
          <w:szCs w:val="24"/>
        </w:rPr>
        <w:t xml:space="preserve"> Changes in B cell subsets for NMOSD patients treated with </w:t>
      </w:r>
      <w:r>
        <w:rPr>
          <w:rFonts w:eastAsia="宋体" w:cs="Times New Roman"/>
          <w:szCs w:val="24"/>
        </w:rPr>
        <w:t>obinutuzumab β</w:t>
      </w:r>
      <w:r>
        <w:rPr>
          <w:rFonts w:cs="Times New Roman"/>
          <w:szCs w:val="24"/>
        </w:rPr>
        <w:t>.</w:t>
      </w:r>
      <w:r>
        <w:rPr>
          <w:rStyle w:val="af8"/>
          <w:rFonts w:cs="Times New Roman" w:hint="eastAsia"/>
          <w:sz w:val="24"/>
          <w:szCs w:val="24"/>
        </w:rPr>
        <w:t xml:space="preserve"> All </w:t>
      </w:r>
      <w:r>
        <w:rPr>
          <w:rFonts w:cs="Times New Roman"/>
          <w:szCs w:val="24"/>
        </w:rPr>
        <w:t>patients</w:t>
      </w:r>
      <w:r>
        <w:rPr>
          <w:rFonts w:cs="Times New Roman" w:hint="eastAsia"/>
          <w:szCs w:val="24"/>
        </w:rPr>
        <w:t xml:space="preserve"> in 500-mg group received </w:t>
      </w:r>
      <w:r>
        <w:rPr>
          <w:rFonts w:cs="Times New Roman"/>
        </w:rPr>
        <w:t>the 1000</w:t>
      </w:r>
      <w:r>
        <w:rPr>
          <w:rFonts w:cs="Times New Roman" w:hint="eastAsia"/>
        </w:rPr>
        <w:t xml:space="preserve"> </w:t>
      </w:r>
      <w:r>
        <w:rPr>
          <w:rFonts w:cs="Times New Roman"/>
        </w:rPr>
        <w:t>mg dose</w:t>
      </w:r>
      <w:r>
        <w:rPr>
          <w:rFonts w:cs="Times New Roman" w:hint="eastAsia"/>
        </w:rPr>
        <w:t xml:space="preserve"> </w:t>
      </w:r>
      <w:r>
        <w:rPr>
          <w:rFonts w:cs="Times New Roman"/>
        </w:rPr>
        <w:t>starting from</w:t>
      </w:r>
      <w:r>
        <w:rPr>
          <w:rFonts w:cs="Times New Roman" w:hint="eastAsia"/>
        </w:rPr>
        <w:t xml:space="preserve"> W25D1.</w:t>
      </w:r>
    </w:p>
    <w:p w14:paraId="1FB3D137" w14:textId="77777777" w:rsidR="00AD119C" w:rsidRDefault="004036ED">
      <w:pPr>
        <w:pStyle w:val="a0"/>
        <w:spacing w:after="0"/>
        <w:ind w:firstLineChars="0" w:firstLine="0"/>
        <w:rPr>
          <w:rFonts w:eastAsia="宋体" w:cs="Times New Roman"/>
          <w:szCs w:val="24"/>
        </w:rPr>
      </w:pPr>
      <w:r>
        <w:rPr>
          <w:rFonts w:eastAsia="宋体" w:cs="Times New Roman"/>
          <w:b/>
          <w:bCs/>
          <w:color w:val="000000" w:themeColor="text1"/>
          <w:szCs w:val="24"/>
        </w:rPr>
        <w:t>Abbreviations:</w:t>
      </w:r>
      <w:r>
        <w:rPr>
          <w:rFonts w:eastAsia="宋体" w:cs="Times New Roman"/>
          <w:color w:val="000000" w:themeColor="text1"/>
          <w:szCs w:val="24"/>
        </w:rPr>
        <w:t xml:space="preserve"> NMOSD, </w:t>
      </w:r>
      <w:r>
        <w:rPr>
          <w:rFonts w:eastAsia="宋体" w:cs="Times New Roman"/>
          <w:szCs w:val="24"/>
        </w:rPr>
        <w:t>Neuromyelitis Optica Spectrum Disorders.</w:t>
      </w:r>
    </w:p>
    <w:p w14:paraId="506DE234" w14:textId="77777777" w:rsidR="00AD119C" w:rsidRDefault="004036ED">
      <w:pPr>
        <w:widowControl/>
        <w:spacing w:line="240" w:lineRule="auto"/>
        <w:jc w:val="left"/>
        <w:rPr>
          <w:rFonts w:eastAsia="宋体" w:cs="Times New Roman"/>
          <w:szCs w:val="24"/>
        </w:rPr>
      </w:pPr>
      <w:r>
        <w:rPr>
          <w:rFonts w:eastAsia="宋体" w:cs="Times New Roman"/>
          <w:szCs w:val="24"/>
        </w:rPr>
        <w:br w:type="page"/>
      </w:r>
    </w:p>
    <w:p w14:paraId="228BB9B6" w14:textId="77777777" w:rsidR="00AD119C" w:rsidRDefault="004036ED">
      <w:pPr>
        <w:pStyle w:val="a0"/>
        <w:spacing w:after="0"/>
        <w:ind w:firstLineChars="0" w:firstLine="0"/>
        <w:rPr>
          <w:rFonts w:eastAsia="宋体" w:cs="Times New Roman"/>
          <w:b/>
          <w:szCs w:val="24"/>
        </w:rPr>
      </w:pPr>
      <w:r>
        <w:rPr>
          <w:rFonts w:eastAsia="宋体" w:cs="Times New Roman"/>
          <w:b/>
          <w:szCs w:val="24"/>
        </w:rPr>
        <w:lastRenderedPageBreak/>
        <w:t>References</w:t>
      </w:r>
    </w:p>
    <w:p w14:paraId="65604645" w14:textId="639C67E7" w:rsidR="00AD119C" w:rsidRDefault="004036ED" w:rsidP="00292947">
      <w:pPr>
        <w:pStyle w:val="EndNoteBibliography"/>
        <w:spacing w:line="480" w:lineRule="auto"/>
        <w:ind w:left="240" w:hangingChars="100" w:hanging="240"/>
      </w:pPr>
      <w:r>
        <w:rPr>
          <w:szCs w:val="24"/>
        </w:rPr>
        <w:fldChar w:fldCharType="begin"/>
      </w:r>
      <w:r>
        <w:rPr>
          <w:szCs w:val="24"/>
        </w:rPr>
        <w:instrText xml:space="preserve"> ADDIN EN.REFLIST </w:instrText>
      </w:r>
      <w:r>
        <w:rPr>
          <w:szCs w:val="24"/>
        </w:rPr>
        <w:fldChar w:fldCharType="separate"/>
      </w:r>
      <w:r>
        <w:t>1.</w:t>
      </w:r>
      <w:r w:rsidR="00292947">
        <w:rPr>
          <w:rFonts w:hint="eastAsia"/>
        </w:rPr>
        <w:t xml:space="preserve"> </w:t>
      </w:r>
      <w:r>
        <w:t>Tahara M, Oeda T, Okada K, Kiriyama T, Ochi K, Maruyama H, et al. Safety and efficacy of rituximab in neuromyelitis optica spectrum disorders (RIN-1 study): a multicentre, randomised, double-blind, placebo-controlled trial. The Lancet Neurology. 2020;19(4):298-306.</w:t>
      </w:r>
    </w:p>
    <w:p w14:paraId="3974A606" w14:textId="024AE515" w:rsidR="00AD119C" w:rsidRDefault="004036ED" w:rsidP="00292947">
      <w:pPr>
        <w:pStyle w:val="EndNoteBibliography"/>
        <w:spacing w:line="480" w:lineRule="auto"/>
        <w:ind w:left="240" w:hangingChars="100" w:hanging="240"/>
      </w:pPr>
      <w:r>
        <w:t>2.</w:t>
      </w:r>
      <w:r w:rsidR="00292947">
        <w:rPr>
          <w:rFonts w:hint="eastAsia"/>
        </w:rPr>
        <w:t xml:space="preserve"> </w:t>
      </w:r>
      <w:r>
        <w:t>Cree BAC, Bennett JL, Kim HJ, Weinshenker BG, Pittock SJ, Wingerchuk DM, et al. Inebilizumab for the treatment of neuromyelitis optica spectrum disorder (N-MOmentum): a double-blind, randomised placebo-controlled phase 2/3 trial. Lancet. 2019;394(10206):1352-63.</w:t>
      </w:r>
    </w:p>
    <w:p w14:paraId="4B120FAB" w14:textId="77777777" w:rsidR="00AD119C" w:rsidRDefault="004036ED" w:rsidP="00292947">
      <w:pPr>
        <w:pStyle w:val="a0"/>
        <w:spacing w:after="0"/>
        <w:ind w:left="240" w:hangingChars="100" w:hanging="240"/>
        <w:rPr>
          <w:rFonts w:cs="Times New Roman"/>
          <w:szCs w:val="24"/>
        </w:rPr>
      </w:pPr>
      <w:r>
        <w:rPr>
          <w:rFonts w:cs="Times New Roman"/>
          <w:szCs w:val="24"/>
        </w:rPr>
        <w:fldChar w:fldCharType="end"/>
      </w:r>
    </w:p>
    <w:sectPr w:rsidR="00AD119C" w:rsidSect="002837D1">
      <w:pgSz w:w="12240" w:h="15840"/>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59F53" w14:textId="77777777" w:rsidR="00F606F9" w:rsidRDefault="00F606F9">
      <w:pPr>
        <w:spacing w:line="240" w:lineRule="auto"/>
      </w:pPr>
      <w:r>
        <w:separator/>
      </w:r>
    </w:p>
  </w:endnote>
  <w:endnote w:type="continuationSeparator" w:id="0">
    <w:p w14:paraId="1D051CD7" w14:textId="77777777" w:rsidR="00F606F9" w:rsidRDefault="00F606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embedBold r:id="rId1" w:subsetted="1" w:fontKey="{7DF51B3E-40C5-4844-A4E8-D11D55351F27}"/>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4990"/>
      <w:docPartObj>
        <w:docPartGallery w:val="Page Numbers (Bottom of Page)"/>
        <w:docPartUnique/>
      </w:docPartObj>
    </w:sdtPr>
    <w:sdtEndPr>
      <w:rPr>
        <w:rFonts w:cs="Times New Roman"/>
        <w:sz w:val="21"/>
        <w:szCs w:val="21"/>
      </w:rPr>
    </w:sdtEndPr>
    <w:sdtContent>
      <w:p w14:paraId="566E15B8" w14:textId="7A044A7B" w:rsidR="00B74037" w:rsidRPr="002837D1" w:rsidRDefault="00B74037" w:rsidP="002837D1">
        <w:pPr>
          <w:pStyle w:val="aa"/>
          <w:jc w:val="center"/>
          <w:rPr>
            <w:rFonts w:cs="Times New Roman"/>
            <w:sz w:val="21"/>
            <w:szCs w:val="21"/>
          </w:rPr>
        </w:pPr>
        <w:r w:rsidRPr="00B74037">
          <w:rPr>
            <w:rFonts w:cs="Times New Roman"/>
            <w:sz w:val="21"/>
            <w:szCs w:val="21"/>
          </w:rPr>
          <w:fldChar w:fldCharType="begin"/>
        </w:r>
        <w:r w:rsidRPr="00B74037">
          <w:rPr>
            <w:rFonts w:cs="Times New Roman"/>
            <w:sz w:val="21"/>
            <w:szCs w:val="21"/>
          </w:rPr>
          <w:instrText>PAGE   \* MERGEFORMAT</w:instrText>
        </w:r>
        <w:r w:rsidRPr="00B74037">
          <w:rPr>
            <w:rFonts w:cs="Times New Roman"/>
            <w:sz w:val="21"/>
            <w:szCs w:val="21"/>
          </w:rPr>
          <w:fldChar w:fldCharType="separate"/>
        </w:r>
        <w:r w:rsidRPr="00B74037">
          <w:rPr>
            <w:rFonts w:cs="Times New Roman"/>
            <w:sz w:val="21"/>
            <w:szCs w:val="21"/>
            <w:lang w:val="zh-CN"/>
          </w:rPr>
          <w:t>2</w:t>
        </w:r>
        <w:r w:rsidRPr="00B74037">
          <w:rPr>
            <w:rFonts w:cs="Times New Rom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166BD" w14:textId="77777777" w:rsidR="00F606F9" w:rsidRDefault="00F606F9">
      <w:r>
        <w:separator/>
      </w:r>
    </w:p>
  </w:footnote>
  <w:footnote w:type="continuationSeparator" w:id="0">
    <w:p w14:paraId="0A0EBE42" w14:textId="77777777" w:rsidR="00F606F9" w:rsidRDefault="00F60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A7650"/>
    <w:multiLevelType w:val="multilevel"/>
    <w:tmpl w:val="46CA765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648EC46E"/>
    <w:multiLevelType w:val="singleLevel"/>
    <w:tmpl w:val="648EC46E"/>
    <w:lvl w:ilvl="0">
      <w:start w:val="3"/>
      <w:numFmt w:val="decimal"/>
      <w:suff w:val="space"/>
      <w:lvlText w:val="%1)"/>
      <w:lvlJc w:val="left"/>
      <w:pPr>
        <w:ind w:left="0" w:firstLine="0"/>
      </w:pPr>
      <w:rPr>
        <w:rFonts w:hint="eastAsia"/>
        <w:b/>
        <w:bCs/>
      </w:rPr>
    </w:lvl>
  </w:abstractNum>
  <w:num w:numId="1" w16cid:durableId="1197504045">
    <w:abstractNumId w:val="1"/>
  </w:num>
  <w:num w:numId="2" w16cid:durableId="796337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oNotTrackMoves/>
  <w:doNotTrackFormatting/>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M2NTe2MDGxMLe0MLdQ0lEKTi0uzszPAykwqwUAeNabaiwAAAA="/>
    <w:docVar w:name="commondata" w:val="eyJoZGlkIjoiMzEwNTM5NzYwMDRjMzkwZTVkZjY2ODkwMGIxNGU0OTUifQ=="/>
    <w:docVar w:name="EN.InstantFormat" w:val="&lt;ENInstantFormat&gt;&lt;Enabled&gt;1&lt;/Enabled&gt;&lt;ScanUnformatted&gt;1&lt;/ScanUnformatted&gt;&lt;ScanChanges&gt;1&lt;/ScanChanges&gt;&lt;Suspended&gt;0&lt;/Suspended&gt;&lt;/ENInstantFormat&gt;"/>
    <w:docVar w:name="EN.Layout" w:val="&lt;ENLayout&gt;&lt;Style&gt;Vancouver Bracket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wsadefx2dasfseswfsxrsr355pfaw20502r&quot;&gt;Untitled&lt;record-ids&gt;&lt;item&gt;30&lt;/item&gt;&lt;item&gt;33&lt;/item&gt;&lt;/record-ids&gt;&lt;/item&gt;&lt;/Libraries&gt;"/>
    <w:docVar w:name="KSO_WPS_MARK_KEY" w:val="57d58d29-6a9b-4b47-97d3-6a155e930476"/>
  </w:docVars>
  <w:rsids>
    <w:rsidRoot w:val="00A54F46"/>
    <w:rsid w:val="00020A22"/>
    <w:rsid w:val="00020E23"/>
    <w:rsid w:val="000323A5"/>
    <w:rsid w:val="00034AE3"/>
    <w:rsid w:val="00050167"/>
    <w:rsid w:val="00053EA3"/>
    <w:rsid w:val="00070501"/>
    <w:rsid w:val="0007453D"/>
    <w:rsid w:val="000774E7"/>
    <w:rsid w:val="0008030D"/>
    <w:rsid w:val="00092090"/>
    <w:rsid w:val="000936C1"/>
    <w:rsid w:val="000A461C"/>
    <w:rsid w:val="000A5CA0"/>
    <w:rsid w:val="000B035B"/>
    <w:rsid w:val="000B2B22"/>
    <w:rsid w:val="000B2D8A"/>
    <w:rsid w:val="000C0297"/>
    <w:rsid w:val="000C4490"/>
    <w:rsid w:val="000C4ABC"/>
    <w:rsid w:val="000D025D"/>
    <w:rsid w:val="000D04AC"/>
    <w:rsid w:val="000D3246"/>
    <w:rsid w:val="000D5C2E"/>
    <w:rsid w:val="000E4BA3"/>
    <w:rsid w:val="00105A59"/>
    <w:rsid w:val="0012519E"/>
    <w:rsid w:val="00130214"/>
    <w:rsid w:val="00136275"/>
    <w:rsid w:val="0014176F"/>
    <w:rsid w:val="001660E3"/>
    <w:rsid w:val="001736FC"/>
    <w:rsid w:val="001773DE"/>
    <w:rsid w:val="00182397"/>
    <w:rsid w:val="00185E89"/>
    <w:rsid w:val="00186291"/>
    <w:rsid w:val="001A465A"/>
    <w:rsid w:val="001C016C"/>
    <w:rsid w:val="001C0190"/>
    <w:rsid w:val="001C12F9"/>
    <w:rsid w:val="001D111D"/>
    <w:rsid w:val="001D7532"/>
    <w:rsid w:val="001E15C2"/>
    <w:rsid w:val="001E4796"/>
    <w:rsid w:val="001F0EBD"/>
    <w:rsid w:val="001F304C"/>
    <w:rsid w:val="001F3B2C"/>
    <w:rsid w:val="001F580D"/>
    <w:rsid w:val="00202B8A"/>
    <w:rsid w:val="00202D8C"/>
    <w:rsid w:val="00211C40"/>
    <w:rsid w:val="00225A0A"/>
    <w:rsid w:val="002274E1"/>
    <w:rsid w:val="00243451"/>
    <w:rsid w:val="00243F51"/>
    <w:rsid w:val="00252637"/>
    <w:rsid w:val="00261BAD"/>
    <w:rsid w:val="00275E82"/>
    <w:rsid w:val="002837AA"/>
    <w:rsid w:val="002837D1"/>
    <w:rsid w:val="00283F99"/>
    <w:rsid w:val="0028583C"/>
    <w:rsid w:val="00287FFA"/>
    <w:rsid w:val="00292947"/>
    <w:rsid w:val="00297C2E"/>
    <w:rsid w:val="002A0085"/>
    <w:rsid w:val="002A0EF8"/>
    <w:rsid w:val="002A3BB8"/>
    <w:rsid w:val="002B071D"/>
    <w:rsid w:val="002B41FB"/>
    <w:rsid w:val="002C3B8C"/>
    <w:rsid w:val="002D58BF"/>
    <w:rsid w:val="002E64A1"/>
    <w:rsid w:val="002F754D"/>
    <w:rsid w:val="00304317"/>
    <w:rsid w:val="003066F4"/>
    <w:rsid w:val="00312A18"/>
    <w:rsid w:val="003179CE"/>
    <w:rsid w:val="00325485"/>
    <w:rsid w:val="00326628"/>
    <w:rsid w:val="00341B43"/>
    <w:rsid w:val="00343D77"/>
    <w:rsid w:val="00345D0E"/>
    <w:rsid w:val="00356068"/>
    <w:rsid w:val="003574C8"/>
    <w:rsid w:val="003577AF"/>
    <w:rsid w:val="00365813"/>
    <w:rsid w:val="0037116F"/>
    <w:rsid w:val="0039110C"/>
    <w:rsid w:val="003927E0"/>
    <w:rsid w:val="003D4733"/>
    <w:rsid w:val="003D48DF"/>
    <w:rsid w:val="003F1F14"/>
    <w:rsid w:val="00402737"/>
    <w:rsid w:val="004036ED"/>
    <w:rsid w:val="00404DD0"/>
    <w:rsid w:val="004154AA"/>
    <w:rsid w:val="0041740A"/>
    <w:rsid w:val="00431C17"/>
    <w:rsid w:val="00447709"/>
    <w:rsid w:val="0046099E"/>
    <w:rsid w:val="00461F1A"/>
    <w:rsid w:val="00462D3D"/>
    <w:rsid w:val="0046642F"/>
    <w:rsid w:val="00486E0B"/>
    <w:rsid w:val="004A032A"/>
    <w:rsid w:val="004A52BB"/>
    <w:rsid w:val="004C1E1D"/>
    <w:rsid w:val="004C71D1"/>
    <w:rsid w:val="004D0862"/>
    <w:rsid w:val="004D51E3"/>
    <w:rsid w:val="004D6547"/>
    <w:rsid w:val="004F187C"/>
    <w:rsid w:val="004F303D"/>
    <w:rsid w:val="004F3918"/>
    <w:rsid w:val="0050613F"/>
    <w:rsid w:val="0051025B"/>
    <w:rsid w:val="005167C4"/>
    <w:rsid w:val="00540690"/>
    <w:rsid w:val="0054328D"/>
    <w:rsid w:val="00544617"/>
    <w:rsid w:val="0055232D"/>
    <w:rsid w:val="005604AB"/>
    <w:rsid w:val="00562049"/>
    <w:rsid w:val="00564085"/>
    <w:rsid w:val="00564D16"/>
    <w:rsid w:val="00575B09"/>
    <w:rsid w:val="00590060"/>
    <w:rsid w:val="005A4B90"/>
    <w:rsid w:val="005B6DC1"/>
    <w:rsid w:val="005C1913"/>
    <w:rsid w:val="005C5605"/>
    <w:rsid w:val="005D434E"/>
    <w:rsid w:val="005E261D"/>
    <w:rsid w:val="005E4335"/>
    <w:rsid w:val="0060456A"/>
    <w:rsid w:val="00606153"/>
    <w:rsid w:val="006122D3"/>
    <w:rsid w:val="00614BC3"/>
    <w:rsid w:val="00623D51"/>
    <w:rsid w:val="0062778A"/>
    <w:rsid w:val="00632F16"/>
    <w:rsid w:val="00665454"/>
    <w:rsid w:val="00690470"/>
    <w:rsid w:val="00695BB0"/>
    <w:rsid w:val="00695C6C"/>
    <w:rsid w:val="00696A26"/>
    <w:rsid w:val="006A08E0"/>
    <w:rsid w:val="006C14FF"/>
    <w:rsid w:val="006D139E"/>
    <w:rsid w:val="006E47B1"/>
    <w:rsid w:val="006E7589"/>
    <w:rsid w:val="006F49A0"/>
    <w:rsid w:val="0070517C"/>
    <w:rsid w:val="00714492"/>
    <w:rsid w:val="007236D0"/>
    <w:rsid w:val="0072478D"/>
    <w:rsid w:val="00737A33"/>
    <w:rsid w:val="0074011B"/>
    <w:rsid w:val="0074721B"/>
    <w:rsid w:val="00760979"/>
    <w:rsid w:val="00764FFF"/>
    <w:rsid w:val="00773900"/>
    <w:rsid w:val="00773B23"/>
    <w:rsid w:val="0078200A"/>
    <w:rsid w:val="00785DC2"/>
    <w:rsid w:val="007963DE"/>
    <w:rsid w:val="007A4A17"/>
    <w:rsid w:val="007C3545"/>
    <w:rsid w:val="007C6C73"/>
    <w:rsid w:val="007D1DE8"/>
    <w:rsid w:val="007E29D4"/>
    <w:rsid w:val="007E4C0B"/>
    <w:rsid w:val="007F2974"/>
    <w:rsid w:val="00801154"/>
    <w:rsid w:val="00807EEB"/>
    <w:rsid w:val="008230E5"/>
    <w:rsid w:val="00827881"/>
    <w:rsid w:val="0083516D"/>
    <w:rsid w:val="008436D4"/>
    <w:rsid w:val="008472C1"/>
    <w:rsid w:val="00854CCB"/>
    <w:rsid w:val="008572C7"/>
    <w:rsid w:val="00862FB9"/>
    <w:rsid w:val="008727D5"/>
    <w:rsid w:val="008751AA"/>
    <w:rsid w:val="00884AE1"/>
    <w:rsid w:val="008941CB"/>
    <w:rsid w:val="0089543F"/>
    <w:rsid w:val="008A40BF"/>
    <w:rsid w:val="008A72B5"/>
    <w:rsid w:val="008B5730"/>
    <w:rsid w:val="008E53AC"/>
    <w:rsid w:val="009105A3"/>
    <w:rsid w:val="00926CF9"/>
    <w:rsid w:val="00936020"/>
    <w:rsid w:val="00941D83"/>
    <w:rsid w:val="00944723"/>
    <w:rsid w:val="0094764F"/>
    <w:rsid w:val="00960728"/>
    <w:rsid w:val="009677F1"/>
    <w:rsid w:val="00975C76"/>
    <w:rsid w:val="00975D42"/>
    <w:rsid w:val="009A2FAF"/>
    <w:rsid w:val="009A53A7"/>
    <w:rsid w:val="009A562E"/>
    <w:rsid w:val="009A718F"/>
    <w:rsid w:val="009A77C2"/>
    <w:rsid w:val="009B39F4"/>
    <w:rsid w:val="009B427A"/>
    <w:rsid w:val="009B4E62"/>
    <w:rsid w:val="009D543C"/>
    <w:rsid w:val="009E118F"/>
    <w:rsid w:val="009E2342"/>
    <w:rsid w:val="009F7C1A"/>
    <w:rsid w:val="00A27091"/>
    <w:rsid w:val="00A30445"/>
    <w:rsid w:val="00A35E70"/>
    <w:rsid w:val="00A36B0C"/>
    <w:rsid w:val="00A3788D"/>
    <w:rsid w:val="00A47038"/>
    <w:rsid w:val="00A54F46"/>
    <w:rsid w:val="00A6100D"/>
    <w:rsid w:val="00A74681"/>
    <w:rsid w:val="00A77F20"/>
    <w:rsid w:val="00AB46FF"/>
    <w:rsid w:val="00AB5023"/>
    <w:rsid w:val="00AB579B"/>
    <w:rsid w:val="00AC3002"/>
    <w:rsid w:val="00AD119C"/>
    <w:rsid w:val="00AD6380"/>
    <w:rsid w:val="00AE19F6"/>
    <w:rsid w:val="00AE6D90"/>
    <w:rsid w:val="00B00865"/>
    <w:rsid w:val="00B03BEF"/>
    <w:rsid w:val="00B05EB3"/>
    <w:rsid w:val="00B0771A"/>
    <w:rsid w:val="00B12A3E"/>
    <w:rsid w:val="00B154FA"/>
    <w:rsid w:val="00B22B18"/>
    <w:rsid w:val="00B25888"/>
    <w:rsid w:val="00B271A4"/>
    <w:rsid w:val="00B27E97"/>
    <w:rsid w:val="00B33478"/>
    <w:rsid w:val="00B410AD"/>
    <w:rsid w:val="00B44077"/>
    <w:rsid w:val="00B45695"/>
    <w:rsid w:val="00B51AB4"/>
    <w:rsid w:val="00B55D18"/>
    <w:rsid w:val="00B64369"/>
    <w:rsid w:val="00B664B7"/>
    <w:rsid w:val="00B74037"/>
    <w:rsid w:val="00B82D91"/>
    <w:rsid w:val="00B85211"/>
    <w:rsid w:val="00B90CD5"/>
    <w:rsid w:val="00B919F0"/>
    <w:rsid w:val="00B93665"/>
    <w:rsid w:val="00B94BB2"/>
    <w:rsid w:val="00BA7F87"/>
    <w:rsid w:val="00BC03BF"/>
    <w:rsid w:val="00BD4303"/>
    <w:rsid w:val="00BD4B68"/>
    <w:rsid w:val="00BE3FB9"/>
    <w:rsid w:val="00BF33AF"/>
    <w:rsid w:val="00C00493"/>
    <w:rsid w:val="00C0236D"/>
    <w:rsid w:val="00C216F2"/>
    <w:rsid w:val="00C3082F"/>
    <w:rsid w:val="00C36179"/>
    <w:rsid w:val="00C533E5"/>
    <w:rsid w:val="00C704BF"/>
    <w:rsid w:val="00C71A35"/>
    <w:rsid w:val="00C82743"/>
    <w:rsid w:val="00C87569"/>
    <w:rsid w:val="00C97383"/>
    <w:rsid w:val="00CA5FCA"/>
    <w:rsid w:val="00CA7494"/>
    <w:rsid w:val="00CC01D0"/>
    <w:rsid w:val="00CD538A"/>
    <w:rsid w:val="00CE2825"/>
    <w:rsid w:val="00CE51F2"/>
    <w:rsid w:val="00CF343B"/>
    <w:rsid w:val="00D13990"/>
    <w:rsid w:val="00D26F15"/>
    <w:rsid w:val="00D36C92"/>
    <w:rsid w:val="00D5087C"/>
    <w:rsid w:val="00D60A1D"/>
    <w:rsid w:val="00D61D2D"/>
    <w:rsid w:val="00D660C7"/>
    <w:rsid w:val="00D774C7"/>
    <w:rsid w:val="00D83E22"/>
    <w:rsid w:val="00D85950"/>
    <w:rsid w:val="00D90E91"/>
    <w:rsid w:val="00DA58B1"/>
    <w:rsid w:val="00DA5976"/>
    <w:rsid w:val="00DB00B4"/>
    <w:rsid w:val="00DB4D84"/>
    <w:rsid w:val="00DC5D88"/>
    <w:rsid w:val="00DC5F7B"/>
    <w:rsid w:val="00DD0FB9"/>
    <w:rsid w:val="00DD6BF4"/>
    <w:rsid w:val="00E07946"/>
    <w:rsid w:val="00E121AF"/>
    <w:rsid w:val="00E356E0"/>
    <w:rsid w:val="00E44170"/>
    <w:rsid w:val="00E60E1F"/>
    <w:rsid w:val="00E735AA"/>
    <w:rsid w:val="00E7465A"/>
    <w:rsid w:val="00E95EFF"/>
    <w:rsid w:val="00E97520"/>
    <w:rsid w:val="00EA0DC0"/>
    <w:rsid w:val="00EA41D4"/>
    <w:rsid w:val="00EA4BF8"/>
    <w:rsid w:val="00EB1719"/>
    <w:rsid w:val="00EB61BD"/>
    <w:rsid w:val="00EE2504"/>
    <w:rsid w:val="00EE3AE2"/>
    <w:rsid w:val="00EE63C4"/>
    <w:rsid w:val="00EF08ED"/>
    <w:rsid w:val="00EF6DA5"/>
    <w:rsid w:val="00F04BEB"/>
    <w:rsid w:val="00F06687"/>
    <w:rsid w:val="00F12FA8"/>
    <w:rsid w:val="00F1377E"/>
    <w:rsid w:val="00F1443A"/>
    <w:rsid w:val="00F246D2"/>
    <w:rsid w:val="00F270F6"/>
    <w:rsid w:val="00F373E7"/>
    <w:rsid w:val="00F37D31"/>
    <w:rsid w:val="00F423D4"/>
    <w:rsid w:val="00F47801"/>
    <w:rsid w:val="00F5261F"/>
    <w:rsid w:val="00F606F9"/>
    <w:rsid w:val="00F622E0"/>
    <w:rsid w:val="00F63654"/>
    <w:rsid w:val="00F642DA"/>
    <w:rsid w:val="00F64F0E"/>
    <w:rsid w:val="00F73C39"/>
    <w:rsid w:val="00F82AFF"/>
    <w:rsid w:val="00F830D1"/>
    <w:rsid w:val="00F91856"/>
    <w:rsid w:val="00F95A58"/>
    <w:rsid w:val="00FA0360"/>
    <w:rsid w:val="00FA4AF7"/>
    <w:rsid w:val="00FB195F"/>
    <w:rsid w:val="00FB2F3D"/>
    <w:rsid w:val="00FC2F07"/>
    <w:rsid w:val="00FC3EAB"/>
    <w:rsid w:val="00FE602E"/>
    <w:rsid w:val="010C6333"/>
    <w:rsid w:val="155D0E25"/>
    <w:rsid w:val="1A543FB6"/>
    <w:rsid w:val="20BC4ACA"/>
    <w:rsid w:val="21B12A07"/>
    <w:rsid w:val="22931946"/>
    <w:rsid w:val="26AB4408"/>
    <w:rsid w:val="271022FB"/>
    <w:rsid w:val="2A212E93"/>
    <w:rsid w:val="365921B8"/>
    <w:rsid w:val="3A0652FC"/>
    <w:rsid w:val="3F4C73A9"/>
    <w:rsid w:val="4B6D68A0"/>
    <w:rsid w:val="4BCE4506"/>
    <w:rsid w:val="4D523C16"/>
    <w:rsid w:val="5199576E"/>
    <w:rsid w:val="5B980D05"/>
    <w:rsid w:val="61036C0E"/>
    <w:rsid w:val="649B48E1"/>
    <w:rsid w:val="651B0119"/>
    <w:rsid w:val="68562A60"/>
    <w:rsid w:val="6CB67B3D"/>
    <w:rsid w:val="71326877"/>
    <w:rsid w:val="74BF3C26"/>
    <w:rsid w:val="772821CB"/>
    <w:rsid w:val="7CB314D6"/>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2933114"/>
  <w15:docId w15:val="{A924137E-6575-4FCF-ACA2-F9759FBE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spacing w:line="480" w:lineRule="auto"/>
      <w:jc w:val="both"/>
    </w:pPr>
    <w:rPr>
      <w:rFonts w:ascii="Times New Roman" w:hAnsi="Times New Roman"/>
      <w:kern w:val="2"/>
      <w:sz w:val="24"/>
      <w:szCs w:val="22"/>
    </w:rPr>
  </w:style>
  <w:style w:type="paragraph" w:styleId="1">
    <w:name w:val="heading 1"/>
    <w:basedOn w:val="a"/>
    <w:next w:val="a"/>
    <w:link w:val="10"/>
    <w:uiPriority w:val="9"/>
    <w:qFormat/>
    <w:pPr>
      <w:keepNext/>
      <w:keepLines/>
      <w:widowControl/>
      <w:spacing w:before="360" w:after="80" w:line="240" w:lineRule="auto"/>
      <w:jc w:val="left"/>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2">
    <w:name w:val="heading 2"/>
    <w:basedOn w:val="a"/>
    <w:next w:val="a"/>
    <w:link w:val="20"/>
    <w:uiPriority w:val="9"/>
    <w:semiHidden/>
    <w:unhideWhenUsed/>
    <w:qFormat/>
    <w:pPr>
      <w:keepNext/>
      <w:keepLines/>
      <w:widowControl/>
      <w:spacing w:before="160" w:after="80" w:line="240" w:lineRule="auto"/>
      <w:jc w:val="left"/>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3">
    <w:name w:val="heading 3"/>
    <w:basedOn w:val="a"/>
    <w:next w:val="a"/>
    <w:link w:val="30"/>
    <w:uiPriority w:val="9"/>
    <w:semiHidden/>
    <w:unhideWhenUsed/>
    <w:qFormat/>
    <w:pPr>
      <w:keepNext/>
      <w:keepLines/>
      <w:widowControl/>
      <w:spacing w:before="160" w:after="80" w:line="240" w:lineRule="auto"/>
      <w:jc w:val="left"/>
      <w:outlineLvl w:val="2"/>
    </w:pPr>
    <w:rPr>
      <w:rFonts w:asciiTheme="minorHAnsi" w:eastAsiaTheme="majorEastAsia" w:hAnsiTheme="minorHAnsi" w:cstheme="majorBidi"/>
      <w:color w:val="0F4761" w:themeColor="accent1" w:themeShade="BF"/>
      <w:sz w:val="28"/>
      <w:szCs w:val="28"/>
      <w:lang w:eastAsia="en-US"/>
      <w14:ligatures w14:val="standardContextual"/>
    </w:rPr>
  </w:style>
  <w:style w:type="paragraph" w:styleId="4">
    <w:name w:val="heading 4"/>
    <w:basedOn w:val="a"/>
    <w:next w:val="a"/>
    <w:link w:val="40"/>
    <w:uiPriority w:val="9"/>
    <w:semiHidden/>
    <w:unhideWhenUsed/>
    <w:qFormat/>
    <w:pPr>
      <w:keepNext/>
      <w:keepLines/>
      <w:widowControl/>
      <w:spacing w:before="80" w:after="40" w:line="240" w:lineRule="auto"/>
      <w:jc w:val="left"/>
      <w:outlineLvl w:val="3"/>
    </w:pPr>
    <w:rPr>
      <w:rFonts w:asciiTheme="minorHAnsi" w:eastAsiaTheme="majorEastAsia" w:hAnsiTheme="minorHAnsi" w:cstheme="majorBidi"/>
      <w:i/>
      <w:iCs/>
      <w:color w:val="0F4761" w:themeColor="accent1" w:themeShade="BF"/>
      <w:szCs w:val="24"/>
      <w:lang w:eastAsia="en-US"/>
      <w14:ligatures w14:val="standardContextual"/>
    </w:rPr>
  </w:style>
  <w:style w:type="paragraph" w:styleId="5">
    <w:name w:val="heading 5"/>
    <w:basedOn w:val="a"/>
    <w:next w:val="a"/>
    <w:link w:val="50"/>
    <w:uiPriority w:val="9"/>
    <w:semiHidden/>
    <w:unhideWhenUsed/>
    <w:qFormat/>
    <w:pPr>
      <w:keepNext/>
      <w:keepLines/>
      <w:widowControl/>
      <w:spacing w:before="80" w:after="40" w:line="240" w:lineRule="auto"/>
      <w:jc w:val="left"/>
      <w:outlineLvl w:val="4"/>
    </w:pPr>
    <w:rPr>
      <w:rFonts w:asciiTheme="minorHAnsi" w:eastAsiaTheme="majorEastAsia" w:hAnsiTheme="minorHAnsi" w:cstheme="majorBidi"/>
      <w:color w:val="0F4761" w:themeColor="accent1" w:themeShade="BF"/>
      <w:szCs w:val="24"/>
      <w:lang w:eastAsia="en-US"/>
      <w14:ligatures w14:val="standardContextual"/>
    </w:rPr>
  </w:style>
  <w:style w:type="paragraph" w:styleId="6">
    <w:name w:val="heading 6"/>
    <w:basedOn w:val="a"/>
    <w:next w:val="a"/>
    <w:link w:val="60"/>
    <w:uiPriority w:val="9"/>
    <w:semiHidden/>
    <w:unhideWhenUsed/>
    <w:qFormat/>
    <w:pPr>
      <w:keepNext/>
      <w:keepLines/>
      <w:widowControl/>
      <w:spacing w:before="40" w:line="240" w:lineRule="auto"/>
      <w:jc w:val="left"/>
      <w:outlineLvl w:val="5"/>
    </w:pPr>
    <w:rPr>
      <w:rFonts w:asciiTheme="minorHAnsi" w:eastAsiaTheme="majorEastAsia" w:hAnsiTheme="minorHAnsi" w:cstheme="majorBidi"/>
      <w:i/>
      <w:iCs/>
      <w:color w:val="595959" w:themeColor="text1" w:themeTint="A6"/>
      <w:szCs w:val="24"/>
      <w:lang w:eastAsia="en-US"/>
      <w14:ligatures w14:val="standardContextual"/>
    </w:rPr>
  </w:style>
  <w:style w:type="paragraph" w:styleId="7">
    <w:name w:val="heading 7"/>
    <w:basedOn w:val="a"/>
    <w:next w:val="a"/>
    <w:link w:val="70"/>
    <w:uiPriority w:val="9"/>
    <w:semiHidden/>
    <w:unhideWhenUsed/>
    <w:qFormat/>
    <w:pPr>
      <w:keepNext/>
      <w:keepLines/>
      <w:widowControl/>
      <w:spacing w:before="40" w:line="240" w:lineRule="auto"/>
      <w:jc w:val="left"/>
      <w:outlineLvl w:val="6"/>
    </w:pPr>
    <w:rPr>
      <w:rFonts w:asciiTheme="minorHAnsi" w:eastAsiaTheme="majorEastAsia" w:hAnsiTheme="minorHAnsi" w:cstheme="majorBidi"/>
      <w:color w:val="595959" w:themeColor="text1" w:themeTint="A6"/>
      <w:szCs w:val="24"/>
      <w:lang w:eastAsia="en-US"/>
      <w14:ligatures w14:val="standardContextual"/>
    </w:rPr>
  </w:style>
  <w:style w:type="paragraph" w:styleId="8">
    <w:name w:val="heading 8"/>
    <w:basedOn w:val="a"/>
    <w:next w:val="a"/>
    <w:link w:val="80"/>
    <w:uiPriority w:val="9"/>
    <w:semiHidden/>
    <w:unhideWhenUsed/>
    <w:qFormat/>
    <w:pPr>
      <w:keepNext/>
      <w:keepLines/>
      <w:widowControl/>
      <w:spacing w:line="240" w:lineRule="auto"/>
      <w:jc w:val="left"/>
      <w:outlineLvl w:val="7"/>
    </w:pPr>
    <w:rPr>
      <w:rFonts w:asciiTheme="minorHAnsi" w:eastAsiaTheme="majorEastAsia" w:hAnsiTheme="minorHAnsi" w:cstheme="majorBidi"/>
      <w:i/>
      <w:iCs/>
      <w:color w:val="262626" w:themeColor="text1" w:themeTint="D9"/>
      <w:szCs w:val="24"/>
      <w:lang w:eastAsia="en-US"/>
      <w14:ligatures w14:val="standardContextual"/>
    </w:rPr>
  </w:style>
  <w:style w:type="paragraph" w:styleId="9">
    <w:name w:val="heading 9"/>
    <w:basedOn w:val="a"/>
    <w:next w:val="a"/>
    <w:link w:val="90"/>
    <w:uiPriority w:val="9"/>
    <w:semiHidden/>
    <w:unhideWhenUsed/>
    <w:qFormat/>
    <w:pPr>
      <w:keepNext/>
      <w:keepLines/>
      <w:widowControl/>
      <w:spacing w:line="240" w:lineRule="auto"/>
      <w:jc w:val="left"/>
      <w:outlineLvl w:val="8"/>
    </w:pPr>
    <w:rPr>
      <w:rFonts w:asciiTheme="minorHAnsi" w:eastAsiaTheme="majorEastAsia" w:hAnsiTheme="minorHAnsi" w:cstheme="majorBidi"/>
      <w:color w:val="262626" w:themeColor="text1" w:themeTint="D9"/>
      <w:szCs w:val="24"/>
      <w:lang w:eastAsia="en-US"/>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unhideWhenUsed/>
    <w:qFormat/>
    <w:pPr>
      <w:widowControl w:val="0"/>
      <w:spacing w:after="120"/>
      <w:ind w:firstLineChars="100" w:firstLine="420"/>
    </w:pPr>
    <w:rPr>
      <w:rFonts w:cstheme="minorBidi"/>
      <w:kern w:val="2"/>
      <w:szCs w:val="22"/>
      <w:lang w:eastAsia="zh-CN"/>
    </w:rPr>
  </w:style>
  <w:style w:type="paragraph" w:styleId="a4">
    <w:name w:val="Body Text"/>
    <w:basedOn w:val="a"/>
    <w:link w:val="a5"/>
    <w:qFormat/>
    <w:pPr>
      <w:widowControl/>
      <w:spacing w:after="240"/>
      <w:ind w:firstLine="720"/>
    </w:pPr>
    <w:rPr>
      <w:rFonts w:cs="Times New Roman"/>
      <w:kern w:val="0"/>
      <w:szCs w:val="20"/>
      <w:lang w:eastAsia="en-US"/>
    </w:rPr>
  </w:style>
  <w:style w:type="paragraph" w:styleId="a6">
    <w:name w:val="annotation text"/>
    <w:basedOn w:val="a"/>
    <w:link w:val="a7"/>
    <w:unhideWhenUsed/>
    <w:qFormat/>
    <w:pPr>
      <w:jc w:val="left"/>
    </w:pPr>
  </w:style>
  <w:style w:type="paragraph" w:styleId="a8">
    <w:name w:val="Balloon Text"/>
    <w:basedOn w:val="a"/>
    <w:link w:val="a9"/>
    <w:uiPriority w:val="99"/>
    <w:semiHidden/>
    <w:unhideWhenUsed/>
    <w:qFormat/>
    <w:pPr>
      <w:spacing w:line="240" w:lineRule="auto"/>
    </w:pPr>
    <w:rPr>
      <w:rFonts w:ascii="Segoe UI" w:hAnsi="Segoe UI" w:cs="Segoe UI"/>
      <w:sz w:val="18"/>
      <w:szCs w:val="18"/>
    </w:rPr>
  </w:style>
  <w:style w:type="paragraph" w:styleId="aa">
    <w:name w:val="footer"/>
    <w:basedOn w:val="a"/>
    <w:link w:val="ab"/>
    <w:uiPriority w:val="99"/>
    <w:unhideWhenUsed/>
    <w:qFormat/>
    <w:pPr>
      <w:tabs>
        <w:tab w:val="center" w:pos="4153"/>
        <w:tab w:val="right" w:pos="8306"/>
      </w:tabs>
      <w:snapToGrid w:val="0"/>
      <w:spacing w:line="240" w:lineRule="auto"/>
      <w:jc w:val="left"/>
    </w:pPr>
    <w:rPr>
      <w:sz w:val="18"/>
      <w:szCs w:val="18"/>
    </w:rPr>
  </w:style>
  <w:style w:type="paragraph" w:styleId="ac">
    <w:name w:val="header"/>
    <w:basedOn w:val="a"/>
    <w:link w:val="ad"/>
    <w:uiPriority w:val="99"/>
    <w:unhideWhenUsed/>
    <w:qFormat/>
    <w:pPr>
      <w:tabs>
        <w:tab w:val="center" w:pos="4153"/>
        <w:tab w:val="right" w:pos="8306"/>
      </w:tabs>
      <w:snapToGrid w:val="0"/>
      <w:spacing w:line="240" w:lineRule="auto"/>
      <w:jc w:val="center"/>
    </w:pPr>
    <w:rPr>
      <w:sz w:val="18"/>
      <w:szCs w:val="18"/>
    </w:rPr>
  </w:style>
  <w:style w:type="paragraph" w:styleId="ae">
    <w:name w:val="Subtitle"/>
    <w:basedOn w:val="a"/>
    <w:next w:val="a"/>
    <w:link w:val="af"/>
    <w:uiPriority w:val="11"/>
    <w:qFormat/>
    <w:pPr>
      <w:widowControl/>
      <w:spacing w:after="160" w:line="240" w:lineRule="auto"/>
      <w:jc w:val="left"/>
    </w:pPr>
    <w:rPr>
      <w:rFonts w:asciiTheme="minorHAnsi" w:eastAsiaTheme="majorEastAsia" w:hAnsiTheme="minorHAnsi" w:cstheme="majorBidi"/>
      <w:color w:val="595959" w:themeColor="text1" w:themeTint="A6"/>
      <w:spacing w:val="15"/>
      <w:sz w:val="28"/>
      <w:szCs w:val="28"/>
      <w:lang w:eastAsia="en-US"/>
      <w14:ligatures w14:val="standardContextual"/>
    </w:rPr>
  </w:style>
  <w:style w:type="paragraph" w:styleId="af0">
    <w:name w:val="Normal (Web)"/>
    <w:basedOn w:val="a"/>
    <w:link w:val="af1"/>
    <w:qFormat/>
    <w:pPr>
      <w:spacing w:beforeAutospacing="1" w:afterAutospacing="1" w:line="240" w:lineRule="auto"/>
      <w:jc w:val="left"/>
    </w:pPr>
    <w:rPr>
      <w:rFonts w:asciiTheme="minorHAnsi" w:hAnsiTheme="minorHAnsi" w:cs="Times New Roman"/>
      <w:kern w:val="0"/>
      <w:szCs w:val="24"/>
    </w:rPr>
  </w:style>
  <w:style w:type="paragraph" w:styleId="af2">
    <w:name w:val="Title"/>
    <w:basedOn w:val="a"/>
    <w:next w:val="a"/>
    <w:link w:val="af3"/>
    <w:uiPriority w:val="10"/>
    <w:qFormat/>
    <w:pPr>
      <w:widowControl/>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paragraph" w:styleId="af4">
    <w:name w:val="annotation subject"/>
    <w:basedOn w:val="a6"/>
    <w:next w:val="a6"/>
    <w:link w:val="af5"/>
    <w:uiPriority w:val="99"/>
    <w:semiHidden/>
    <w:unhideWhenUsed/>
    <w:qFormat/>
    <w:rPr>
      <w:b/>
      <w:bCs/>
    </w:rPr>
  </w:style>
  <w:style w:type="table" w:styleId="af6">
    <w:name w:val="Table Grid"/>
    <w:basedOn w:val="a2"/>
    <w:uiPriority w:val="39"/>
    <w:qFormat/>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1"/>
    <w:uiPriority w:val="99"/>
    <w:unhideWhenUsed/>
    <w:qFormat/>
    <w:rPr>
      <w:color w:val="467886" w:themeColor="hyperlink"/>
      <w:u w:val="single"/>
    </w:rPr>
  </w:style>
  <w:style w:type="character" w:styleId="af8">
    <w:name w:val="annotation reference"/>
    <w:basedOn w:val="a1"/>
    <w:uiPriority w:val="99"/>
    <w:semiHidden/>
    <w:unhideWhenUsed/>
    <w:qFormat/>
    <w:rPr>
      <w:sz w:val="21"/>
      <w:szCs w:val="21"/>
    </w:rPr>
  </w:style>
  <w:style w:type="character" w:customStyle="1" w:styleId="10">
    <w:name w:val="标题 1 字符"/>
    <w:basedOn w:val="a1"/>
    <w:link w:val="1"/>
    <w:uiPriority w:val="9"/>
    <w:qFormat/>
    <w:rPr>
      <w:rFonts w:asciiTheme="majorHAnsi" w:eastAsiaTheme="majorEastAsia" w:hAnsiTheme="majorHAnsi" w:cstheme="majorBidi"/>
      <w:color w:val="0F4761" w:themeColor="accent1" w:themeShade="BF"/>
      <w:sz w:val="40"/>
      <w:szCs w:val="40"/>
      <w:lang w:val="en-US"/>
    </w:rPr>
  </w:style>
  <w:style w:type="character" w:customStyle="1" w:styleId="20">
    <w:name w:val="标题 2 字符"/>
    <w:basedOn w:val="a1"/>
    <w:link w:val="2"/>
    <w:uiPriority w:val="9"/>
    <w:semiHidden/>
    <w:qFormat/>
    <w:rPr>
      <w:rFonts w:asciiTheme="majorHAnsi" w:eastAsiaTheme="majorEastAsia" w:hAnsiTheme="majorHAnsi" w:cstheme="majorBidi"/>
      <w:color w:val="0F4761" w:themeColor="accent1" w:themeShade="BF"/>
      <w:sz w:val="32"/>
      <w:szCs w:val="32"/>
      <w:lang w:val="en-US"/>
    </w:rPr>
  </w:style>
  <w:style w:type="character" w:customStyle="1" w:styleId="30">
    <w:name w:val="标题 3 字符"/>
    <w:basedOn w:val="a1"/>
    <w:link w:val="3"/>
    <w:uiPriority w:val="9"/>
    <w:semiHidden/>
    <w:qFormat/>
    <w:rPr>
      <w:rFonts w:eastAsiaTheme="majorEastAsia" w:cstheme="majorBidi"/>
      <w:color w:val="0F4761" w:themeColor="accent1" w:themeShade="BF"/>
      <w:sz w:val="28"/>
      <w:szCs w:val="28"/>
      <w:lang w:val="en-US"/>
    </w:rPr>
  </w:style>
  <w:style w:type="character" w:customStyle="1" w:styleId="40">
    <w:name w:val="标题 4 字符"/>
    <w:basedOn w:val="a1"/>
    <w:link w:val="4"/>
    <w:uiPriority w:val="9"/>
    <w:semiHidden/>
    <w:qFormat/>
    <w:rPr>
      <w:rFonts w:eastAsiaTheme="majorEastAsia" w:cstheme="majorBidi"/>
      <w:i/>
      <w:iCs/>
      <w:color w:val="0F4761" w:themeColor="accent1" w:themeShade="BF"/>
      <w:lang w:val="en-US"/>
    </w:rPr>
  </w:style>
  <w:style w:type="character" w:customStyle="1" w:styleId="50">
    <w:name w:val="标题 5 字符"/>
    <w:basedOn w:val="a1"/>
    <w:link w:val="5"/>
    <w:uiPriority w:val="9"/>
    <w:semiHidden/>
    <w:qFormat/>
    <w:rPr>
      <w:rFonts w:eastAsiaTheme="majorEastAsia" w:cstheme="majorBidi"/>
      <w:color w:val="0F4761" w:themeColor="accent1" w:themeShade="BF"/>
      <w:lang w:val="en-US"/>
    </w:rPr>
  </w:style>
  <w:style w:type="character" w:customStyle="1" w:styleId="60">
    <w:name w:val="标题 6 字符"/>
    <w:basedOn w:val="a1"/>
    <w:link w:val="6"/>
    <w:uiPriority w:val="9"/>
    <w:semiHidden/>
    <w:qFormat/>
    <w:rPr>
      <w:rFonts w:eastAsiaTheme="majorEastAsia" w:cstheme="majorBidi"/>
      <w:i/>
      <w:iCs/>
      <w:color w:val="595959" w:themeColor="text1" w:themeTint="A6"/>
      <w:lang w:val="en-US"/>
    </w:rPr>
  </w:style>
  <w:style w:type="character" w:customStyle="1" w:styleId="70">
    <w:name w:val="标题 7 字符"/>
    <w:basedOn w:val="a1"/>
    <w:link w:val="7"/>
    <w:uiPriority w:val="9"/>
    <w:semiHidden/>
    <w:qFormat/>
    <w:rPr>
      <w:rFonts w:eastAsiaTheme="majorEastAsia" w:cstheme="majorBidi"/>
      <w:color w:val="595959" w:themeColor="text1" w:themeTint="A6"/>
      <w:lang w:val="en-US"/>
    </w:rPr>
  </w:style>
  <w:style w:type="character" w:customStyle="1" w:styleId="80">
    <w:name w:val="标题 8 字符"/>
    <w:basedOn w:val="a1"/>
    <w:link w:val="8"/>
    <w:uiPriority w:val="9"/>
    <w:semiHidden/>
    <w:qFormat/>
    <w:rPr>
      <w:rFonts w:eastAsiaTheme="majorEastAsia" w:cstheme="majorBidi"/>
      <w:i/>
      <w:iCs/>
      <w:color w:val="262626" w:themeColor="text1" w:themeTint="D9"/>
      <w:lang w:val="en-US"/>
    </w:rPr>
  </w:style>
  <w:style w:type="character" w:customStyle="1" w:styleId="90">
    <w:name w:val="标题 9 字符"/>
    <w:basedOn w:val="a1"/>
    <w:link w:val="9"/>
    <w:uiPriority w:val="9"/>
    <w:semiHidden/>
    <w:qFormat/>
    <w:rPr>
      <w:rFonts w:eastAsiaTheme="majorEastAsia" w:cstheme="majorBidi"/>
      <w:color w:val="262626" w:themeColor="text1" w:themeTint="D9"/>
      <w:lang w:val="en-US"/>
    </w:rPr>
  </w:style>
  <w:style w:type="character" w:customStyle="1" w:styleId="af3">
    <w:name w:val="标题 字符"/>
    <w:basedOn w:val="a1"/>
    <w:link w:val="af2"/>
    <w:uiPriority w:val="10"/>
    <w:qFormat/>
    <w:rPr>
      <w:rFonts w:asciiTheme="majorHAnsi" w:eastAsiaTheme="majorEastAsia" w:hAnsiTheme="majorHAnsi" w:cstheme="majorBidi"/>
      <w:spacing w:val="-10"/>
      <w:kern w:val="28"/>
      <w:sz w:val="56"/>
      <w:szCs w:val="56"/>
      <w:lang w:val="en-US"/>
    </w:rPr>
  </w:style>
  <w:style w:type="character" w:customStyle="1" w:styleId="af">
    <w:name w:val="副标题 字符"/>
    <w:basedOn w:val="a1"/>
    <w:link w:val="ae"/>
    <w:uiPriority w:val="11"/>
    <w:qFormat/>
    <w:rPr>
      <w:rFonts w:eastAsiaTheme="majorEastAsia" w:cstheme="majorBidi"/>
      <w:color w:val="595959" w:themeColor="text1" w:themeTint="A6"/>
      <w:spacing w:val="15"/>
      <w:sz w:val="28"/>
      <w:szCs w:val="28"/>
      <w:lang w:val="en-US"/>
    </w:rPr>
  </w:style>
  <w:style w:type="paragraph" w:styleId="af9">
    <w:name w:val="Quote"/>
    <w:basedOn w:val="a"/>
    <w:next w:val="a"/>
    <w:link w:val="afa"/>
    <w:uiPriority w:val="29"/>
    <w:qFormat/>
    <w:pPr>
      <w:widowControl/>
      <w:spacing w:before="160" w:after="160" w:line="240" w:lineRule="auto"/>
      <w:jc w:val="center"/>
    </w:pPr>
    <w:rPr>
      <w:rFonts w:eastAsiaTheme="minorHAnsi"/>
      <w:i/>
      <w:iCs/>
      <w:color w:val="404040" w:themeColor="text1" w:themeTint="BF"/>
      <w:szCs w:val="24"/>
      <w:lang w:eastAsia="en-US"/>
      <w14:ligatures w14:val="standardContextual"/>
    </w:rPr>
  </w:style>
  <w:style w:type="character" w:customStyle="1" w:styleId="afa">
    <w:name w:val="引用 字符"/>
    <w:basedOn w:val="a1"/>
    <w:link w:val="af9"/>
    <w:uiPriority w:val="29"/>
    <w:qFormat/>
    <w:rPr>
      <w:rFonts w:ascii="Times New Roman" w:hAnsi="Times New Roman"/>
      <w:i/>
      <w:iCs/>
      <w:color w:val="404040" w:themeColor="text1" w:themeTint="BF"/>
      <w:lang w:val="en-US"/>
    </w:rPr>
  </w:style>
  <w:style w:type="paragraph" w:styleId="afb">
    <w:name w:val="List Paragraph"/>
    <w:basedOn w:val="a"/>
    <w:uiPriority w:val="34"/>
    <w:qFormat/>
    <w:pPr>
      <w:widowControl/>
      <w:spacing w:after="160" w:line="240" w:lineRule="auto"/>
      <w:ind w:left="720"/>
      <w:contextualSpacing/>
      <w:jc w:val="left"/>
    </w:pPr>
    <w:rPr>
      <w:rFonts w:eastAsiaTheme="minorHAnsi"/>
      <w:szCs w:val="24"/>
      <w:lang w:eastAsia="en-US"/>
      <w14:ligatures w14:val="standardContextual"/>
    </w:rPr>
  </w:style>
  <w:style w:type="character" w:customStyle="1" w:styleId="11">
    <w:name w:val="明显强调1"/>
    <w:basedOn w:val="a1"/>
    <w:uiPriority w:val="21"/>
    <w:qFormat/>
    <w:rPr>
      <w:i/>
      <w:iCs/>
      <w:color w:val="0F4761" w:themeColor="accent1" w:themeShade="BF"/>
    </w:rPr>
  </w:style>
  <w:style w:type="paragraph" w:styleId="afc">
    <w:name w:val="Intense Quote"/>
    <w:basedOn w:val="a"/>
    <w:next w:val="a"/>
    <w:link w:val="afd"/>
    <w:uiPriority w:val="30"/>
    <w:qFormat/>
    <w:pPr>
      <w:widowControl/>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szCs w:val="24"/>
      <w:lang w:eastAsia="en-US"/>
      <w14:ligatures w14:val="standardContextual"/>
    </w:rPr>
  </w:style>
  <w:style w:type="character" w:customStyle="1" w:styleId="afd">
    <w:name w:val="明显引用 字符"/>
    <w:basedOn w:val="a1"/>
    <w:link w:val="afc"/>
    <w:uiPriority w:val="30"/>
    <w:qFormat/>
    <w:rPr>
      <w:rFonts w:ascii="Times New Roman" w:hAnsi="Times New Roman"/>
      <w:i/>
      <w:iCs/>
      <w:color w:val="0F4761" w:themeColor="accent1" w:themeShade="BF"/>
      <w:lang w:val="en-US"/>
    </w:rPr>
  </w:style>
  <w:style w:type="character" w:customStyle="1" w:styleId="12">
    <w:name w:val="明显参考1"/>
    <w:basedOn w:val="a1"/>
    <w:uiPriority w:val="32"/>
    <w:qFormat/>
    <w:rPr>
      <w:b/>
      <w:bCs/>
      <w:smallCaps/>
      <w:color w:val="0F4761" w:themeColor="accent1" w:themeShade="BF"/>
      <w:spacing w:val="5"/>
    </w:rPr>
  </w:style>
  <w:style w:type="character" w:customStyle="1" w:styleId="ad">
    <w:name w:val="页眉 字符"/>
    <w:basedOn w:val="a1"/>
    <w:link w:val="ac"/>
    <w:uiPriority w:val="99"/>
    <w:qFormat/>
    <w:rPr>
      <w:rFonts w:ascii="Times New Roman" w:hAnsi="Times New Roman"/>
      <w:kern w:val="2"/>
      <w:sz w:val="18"/>
      <w:szCs w:val="18"/>
    </w:rPr>
  </w:style>
  <w:style w:type="character" w:customStyle="1" w:styleId="ab">
    <w:name w:val="页脚 字符"/>
    <w:basedOn w:val="a1"/>
    <w:link w:val="aa"/>
    <w:uiPriority w:val="99"/>
    <w:qFormat/>
    <w:rPr>
      <w:rFonts w:ascii="Times New Roman" w:hAnsi="Times New Roman"/>
      <w:kern w:val="2"/>
      <w:sz w:val="18"/>
      <w:szCs w:val="18"/>
    </w:rPr>
  </w:style>
  <w:style w:type="paragraph" w:customStyle="1" w:styleId="13">
    <w:name w:val="修订1"/>
    <w:hidden/>
    <w:uiPriority w:val="99"/>
    <w:unhideWhenUsed/>
    <w:qFormat/>
    <w:rPr>
      <w:rFonts w:ascii="Times New Roman" w:hAnsi="Times New Roman"/>
      <w:kern w:val="2"/>
      <w:sz w:val="24"/>
      <w:szCs w:val="22"/>
    </w:rPr>
  </w:style>
  <w:style w:type="character" w:customStyle="1" w:styleId="a7">
    <w:name w:val="批注文字 字符"/>
    <w:basedOn w:val="a1"/>
    <w:link w:val="a6"/>
    <w:qFormat/>
    <w:rPr>
      <w:rFonts w:ascii="Times New Roman" w:hAnsi="Times New Roman"/>
      <w:kern w:val="2"/>
      <w:sz w:val="24"/>
      <w:szCs w:val="22"/>
    </w:rPr>
  </w:style>
  <w:style w:type="character" w:customStyle="1" w:styleId="af5">
    <w:name w:val="批注主题 字符"/>
    <w:basedOn w:val="a7"/>
    <w:link w:val="af4"/>
    <w:uiPriority w:val="99"/>
    <w:semiHidden/>
    <w:qFormat/>
    <w:rPr>
      <w:rFonts w:ascii="Times New Roman" w:hAnsi="Times New Roman"/>
      <w:b/>
      <w:bCs/>
      <w:kern w:val="2"/>
      <w:sz w:val="24"/>
      <w:szCs w:val="22"/>
    </w:rPr>
  </w:style>
  <w:style w:type="paragraph" w:customStyle="1" w:styleId="21">
    <w:name w:val="修订2"/>
    <w:hidden/>
    <w:uiPriority w:val="99"/>
    <w:unhideWhenUsed/>
    <w:qFormat/>
    <w:rPr>
      <w:rFonts w:ascii="Times New Roman" w:hAnsi="Times New Roman"/>
      <w:kern w:val="2"/>
      <w:sz w:val="24"/>
      <w:szCs w:val="22"/>
    </w:rPr>
  </w:style>
  <w:style w:type="paragraph" w:customStyle="1" w:styleId="31">
    <w:name w:val="修订3"/>
    <w:hidden/>
    <w:uiPriority w:val="99"/>
    <w:unhideWhenUsed/>
    <w:qFormat/>
    <w:rPr>
      <w:rFonts w:ascii="Times New Roman" w:hAnsi="Times New Roman"/>
      <w:kern w:val="2"/>
      <w:sz w:val="24"/>
      <w:szCs w:val="22"/>
    </w:rPr>
  </w:style>
  <w:style w:type="paragraph" w:customStyle="1" w:styleId="22">
    <w:name w:val="列出段落2"/>
    <w:basedOn w:val="a"/>
    <w:qFormat/>
    <w:pPr>
      <w:spacing w:line="360" w:lineRule="auto"/>
      <w:ind w:left="1128" w:firstLineChars="200" w:firstLine="420"/>
    </w:pPr>
    <w:rPr>
      <w:rFonts w:asciiTheme="minorHAnsi" w:hAnsiTheme="minorHAnsi"/>
      <w:sz w:val="21"/>
    </w:rPr>
  </w:style>
  <w:style w:type="paragraph" w:customStyle="1" w:styleId="41">
    <w:name w:val="修订4"/>
    <w:hidden/>
    <w:uiPriority w:val="99"/>
    <w:unhideWhenUsed/>
    <w:qFormat/>
    <w:rPr>
      <w:rFonts w:ascii="Times New Roman" w:hAnsi="Times New Roman"/>
      <w:kern w:val="2"/>
      <w:sz w:val="24"/>
      <w:szCs w:val="22"/>
    </w:rPr>
  </w:style>
  <w:style w:type="paragraph" w:customStyle="1" w:styleId="51">
    <w:name w:val="修订5"/>
    <w:hidden/>
    <w:uiPriority w:val="99"/>
    <w:unhideWhenUsed/>
    <w:qFormat/>
    <w:rPr>
      <w:rFonts w:ascii="Times New Roman" w:hAnsi="Times New Roman"/>
      <w:kern w:val="2"/>
      <w:sz w:val="24"/>
      <w:szCs w:val="22"/>
    </w:rPr>
  </w:style>
  <w:style w:type="paragraph" w:customStyle="1" w:styleId="61">
    <w:name w:val="修订6"/>
    <w:hidden/>
    <w:uiPriority w:val="99"/>
    <w:unhideWhenUsed/>
    <w:qFormat/>
    <w:rPr>
      <w:rFonts w:ascii="Times New Roman" w:hAnsi="Times New Roman"/>
      <w:kern w:val="2"/>
      <w:sz w:val="24"/>
      <w:szCs w:val="22"/>
    </w:rPr>
  </w:style>
  <w:style w:type="paragraph" w:customStyle="1" w:styleId="71">
    <w:name w:val="修订7"/>
    <w:hidden/>
    <w:uiPriority w:val="99"/>
    <w:unhideWhenUsed/>
    <w:qFormat/>
    <w:rPr>
      <w:rFonts w:ascii="Times New Roman" w:hAnsi="Times New Roman"/>
      <w:kern w:val="2"/>
      <w:sz w:val="24"/>
      <w:szCs w:val="22"/>
    </w:rPr>
  </w:style>
  <w:style w:type="paragraph" w:customStyle="1" w:styleId="81">
    <w:name w:val="修订8"/>
    <w:hidden/>
    <w:uiPriority w:val="99"/>
    <w:unhideWhenUsed/>
    <w:qFormat/>
    <w:rPr>
      <w:rFonts w:ascii="Times New Roman" w:hAnsi="Times New Roman"/>
      <w:kern w:val="2"/>
      <w:sz w:val="24"/>
      <w:szCs w:val="22"/>
    </w:rPr>
  </w:style>
  <w:style w:type="paragraph" w:customStyle="1" w:styleId="91">
    <w:name w:val="修订9"/>
    <w:hidden/>
    <w:uiPriority w:val="99"/>
    <w:unhideWhenUsed/>
    <w:qFormat/>
    <w:rPr>
      <w:rFonts w:ascii="Times New Roman" w:hAnsi="Times New Roman"/>
      <w:kern w:val="2"/>
      <w:sz w:val="24"/>
      <w:szCs w:val="22"/>
    </w:rPr>
  </w:style>
  <w:style w:type="paragraph" w:customStyle="1" w:styleId="Rvision1">
    <w:name w:val="Révision1"/>
    <w:hidden/>
    <w:uiPriority w:val="99"/>
    <w:unhideWhenUsed/>
    <w:qFormat/>
    <w:rPr>
      <w:rFonts w:ascii="Times New Roman" w:hAnsi="Times New Roman"/>
      <w:kern w:val="2"/>
      <w:sz w:val="24"/>
      <w:szCs w:val="22"/>
    </w:rPr>
  </w:style>
  <w:style w:type="character" w:customStyle="1" w:styleId="af1">
    <w:name w:val="普通(网站) 字符"/>
    <w:basedOn w:val="a1"/>
    <w:link w:val="af0"/>
    <w:qFormat/>
    <w:rPr>
      <w:rFonts w:cs="Times New Roman"/>
      <w:sz w:val="24"/>
      <w:szCs w:val="24"/>
    </w:rPr>
  </w:style>
  <w:style w:type="table" w:customStyle="1" w:styleId="210">
    <w:name w:val="无格式表格 21"/>
    <w:basedOn w:val="a2"/>
    <w:uiPriority w:val="42"/>
    <w:qFormat/>
    <w:rPr>
      <w:rFonts w:ascii="Times New Roman" w:eastAsia="宋体" w:hAnsi="Times New Roman" w:cs="Times New Roman"/>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100">
    <w:name w:val="修订10"/>
    <w:hidden/>
    <w:uiPriority w:val="99"/>
    <w:unhideWhenUsed/>
    <w:qFormat/>
    <w:rPr>
      <w:rFonts w:ascii="Times New Roman" w:hAnsi="Times New Roman"/>
      <w:kern w:val="2"/>
      <w:sz w:val="24"/>
      <w:szCs w:val="22"/>
    </w:rPr>
  </w:style>
  <w:style w:type="paragraph" w:customStyle="1" w:styleId="110">
    <w:name w:val="修订11"/>
    <w:hidden/>
    <w:uiPriority w:val="99"/>
    <w:unhideWhenUsed/>
    <w:qFormat/>
    <w:rPr>
      <w:rFonts w:ascii="Times New Roman" w:hAnsi="Times New Roman"/>
      <w:kern w:val="2"/>
      <w:sz w:val="24"/>
      <w:szCs w:val="22"/>
    </w:rPr>
  </w:style>
  <w:style w:type="paragraph" w:customStyle="1" w:styleId="Rvision2">
    <w:name w:val="Révision2"/>
    <w:hidden/>
    <w:uiPriority w:val="99"/>
    <w:unhideWhenUsed/>
    <w:qFormat/>
    <w:rPr>
      <w:rFonts w:ascii="Times New Roman" w:hAnsi="Times New Roman"/>
      <w:kern w:val="2"/>
      <w:sz w:val="24"/>
      <w:szCs w:val="22"/>
    </w:rPr>
  </w:style>
  <w:style w:type="paragraph" w:customStyle="1" w:styleId="120">
    <w:name w:val="修订12"/>
    <w:hidden/>
    <w:uiPriority w:val="99"/>
    <w:unhideWhenUsed/>
    <w:qFormat/>
    <w:rPr>
      <w:rFonts w:ascii="Times New Roman" w:hAnsi="Times New Roman"/>
      <w:kern w:val="2"/>
      <w:sz w:val="24"/>
      <w:szCs w:val="22"/>
    </w:rPr>
  </w:style>
  <w:style w:type="paragraph" w:customStyle="1" w:styleId="Compact">
    <w:name w:val="Compact"/>
    <w:basedOn w:val="a4"/>
    <w:link w:val="CompactCar"/>
    <w:qFormat/>
    <w:pPr>
      <w:autoSpaceDE w:val="0"/>
      <w:autoSpaceDN w:val="0"/>
      <w:spacing w:before="36" w:after="36" w:line="240" w:lineRule="auto"/>
      <w:ind w:firstLine="0"/>
      <w:jc w:val="left"/>
    </w:pPr>
    <w:rPr>
      <w:rFonts w:eastAsia="宋体"/>
      <w:sz w:val="20"/>
      <w:szCs w:val="24"/>
      <w:lang w:val="fr-CA" w:eastAsia="fr-CA"/>
    </w:rPr>
  </w:style>
  <w:style w:type="table" w:customStyle="1" w:styleId="Table">
    <w:name w:val="Table"/>
    <w:semiHidden/>
    <w:unhideWhenUsed/>
    <w:qFormat/>
    <w:rPr>
      <w:rFonts w:ascii="Times New Roman" w:eastAsia="宋体" w:hAnsi="Times New Roman" w:cs="Times New Roman"/>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EndNoteBibliographyTitle">
    <w:name w:val="EndNote Bibliography Title"/>
    <w:basedOn w:val="a"/>
    <w:link w:val="EndNoteBibliographyTitleCar"/>
    <w:qFormat/>
    <w:pPr>
      <w:jc w:val="center"/>
    </w:pPr>
    <w:rPr>
      <w:rFonts w:cs="Times New Roman"/>
    </w:rPr>
  </w:style>
  <w:style w:type="character" w:customStyle="1" w:styleId="a5">
    <w:name w:val="正文文本 字符"/>
    <w:basedOn w:val="a1"/>
    <w:link w:val="a4"/>
    <w:qFormat/>
    <w:rPr>
      <w:rFonts w:ascii="Times New Roman" w:hAnsi="Times New Roman" w:cs="Times New Roman"/>
      <w:sz w:val="24"/>
      <w:lang w:val="en-US" w:eastAsia="en-US"/>
    </w:rPr>
  </w:style>
  <w:style w:type="character" w:customStyle="1" w:styleId="CompactCar">
    <w:name w:val="Compact Car"/>
    <w:basedOn w:val="a5"/>
    <w:link w:val="Compact"/>
    <w:qFormat/>
    <w:rPr>
      <w:rFonts w:ascii="Times New Roman" w:eastAsia="宋体" w:hAnsi="Times New Roman" w:cs="Times New Roman"/>
      <w:sz w:val="24"/>
      <w:szCs w:val="24"/>
      <w:lang w:val="en-US" w:eastAsia="en-US"/>
    </w:rPr>
  </w:style>
  <w:style w:type="character" w:customStyle="1" w:styleId="EndNoteBibliographyTitleCar">
    <w:name w:val="EndNote Bibliography Title Car"/>
    <w:basedOn w:val="CompactCar"/>
    <w:link w:val="EndNoteBibliographyTitle"/>
    <w:qFormat/>
    <w:rPr>
      <w:rFonts w:ascii="Times New Roman" w:eastAsia="宋体" w:hAnsi="Times New Roman" w:cs="Times New Roman"/>
      <w:kern w:val="2"/>
      <w:sz w:val="24"/>
      <w:szCs w:val="22"/>
      <w:lang w:val="en-US" w:eastAsia="zh-CN"/>
    </w:rPr>
  </w:style>
  <w:style w:type="paragraph" w:customStyle="1" w:styleId="EndNoteBibliography">
    <w:name w:val="EndNote Bibliography"/>
    <w:basedOn w:val="a"/>
    <w:link w:val="EndNoteBibliographyCar"/>
    <w:qFormat/>
    <w:pPr>
      <w:spacing w:line="240" w:lineRule="auto"/>
    </w:pPr>
    <w:rPr>
      <w:rFonts w:cs="Times New Roman"/>
    </w:rPr>
  </w:style>
  <w:style w:type="character" w:customStyle="1" w:styleId="EndNoteBibliographyCar">
    <w:name w:val="EndNote Bibliography Car"/>
    <w:basedOn w:val="CompactCar"/>
    <w:link w:val="EndNoteBibliography"/>
    <w:qFormat/>
    <w:rPr>
      <w:rFonts w:ascii="Times New Roman" w:eastAsia="宋体" w:hAnsi="Times New Roman" w:cs="Times New Roman"/>
      <w:kern w:val="2"/>
      <w:sz w:val="24"/>
      <w:szCs w:val="22"/>
      <w:lang w:val="en-US" w:eastAsia="zh-CN"/>
    </w:rPr>
  </w:style>
  <w:style w:type="character" w:customStyle="1" w:styleId="a9">
    <w:name w:val="批注框文本 字符"/>
    <w:basedOn w:val="a1"/>
    <w:link w:val="a8"/>
    <w:uiPriority w:val="99"/>
    <w:semiHidden/>
    <w:qFormat/>
    <w:rPr>
      <w:rFonts w:ascii="Segoe UI" w:hAnsi="Segoe UI" w:cs="Segoe UI"/>
      <w:kern w:val="2"/>
      <w:sz w:val="18"/>
      <w:szCs w:val="18"/>
      <w:lang w:val="en-US" w:eastAsia="zh-CN"/>
    </w:rPr>
  </w:style>
  <w:style w:type="paragraph" w:customStyle="1" w:styleId="130">
    <w:name w:val="修订13"/>
    <w:hidden/>
    <w:uiPriority w:val="99"/>
    <w:unhideWhenUsed/>
    <w:rPr>
      <w:rFonts w:ascii="Times New Roman" w:hAnsi="Times New Roman"/>
      <w:kern w:val="2"/>
      <w:sz w:val="24"/>
      <w:szCs w:val="22"/>
    </w:rPr>
  </w:style>
  <w:style w:type="paragraph" w:customStyle="1" w:styleId="14">
    <w:name w:val="修订14"/>
    <w:hidden/>
    <w:uiPriority w:val="99"/>
    <w:unhideWhenUsed/>
    <w:rPr>
      <w:rFonts w:ascii="Times New Roman" w:hAnsi="Times New Roman"/>
      <w:kern w:val="2"/>
      <w:sz w:val="24"/>
      <w:szCs w:val="22"/>
    </w:rPr>
  </w:style>
  <w:style w:type="paragraph" w:customStyle="1" w:styleId="15">
    <w:name w:val="修订15"/>
    <w:hidden/>
    <w:uiPriority w:val="99"/>
    <w:unhideWhenUsed/>
    <w:rPr>
      <w:rFonts w:ascii="Times New Roman" w:hAnsi="Times New Roman"/>
      <w:kern w:val="2"/>
      <w:sz w:val="24"/>
      <w:szCs w:val="22"/>
    </w:rPr>
  </w:style>
  <w:style w:type="paragraph" w:styleId="afe">
    <w:name w:val="Revision"/>
    <w:hidden/>
    <w:uiPriority w:val="99"/>
    <w:semiHidden/>
    <w:rsid w:val="00DD0FB9"/>
    <w:rPr>
      <w:rFonts w:ascii="Times New Roman" w:hAnsi="Times New Roman"/>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tiff"/><Relationship Id="rId18" Type="http://schemas.openxmlformats.org/officeDocument/2006/relationships/image" Target="media/image7.tif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tiff"/><Relationship Id="rId17" Type="http://schemas.openxmlformats.org/officeDocument/2006/relationships/image" Target="media/image6.tiff"/><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tiff"/><Relationship Id="rId10" Type="http://schemas.openxmlformats.org/officeDocument/2006/relationships/hyperlink" Target="mailto:lif@mab-works.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huangdehui@gmail.com" TargetMode="External"/><Relationship Id="rId14" Type="http://schemas.openxmlformats.org/officeDocument/2006/relationships/image" Target="media/image3.tiff"/></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A4EB2DC-A5ED-4DC5-A395-6661522ED26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29</Pages>
  <Words>3934</Words>
  <Characters>22430</Characters>
  <Application>Microsoft Office Word</Application>
  <DocSecurity>0</DocSecurity>
  <Lines>186</Lines>
  <Paragraphs>52</Paragraphs>
  <ScaleCrop>false</ScaleCrop>
  <Company/>
  <LinksUpToDate>false</LinksUpToDate>
  <CharactersWithSpaces>26312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dc:creator>
  <cp:lastModifiedBy>刘息芳</cp:lastModifiedBy>
  <cp:revision>129</cp:revision>
  <dcterms:created xsi:type="dcterms:W3CDTF">2026-03-04T13:15:00Z</dcterms:created>
  <dcterms:modified xsi:type="dcterms:W3CDTF">2026-05-15T09:13:00Z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eyJoZGlkIjoiNjE5OWI3MWE5YTQ4ZDZlZWNjNTU3MjU4NmViYWMxOWQiLCJ1c2VySWQiOiI3NjM0NzU0MjAifQ==</vt:lpwstr>
  </property>
  <property fmtid="{D5CDD505-2E9C-101B-9397-08002B2CF9AE}" pid="3" name="KSOProductBuildVer">
    <vt:lpwstr>2052-12.1.0.25225</vt:lpwstr>
  </property>
  <property fmtid="{D5CDD505-2E9C-101B-9397-08002B2CF9AE}" pid="4" name="ICV">
    <vt:lpwstr>C137FC2C3C82484B85F7EF2DA01D15E7_13</vt:lpwstr>
  </property>
</Properties>
</file>