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22C" w:rsidRDefault="00D3122C" w:rsidP="00D3122C">
      <w:pPr>
        <w:spacing w:line="480" w:lineRule="auto"/>
        <w:jc w:val="both"/>
        <w:rPr>
          <w:b/>
        </w:rPr>
      </w:pPr>
      <w:r>
        <w:rPr>
          <w:b/>
        </w:rPr>
        <w:t>Supplementary Appendices</w:t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  <w:b/>
        </w:rPr>
        <w:t>Appendix 1.</w:t>
      </w:r>
      <w:r>
        <w:rPr>
          <w:rFonts w:cs="Arial"/>
        </w:rPr>
        <w:t xml:space="preserve"> International Classification of Diseases, Ninth Edition, Clinical Modification codes for identifying pregnancy-related hospitalization</w:t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630-639.9</w:t>
      </w:r>
      <w:r>
        <w:rPr>
          <w:rFonts w:cs="Arial"/>
        </w:rPr>
        <w:tab/>
        <w:t>Pregnancy with abortive outcome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640-648.9</w:t>
      </w:r>
      <w:r>
        <w:rPr>
          <w:rFonts w:cs="Arial"/>
        </w:rPr>
        <w:tab/>
        <w:t>Complications mainly related to pregnancy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650-659.9</w:t>
      </w:r>
      <w:r>
        <w:rPr>
          <w:rFonts w:cs="Arial"/>
        </w:rPr>
        <w:tab/>
        <w:t>Normal delivery and other indications for care in pregnancy labor and delivery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660-666.9</w:t>
      </w:r>
      <w:r>
        <w:rPr>
          <w:rFonts w:cs="Arial"/>
        </w:rPr>
        <w:tab/>
        <w:t>Complications occurring during mainly the course of labor and delivery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670-676.9</w:t>
      </w:r>
      <w:r>
        <w:rPr>
          <w:rFonts w:cs="Arial"/>
        </w:rPr>
        <w:tab/>
        <w:t xml:space="preserve">Complications of the </w:t>
      </w:r>
      <w:proofErr w:type="spellStart"/>
      <w:r>
        <w:rPr>
          <w:rFonts w:cs="Arial"/>
        </w:rPr>
        <w:t>Puerperium</w:t>
      </w:r>
      <w:proofErr w:type="spellEnd"/>
      <w:r>
        <w:rPr>
          <w:rFonts w:cs="Arial"/>
        </w:rPr>
        <w:tab/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</w:rPr>
        <w:t>V27.0-V27.9</w:t>
      </w:r>
      <w:r>
        <w:rPr>
          <w:rFonts w:cs="Arial"/>
        </w:rPr>
        <w:tab/>
        <w:t>Outcome of delivery</w:t>
      </w:r>
      <w:r>
        <w:rPr>
          <w:rFonts w:cs="Arial"/>
        </w:rPr>
        <w:tab/>
      </w:r>
    </w:p>
    <w:p w:rsidR="00D3122C" w:rsidRDefault="00D3122C" w:rsidP="00D3122C">
      <w:pPr>
        <w:pBdr>
          <w:top w:val="single" w:sz="4" w:space="1" w:color="auto"/>
        </w:pBd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Where 3 or 4-digit codes are listed, all associated </w:t>
      </w:r>
      <w:proofErr w:type="spellStart"/>
      <w:r>
        <w:rPr>
          <w:rFonts w:cs="Arial"/>
        </w:rPr>
        <w:t>subcodes</w:t>
      </w:r>
      <w:proofErr w:type="spellEnd"/>
      <w:r>
        <w:rPr>
          <w:rFonts w:cs="Arial"/>
        </w:rPr>
        <w:t xml:space="preserve"> are included.</w:t>
      </w:r>
    </w:p>
    <w:p w:rsidR="00D3122C" w:rsidRDefault="00D3122C" w:rsidP="00D3122C">
      <w:pPr>
        <w:spacing w:line="480" w:lineRule="auto"/>
        <w:rPr>
          <w:rFonts w:cs="Arial"/>
          <w:b/>
        </w:rPr>
      </w:pPr>
    </w:p>
    <w:p w:rsidR="00D3122C" w:rsidRDefault="00D3122C" w:rsidP="00D3122C">
      <w:pPr>
        <w:spacing w:line="480" w:lineRule="auto"/>
        <w:rPr>
          <w:b/>
          <w:u w:val="single"/>
        </w:rPr>
      </w:pPr>
      <w:r>
        <w:rPr>
          <w:b/>
          <w:u w:val="single"/>
        </w:rPr>
        <w:t xml:space="preserve">Appendix 2. </w:t>
      </w:r>
      <w:r>
        <w:rPr>
          <w:rFonts w:cs="Arial"/>
        </w:rPr>
        <w:t xml:space="preserve">International Classification of Diseases, Ninth Edition, Clinical Modification codes for </w:t>
      </w:r>
      <w:r>
        <w:t>specific sites of infection</w:t>
      </w:r>
    </w:p>
    <w:p w:rsidR="00D3122C" w:rsidRDefault="00D3122C" w:rsidP="00D3122C">
      <w:pPr>
        <w:spacing w:line="480" w:lineRule="auto"/>
      </w:pPr>
      <w:r>
        <w:rPr>
          <w:u w:val="single"/>
        </w:rPr>
        <w:t>Respiratory</w:t>
      </w:r>
      <w:r>
        <w:t xml:space="preserve"> 481-486, 510, 513</w:t>
      </w:r>
    </w:p>
    <w:p w:rsidR="00D3122C" w:rsidRDefault="00D3122C" w:rsidP="00D3122C">
      <w:pPr>
        <w:spacing w:line="480" w:lineRule="auto"/>
      </w:pPr>
      <w:r>
        <w:rPr>
          <w:u w:val="single"/>
        </w:rPr>
        <w:t>Blood</w:t>
      </w:r>
      <w:r>
        <w:t xml:space="preserve"> 790.7, 572.1, 673.3</w:t>
      </w:r>
    </w:p>
    <w:p w:rsidR="00D3122C" w:rsidRDefault="00D3122C" w:rsidP="00D3122C">
      <w:pPr>
        <w:spacing w:line="480" w:lineRule="auto"/>
      </w:pPr>
      <w:r>
        <w:rPr>
          <w:u w:val="single"/>
        </w:rPr>
        <w:t>Endocarditis</w:t>
      </w:r>
      <w:r>
        <w:t xml:space="preserve"> 112.81, 421</w:t>
      </w:r>
    </w:p>
    <w:p w:rsidR="00D3122C" w:rsidRDefault="00D3122C" w:rsidP="00D3122C">
      <w:pPr>
        <w:spacing w:line="480" w:lineRule="auto"/>
      </w:pPr>
      <w:r>
        <w:rPr>
          <w:u w:val="single"/>
        </w:rPr>
        <w:t>Central nervous system</w:t>
      </w:r>
      <w:r>
        <w:t xml:space="preserve"> 320, 322, 324, 325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u w:val="single"/>
        </w:rPr>
        <w:lastRenderedPageBreak/>
        <w:t>Gastrointestinal/abdominal</w:t>
      </w:r>
      <w:r>
        <w:t xml:space="preserve"> 003, 008, 540-542, 530.4, 530.86, 562.01, 562.03, 562.11, 562.13, 566, 567, 569.5, 569.83, 572.0, 575.0, </w:t>
      </w:r>
      <w:r>
        <w:rPr>
          <w:rFonts w:cs="Arial"/>
        </w:rPr>
        <w:t>531.1, 531.2, 531.5, 531.6 532.1, 532.2, 532.5, 532.6, 533.1, 533.2, 533.5, 533.6, 534.1, 534.2, 534.5, 534.6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  <w:u w:val="single"/>
        </w:rPr>
        <w:t>Central nervous system</w:t>
      </w:r>
      <w:r>
        <w:rPr>
          <w:rFonts w:cs="Arial"/>
        </w:rPr>
        <w:t xml:space="preserve"> 013, 036.0, 036.1, 045-049, 063, 064, 094, 098.82, 112.83, 115.01, 115.11, 115.91, 320-324, 326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  <w:u w:val="single"/>
        </w:rPr>
        <w:t>Urinary</w:t>
      </w:r>
      <w:r>
        <w:rPr>
          <w:rFonts w:cs="Arial"/>
        </w:rPr>
        <w:t xml:space="preserve"> 590, 599.0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  <w:u w:val="single"/>
        </w:rPr>
        <w:t>Genital</w:t>
      </w:r>
      <w:r>
        <w:rPr>
          <w:rFonts w:cs="Arial"/>
        </w:rPr>
        <w:t xml:space="preserve"> 615, 634.0, 635.0, 636.0, 637.0, 638.0, 639.0, 646.6   658.4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  <w:u w:val="single"/>
        </w:rPr>
        <w:t>Bone and joint</w:t>
      </w:r>
      <w:r>
        <w:rPr>
          <w:rFonts w:cs="Arial"/>
        </w:rPr>
        <w:t xml:space="preserve"> 711.0, 730</w:t>
      </w:r>
    </w:p>
    <w:p w:rsidR="00D3122C" w:rsidRDefault="00D3122C" w:rsidP="00D3122C">
      <w:pPr>
        <w:spacing w:line="480" w:lineRule="auto"/>
        <w:jc w:val="both"/>
        <w:rPr>
          <w:b/>
        </w:rPr>
      </w:pPr>
    </w:p>
    <w:p w:rsidR="00D3122C" w:rsidRDefault="00D3122C" w:rsidP="00D3122C">
      <w:pPr>
        <w:spacing w:line="480" w:lineRule="auto"/>
        <w:jc w:val="both"/>
      </w:pPr>
      <w:r>
        <w:rPr>
          <w:b/>
        </w:rPr>
        <w:t>Appendix 3.</w:t>
      </w:r>
      <w:r>
        <w:t xml:space="preserve"> </w:t>
      </w:r>
      <w:r>
        <w:rPr>
          <w:rFonts w:cs="Arial"/>
        </w:rPr>
        <w:t xml:space="preserve">International Classification of Diseases, Ninth Edition, Clinical Modification codes for </w:t>
      </w:r>
      <w:r>
        <w:t>specific pathogens</w:t>
      </w:r>
    </w:p>
    <w:p w:rsidR="00D3122C" w:rsidRDefault="00D3122C" w:rsidP="00D3122C">
      <w:pPr>
        <w:spacing w:line="480" w:lineRule="auto"/>
        <w:rPr>
          <w:u w:val="single"/>
        </w:rPr>
      </w:pPr>
      <w:r>
        <w:rPr>
          <w:u w:val="single"/>
        </w:rPr>
        <w:t>Gram-positive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038.0, 041.0X streptococcus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038.1, 041.1X staphylococcus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038.2, 041.2 pneumococcus</w:t>
      </w:r>
    </w:p>
    <w:p w:rsidR="00D3122C" w:rsidRDefault="00D3122C" w:rsidP="00D3122C">
      <w:pPr>
        <w:spacing w:line="480" w:lineRule="auto"/>
        <w:rPr>
          <w:rFonts w:cs="Arial"/>
          <w:u w:val="single"/>
        </w:rPr>
      </w:pPr>
      <w:r>
        <w:rPr>
          <w:rFonts w:cs="Arial"/>
          <w:u w:val="single"/>
        </w:rPr>
        <w:t>Gram-negative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038.40 gram negative, unspecified</w:t>
      </w:r>
    </w:p>
    <w:p w:rsidR="00D3122C" w:rsidRPr="003E3966" w:rsidRDefault="00D3122C" w:rsidP="00D3122C">
      <w:pPr>
        <w:spacing w:line="480" w:lineRule="auto"/>
        <w:rPr>
          <w:rFonts w:cs="Arial"/>
          <w:lang w:val="it-IT"/>
        </w:rPr>
      </w:pPr>
      <w:r w:rsidRPr="003E3966">
        <w:rPr>
          <w:rFonts w:cs="Arial"/>
          <w:lang w:val="it-IT"/>
        </w:rPr>
        <w:t>038.41, 041.5 H. influenza</w:t>
      </w:r>
    </w:p>
    <w:p w:rsidR="00D3122C" w:rsidRPr="003E3966" w:rsidRDefault="00D3122C" w:rsidP="00D3122C">
      <w:pPr>
        <w:spacing w:line="480" w:lineRule="auto"/>
        <w:rPr>
          <w:rFonts w:cs="Arial"/>
          <w:lang w:val="it-IT"/>
        </w:rPr>
      </w:pPr>
      <w:r w:rsidRPr="003E3966">
        <w:rPr>
          <w:rFonts w:cs="Arial"/>
          <w:lang w:val="it-IT"/>
        </w:rPr>
        <w:t>038.42, 008, 041.4X  E. coli</w:t>
      </w:r>
    </w:p>
    <w:p w:rsidR="00D3122C" w:rsidRPr="003E3966" w:rsidRDefault="00D3122C" w:rsidP="00D3122C">
      <w:pPr>
        <w:spacing w:line="480" w:lineRule="auto"/>
        <w:rPr>
          <w:rFonts w:cs="Arial"/>
          <w:lang w:val="it-IT"/>
        </w:rPr>
      </w:pPr>
      <w:r w:rsidRPr="003E3966">
        <w:rPr>
          <w:rFonts w:cs="Arial"/>
          <w:lang w:val="it-IT"/>
        </w:rPr>
        <w:lastRenderedPageBreak/>
        <w:t xml:space="preserve">038.43, 041.7 </w:t>
      </w:r>
      <w:proofErr w:type="spellStart"/>
      <w:r w:rsidRPr="003E3966">
        <w:rPr>
          <w:rFonts w:cs="Arial"/>
          <w:lang w:val="it-IT"/>
        </w:rPr>
        <w:t>pseudomonas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041.6 Proteus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038.44 </w:t>
      </w:r>
      <w:proofErr w:type="spellStart"/>
      <w:r>
        <w:rPr>
          <w:rFonts w:cs="Arial"/>
        </w:rPr>
        <w:t>serratia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038.49 other gram negatives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003 salmonella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004 </w:t>
      </w:r>
      <w:proofErr w:type="spellStart"/>
      <w:r>
        <w:rPr>
          <w:rFonts w:cs="Arial"/>
        </w:rPr>
        <w:t>shigella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020 plague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022.3 anthrax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098 gonococcus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036 </w:t>
      </w:r>
      <w:proofErr w:type="spellStart"/>
      <w:r>
        <w:rPr>
          <w:rFonts w:cs="Arial"/>
        </w:rPr>
        <w:t>meningococcus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041.85 other gram-negative</w:t>
      </w:r>
    </w:p>
    <w:p w:rsidR="00D3122C" w:rsidRPr="003E3966" w:rsidRDefault="00D3122C" w:rsidP="00D3122C">
      <w:pPr>
        <w:spacing w:line="480" w:lineRule="auto"/>
        <w:rPr>
          <w:rFonts w:cs="Arial"/>
          <w:u w:val="single"/>
          <w:lang w:val="fr-FR"/>
        </w:rPr>
      </w:pPr>
      <w:proofErr w:type="spellStart"/>
      <w:r w:rsidRPr="003E3966">
        <w:rPr>
          <w:rFonts w:cs="Arial"/>
          <w:u w:val="single"/>
          <w:lang w:val="fr-FR"/>
        </w:rPr>
        <w:t>Anaerobes</w:t>
      </w:r>
      <w:proofErr w:type="spellEnd"/>
    </w:p>
    <w:p w:rsidR="00D3122C" w:rsidRPr="003E3966" w:rsidRDefault="00D3122C" w:rsidP="00D3122C">
      <w:pPr>
        <w:spacing w:line="480" w:lineRule="auto"/>
        <w:rPr>
          <w:rFonts w:cs="Arial"/>
          <w:lang w:val="fr-FR"/>
        </w:rPr>
      </w:pPr>
      <w:r w:rsidRPr="003E3966">
        <w:rPr>
          <w:rFonts w:cs="Arial"/>
          <w:lang w:val="fr-FR"/>
        </w:rPr>
        <w:t xml:space="preserve">038.3 </w:t>
      </w:r>
      <w:proofErr w:type="spellStart"/>
      <w:r w:rsidRPr="003E3966">
        <w:rPr>
          <w:rFonts w:cs="Arial"/>
          <w:lang w:val="fr-FR"/>
        </w:rPr>
        <w:t>anaerobes</w:t>
      </w:r>
      <w:proofErr w:type="spellEnd"/>
    </w:p>
    <w:p w:rsidR="00D3122C" w:rsidRPr="003E3966" w:rsidRDefault="00D3122C" w:rsidP="00D3122C">
      <w:pPr>
        <w:spacing w:line="480" w:lineRule="auto"/>
        <w:rPr>
          <w:rFonts w:cs="Arial"/>
          <w:lang w:val="fr-FR"/>
        </w:rPr>
      </w:pPr>
      <w:r w:rsidRPr="003E3966">
        <w:rPr>
          <w:rFonts w:cs="Arial"/>
          <w:lang w:val="fr-FR"/>
        </w:rPr>
        <w:t xml:space="preserve">041.82 </w:t>
      </w:r>
      <w:proofErr w:type="spellStart"/>
      <w:r w:rsidRPr="003E3966">
        <w:rPr>
          <w:rFonts w:cs="Arial"/>
          <w:lang w:val="fr-FR"/>
        </w:rPr>
        <w:t>Bacteroides</w:t>
      </w:r>
      <w:proofErr w:type="spellEnd"/>
      <w:r w:rsidRPr="003E3966">
        <w:rPr>
          <w:rFonts w:cs="Arial"/>
          <w:lang w:val="fr-FR"/>
        </w:rPr>
        <w:t xml:space="preserve"> </w:t>
      </w:r>
      <w:proofErr w:type="spellStart"/>
      <w:r w:rsidRPr="003E3966">
        <w:rPr>
          <w:rFonts w:cs="Arial"/>
          <w:lang w:val="fr-FR"/>
        </w:rPr>
        <w:t>fragilis</w:t>
      </w:r>
      <w:proofErr w:type="spellEnd"/>
    </w:p>
    <w:p w:rsidR="00D3122C" w:rsidRPr="003E3966" w:rsidRDefault="00D3122C" w:rsidP="00D3122C">
      <w:pPr>
        <w:spacing w:line="480" w:lineRule="auto"/>
        <w:rPr>
          <w:rFonts w:cs="Arial"/>
          <w:lang w:val="fr-FR"/>
        </w:rPr>
      </w:pPr>
      <w:r w:rsidRPr="003E3966">
        <w:rPr>
          <w:rFonts w:cs="Arial"/>
          <w:lang w:val="fr-FR"/>
        </w:rPr>
        <w:t xml:space="preserve">041.83 Clostridium </w:t>
      </w:r>
      <w:proofErr w:type="spellStart"/>
      <w:r w:rsidRPr="003E3966">
        <w:rPr>
          <w:rFonts w:cs="Arial"/>
          <w:lang w:val="fr-FR"/>
        </w:rPr>
        <w:t>prefringens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041.84 Other anaerobes</w:t>
      </w:r>
    </w:p>
    <w:p w:rsidR="00D3122C" w:rsidRDefault="00D3122C" w:rsidP="00D3122C">
      <w:pPr>
        <w:spacing w:line="480" w:lineRule="auto"/>
        <w:rPr>
          <w:rFonts w:cs="Arial"/>
          <w:u w:val="single"/>
        </w:rPr>
      </w:pPr>
      <w:r>
        <w:rPr>
          <w:rFonts w:cs="Arial"/>
          <w:u w:val="single"/>
        </w:rPr>
        <w:t>Other bacteria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041.81 mycoplasma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lastRenderedPageBreak/>
        <w:t>041.89 Other specified bacteria</w:t>
      </w:r>
    </w:p>
    <w:p w:rsidR="00D3122C" w:rsidRDefault="00D3122C" w:rsidP="00D3122C">
      <w:pPr>
        <w:spacing w:line="480" w:lineRule="auto"/>
        <w:rPr>
          <w:rFonts w:cs="Arial"/>
          <w:u w:val="single"/>
        </w:rPr>
      </w:pPr>
      <w:r>
        <w:rPr>
          <w:rFonts w:cs="Arial"/>
        </w:rPr>
        <w:t>041.9 Bacterial infection, unspecified</w:t>
      </w:r>
    </w:p>
    <w:p w:rsidR="00D3122C" w:rsidRDefault="00D3122C" w:rsidP="00D3122C">
      <w:pPr>
        <w:spacing w:line="480" w:lineRule="auto"/>
        <w:rPr>
          <w:rFonts w:cs="Arial"/>
          <w:u w:val="single"/>
        </w:rPr>
      </w:pPr>
      <w:r>
        <w:rPr>
          <w:rFonts w:cs="Arial"/>
          <w:u w:val="single"/>
        </w:rPr>
        <w:t>Fungal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112.5, 112.81 candida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114 </w:t>
      </w:r>
      <w:proofErr w:type="spellStart"/>
      <w:r>
        <w:rPr>
          <w:rFonts w:cs="Arial"/>
        </w:rPr>
        <w:t>coccidiodomycosis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115 </w:t>
      </w:r>
      <w:proofErr w:type="spellStart"/>
      <w:r>
        <w:rPr>
          <w:rFonts w:cs="Arial"/>
        </w:rPr>
        <w:t>histopalsmosis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116 </w:t>
      </w:r>
      <w:proofErr w:type="spellStart"/>
      <w:r>
        <w:rPr>
          <w:rFonts w:cs="Arial"/>
        </w:rPr>
        <w:t>blastomycosis</w:t>
      </w:r>
      <w:proofErr w:type="spellEnd"/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117 other mycoses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 xml:space="preserve">321.0, 321.1 </w:t>
      </w:r>
      <w:proofErr w:type="spellStart"/>
      <w:r>
        <w:rPr>
          <w:rFonts w:cs="Arial"/>
        </w:rPr>
        <w:t>cryptococcus</w:t>
      </w:r>
      <w:proofErr w:type="spellEnd"/>
    </w:p>
    <w:p w:rsidR="00D3122C" w:rsidRDefault="00D3122C" w:rsidP="00D3122C">
      <w:pPr>
        <w:pBdr>
          <w:top w:val="single" w:sz="4" w:space="1" w:color="auto"/>
        </w:pBd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Where 3 or 4-digit codes are listed, all associated </w:t>
      </w:r>
      <w:proofErr w:type="spellStart"/>
      <w:r>
        <w:rPr>
          <w:rFonts w:cs="Arial"/>
        </w:rPr>
        <w:t>subcodes</w:t>
      </w:r>
      <w:proofErr w:type="spellEnd"/>
      <w:r>
        <w:rPr>
          <w:rFonts w:cs="Arial"/>
        </w:rPr>
        <w:t xml:space="preserve"> are included. </w:t>
      </w:r>
    </w:p>
    <w:p w:rsidR="00D3122C" w:rsidRDefault="00D3122C" w:rsidP="00D3122C">
      <w:pPr>
        <w:spacing w:line="480" w:lineRule="auto"/>
        <w:rPr>
          <w:rFonts w:cs="Arial"/>
          <w:b/>
        </w:rPr>
      </w:pP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  <w:b/>
        </w:rPr>
        <w:t>Appendix 4.</w:t>
      </w:r>
      <w:r>
        <w:rPr>
          <w:rFonts w:cs="Arial"/>
        </w:rPr>
        <w:t xml:space="preserve"> </w:t>
      </w:r>
      <w:bookmarkStart w:id="0" w:name="OLE_LINK2"/>
      <w:bookmarkStart w:id="1" w:name="OLE_LINK1"/>
      <w:r>
        <w:rPr>
          <w:rFonts w:cs="Arial"/>
        </w:rPr>
        <w:t xml:space="preserve">International Classification of Diseases, Ninth Edition, Clinical Modification codes for classification of </w:t>
      </w:r>
      <w:bookmarkEnd w:id="0"/>
      <w:bookmarkEnd w:id="1"/>
      <w:r>
        <w:rPr>
          <w:rFonts w:cs="Arial"/>
        </w:rPr>
        <w:t xml:space="preserve">organ dysfunction </w:t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Respiratory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518.5, 518.81, 518.82, 518.84,  518.85, 786.09, 799.1, 96.7-96.72</w:t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Cardiovascular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458.8,</w:t>
      </w:r>
      <w:r>
        <w:rPr>
          <w:rFonts w:cs="Arial"/>
        </w:rPr>
        <w:tab/>
        <w:t xml:space="preserve">458.9, 634.5, 635.5, 636.5, 637.5, 638.5, 639.5, 669.1, 785.5, 785.50, 785.51, 785.59   </w:t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Renal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lastRenderedPageBreak/>
        <w:t>584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Hepatic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570, 572.2, 573.4</w:t>
      </w:r>
      <w:r>
        <w:rPr>
          <w:rFonts w:cs="Arial"/>
        </w:rPr>
        <w:tab/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Hematologic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286.6, 286.7, 286.9, 287.4, 287.5</w:t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Metabolic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276.2</w:t>
      </w:r>
      <w:r>
        <w:rPr>
          <w:rFonts w:cs="Arial"/>
        </w:rPr>
        <w:tab/>
      </w:r>
    </w:p>
    <w:p w:rsidR="00D3122C" w:rsidRDefault="00D3122C" w:rsidP="00D3122C">
      <w:pPr>
        <w:spacing w:line="480" w:lineRule="auto"/>
        <w:outlineLvl w:val="0"/>
        <w:rPr>
          <w:rFonts w:cs="Arial"/>
          <w:u w:val="single"/>
        </w:rPr>
      </w:pPr>
      <w:r>
        <w:rPr>
          <w:rFonts w:cs="Arial"/>
          <w:u w:val="single"/>
        </w:rPr>
        <w:t>Neurologic</w:t>
      </w:r>
    </w:p>
    <w:p w:rsidR="00D3122C" w:rsidRDefault="00D3122C" w:rsidP="00D3122C">
      <w:pPr>
        <w:spacing w:line="480" w:lineRule="auto"/>
        <w:rPr>
          <w:rFonts w:cs="Arial"/>
        </w:rPr>
      </w:pPr>
      <w:r>
        <w:rPr>
          <w:rFonts w:cs="Arial"/>
        </w:rPr>
        <w:t>293.0, 293.1,</w:t>
      </w:r>
      <w:r>
        <w:rPr>
          <w:rFonts w:cs="Arial"/>
        </w:rPr>
        <w:tab/>
        <w:t>348.1, 348.3, 780.01, 780.09</w:t>
      </w:r>
    </w:p>
    <w:p w:rsidR="00D3122C" w:rsidRDefault="00D3122C" w:rsidP="00D3122C">
      <w:pPr>
        <w:pBdr>
          <w:top w:val="single" w:sz="4" w:space="1" w:color="auto"/>
        </w:pBdr>
        <w:spacing w:line="480" w:lineRule="auto"/>
        <w:jc w:val="both"/>
        <w:rPr>
          <w:rFonts w:cs="Arial"/>
        </w:rPr>
      </w:pPr>
      <w:r>
        <w:rPr>
          <w:rFonts w:cs="Arial"/>
        </w:rPr>
        <w:t xml:space="preserve">Where 3 or 4-digit codes are listed, all associated </w:t>
      </w:r>
      <w:proofErr w:type="spellStart"/>
      <w:r>
        <w:rPr>
          <w:rFonts w:cs="Arial"/>
        </w:rPr>
        <w:t>subcodes</w:t>
      </w:r>
      <w:proofErr w:type="spellEnd"/>
      <w:r>
        <w:rPr>
          <w:rFonts w:cs="Arial"/>
        </w:rPr>
        <w:t xml:space="preserve"> are included. </w:t>
      </w:r>
    </w:p>
    <w:p w:rsidR="00D3122C" w:rsidRDefault="00D3122C" w:rsidP="00D3122C">
      <w:pPr>
        <w:spacing w:line="480" w:lineRule="auto"/>
        <w:rPr>
          <w:rFonts w:cs="Arial"/>
          <w:b/>
        </w:rPr>
      </w:pPr>
    </w:p>
    <w:p w:rsidR="00D3122C" w:rsidRDefault="00D3122C" w:rsidP="00D3122C">
      <w:pPr>
        <w:spacing w:line="480" w:lineRule="auto"/>
      </w:pPr>
      <w:r>
        <w:rPr>
          <w:rFonts w:cs="Arial"/>
          <w:b/>
        </w:rPr>
        <w:t xml:space="preserve">Appendix 5.  </w:t>
      </w:r>
      <w:r>
        <w:rPr>
          <w:rFonts w:cs="Arial"/>
        </w:rPr>
        <w:t xml:space="preserve">International Classification of Diseases, Ninth Edition, Clinical Modification codes for </w:t>
      </w:r>
      <w:r>
        <w:t>selected life support interventions</w:t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  <w:u w:val="single"/>
        </w:rPr>
        <w:t>Mechanical ventilation</w:t>
      </w:r>
      <w:r>
        <w:rPr>
          <w:rFonts w:cs="Arial"/>
        </w:rPr>
        <w:t xml:space="preserve"> 96.71, 96.72</w:t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  <w:u w:val="single"/>
        </w:rPr>
        <w:t>Central venous catheterization</w:t>
      </w:r>
      <w:r>
        <w:rPr>
          <w:rFonts w:cs="Arial"/>
        </w:rPr>
        <w:t xml:space="preserve"> 38.93, 38.97</w:t>
      </w:r>
    </w:p>
    <w:p w:rsidR="00D3122C" w:rsidRDefault="00D3122C" w:rsidP="00D3122C">
      <w:pPr>
        <w:spacing w:line="480" w:lineRule="auto"/>
        <w:jc w:val="both"/>
        <w:rPr>
          <w:rFonts w:cs="Arial"/>
        </w:rPr>
      </w:pPr>
      <w:r>
        <w:rPr>
          <w:rFonts w:cs="Arial"/>
          <w:u w:val="single"/>
        </w:rPr>
        <w:t>Hemodialysis</w:t>
      </w:r>
      <w:r>
        <w:rPr>
          <w:rFonts w:cs="Arial"/>
        </w:rPr>
        <w:t xml:space="preserve"> 38.95 (combined with a diagnosis of acute renal failure, absence of diagnoses of chronic renal disease) </w:t>
      </w:r>
    </w:p>
    <w:p w:rsidR="00910016" w:rsidRPr="00D3122C" w:rsidRDefault="00D3122C" w:rsidP="00D3122C">
      <w:pPr>
        <w:spacing w:line="480" w:lineRule="auto"/>
        <w:jc w:val="both"/>
        <w:rPr>
          <w:b/>
        </w:rPr>
      </w:pPr>
      <w:r>
        <w:rPr>
          <w:rFonts w:cs="Arial"/>
          <w:u w:val="single"/>
        </w:rPr>
        <w:t>Tracheostomy</w:t>
      </w:r>
      <w:r>
        <w:rPr>
          <w:rFonts w:cs="Arial"/>
        </w:rPr>
        <w:t xml:space="preserve"> V44.0</w:t>
      </w:r>
      <w:bookmarkStart w:id="2" w:name="_GoBack"/>
      <w:bookmarkEnd w:id="2"/>
    </w:p>
    <w:sectPr w:rsidR="00910016" w:rsidRPr="00D3122C" w:rsidSect="00343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2C"/>
    <w:rsid w:val="00910016"/>
    <w:rsid w:val="00D3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Brockley, Joanna, Springer Healthcare UK</dc:creator>
  <cp:lastModifiedBy>Brockley, Joanna, Springer Healthcare UK</cp:lastModifiedBy>
  <cp:revision>1</cp:revision>
  <dcterms:created xsi:type="dcterms:W3CDTF">2014-07-17T09:10:00Z</dcterms:created>
  <dcterms:modified xsi:type="dcterms:W3CDTF">2014-07-17T09:11:00Z</dcterms:modified>
</cp:coreProperties>
</file>