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03F38" w14:textId="68923E74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Supplementary </w:t>
      </w:r>
      <w:r w:rsidRPr="001A6C29">
        <w:rPr>
          <w:rFonts w:ascii="Arial" w:hAnsi="Arial" w:cs="Arial"/>
          <w:sz w:val="22"/>
          <w:szCs w:val="22"/>
        </w:rPr>
        <w:t>Appendix 1 Institutional Review Boards</w:t>
      </w:r>
    </w:p>
    <w:p w14:paraId="21460862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</w:p>
    <w:p w14:paraId="546A63F7" w14:textId="3C7320C6" w:rsidR="001A6C29" w:rsidRPr="001A6C29" w:rsidRDefault="001A6C29" w:rsidP="001A6C29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1A6C29">
        <w:rPr>
          <w:rFonts w:ascii="Arial" w:hAnsi="Arial" w:cs="Arial"/>
          <w:b/>
          <w:sz w:val="22"/>
          <w:szCs w:val="22"/>
        </w:rPr>
        <w:t>Institutional Review Boards of Collaborating Centers</w:t>
      </w:r>
    </w:p>
    <w:p w14:paraId="1089E668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 xml:space="preserve">Detroit Medical Center Research Committee </w:t>
      </w:r>
    </w:p>
    <w:p w14:paraId="1558D7EF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>Brooklyn Hospital Institutional Review Board</w:t>
      </w:r>
    </w:p>
    <w:p w14:paraId="0C60AF7D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>University of Kansas Institutional Review Board</w:t>
      </w:r>
    </w:p>
    <w:p w14:paraId="743902B5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 xml:space="preserve">Lee Health Institutional Review Board </w:t>
      </w:r>
    </w:p>
    <w:p w14:paraId="4A29D1B7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University of Colorado </w:t>
      </w:r>
      <w:r w:rsidRPr="001A6C29">
        <w:rPr>
          <w:rFonts w:ascii="Arial" w:hAnsi="Arial" w:cs="Arial"/>
          <w:sz w:val="22"/>
          <w:szCs w:val="22"/>
        </w:rPr>
        <w:t xml:space="preserve">Institutional Review Board </w:t>
      </w:r>
    </w:p>
    <w:p w14:paraId="415F2BFA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 xml:space="preserve">Henry Ford Hospital Institutional Review Board </w:t>
      </w:r>
      <w:bookmarkStart w:id="0" w:name="_GoBack"/>
      <w:bookmarkEnd w:id="0"/>
    </w:p>
    <w:p w14:paraId="7B26EF22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</w:p>
    <w:p w14:paraId="5E809867" w14:textId="57FDBE1C" w:rsidR="001A6C29" w:rsidRPr="001A6C29" w:rsidRDefault="001A6C29" w:rsidP="001A6C29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1A6C29">
        <w:rPr>
          <w:rFonts w:ascii="Arial" w:hAnsi="Arial" w:cs="Arial"/>
          <w:b/>
          <w:sz w:val="22"/>
          <w:szCs w:val="22"/>
        </w:rPr>
        <w:t>Master Institutional Review Board</w:t>
      </w:r>
    </w:p>
    <w:p w14:paraId="0663A05B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  <w:r w:rsidRPr="001A6C29">
        <w:rPr>
          <w:rFonts w:ascii="Arial" w:hAnsi="Arial" w:cs="Arial"/>
          <w:sz w:val="22"/>
          <w:szCs w:val="22"/>
        </w:rPr>
        <w:t xml:space="preserve">Wayne State University </w:t>
      </w:r>
    </w:p>
    <w:p w14:paraId="370B7CFB" w14:textId="77777777" w:rsidR="001A6C29" w:rsidRPr="001A6C29" w:rsidRDefault="001A6C29" w:rsidP="001A6C29">
      <w:pPr>
        <w:spacing w:line="480" w:lineRule="auto"/>
        <w:rPr>
          <w:rFonts w:ascii="Arial" w:hAnsi="Arial" w:cs="Arial"/>
          <w:sz w:val="22"/>
          <w:szCs w:val="22"/>
        </w:rPr>
      </w:pPr>
    </w:p>
    <w:p w14:paraId="4116D398" w14:textId="77777777" w:rsidR="001A6C29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4D72DA8E" w14:textId="77777777" w:rsidR="001A6C29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4A376170" w14:textId="77777777" w:rsidR="001A6C29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49A1D616" w14:textId="77777777" w:rsidR="001A6C29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609EE002" w14:textId="77777777" w:rsidR="001A6C29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6831F5C9" w14:textId="1629A5B7" w:rsidR="00A63681" w:rsidRPr="00B0668E" w:rsidRDefault="001A6C29" w:rsidP="00A63681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Supplementary Appendix 2</w:t>
      </w:r>
      <w:r w:rsidR="00A63681" w:rsidRPr="00B0668E">
        <w:rPr>
          <w:rFonts w:ascii="Arial" w:hAnsi="Arial" w:cs="Arial"/>
          <w:sz w:val="22"/>
          <w:szCs w:val="22"/>
        </w:rPr>
        <w:t xml:space="preserve"> </w:t>
      </w:r>
    </w:p>
    <w:p w14:paraId="5FAF0B51" w14:textId="77777777" w:rsidR="00A63681" w:rsidRPr="00B0668E" w:rsidRDefault="00A63681" w:rsidP="00A63681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B0668E">
        <w:rPr>
          <w:rFonts w:ascii="Arial" w:hAnsi="Arial" w:cs="Arial"/>
          <w:b/>
          <w:sz w:val="22"/>
          <w:szCs w:val="22"/>
        </w:rPr>
        <w:t>Delong – Delong P values for AUC comparisons 30-day mortality</w:t>
      </w:r>
    </w:p>
    <w:tbl>
      <w:tblPr>
        <w:tblStyle w:val="TableGrid"/>
        <w:tblW w:w="87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55"/>
        <w:gridCol w:w="2070"/>
        <w:gridCol w:w="2340"/>
        <w:gridCol w:w="2160"/>
      </w:tblGrid>
      <w:tr w:rsidR="007F0383" w:rsidRPr="00B0668E" w14:paraId="2DACD368" w14:textId="77777777" w:rsidTr="007F0383">
        <w:trPr>
          <w:trHeight w:val="458"/>
        </w:trPr>
        <w:tc>
          <w:tcPr>
            <w:tcW w:w="2155" w:type="dxa"/>
          </w:tcPr>
          <w:p w14:paraId="59520076" w14:textId="77777777" w:rsidR="007F0383" w:rsidRPr="00B0668E" w:rsidRDefault="007F0383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 xml:space="preserve">Reference </w:t>
            </w:r>
          </w:p>
        </w:tc>
        <w:tc>
          <w:tcPr>
            <w:tcW w:w="2070" w:type="dxa"/>
          </w:tcPr>
          <w:p w14:paraId="39E88722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INCREMENT – CPE</w:t>
            </w:r>
          </w:p>
        </w:tc>
        <w:tc>
          <w:tcPr>
            <w:tcW w:w="2340" w:type="dxa"/>
          </w:tcPr>
          <w:p w14:paraId="2894FC25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Pitt Bacteremia score</w:t>
            </w:r>
          </w:p>
        </w:tc>
        <w:tc>
          <w:tcPr>
            <w:tcW w:w="2160" w:type="dxa"/>
          </w:tcPr>
          <w:p w14:paraId="7699D448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b/>
                <w:sz w:val="22"/>
                <w:szCs w:val="22"/>
              </w:rPr>
              <w:t>QPitt</w:t>
            </w:r>
            <w:proofErr w:type="spellEnd"/>
            <w:r w:rsidRPr="00B0668E">
              <w:rPr>
                <w:rFonts w:ascii="Arial" w:hAnsi="Arial" w:cs="Arial"/>
                <w:b/>
                <w:sz w:val="22"/>
                <w:szCs w:val="22"/>
              </w:rPr>
              <w:t xml:space="preserve"> score</w:t>
            </w:r>
          </w:p>
        </w:tc>
      </w:tr>
      <w:tr w:rsidR="007F0383" w:rsidRPr="00B0668E" w14:paraId="324BF1CA" w14:textId="77777777" w:rsidTr="007F0383">
        <w:tc>
          <w:tcPr>
            <w:tcW w:w="2155" w:type="dxa"/>
          </w:tcPr>
          <w:p w14:paraId="5A371891" w14:textId="77777777" w:rsidR="007F0383" w:rsidRPr="00B0668E" w:rsidRDefault="007F0383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INCREMENT – CPE</w:t>
            </w:r>
          </w:p>
        </w:tc>
        <w:tc>
          <w:tcPr>
            <w:tcW w:w="2070" w:type="dxa"/>
          </w:tcPr>
          <w:p w14:paraId="0EB66013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___</w:t>
            </w:r>
          </w:p>
        </w:tc>
        <w:tc>
          <w:tcPr>
            <w:tcW w:w="2340" w:type="dxa"/>
          </w:tcPr>
          <w:p w14:paraId="059073E0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0.7706</w:t>
            </w:r>
          </w:p>
        </w:tc>
        <w:tc>
          <w:tcPr>
            <w:tcW w:w="2160" w:type="dxa"/>
          </w:tcPr>
          <w:p w14:paraId="11BA09FB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0.7287</w:t>
            </w:r>
          </w:p>
        </w:tc>
      </w:tr>
      <w:tr w:rsidR="007F0383" w:rsidRPr="00B0668E" w14:paraId="41B32440" w14:textId="77777777" w:rsidTr="007F0383">
        <w:trPr>
          <w:trHeight w:val="494"/>
        </w:trPr>
        <w:tc>
          <w:tcPr>
            <w:tcW w:w="2155" w:type="dxa"/>
          </w:tcPr>
          <w:p w14:paraId="2687A987" w14:textId="77777777" w:rsidR="007F0383" w:rsidRPr="00B0668E" w:rsidRDefault="007F0383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Pitt Bacteremia score</w:t>
            </w:r>
          </w:p>
        </w:tc>
        <w:tc>
          <w:tcPr>
            <w:tcW w:w="2070" w:type="dxa"/>
          </w:tcPr>
          <w:p w14:paraId="3D7F5D09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0.7706</w:t>
            </w:r>
          </w:p>
        </w:tc>
        <w:tc>
          <w:tcPr>
            <w:tcW w:w="2340" w:type="dxa"/>
          </w:tcPr>
          <w:p w14:paraId="5A20F690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___</w:t>
            </w:r>
          </w:p>
        </w:tc>
        <w:tc>
          <w:tcPr>
            <w:tcW w:w="2160" w:type="dxa"/>
          </w:tcPr>
          <w:p w14:paraId="3D9FD96A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0.9121</w:t>
            </w:r>
          </w:p>
        </w:tc>
      </w:tr>
      <w:tr w:rsidR="007F0383" w:rsidRPr="00B0668E" w14:paraId="0B3DF612" w14:textId="77777777" w:rsidTr="007F0383">
        <w:tc>
          <w:tcPr>
            <w:tcW w:w="2155" w:type="dxa"/>
          </w:tcPr>
          <w:p w14:paraId="108293DA" w14:textId="77777777" w:rsidR="007F0383" w:rsidRPr="00B0668E" w:rsidRDefault="007F0383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sz w:val="22"/>
                <w:szCs w:val="22"/>
              </w:rPr>
              <w:t>QPitt</w:t>
            </w:r>
            <w:proofErr w:type="spellEnd"/>
            <w:r w:rsidRPr="00B0668E">
              <w:rPr>
                <w:rFonts w:ascii="Arial" w:hAnsi="Arial" w:cs="Arial"/>
                <w:sz w:val="22"/>
                <w:szCs w:val="22"/>
              </w:rPr>
              <w:t xml:space="preserve"> score</w:t>
            </w:r>
          </w:p>
        </w:tc>
        <w:tc>
          <w:tcPr>
            <w:tcW w:w="2070" w:type="dxa"/>
          </w:tcPr>
          <w:p w14:paraId="7C6EDB8C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0.7287</w:t>
            </w:r>
          </w:p>
        </w:tc>
        <w:tc>
          <w:tcPr>
            <w:tcW w:w="2340" w:type="dxa"/>
          </w:tcPr>
          <w:p w14:paraId="43E98365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0.9121</w:t>
            </w:r>
          </w:p>
        </w:tc>
        <w:tc>
          <w:tcPr>
            <w:tcW w:w="2160" w:type="dxa"/>
          </w:tcPr>
          <w:p w14:paraId="70628524" w14:textId="77777777" w:rsidR="007F0383" w:rsidRPr="00B0668E" w:rsidRDefault="007F0383" w:rsidP="00357542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___</w:t>
            </w:r>
          </w:p>
        </w:tc>
      </w:tr>
    </w:tbl>
    <w:p w14:paraId="4B85F85F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6D963B16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3765AE62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52DFB4F3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6B2DB5D3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53A560E7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2F282E61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78B3BC49" w14:textId="77777777" w:rsidR="00695D5C" w:rsidRDefault="00695D5C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736C79CE" w14:textId="77777777" w:rsidR="007F0383" w:rsidRDefault="007F0383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33881B7A" w14:textId="3129B2EA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  <w:r w:rsidRPr="00B0668E">
        <w:rPr>
          <w:rFonts w:ascii="Arial" w:hAnsi="Arial" w:cs="Arial"/>
          <w:sz w:val="22"/>
          <w:szCs w:val="22"/>
        </w:rPr>
        <w:lastRenderedPageBreak/>
        <w:t xml:space="preserve">Supplementary Appendix </w:t>
      </w:r>
      <w:r w:rsidR="001A6C29">
        <w:rPr>
          <w:rFonts w:ascii="Arial" w:hAnsi="Arial" w:cs="Arial"/>
          <w:sz w:val="22"/>
          <w:szCs w:val="22"/>
        </w:rPr>
        <w:t>3</w:t>
      </w:r>
    </w:p>
    <w:p w14:paraId="0792E1CE" w14:textId="77777777" w:rsidR="00A63681" w:rsidRPr="00B0668E" w:rsidRDefault="00A63681" w:rsidP="00A63681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B0668E">
        <w:rPr>
          <w:rFonts w:ascii="Arial" w:hAnsi="Arial" w:cs="Arial"/>
          <w:b/>
          <w:sz w:val="22"/>
          <w:szCs w:val="22"/>
        </w:rPr>
        <w:t xml:space="preserve">Risk ratios (95% CI) for score components on 30-day mortality  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45"/>
        <w:gridCol w:w="2700"/>
        <w:gridCol w:w="3505"/>
      </w:tblGrid>
      <w:tr w:rsidR="00A63681" w:rsidRPr="00B0668E" w14:paraId="31263987" w14:textId="77777777" w:rsidTr="00357542">
        <w:tc>
          <w:tcPr>
            <w:tcW w:w="6745" w:type="dxa"/>
          </w:tcPr>
          <w:p w14:paraId="28ED3E14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 xml:space="preserve">Score Components </w:t>
            </w:r>
          </w:p>
        </w:tc>
        <w:tc>
          <w:tcPr>
            <w:tcW w:w="2700" w:type="dxa"/>
          </w:tcPr>
          <w:p w14:paraId="30735F7B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Points</w:t>
            </w:r>
          </w:p>
        </w:tc>
        <w:tc>
          <w:tcPr>
            <w:tcW w:w="3505" w:type="dxa"/>
          </w:tcPr>
          <w:p w14:paraId="5522BFD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RR (95% CI)</w:t>
            </w:r>
          </w:p>
        </w:tc>
      </w:tr>
      <w:tr w:rsidR="00A63681" w:rsidRPr="00B0668E" w14:paraId="33CD0596" w14:textId="77777777" w:rsidTr="00357542">
        <w:tc>
          <w:tcPr>
            <w:tcW w:w="12950" w:type="dxa"/>
            <w:gridSpan w:val="3"/>
          </w:tcPr>
          <w:p w14:paraId="2279C02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INCREMENT_CPE score</w:t>
            </w:r>
          </w:p>
        </w:tc>
      </w:tr>
      <w:tr w:rsidR="00A63681" w:rsidRPr="00B0668E" w14:paraId="0E0BD979" w14:textId="77777777" w:rsidTr="00357542">
        <w:tc>
          <w:tcPr>
            <w:tcW w:w="6745" w:type="dxa"/>
          </w:tcPr>
          <w:p w14:paraId="5B5C2388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Severe sepsis / septic shock</w:t>
            </w:r>
          </w:p>
        </w:tc>
        <w:tc>
          <w:tcPr>
            <w:tcW w:w="2700" w:type="dxa"/>
          </w:tcPr>
          <w:p w14:paraId="78CC02A7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505" w:type="dxa"/>
          </w:tcPr>
          <w:p w14:paraId="458EB03C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3.134 (0.907 – 10.827)</w:t>
            </w:r>
          </w:p>
        </w:tc>
      </w:tr>
      <w:tr w:rsidR="00A63681" w:rsidRPr="00B0668E" w14:paraId="0CAFF978" w14:textId="77777777" w:rsidTr="00357542">
        <w:tc>
          <w:tcPr>
            <w:tcW w:w="6745" w:type="dxa"/>
          </w:tcPr>
          <w:p w14:paraId="77A2AB1B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Pitt bacteremia ≥ 6</w:t>
            </w:r>
          </w:p>
        </w:tc>
        <w:tc>
          <w:tcPr>
            <w:tcW w:w="2700" w:type="dxa"/>
          </w:tcPr>
          <w:p w14:paraId="368B14D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505" w:type="dxa"/>
          </w:tcPr>
          <w:p w14:paraId="10AB0A1F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2.254 (0.874 – 5.814)</w:t>
            </w:r>
          </w:p>
        </w:tc>
      </w:tr>
      <w:tr w:rsidR="00A63681" w:rsidRPr="00B0668E" w14:paraId="4753C0BA" w14:textId="77777777" w:rsidTr="00357542">
        <w:tc>
          <w:tcPr>
            <w:tcW w:w="6745" w:type="dxa"/>
          </w:tcPr>
          <w:p w14:paraId="56021888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sz w:val="22"/>
                <w:szCs w:val="22"/>
              </w:rPr>
              <w:t>Charlson</w:t>
            </w:r>
            <w:proofErr w:type="spellEnd"/>
            <w:r w:rsidRPr="00B0668E">
              <w:rPr>
                <w:rFonts w:ascii="Arial" w:hAnsi="Arial" w:cs="Arial"/>
                <w:sz w:val="22"/>
                <w:szCs w:val="22"/>
              </w:rPr>
              <w:t xml:space="preserve"> Comorbidity Index ≥ 2</w:t>
            </w:r>
          </w:p>
        </w:tc>
        <w:tc>
          <w:tcPr>
            <w:tcW w:w="2700" w:type="dxa"/>
          </w:tcPr>
          <w:p w14:paraId="2973EC21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505" w:type="dxa"/>
          </w:tcPr>
          <w:p w14:paraId="5F3675D8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3.363 (0.448 – 25.267)</w:t>
            </w:r>
          </w:p>
        </w:tc>
      </w:tr>
      <w:tr w:rsidR="00A63681" w:rsidRPr="00B0668E" w14:paraId="54D0AAB9" w14:textId="77777777" w:rsidTr="00357542">
        <w:tc>
          <w:tcPr>
            <w:tcW w:w="6745" w:type="dxa"/>
          </w:tcPr>
          <w:p w14:paraId="73157091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Non-biliary or urine source </w:t>
            </w:r>
          </w:p>
        </w:tc>
        <w:tc>
          <w:tcPr>
            <w:tcW w:w="2700" w:type="dxa"/>
          </w:tcPr>
          <w:p w14:paraId="188C5214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505" w:type="dxa"/>
          </w:tcPr>
          <w:p w14:paraId="5A359637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2.634 (0.606 – 11.456)</w:t>
            </w:r>
          </w:p>
        </w:tc>
      </w:tr>
      <w:tr w:rsidR="00A63681" w:rsidRPr="00B0668E" w14:paraId="7CA1A040" w14:textId="77777777" w:rsidTr="00357542">
        <w:tc>
          <w:tcPr>
            <w:tcW w:w="12950" w:type="dxa"/>
            <w:gridSpan w:val="3"/>
          </w:tcPr>
          <w:p w14:paraId="643266E1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0668E">
              <w:rPr>
                <w:rFonts w:ascii="Arial" w:hAnsi="Arial" w:cs="Arial"/>
                <w:b/>
                <w:sz w:val="22"/>
                <w:szCs w:val="22"/>
              </w:rPr>
              <w:t>Pitt Bacteremia score</w:t>
            </w:r>
          </w:p>
        </w:tc>
      </w:tr>
      <w:tr w:rsidR="00A63681" w:rsidRPr="00B0668E" w14:paraId="65A32021" w14:textId="77777777" w:rsidTr="00357542">
        <w:tc>
          <w:tcPr>
            <w:tcW w:w="6745" w:type="dxa"/>
          </w:tcPr>
          <w:p w14:paraId="5F8DA14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Temperature</w:t>
            </w:r>
          </w:p>
          <w:p w14:paraId="5770D52B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≤ 35 C or ≥ 40 C</w:t>
            </w:r>
          </w:p>
          <w:p w14:paraId="1EAEAB30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35.1 – 36.0 C or 39.0 – 39.9 C</w:t>
            </w:r>
          </w:p>
          <w:p w14:paraId="2DEA1EBD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36.1 – 38.9 C</w:t>
            </w:r>
          </w:p>
        </w:tc>
        <w:tc>
          <w:tcPr>
            <w:tcW w:w="2700" w:type="dxa"/>
          </w:tcPr>
          <w:p w14:paraId="09AA0B62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5B83767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5D6447C2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6B21D4D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505" w:type="dxa"/>
          </w:tcPr>
          <w:p w14:paraId="0BEEFD2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6A724164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2.893 (0.952 – 8.788)</w:t>
            </w:r>
          </w:p>
          <w:p w14:paraId="3C438813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Undefined </w:t>
            </w:r>
          </w:p>
          <w:p w14:paraId="05C80637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Reference </w:t>
            </w:r>
          </w:p>
        </w:tc>
      </w:tr>
      <w:tr w:rsidR="00A63681" w:rsidRPr="00B0668E" w14:paraId="18F0A28B" w14:textId="77777777" w:rsidTr="00357542">
        <w:trPr>
          <w:trHeight w:val="440"/>
        </w:trPr>
        <w:tc>
          <w:tcPr>
            <w:tcW w:w="6745" w:type="dxa"/>
          </w:tcPr>
          <w:p w14:paraId="3E147C03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sz w:val="22"/>
                <w:szCs w:val="22"/>
              </w:rPr>
              <w:t>Hypotension</w:t>
            </w:r>
            <w:r w:rsidRPr="00B0668E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  <w:r w:rsidRPr="00B0668E">
              <w:rPr>
                <w:rFonts w:ascii="Arial" w:hAnsi="Arial" w:cs="Arial"/>
                <w:sz w:val="22"/>
                <w:szCs w:val="22"/>
              </w:rPr>
              <w:t xml:space="preserve"> or need for vasopressor support</w:t>
            </w:r>
          </w:p>
        </w:tc>
        <w:tc>
          <w:tcPr>
            <w:tcW w:w="2700" w:type="dxa"/>
          </w:tcPr>
          <w:p w14:paraId="32E659C1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505" w:type="dxa"/>
          </w:tcPr>
          <w:p w14:paraId="4A0E12B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1.795 (0.712 – 4.522)</w:t>
            </w:r>
          </w:p>
        </w:tc>
      </w:tr>
      <w:tr w:rsidR="00A63681" w:rsidRPr="00B0668E" w14:paraId="7D33F9CA" w14:textId="77777777" w:rsidTr="00357542">
        <w:trPr>
          <w:trHeight w:val="440"/>
        </w:trPr>
        <w:tc>
          <w:tcPr>
            <w:tcW w:w="6745" w:type="dxa"/>
          </w:tcPr>
          <w:p w14:paraId="62985A7A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Mental Status</w:t>
            </w:r>
          </w:p>
          <w:p w14:paraId="09D3EC11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Comatose</w:t>
            </w:r>
          </w:p>
          <w:p w14:paraId="2213F150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sz w:val="22"/>
                <w:szCs w:val="22"/>
              </w:rPr>
              <w:t>Stuporous</w:t>
            </w:r>
            <w:proofErr w:type="spellEnd"/>
          </w:p>
          <w:p w14:paraId="721D592F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Disoriented</w:t>
            </w:r>
          </w:p>
          <w:p w14:paraId="6AF35915" w14:textId="77777777" w:rsidR="00A63681" w:rsidRPr="00B0668E" w:rsidRDefault="00A63681" w:rsidP="00357542">
            <w:pPr>
              <w:spacing w:line="480" w:lineRule="auto"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lastRenderedPageBreak/>
              <w:t>Alert</w:t>
            </w:r>
          </w:p>
        </w:tc>
        <w:tc>
          <w:tcPr>
            <w:tcW w:w="2700" w:type="dxa"/>
          </w:tcPr>
          <w:p w14:paraId="14AD61F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5A93BA10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7055CB48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2664705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76364B5C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3505" w:type="dxa"/>
          </w:tcPr>
          <w:p w14:paraId="1BF60A80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48FD9090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3.125 (0.782 – 12.495)</w:t>
            </w:r>
          </w:p>
          <w:p w14:paraId="429FC9C4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2.404 (0.646 – 8.952)</w:t>
            </w:r>
          </w:p>
          <w:p w14:paraId="070C3BCC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3.676 (0.987 – 13.691)</w:t>
            </w:r>
          </w:p>
          <w:p w14:paraId="7B5EC18B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lastRenderedPageBreak/>
              <w:t>Reference</w:t>
            </w:r>
          </w:p>
        </w:tc>
      </w:tr>
      <w:tr w:rsidR="00A63681" w:rsidRPr="00B0668E" w14:paraId="53493CC7" w14:textId="77777777" w:rsidTr="00357542">
        <w:trPr>
          <w:trHeight w:val="440"/>
        </w:trPr>
        <w:tc>
          <w:tcPr>
            <w:tcW w:w="6745" w:type="dxa"/>
          </w:tcPr>
          <w:p w14:paraId="4E02A3CE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lastRenderedPageBreak/>
              <w:t xml:space="preserve">Mechanical ventilation </w:t>
            </w:r>
          </w:p>
        </w:tc>
        <w:tc>
          <w:tcPr>
            <w:tcW w:w="2700" w:type="dxa"/>
          </w:tcPr>
          <w:p w14:paraId="5653058E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505" w:type="dxa"/>
          </w:tcPr>
          <w:p w14:paraId="4A08EBC2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2.643 (1.043 – 6.696)</w:t>
            </w:r>
          </w:p>
        </w:tc>
      </w:tr>
      <w:tr w:rsidR="00A63681" w:rsidRPr="00B0668E" w14:paraId="0C0E3DB0" w14:textId="77777777" w:rsidTr="00357542">
        <w:trPr>
          <w:trHeight w:val="440"/>
        </w:trPr>
        <w:tc>
          <w:tcPr>
            <w:tcW w:w="12950" w:type="dxa"/>
            <w:gridSpan w:val="3"/>
          </w:tcPr>
          <w:p w14:paraId="3BAD8D30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b/>
                <w:sz w:val="22"/>
                <w:szCs w:val="22"/>
              </w:rPr>
              <w:t>QPitt</w:t>
            </w:r>
            <w:proofErr w:type="spellEnd"/>
            <w:r w:rsidRPr="00B0668E">
              <w:rPr>
                <w:rFonts w:ascii="Arial" w:hAnsi="Arial" w:cs="Arial"/>
                <w:b/>
                <w:sz w:val="22"/>
                <w:szCs w:val="22"/>
              </w:rPr>
              <w:t xml:space="preserve"> score </w:t>
            </w:r>
          </w:p>
        </w:tc>
      </w:tr>
      <w:tr w:rsidR="00A63681" w:rsidRPr="00B0668E" w14:paraId="42889531" w14:textId="77777777" w:rsidTr="00357542">
        <w:trPr>
          <w:trHeight w:val="440"/>
        </w:trPr>
        <w:tc>
          <w:tcPr>
            <w:tcW w:w="6745" w:type="dxa"/>
          </w:tcPr>
          <w:p w14:paraId="196134D9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Hypothermia</w:t>
            </w:r>
          </w:p>
        </w:tc>
        <w:tc>
          <w:tcPr>
            <w:tcW w:w="2700" w:type="dxa"/>
          </w:tcPr>
          <w:p w14:paraId="41352D3E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05" w:type="dxa"/>
          </w:tcPr>
          <w:p w14:paraId="3015772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0.857 (0.114 – 6.441)</w:t>
            </w:r>
          </w:p>
        </w:tc>
      </w:tr>
      <w:tr w:rsidR="00A63681" w:rsidRPr="00B0668E" w14:paraId="025F9EDF" w14:textId="77777777" w:rsidTr="00357542">
        <w:trPr>
          <w:trHeight w:val="440"/>
        </w:trPr>
        <w:tc>
          <w:tcPr>
            <w:tcW w:w="6745" w:type="dxa"/>
          </w:tcPr>
          <w:p w14:paraId="0CD04EF9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0668E">
              <w:rPr>
                <w:rFonts w:ascii="Arial" w:hAnsi="Arial" w:cs="Arial"/>
                <w:sz w:val="22"/>
                <w:szCs w:val="22"/>
              </w:rPr>
              <w:t>Hypotension</w:t>
            </w:r>
            <w:r w:rsidRPr="00B0668E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  <w:r w:rsidRPr="00B0668E">
              <w:rPr>
                <w:rFonts w:ascii="Arial" w:hAnsi="Arial" w:cs="Arial"/>
                <w:sz w:val="22"/>
                <w:szCs w:val="22"/>
              </w:rPr>
              <w:t xml:space="preserve"> or need for vasopressor support</w:t>
            </w:r>
          </w:p>
        </w:tc>
        <w:tc>
          <w:tcPr>
            <w:tcW w:w="2700" w:type="dxa"/>
          </w:tcPr>
          <w:p w14:paraId="2E725597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05" w:type="dxa"/>
          </w:tcPr>
          <w:p w14:paraId="734A3EFF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1.795 (0.712 – 4.522)</w:t>
            </w:r>
          </w:p>
        </w:tc>
      </w:tr>
      <w:tr w:rsidR="00A63681" w:rsidRPr="00B0668E" w14:paraId="6F464020" w14:textId="77777777" w:rsidTr="00357542">
        <w:trPr>
          <w:trHeight w:val="440"/>
        </w:trPr>
        <w:tc>
          <w:tcPr>
            <w:tcW w:w="6745" w:type="dxa"/>
          </w:tcPr>
          <w:p w14:paraId="295E899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Respiratory rate ≥ 25 breaths/minute or need for mechanical ventilation </w:t>
            </w:r>
          </w:p>
        </w:tc>
        <w:tc>
          <w:tcPr>
            <w:tcW w:w="2700" w:type="dxa"/>
          </w:tcPr>
          <w:p w14:paraId="2AD0F84B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05" w:type="dxa"/>
          </w:tcPr>
          <w:p w14:paraId="2DD21396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2.747 (0.979 – 7.706)</w:t>
            </w:r>
          </w:p>
        </w:tc>
      </w:tr>
      <w:tr w:rsidR="00A63681" w:rsidRPr="00B0668E" w14:paraId="4C6F7D5C" w14:textId="77777777" w:rsidTr="00357542">
        <w:trPr>
          <w:trHeight w:val="440"/>
        </w:trPr>
        <w:tc>
          <w:tcPr>
            <w:tcW w:w="6745" w:type="dxa"/>
          </w:tcPr>
          <w:p w14:paraId="7516F54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Altered mental status </w:t>
            </w:r>
          </w:p>
        </w:tc>
        <w:tc>
          <w:tcPr>
            <w:tcW w:w="2700" w:type="dxa"/>
          </w:tcPr>
          <w:p w14:paraId="0CCC5CC5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05" w:type="dxa"/>
          </w:tcPr>
          <w:p w14:paraId="170F990E" w14:textId="77777777" w:rsidR="00A63681" w:rsidRPr="00B0668E" w:rsidRDefault="00A63681" w:rsidP="00357542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>2.966 (0.976 – 9.011)</w:t>
            </w:r>
          </w:p>
        </w:tc>
      </w:tr>
      <w:tr w:rsidR="00A63681" w:rsidRPr="00B0668E" w14:paraId="7ECAEC5E" w14:textId="77777777" w:rsidTr="00357542">
        <w:trPr>
          <w:trHeight w:val="440"/>
        </w:trPr>
        <w:tc>
          <w:tcPr>
            <w:tcW w:w="12950" w:type="dxa"/>
            <w:gridSpan w:val="3"/>
          </w:tcPr>
          <w:p w14:paraId="6C291301" w14:textId="77777777" w:rsidR="00A63681" w:rsidRPr="00B0668E" w:rsidRDefault="00A63681" w:rsidP="00A63681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0668E">
              <w:rPr>
                <w:rFonts w:ascii="Arial" w:hAnsi="Arial" w:cs="Arial"/>
                <w:sz w:val="22"/>
                <w:szCs w:val="22"/>
              </w:rPr>
              <w:t xml:space="preserve">Systolic blood pressure &lt; 90 mmHg or acute drop in systolic blood pressure of &gt; 30mmHg and diastolic blood pressure of &gt; 20 mmHg </w:t>
            </w:r>
          </w:p>
        </w:tc>
      </w:tr>
    </w:tbl>
    <w:p w14:paraId="49DADEA4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6C9C033B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3834DD7A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5F2172A7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213848A3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07475223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5626AFAD" w14:textId="77777777" w:rsidR="00A63681" w:rsidRPr="00B0668E" w:rsidRDefault="00A63681" w:rsidP="00A63681">
      <w:pPr>
        <w:spacing w:line="480" w:lineRule="auto"/>
        <w:rPr>
          <w:rFonts w:ascii="Arial" w:hAnsi="Arial" w:cs="Arial"/>
          <w:sz w:val="22"/>
          <w:szCs w:val="22"/>
        </w:rPr>
      </w:pPr>
    </w:p>
    <w:p w14:paraId="252E6B12" w14:textId="77777777" w:rsidR="00715B14" w:rsidRDefault="006A3908"/>
    <w:sectPr w:rsidR="00715B14" w:rsidSect="00A63681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1E224" w14:textId="77777777" w:rsidR="008F270D" w:rsidRDefault="008F270D" w:rsidP="008F270D">
      <w:r>
        <w:separator/>
      </w:r>
    </w:p>
  </w:endnote>
  <w:endnote w:type="continuationSeparator" w:id="0">
    <w:p w14:paraId="28467E76" w14:textId="77777777" w:rsidR="008F270D" w:rsidRDefault="008F270D" w:rsidP="008F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0C809" w14:textId="16D4AEAC" w:rsidR="008F270D" w:rsidRDefault="008F270D">
    <w:pPr>
      <w:pStyle w:val="Footer"/>
      <w:jc w:val="right"/>
    </w:pPr>
  </w:p>
  <w:p w14:paraId="2D9C1053" w14:textId="77777777" w:rsidR="008F270D" w:rsidRDefault="008F27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63011" w14:textId="77777777" w:rsidR="008F270D" w:rsidRDefault="008F270D" w:rsidP="008F270D">
      <w:r>
        <w:separator/>
      </w:r>
    </w:p>
  </w:footnote>
  <w:footnote w:type="continuationSeparator" w:id="0">
    <w:p w14:paraId="0FFD05A5" w14:textId="77777777" w:rsidR="008F270D" w:rsidRDefault="008F270D" w:rsidP="008F2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7188"/>
    <w:multiLevelType w:val="hybridMultilevel"/>
    <w:tmpl w:val="7DCC5D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81"/>
    <w:rsid w:val="001A6C29"/>
    <w:rsid w:val="00695D5C"/>
    <w:rsid w:val="006A3908"/>
    <w:rsid w:val="006D78B7"/>
    <w:rsid w:val="007F0383"/>
    <w:rsid w:val="008F270D"/>
    <w:rsid w:val="00A63681"/>
    <w:rsid w:val="00F4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FDEB3"/>
  <w15:docId w15:val="{FFE212DB-DAD1-4641-A8DB-C906E8EF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8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681"/>
    <w:pPr>
      <w:ind w:left="720"/>
      <w:contextualSpacing/>
    </w:pPr>
  </w:style>
  <w:style w:type="table" w:styleId="TableGrid">
    <w:name w:val="Table Grid"/>
    <w:basedOn w:val="TableNormal"/>
    <w:uiPriority w:val="39"/>
    <w:rsid w:val="00A636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63681"/>
    <w:rPr>
      <w:rFonts w:ascii="Helvetica" w:hAnsi="Helvetica"/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8F27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70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27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70D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A6C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Jorgensen</dc:creator>
  <cp:lastModifiedBy>Alex Pearson</cp:lastModifiedBy>
  <cp:revision>3</cp:revision>
  <dcterms:created xsi:type="dcterms:W3CDTF">2020-01-31T16:29:00Z</dcterms:created>
  <dcterms:modified xsi:type="dcterms:W3CDTF">2020-02-04T17:18:00Z</dcterms:modified>
</cp:coreProperties>
</file>