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EDB13" w14:textId="3F5830E7" w:rsidR="00202DC9" w:rsidRPr="00B561B8" w:rsidRDefault="00202DC9" w:rsidP="00202DC9">
      <w:pPr>
        <w:pStyle w:val="tabfigtitle"/>
        <w:rPr>
          <w:sz w:val="24"/>
          <w:szCs w:val="24"/>
          <w:lang w:val="en-CA"/>
        </w:rPr>
      </w:pPr>
      <w:bookmarkStart w:id="0" w:name="_Ref521084404"/>
      <w:r w:rsidRPr="00B561B8">
        <w:rPr>
          <w:sz w:val="24"/>
          <w:szCs w:val="24"/>
          <w:lang w:val="en-CA"/>
        </w:rPr>
        <w:t xml:space="preserve">Table </w:t>
      </w:r>
      <w:r>
        <w:rPr>
          <w:sz w:val="24"/>
          <w:szCs w:val="24"/>
          <w:lang w:val="en-CA"/>
        </w:rPr>
        <w:t>S1</w:t>
      </w:r>
      <w:r w:rsidR="005A3DD9">
        <w:rPr>
          <w:sz w:val="24"/>
          <w:szCs w:val="24"/>
          <w:lang w:val="en-CA"/>
        </w:rPr>
        <w:t>.</w:t>
      </w:r>
      <w:r w:rsidRPr="00B561B8">
        <w:rPr>
          <w:sz w:val="24"/>
          <w:szCs w:val="24"/>
          <w:lang w:val="en-CA"/>
        </w:rPr>
        <w:t xml:space="preserve"> </w:t>
      </w:r>
      <w:bookmarkEnd w:id="0"/>
      <w:r>
        <w:rPr>
          <w:sz w:val="24"/>
          <w:szCs w:val="24"/>
          <w:lang w:val="en-CA"/>
        </w:rPr>
        <w:t>Key Model Assumptions</w:t>
      </w:r>
    </w:p>
    <w:tbl>
      <w:tblPr>
        <w:tblW w:w="4615" w:type="pct"/>
        <w:tblBorders>
          <w:top w:val="single" w:sz="12" w:space="0" w:color="000000"/>
          <w:bottom w:val="single" w:sz="12" w:space="0" w:color="000000"/>
          <w:insideH w:val="single" w:sz="2" w:space="0" w:color="DDDDDD"/>
        </w:tblBorders>
        <w:tblLayout w:type="fixed"/>
        <w:tblLook w:val="04A0" w:firstRow="1" w:lastRow="0" w:firstColumn="1" w:lastColumn="0" w:noHBand="0" w:noVBand="1"/>
      </w:tblPr>
      <w:tblGrid>
        <w:gridCol w:w="8639"/>
      </w:tblGrid>
      <w:tr w:rsidR="00202DC9" w:rsidRPr="00511490" w14:paraId="22D02407" w14:textId="77777777" w:rsidTr="00202DC9">
        <w:trPr>
          <w:cantSplit/>
          <w:tblHeader/>
        </w:trPr>
        <w:tc>
          <w:tcPr>
            <w:tcW w:w="5000" w:type="pct"/>
            <w:tcBorders>
              <w:top w:val="single" w:sz="12" w:space="0" w:color="000000"/>
              <w:bottom w:val="single" w:sz="2" w:space="0" w:color="DDDDDD"/>
            </w:tcBorders>
            <w:shd w:val="clear" w:color="auto" w:fill="E6E6E6"/>
            <w:vAlign w:val="bottom"/>
            <w:hideMark/>
          </w:tcPr>
          <w:p w14:paraId="3CD7487C" w14:textId="776CEA45" w:rsidR="00202DC9" w:rsidRPr="00511490" w:rsidRDefault="00202DC9" w:rsidP="00485E7C">
            <w:pPr>
              <w:pStyle w:val="Tableheadings"/>
              <w:rPr>
                <w:sz w:val="24"/>
                <w:szCs w:val="24"/>
                <w:lang w:val="en-CA"/>
              </w:rPr>
            </w:pPr>
            <w:r w:rsidRPr="00511490">
              <w:rPr>
                <w:sz w:val="24"/>
                <w:szCs w:val="24"/>
                <w:lang w:val="en-CA"/>
              </w:rPr>
              <w:t>Assumption</w:t>
            </w:r>
          </w:p>
        </w:tc>
      </w:tr>
      <w:tr w:rsidR="00202DC9" w:rsidRPr="00511490" w14:paraId="43D2F89B" w14:textId="77777777" w:rsidTr="00202DC9">
        <w:trPr>
          <w:cantSplit/>
        </w:trPr>
        <w:tc>
          <w:tcPr>
            <w:tcW w:w="5000" w:type="pct"/>
            <w:shd w:val="clear" w:color="auto" w:fill="auto"/>
          </w:tcPr>
          <w:p w14:paraId="2602DF8F" w14:textId="2C6EE543" w:rsidR="00202DC9" w:rsidRPr="00511490" w:rsidRDefault="00511490" w:rsidP="00485E7C">
            <w:pPr>
              <w:pStyle w:val="Tabletext"/>
              <w:rPr>
                <w:sz w:val="24"/>
                <w:szCs w:val="24"/>
                <w:lang w:val="en-CA"/>
              </w:rPr>
            </w:pPr>
            <w:r w:rsidRPr="00511490">
              <w:rPr>
                <w:sz w:val="24"/>
                <w:szCs w:val="24"/>
                <w:lang w:val="en-CA"/>
              </w:rPr>
              <w:t>All costs</w:t>
            </w:r>
            <w:r>
              <w:rPr>
                <w:sz w:val="24"/>
                <w:szCs w:val="24"/>
                <w:lang w:val="en-CA"/>
              </w:rPr>
              <w:t xml:space="preserve"> are presented in 2018 Canadian dollars.</w:t>
            </w:r>
          </w:p>
        </w:tc>
      </w:tr>
      <w:tr w:rsidR="00511490" w:rsidRPr="00511490" w14:paraId="013446B6" w14:textId="77777777" w:rsidTr="00202DC9">
        <w:trPr>
          <w:cantSplit/>
        </w:trPr>
        <w:tc>
          <w:tcPr>
            <w:tcW w:w="5000" w:type="pct"/>
            <w:shd w:val="clear" w:color="auto" w:fill="auto"/>
          </w:tcPr>
          <w:p w14:paraId="2120C50D" w14:textId="0801851D" w:rsidR="00511490" w:rsidRPr="00511490" w:rsidRDefault="00511490" w:rsidP="00485E7C">
            <w:pPr>
              <w:pStyle w:val="Tabletext"/>
              <w:rPr>
                <w:sz w:val="24"/>
                <w:szCs w:val="24"/>
                <w:lang w:val="en-CA"/>
              </w:rPr>
            </w:pPr>
            <w:r>
              <w:rPr>
                <w:sz w:val="24"/>
                <w:szCs w:val="24"/>
                <w:lang w:val="en-CA"/>
              </w:rPr>
              <w:t xml:space="preserve">Age groups considered in the model were as follows: </w:t>
            </w:r>
            <w:bookmarkStart w:id="1" w:name="_GoBack"/>
            <w:r w:rsidR="00532941" w:rsidRPr="00B561B8">
              <w:rPr>
                <w:sz w:val="24"/>
                <w:szCs w:val="24"/>
                <w:lang w:val="en-CA"/>
              </w:rPr>
              <w:t>&lt; 2 years, 2 to 4 years</w:t>
            </w:r>
            <w:bookmarkEnd w:id="1"/>
            <w:r>
              <w:rPr>
                <w:sz w:val="24"/>
                <w:szCs w:val="24"/>
                <w:lang w:val="en-CA"/>
              </w:rPr>
              <w:t>; 5-17 years; 18-34 years; 35-49 years; 50-64 years; 65+ years.</w:t>
            </w:r>
          </w:p>
        </w:tc>
      </w:tr>
      <w:tr w:rsidR="005A3DD9" w:rsidRPr="00511490" w14:paraId="6D60D149" w14:textId="77777777" w:rsidTr="00A17F71">
        <w:trPr>
          <w:cantSplit/>
        </w:trPr>
        <w:tc>
          <w:tcPr>
            <w:tcW w:w="5000" w:type="pct"/>
            <w:shd w:val="clear" w:color="auto" w:fill="auto"/>
          </w:tcPr>
          <w:p w14:paraId="4E4FFB19" w14:textId="77777777" w:rsidR="005A3DD9" w:rsidRPr="00511490" w:rsidRDefault="005A3DD9" w:rsidP="00A17F71">
            <w:pPr>
              <w:pStyle w:val="Tabletext"/>
              <w:rPr>
                <w:sz w:val="24"/>
                <w:szCs w:val="24"/>
                <w:lang w:val="en-CA"/>
              </w:rPr>
            </w:pPr>
            <w:r>
              <w:rPr>
                <w:sz w:val="24"/>
                <w:szCs w:val="24"/>
                <w:lang w:val="en-CA"/>
              </w:rPr>
              <w:t>Vaccination costs include the cost of the vaccine and administration. We assume that individuals vaccinated received the full dosing schedule.</w:t>
            </w:r>
          </w:p>
        </w:tc>
      </w:tr>
      <w:tr w:rsidR="005A3DD9" w:rsidRPr="00511490" w14:paraId="1B170D63" w14:textId="77777777" w:rsidTr="00A17F71">
        <w:trPr>
          <w:cantSplit/>
        </w:trPr>
        <w:tc>
          <w:tcPr>
            <w:tcW w:w="5000" w:type="pct"/>
            <w:shd w:val="clear" w:color="auto" w:fill="auto"/>
          </w:tcPr>
          <w:p w14:paraId="090B8C6E" w14:textId="77777777" w:rsidR="005A3DD9" w:rsidRPr="00511490" w:rsidRDefault="005A3DD9" w:rsidP="00A17F71">
            <w:pPr>
              <w:pStyle w:val="Tabletext"/>
              <w:rPr>
                <w:sz w:val="24"/>
                <w:szCs w:val="24"/>
                <w:lang w:val="en-CA"/>
              </w:rPr>
            </w:pPr>
            <w:r>
              <w:rPr>
                <w:sz w:val="24"/>
                <w:szCs w:val="24"/>
                <w:lang w:val="en-CA"/>
              </w:rPr>
              <w:t>Other medical costs include direct medical costs and indirect costs of lost productivity associated with each event experienced.</w:t>
            </w:r>
          </w:p>
        </w:tc>
      </w:tr>
      <w:tr w:rsidR="00511490" w:rsidRPr="00511490" w14:paraId="35100D09" w14:textId="77777777" w:rsidTr="00202DC9">
        <w:trPr>
          <w:cantSplit/>
        </w:trPr>
        <w:tc>
          <w:tcPr>
            <w:tcW w:w="5000" w:type="pct"/>
            <w:shd w:val="clear" w:color="auto" w:fill="auto"/>
          </w:tcPr>
          <w:p w14:paraId="2D912A49" w14:textId="324299F1" w:rsidR="00511490" w:rsidRPr="00511490" w:rsidRDefault="005A3DD9" w:rsidP="00485E7C">
            <w:pPr>
              <w:pStyle w:val="Tabletext"/>
              <w:rPr>
                <w:sz w:val="24"/>
                <w:szCs w:val="24"/>
                <w:lang w:val="en-CA"/>
              </w:rPr>
            </w:pPr>
            <w:r>
              <w:rPr>
                <w:sz w:val="24"/>
                <w:szCs w:val="24"/>
                <w:lang w:val="en-CA"/>
              </w:rPr>
              <w:t xml:space="preserve">Events considered included invasive pneumococcal disease (IPD), hospitalized pneumonia, </w:t>
            </w:r>
            <w:proofErr w:type="spellStart"/>
            <w:r>
              <w:rPr>
                <w:sz w:val="24"/>
                <w:szCs w:val="24"/>
                <w:lang w:val="en-CA"/>
              </w:rPr>
              <w:t>nonhospitalized</w:t>
            </w:r>
            <w:proofErr w:type="spellEnd"/>
            <w:r>
              <w:rPr>
                <w:sz w:val="24"/>
                <w:szCs w:val="24"/>
                <w:lang w:val="en-CA"/>
              </w:rPr>
              <w:t xml:space="preserve"> pneumonia, and acute otitis media (AOM).</w:t>
            </w:r>
          </w:p>
        </w:tc>
      </w:tr>
      <w:tr w:rsidR="00202DC9" w:rsidRPr="00511490" w14:paraId="2A71CBBC" w14:textId="77777777" w:rsidTr="00202DC9">
        <w:trPr>
          <w:cantSplit/>
        </w:trPr>
        <w:tc>
          <w:tcPr>
            <w:tcW w:w="5000" w:type="pct"/>
            <w:shd w:val="clear" w:color="auto" w:fill="auto"/>
          </w:tcPr>
          <w:p w14:paraId="1BB2E92F" w14:textId="1A16D361" w:rsidR="00202DC9" w:rsidRPr="00511490" w:rsidRDefault="00511490" w:rsidP="00485E7C">
            <w:pPr>
              <w:pStyle w:val="Tabletext"/>
              <w:rPr>
                <w:sz w:val="24"/>
                <w:szCs w:val="24"/>
                <w:lang w:val="en-CA"/>
              </w:rPr>
            </w:pPr>
            <w:r>
              <w:rPr>
                <w:sz w:val="24"/>
                <w:szCs w:val="24"/>
                <w:lang w:val="en-CA"/>
              </w:rPr>
              <w:t xml:space="preserve">Events were estimated based on observed overall incidence rates multiplied by the estimated population size for each age group each year. In the base case, we assume that the </w:t>
            </w:r>
            <w:r w:rsidR="00C17396">
              <w:rPr>
                <w:sz w:val="24"/>
                <w:szCs w:val="24"/>
                <w:lang w:val="en-CA"/>
              </w:rPr>
              <w:t xml:space="preserve">IPD </w:t>
            </w:r>
            <w:r>
              <w:rPr>
                <w:sz w:val="24"/>
                <w:szCs w:val="24"/>
                <w:lang w:val="en-CA"/>
              </w:rPr>
              <w:t>data from TIBDN were representative of the Canadian population. We tested this assumption in scenario analysis including data from Quebec.</w:t>
            </w:r>
          </w:p>
        </w:tc>
      </w:tr>
      <w:tr w:rsidR="00C17396" w:rsidRPr="00511490" w14:paraId="1D1B7E10" w14:textId="77777777" w:rsidTr="00202DC9">
        <w:trPr>
          <w:cantSplit/>
        </w:trPr>
        <w:tc>
          <w:tcPr>
            <w:tcW w:w="5000" w:type="pct"/>
            <w:shd w:val="clear" w:color="auto" w:fill="auto"/>
          </w:tcPr>
          <w:p w14:paraId="4E0E7E98" w14:textId="5ADB7250" w:rsidR="00C17396" w:rsidRDefault="00C17396" w:rsidP="00485E7C">
            <w:pPr>
              <w:pStyle w:val="Tabletext"/>
              <w:rPr>
                <w:sz w:val="24"/>
                <w:szCs w:val="24"/>
                <w:lang w:val="en-CA"/>
              </w:rPr>
            </w:pPr>
            <w:r w:rsidRPr="00B561B8">
              <w:rPr>
                <w:rFonts w:eastAsia="Calibri"/>
                <w:sz w:val="24"/>
                <w:szCs w:val="24"/>
                <w:lang w:val="en-CA"/>
              </w:rPr>
              <w:t>Given that additional factors might have contributed to the observed decline in all-cause pneumonia, we assumed that only 50% of the observed reductions in incidence were attributable to PCVs</w:t>
            </w:r>
            <w:r>
              <w:rPr>
                <w:rFonts w:eastAsia="Calibri"/>
                <w:sz w:val="24"/>
                <w:szCs w:val="24"/>
                <w:lang w:val="en-CA"/>
              </w:rPr>
              <w:t>.</w:t>
            </w:r>
          </w:p>
        </w:tc>
      </w:tr>
      <w:tr w:rsidR="005A3DD9" w:rsidRPr="00511490" w14:paraId="61A01A0F" w14:textId="77777777" w:rsidTr="00202DC9">
        <w:trPr>
          <w:cantSplit/>
        </w:trPr>
        <w:tc>
          <w:tcPr>
            <w:tcW w:w="5000" w:type="pct"/>
            <w:shd w:val="clear" w:color="auto" w:fill="auto"/>
          </w:tcPr>
          <w:p w14:paraId="0A14F8F9" w14:textId="53C357BD" w:rsidR="005A3DD9" w:rsidRDefault="005A3DD9" w:rsidP="00485E7C">
            <w:pPr>
              <w:pStyle w:val="Tabletext"/>
              <w:rPr>
                <w:sz w:val="24"/>
                <w:szCs w:val="24"/>
                <w:lang w:val="en-CA"/>
              </w:rPr>
            </w:pPr>
            <w:r>
              <w:rPr>
                <w:sz w:val="24"/>
                <w:szCs w:val="24"/>
                <w:lang w:val="en-CA"/>
              </w:rPr>
              <w:t>For AOM, because we do not have data on the proportion of cases that were pneumococcal over time historically, and because there were no other AOM interventions introduced during this period, we assumed that all reductions in incidence of AOM were due to the pneumococcal vaccine program.</w:t>
            </w:r>
          </w:p>
        </w:tc>
      </w:tr>
      <w:tr w:rsidR="00202DC9" w:rsidRPr="00511490" w14:paraId="0BCD6CB7" w14:textId="77777777" w:rsidTr="00202DC9">
        <w:trPr>
          <w:cantSplit/>
        </w:trPr>
        <w:tc>
          <w:tcPr>
            <w:tcW w:w="5000" w:type="pct"/>
            <w:shd w:val="clear" w:color="auto" w:fill="auto"/>
          </w:tcPr>
          <w:p w14:paraId="6AA1B327" w14:textId="78E74309" w:rsidR="00202DC9" w:rsidRPr="00511490" w:rsidRDefault="00511490" w:rsidP="00485E7C">
            <w:pPr>
              <w:pStyle w:val="Tabletext"/>
              <w:rPr>
                <w:sz w:val="24"/>
                <w:szCs w:val="24"/>
                <w:lang w:val="en-CA"/>
              </w:rPr>
            </w:pPr>
            <w:r>
              <w:rPr>
                <w:sz w:val="24"/>
                <w:szCs w:val="24"/>
                <w:lang w:val="en-CA"/>
              </w:rPr>
              <w:t>For the scenario in which no vaccine was introduced, we assume the maximum observed historical incidence from 2001-2004 for all subsequent years (2005-2015), with no increase or decrease in incidence. We tested this assumption including three scenario analyses: using 2001 observed incidence; using 2004 observed incidence; and using the average incidence from 2001-2004.</w:t>
            </w:r>
          </w:p>
        </w:tc>
      </w:tr>
      <w:tr w:rsidR="00202DC9" w:rsidRPr="00511490" w14:paraId="4BD9ACAB" w14:textId="77777777" w:rsidTr="00202DC9">
        <w:trPr>
          <w:cantSplit/>
        </w:trPr>
        <w:tc>
          <w:tcPr>
            <w:tcW w:w="5000" w:type="pct"/>
            <w:shd w:val="clear" w:color="auto" w:fill="auto"/>
          </w:tcPr>
          <w:p w14:paraId="62D070DC" w14:textId="526D57CD" w:rsidR="00202DC9" w:rsidRPr="00511490" w:rsidRDefault="00511490" w:rsidP="00485E7C">
            <w:pPr>
              <w:pStyle w:val="Tabletext"/>
              <w:rPr>
                <w:sz w:val="24"/>
                <w:szCs w:val="24"/>
                <w:lang w:val="en-CA"/>
              </w:rPr>
            </w:pPr>
            <w:r>
              <w:rPr>
                <w:sz w:val="24"/>
                <w:szCs w:val="24"/>
                <w:lang w:val="en-CA"/>
              </w:rPr>
              <w:t>Due to limited data, we assumed IPD incidence for 2015 to be equal that of 2014.</w:t>
            </w:r>
          </w:p>
        </w:tc>
      </w:tr>
      <w:tr w:rsidR="00202DC9" w:rsidRPr="00511490" w14:paraId="1B160E77" w14:textId="77777777" w:rsidTr="00202DC9">
        <w:trPr>
          <w:cantSplit/>
        </w:trPr>
        <w:tc>
          <w:tcPr>
            <w:tcW w:w="5000" w:type="pct"/>
            <w:shd w:val="clear" w:color="auto" w:fill="auto"/>
          </w:tcPr>
          <w:p w14:paraId="78C1EDDD" w14:textId="5F1A44F9" w:rsidR="00202DC9" w:rsidRPr="00511490" w:rsidRDefault="00511490" w:rsidP="00485E7C">
            <w:pPr>
              <w:pStyle w:val="Tabletext"/>
              <w:rPr>
                <w:sz w:val="24"/>
                <w:szCs w:val="24"/>
                <w:lang w:val="en-CA"/>
              </w:rPr>
            </w:pPr>
            <w:r>
              <w:rPr>
                <w:sz w:val="24"/>
                <w:szCs w:val="24"/>
                <w:lang w:val="en-CA"/>
              </w:rPr>
              <w:t xml:space="preserve">For indirect costs, we considered only work days lost for the individual (if working age adult), parent (if a child), or caregiver (if over 65).  Travel costs and other indirect costs were conservative not considered. </w:t>
            </w:r>
          </w:p>
        </w:tc>
      </w:tr>
      <w:tr w:rsidR="00202DC9" w:rsidRPr="00B561B8" w14:paraId="18490AC3" w14:textId="77777777" w:rsidTr="00202DC9">
        <w:trPr>
          <w:cantSplit/>
        </w:trPr>
        <w:tc>
          <w:tcPr>
            <w:tcW w:w="5000" w:type="pct"/>
            <w:shd w:val="clear" w:color="auto" w:fill="auto"/>
          </w:tcPr>
          <w:p w14:paraId="2F26614C" w14:textId="2B1966CD" w:rsidR="00202DC9" w:rsidRPr="00511490" w:rsidRDefault="00511490" w:rsidP="00485E7C">
            <w:pPr>
              <w:pStyle w:val="Tabletext"/>
              <w:rPr>
                <w:sz w:val="24"/>
                <w:szCs w:val="24"/>
                <w:lang w:val="en-CA"/>
              </w:rPr>
            </w:pPr>
            <w:r>
              <w:rPr>
                <w:sz w:val="24"/>
                <w:szCs w:val="24"/>
                <w:lang w:val="en-CA"/>
              </w:rPr>
              <w:t>No costs related to disease sequelae were considered.</w:t>
            </w:r>
          </w:p>
        </w:tc>
      </w:tr>
    </w:tbl>
    <w:p w14:paraId="3066A517" w14:textId="589447FE" w:rsidR="008A5864" w:rsidRDefault="005A3DD9">
      <w:pPr>
        <w:rPr>
          <w:sz w:val="20"/>
        </w:rPr>
      </w:pPr>
      <w:r>
        <w:rPr>
          <w:sz w:val="20"/>
        </w:rPr>
        <w:t xml:space="preserve">AOM = acute otitis media; IPD = invasive pneumococcal disease; TIBDN = </w:t>
      </w:r>
      <w:r w:rsidR="00864F33" w:rsidRPr="00864F33">
        <w:rPr>
          <w:sz w:val="20"/>
        </w:rPr>
        <w:t>Toronto Invasive Bacterial Disease Network</w:t>
      </w:r>
      <w:r w:rsidR="00202DC9">
        <w:rPr>
          <w:sz w:val="20"/>
        </w:rPr>
        <w:t>.</w:t>
      </w:r>
    </w:p>
    <w:p w14:paraId="147F51FB" w14:textId="7378C513" w:rsidR="00202DC9" w:rsidRDefault="00202DC9">
      <w:pPr>
        <w:rPr>
          <w:sz w:val="20"/>
        </w:rPr>
      </w:pPr>
    </w:p>
    <w:p w14:paraId="7B2D6143" w14:textId="16F92ED2" w:rsidR="00202DC9" w:rsidRDefault="00202DC9">
      <w:pPr>
        <w:rPr>
          <w:sz w:val="20"/>
        </w:rPr>
      </w:pPr>
    </w:p>
    <w:p w14:paraId="7085DBEB" w14:textId="5A52B7F6" w:rsidR="00202DC9" w:rsidRDefault="00202DC9">
      <w:pPr>
        <w:rPr>
          <w:sz w:val="20"/>
        </w:rPr>
      </w:pPr>
    </w:p>
    <w:p w14:paraId="3268404B" w14:textId="6477549C" w:rsidR="00202DC9" w:rsidRDefault="00202DC9">
      <w:pPr>
        <w:rPr>
          <w:sz w:val="20"/>
        </w:rPr>
      </w:pPr>
    </w:p>
    <w:p w14:paraId="507EFAC8" w14:textId="3558D2EE" w:rsidR="00817886" w:rsidRPr="00B561B8" w:rsidRDefault="00817886" w:rsidP="00817886">
      <w:pPr>
        <w:pStyle w:val="tabfigtitle"/>
        <w:rPr>
          <w:sz w:val="24"/>
          <w:szCs w:val="24"/>
          <w:lang w:val="en-CA"/>
        </w:rPr>
      </w:pPr>
      <w:r>
        <w:rPr>
          <w:sz w:val="24"/>
          <w:szCs w:val="24"/>
          <w:lang w:val="en-CA"/>
        </w:rPr>
        <w:t>Figur</w:t>
      </w:r>
      <w:r w:rsidRPr="00B561B8">
        <w:rPr>
          <w:sz w:val="24"/>
          <w:szCs w:val="24"/>
          <w:lang w:val="en-CA"/>
        </w:rPr>
        <w:t xml:space="preserve">e </w:t>
      </w:r>
      <w:r>
        <w:rPr>
          <w:sz w:val="24"/>
          <w:szCs w:val="24"/>
          <w:lang w:val="en-CA"/>
        </w:rPr>
        <w:t>S1</w:t>
      </w:r>
      <w:r w:rsidR="005A3DD9">
        <w:rPr>
          <w:sz w:val="24"/>
          <w:szCs w:val="24"/>
          <w:lang w:val="en-CA"/>
        </w:rPr>
        <w:t>.</w:t>
      </w:r>
      <w:r w:rsidRPr="00B561B8">
        <w:rPr>
          <w:sz w:val="24"/>
          <w:szCs w:val="24"/>
          <w:lang w:val="en-CA"/>
        </w:rPr>
        <w:t xml:space="preserve"> </w:t>
      </w:r>
      <w:r>
        <w:rPr>
          <w:sz w:val="24"/>
          <w:szCs w:val="24"/>
          <w:lang w:val="en-CA"/>
        </w:rPr>
        <w:t>Incidence of invasive pneumococcal disease in Quebec, 2001-2014</w:t>
      </w:r>
    </w:p>
    <w:p w14:paraId="6AD6C856" w14:textId="2F82442A" w:rsidR="00202DC9" w:rsidRDefault="00202DC9">
      <w:r>
        <w:rPr>
          <w:noProof/>
        </w:rPr>
        <w:drawing>
          <wp:inline distT="0" distB="0" distL="0" distR="0" wp14:anchorId="0B6619F8" wp14:editId="64E002DE">
            <wp:extent cx="4584700" cy="2871470"/>
            <wp:effectExtent l="0" t="0" r="635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871470"/>
                    </a:xfrm>
                    <a:prstGeom prst="rect">
                      <a:avLst/>
                    </a:prstGeom>
                    <a:noFill/>
                  </pic:spPr>
                </pic:pic>
              </a:graphicData>
            </a:graphic>
          </wp:inline>
        </w:drawing>
      </w:r>
    </w:p>
    <w:p w14:paraId="337DBA27" w14:textId="3698ACA8" w:rsidR="00817886" w:rsidRPr="00864F33" w:rsidRDefault="00864F33">
      <w:pPr>
        <w:rPr>
          <w:sz w:val="20"/>
        </w:rPr>
      </w:pPr>
      <w:r w:rsidRPr="00147ACC">
        <w:rPr>
          <w:sz w:val="20"/>
        </w:rPr>
        <w:t xml:space="preserve">Source: Canadian incidence per 100,000 obtained from </w:t>
      </w:r>
      <w:proofErr w:type="spellStart"/>
      <w:r w:rsidRPr="00147ACC">
        <w:rPr>
          <w:sz w:val="20"/>
        </w:rPr>
        <w:t>Institut</w:t>
      </w:r>
      <w:proofErr w:type="spellEnd"/>
      <w:r w:rsidRPr="00147ACC">
        <w:rPr>
          <w:sz w:val="20"/>
        </w:rPr>
        <w:t xml:space="preserve"> National de </w:t>
      </w:r>
      <w:proofErr w:type="spellStart"/>
      <w:r w:rsidRPr="00147ACC">
        <w:rPr>
          <w:sz w:val="20"/>
        </w:rPr>
        <w:t>Sante</w:t>
      </w:r>
      <w:proofErr w:type="spellEnd"/>
      <w:r w:rsidRPr="00147ACC">
        <w:rPr>
          <w:sz w:val="20"/>
        </w:rPr>
        <w:t xml:space="preserve"> </w:t>
      </w:r>
      <w:proofErr w:type="spellStart"/>
      <w:r w:rsidRPr="00147ACC">
        <w:rPr>
          <w:sz w:val="20"/>
        </w:rPr>
        <w:t>Publique</w:t>
      </w:r>
      <w:proofErr w:type="spellEnd"/>
      <w:r w:rsidRPr="00147ACC">
        <w:rPr>
          <w:sz w:val="20"/>
        </w:rPr>
        <w:t xml:space="preserve"> Quebec (INSPQ). Laboratoire de santé publique du Québec. Rapport annuel 2000 Programme de surveillance du pneumocoque. PCV7 original market in Canada was 20Jun2001. </w:t>
      </w:r>
      <w:r w:rsidRPr="00864F33">
        <w:rPr>
          <w:sz w:val="20"/>
        </w:rPr>
        <w:t>Available at:  http://webprod5.hc-sc.gc.ca/dpd-bdpp/info.do?code=68040&amp;lang=eng. Accessed 31Aug16.  PCV10 original market date was 22May2009. Available at: http://webprod5.hc-sc.gc.ca/dpd-bdpp/dispatch-repartition.do?lang=eng. Accessed 31Aug16.  PCV13 original market in Canada was 01Mar2010. Available at: http://webprod5.hc-sc.gc.ca/dpd-bdpp/info.do?code=82074&amp;lang=eng. Accessed 31Aug16.</w:t>
      </w:r>
    </w:p>
    <w:p w14:paraId="3BF9A1A9" w14:textId="72BB9D58" w:rsidR="00817886" w:rsidRDefault="00817886"/>
    <w:p w14:paraId="76F3FC46" w14:textId="26D3D268" w:rsidR="00817886" w:rsidRPr="00B561B8" w:rsidRDefault="00817886" w:rsidP="00817886">
      <w:pPr>
        <w:pStyle w:val="tabfigtitle"/>
        <w:rPr>
          <w:sz w:val="24"/>
          <w:szCs w:val="24"/>
          <w:lang w:val="en-CA"/>
        </w:rPr>
      </w:pPr>
      <w:r w:rsidRPr="00B561B8">
        <w:rPr>
          <w:sz w:val="24"/>
          <w:szCs w:val="24"/>
          <w:lang w:val="en-CA"/>
        </w:rPr>
        <w:t xml:space="preserve">Table </w:t>
      </w:r>
      <w:r>
        <w:rPr>
          <w:sz w:val="24"/>
          <w:szCs w:val="24"/>
          <w:lang w:val="en-CA"/>
        </w:rPr>
        <w:t>S</w:t>
      </w:r>
      <w:r w:rsidR="005A3DD9">
        <w:rPr>
          <w:sz w:val="24"/>
          <w:szCs w:val="24"/>
          <w:lang w:val="en-CA"/>
        </w:rPr>
        <w:t>2.</w:t>
      </w:r>
      <w:r w:rsidRPr="00B561B8">
        <w:rPr>
          <w:sz w:val="24"/>
          <w:szCs w:val="24"/>
          <w:lang w:val="en-CA"/>
        </w:rPr>
        <w:t xml:space="preserve"> </w:t>
      </w:r>
      <w:r w:rsidR="005A3DD9">
        <w:rPr>
          <w:sz w:val="24"/>
          <w:szCs w:val="24"/>
          <w:lang w:val="en-CA"/>
        </w:rPr>
        <w:t>P</w:t>
      </w:r>
      <w:r w:rsidR="00864F33">
        <w:rPr>
          <w:sz w:val="24"/>
          <w:szCs w:val="24"/>
          <w:lang w:val="en-CA"/>
        </w:rPr>
        <w:t>ercentage</w:t>
      </w:r>
      <w:r w:rsidR="005A3DD9">
        <w:rPr>
          <w:sz w:val="24"/>
          <w:szCs w:val="24"/>
          <w:lang w:val="en-CA"/>
        </w:rPr>
        <w:t xml:space="preserve"> of the Ontario and Quebec population contributed by Quebec</w:t>
      </w:r>
    </w:p>
    <w:tbl>
      <w:tblPr>
        <w:tblW w:w="4785" w:type="pct"/>
        <w:tblInd w:w="108" w:type="dxa"/>
        <w:tblBorders>
          <w:top w:val="single" w:sz="12" w:space="0" w:color="000000"/>
          <w:bottom w:val="single" w:sz="12" w:space="0" w:color="000000"/>
          <w:insideH w:val="single" w:sz="2" w:space="0" w:color="DDDDDD"/>
        </w:tblBorders>
        <w:tblLayout w:type="fixed"/>
        <w:tblLook w:val="04A0" w:firstRow="1" w:lastRow="0" w:firstColumn="1" w:lastColumn="0" w:noHBand="0" w:noVBand="1"/>
      </w:tblPr>
      <w:tblGrid>
        <w:gridCol w:w="1155"/>
        <w:gridCol w:w="1300"/>
        <w:gridCol w:w="1301"/>
        <w:gridCol w:w="1301"/>
        <w:gridCol w:w="1301"/>
        <w:gridCol w:w="1301"/>
        <w:gridCol w:w="1299"/>
      </w:tblGrid>
      <w:tr w:rsidR="00864F33" w:rsidRPr="00B561B8" w14:paraId="204FAA81" w14:textId="77777777" w:rsidTr="00864F33">
        <w:trPr>
          <w:cantSplit/>
        </w:trPr>
        <w:tc>
          <w:tcPr>
            <w:tcW w:w="645" w:type="pct"/>
            <w:shd w:val="clear" w:color="000000" w:fill="E6E6E6"/>
            <w:vAlign w:val="bottom"/>
          </w:tcPr>
          <w:p w14:paraId="44C3C81C" w14:textId="77777777" w:rsidR="00864F33" w:rsidRDefault="00864F33" w:rsidP="00A17F71">
            <w:pPr>
              <w:pStyle w:val="Tableheadings"/>
              <w:rPr>
                <w:sz w:val="24"/>
                <w:szCs w:val="24"/>
                <w:lang w:val="en-CA"/>
              </w:rPr>
            </w:pPr>
          </w:p>
        </w:tc>
        <w:tc>
          <w:tcPr>
            <w:tcW w:w="4355" w:type="pct"/>
            <w:gridSpan w:val="6"/>
            <w:tcBorders>
              <w:top w:val="single" w:sz="12" w:space="0" w:color="auto"/>
              <w:bottom w:val="single" w:sz="2" w:space="0" w:color="DDDDDD"/>
            </w:tcBorders>
            <w:shd w:val="clear" w:color="000000" w:fill="E6E6E6"/>
            <w:vAlign w:val="bottom"/>
          </w:tcPr>
          <w:p w14:paraId="6D1D83A1" w14:textId="76A7C743" w:rsidR="00864F33" w:rsidRPr="00B561B8" w:rsidRDefault="00864F33" w:rsidP="00A17F71">
            <w:pPr>
              <w:pStyle w:val="Tablecolumnheadings"/>
              <w:rPr>
                <w:sz w:val="24"/>
                <w:szCs w:val="24"/>
                <w:lang w:val="en-CA"/>
              </w:rPr>
            </w:pPr>
            <w:r>
              <w:rPr>
                <w:sz w:val="24"/>
                <w:szCs w:val="24"/>
                <w:lang w:val="en-CA"/>
              </w:rPr>
              <w:t>Age Group (years)</w:t>
            </w:r>
          </w:p>
        </w:tc>
      </w:tr>
      <w:tr w:rsidR="005A3DD9" w:rsidRPr="00B561B8" w14:paraId="08D817C3" w14:textId="77777777" w:rsidTr="00864F33">
        <w:trPr>
          <w:cantSplit/>
        </w:trPr>
        <w:tc>
          <w:tcPr>
            <w:tcW w:w="645" w:type="pct"/>
            <w:shd w:val="clear" w:color="000000" w:fill="E6E6E6"/>
            <w:vAlign w:val="bottom"/>
            <w:hideMark/>
          </w:tcPr>
          <w:p w14:paraId="5492376C" w14:textId="00F8DCE1" w:rsidR="005A3DD9" w:rsidRPr="00B561B8" w:rsidRDefault="00864F33" w:rsidP="00A17F71">
            <w:pPr>
              <w:pStyle w:val="Tableheadings"/>
              <w:rPr>
                <w:sz w:val="24"/>
                <w:szCs w:val="24"/>
                <w:lang w:val="en-CA"/>
              </w:rPr>
            </w:pPr>
            <w:r>
              <w:rPr>
                <w:sz w:val="24"/>
                <w:szCs w:val="24"/>
                <w:lang w:val="en-CA"/>
              </w:rPr>
              <w:t>Year</w:t>
            </w:r>
          </w:p>
        </w:tc>
        <w:tc>
          <w:tcPr>
            <w:tcW w:w="726" w:type="pct"/>
            <w:tcBorders>
              <w:top w:val="single" w:sz="2" w:space="0" w:color="DDDDDD"/>
            </w:tcBorders>
            <w:shd w:val="clear" w:color="000000" w:fill="E6E6E6"/>
            <w:vAlign w:val="bottom"/>
            <w:hideMark/>
          </w:tcPr>
          <w:p w14:paraId="27515374" w14:textId="2FEBD7B6" w:rsidR="005A3DD9" w:rsidRPr="00B561B8" w:rsidRDefault="00864F33" w:rsidP="00A17F71">
            <w:pPr>
              <w:pStyle w:val="Tablecolumnheadings"/>
              <w:rPr>
                <w:sz w:val="24"/>
                <w:szCs w:val="24"/>
                <w:lang w:val="en-CA"/>
              </w:rPr>
            </w:pPr>
            <w:r>
              <w:rPr>
                <w:sz w:val="24"/>
                <w:szCs w:val="24"/>
                <w:lang w:val="en-CA"/>
              </w:rPr>
              <w:t>0</w:t>
            </w:r>
            <w:r w:rsidR="005A3DD9" w:rsidRPr="00B561B8">
              <w:rPr>
                <w:sz w:val="24"/>
                <w:szCs w:val="24"/>
                <w:lang w:val="en-CA"/>
              </w:rPr>
              <w:t>-4</w:t>
            </w:r>
          </w:p>
        </w:tc>
        <w:tc>
          <w:tcPr>
            <w:tcW w:w="726" w:type="pct"/>
            <w:tcBorders>
              <w:top w:val="single" w:sz="2" w:space="0" w:color="DDDDDD"/>
            </w:tcBorders>
            <w:shd w:val="clear" w:color="000000" w:fill="E6E6E6"/>
            <w:vAlign w:val="bottom"/>
            <w:hideMark/>
          </w:tcPr>
          <w:p w14:paraId="75FB5963" w14:textId="77777777" w:rsidR="005A3DD9" w:rsidRPr="00B561B8" w:rsidRDefault="005A3DD9" w:rsidP="00A17F71">
            <w:pPr>
              <w:pStyle w:val="Tablecolumnheadings"/>
              <w:rPr>
                <w:sz w:val="24"/>
                <w:szCs w:val="24"/>
                <w:lang w:val="en-CA"/>
              </w:rPr>
            </w:pPr>
            <w:r w:rsidRPr="00B561B8">
              <w:rPr>
                <w:sz w:val="24"/>
                <w:szCs w:val="24"/>
                <w:lang w:val="en-CA"/>
              </w:rPr>
              <w:t>5-17</w:t>
            </w:r>
          </w:p>
        </w:tc>
        <w:tc>
          <w:tcPr>
            <w:tcW w:w="726" w:type="pct"/>
            <w:tcBorders>
              <w:top w:val="single" w:sz="2" w:space="0" w:color="DDDDDD"/>
            </w:tcBorders>
            <w:shd w:val="clear" w:color="000000" w:fill="E6E6E6"/>
            <w:vAlign w:val="bottom"/>
            <w:hideMark/>
          </w:tcPr>
          <w:p w14:paraId="46A11969" w14:textId="77777777" w:rsidR="005A3DD9" w:rsidRPr="00B561B8" w:rsidRDefault="005A3DD9" w:rsidP="00A17F71">
            <w:pPr>
              <w:pStyle w:val="Tablecolumnheadings"/>
              <w:rPr>
                <w:sz w:val="24"/>
                <w:szCs w:val="24"/>
                <w:lang w:val="en-CA"/>
              </w:rPr>
            </w:pPr>
            <w:r w:rsidRPr="00B561B8">
              <w:rPr>
                <w:sz w:val="24"/>
                <w:szCs w:val="24"/>
                <w:lang w:val="en-CA"/>
              </w:rPr>
              <w:t>18-34</w:t>
            </w:r>
          </w:p>
        </w:tc>
        <w:tc>
          <w:tcPr>
            <w:tcW w:w="726" w:type="pct"/>
            <w:tcBorders>
              <w:top w:val="single" w:sz="2" w:space="0" w:color="DDDDDD"/>
            </w:tcBorders>
            <w:shd w:val="clear" w:color="000000" w:fill="E6E6E6"/>
            <w:vAlign w:val="bottom"/>
            <w:hideMark/>
          </w:tcPr>
          <w:p w14:paraId="2D58A118" w14:textId="77777777" w:rsidR="005A3DD9" w:rsidRPr="00B561B8" w:rsidRDefault="005A3DD9" w:rsidP="00A17F71">
            <w:pPr>
              <w:pStyle w:val="Tablecolumnheadings"/>
              <w:rPr>
                <w:sz w:val="24"/>
                <w:szCs w:val="24"/>
                <w:lang w:val="en-CA"/>
              </w:rPr>
            </w:pPr>
            <w:r w:rsidRPr="00B561B8">
              <w:rPr>
                <w:sz w:val="24"/>
                <w:szCs w:val="24"/>
                <w:lang w:val="en-CA"/>
              </w:rPr>
              <w:t>35-49</w:t>
            </w:r>
          </w:p>
        </w:tc>
        <w:tc>
          <w:tcPr>
            <w:tcW w:w="726" w:type="pct"/>
            <w:tcBorders>
              <w:top w:val="single" w:sz="2" w:space="0" w:color="DDDDDD"/>
            </w:tcBorders>
            <w:shd w:val="clear" w:color="000000" w:fill="E6E6E6"/>
            <w:vAlign w:val="bottom"/>
            <w:hideMark/>
          </w:tcPr>
          <w:p w14:paraId="3C28E84A" w14:textId="77777777" w:rsidR="005A3DD9" w:rsidRPr="00B561B8" w:rsidRDefault="005A3DD9" w:rsidP="00A17F71">
            <w:pPr>
              <w:pStyle w:val="Tablecolumnheadings"/>
              <w:rPr>
                <w:sz w:val="24"/>
                <w:szCs w:val="24"/>
                <w:lang w:val="en-CA"/>
              </w:rPr>
            </w:pPr>
            <w:r w:rsidRPr="00B561B8">
              <w:rPr>
                <w:sz w:val="24"/>
                <w:szCs w:val="24"/>
                <w:lang w:val="en-CA"/>
              </w:rPr>
              <w:t>50-64</w:t>
            </w:r>
          </w:p>
        </w:tc>
        <w:tc>
          <w:tcPr>
            <w:tcW w:w="725" w:type="pct"/>
            <w:tcBorders>
              <w:top w:val="single" w:sz="2" w:space="0" w:color="DDDDDD"/>
            </w:tcBorders>
            <w:shd w:val="clear" w:color="000000" w:fill="E6E6E6"/>
            <w:vAlign w:val="bottom"/>
            <w:hideMark/>
          </w:tcPr>
          <w:p w14:paraId="08643F2B" w14:textId="77777777" w:rsidR="005A3DD9" w:rsidRPr="00B561B8" w:rsidRDefault="005A3DD9" w:rsidP="00A17F71">
            <w:pPr>
              <w:pStyle w:val="Tablecolumnheadings"/>
              <w:rPr>
                <w:sz w:val="24"/>
                <w:szCs w:val="24"/>
                <w:lang w:val="en-CA"/>
              </w:rPr>
            </w:pPr>
            <w:r w:rsidRPr="00B561B8">
              <w:rPr>
                <w:sz w:val="24"/>
                <w:szCs w:val="24"/>
                <w:lang w:val="en-CA"/>
              </w:rPr>
              <w:t>≥ 65</w:t>
            </w:r>
          </w:p>
        </w:tc>
      </w:tr>
      <w:tr w:rsidR="00864F33" w:rsidRPr="00B561B8" w14:paraId="07AE103F" w14:textId="77777777" w:rsidTr="00864F33">
        <w:trPr>
          <w:cantSplit/>
        </w:trPr>
        <w:tc>
          <w:tcPr>
            <w:tcW w:w="645" w:type="pct"/>
            <w:shd w:val="clear" w:color="auto" w:fill="auto"/>
          </w:tcPr>
          <w:p w14:paraId="65143DB9" w14:textId="4333FD83" w:rsidR="00864F33" w:rsidRPr="00B561B8" w:rsidRDefault="00864F33" w:rsidP="00864F33">
            <w:pPr>
              <w:pStyle w:val="Tabletext"/>
              <w:rPr>
                <w:sz w:val="24"/>
                <w:szCs w:val="24"/>
                <w:lang w:val="en-CA"/>
              </w:rPr>
            </w:pPr>
            <w:r>
              <w:rPr>
                <w:sz w:val="24"/>
                <w:szCs w:val="24"/>
                <w:lang w:val="en-CA"/>
              </w:rPr>
              <w:t>2001</w:t>
            </w:r>
          </w:p>
        </w:tc>
        <w:tc>
          <w:tcPr>
            <w:tcW w:w="726" w:type="pct"/>
            <w:shd w:val="clear" w:color="auto" w:fill="auto"/>
            <w:vAlign w:val="bottom"/>
          </w:tcPr>
          <w:p w14:paraId="52A16677" w14:textId="28318D5C" w:rsidR="00864F33" w:rsidRPr="00864F33" w:rsidRDefault="00864F33" w:rsidP="00864F33">
            <w:pPr>
              <w:pStyle w:val="Tabletext"/>
              <w:jc w:val="center"/>
              <w:rPr>
                <w:sz w:val="24"/>
                <w:szCs w:val="24"/>
                <w:lang w:val="en-CA"/>
              </w:rPr>
            </w:pPr>
            <w:r w:rsidRPr="00864F33">
              <w:rPr>
                <w:color w:val="000000"/>
                <w:sz w:val="24"/>
                <w:szCs w:val="24"/>
              </w:rPr>
              <w:t>36.17%</w:t>
            </w:r>
          </w:p>
        </w:tc>
        <w:tc>
          <w:tcPr>
            <w:tcW w:w="726" w:type="pct"/>
            <w:shd w:val="clear" w:color="auto" w:fill="auto"/>
            <w:vAlign w:val="bottom"/>
          </w:tcPr>
          <w:p w14:paraId="14E4CE3B" w14:textId="1008C7A9" w:rsidR="00864F33" w:rsidRPr="00864F33" w:rsidRDefault="00864F33" w:rsidP="00864F33">
            <w:pPr>
              <w:pStyle w:val="Tabletext"/>
              <w:jc w:val="center"/>
              <w:rPr>
                <w:sz w:val="24"/>
                <w:szCs w:val="24"/>
                <w:lang w:val="en-CA"/>
              </w:rPr>
            </w:pPr>
            <w:r w:rsidRPr="00864F33">
              <w:rPr>
                <w:color w:val="000000"/>
                <w:sz w:val="24"/>
                <w:szCs w:val="24"/>
              </w:rPr>
              <w:t>36.19%</w:t>
            </w:r>
          </w:p>
        </w:tc>
        <w:tc>
          <w:tcPr>
            <w:tcW w:w="726" w:type="pct"/>
            <w:shd w:val="clear" w:color="auto" w:fill="auto"/>
            <w:vAlign w:val="bottom"/>
          </w:tcPr>
          <w:p w14:paraId="28C86F99" w14:textId="3BE04B94" w:rsidR="00864F33" w:rsidRPr="00864F33" w:rsidRDefault="00864F33" w:rsidP="00864F33">
            <w:pPr>
              <w:pStyle w:val="Tabletext"/>
              <w:jc w:val="center"/>
              <w:rPr>
                <w:sz w:val="24"/>
                <w:szCs w:val="24"/>
                <w:lang w:val="en-CA"/>
              </w:rPr>
            </w:pPr>
            <w:r w:rsidRPr="00864F33">
              <w:rPr>
                <w:color w:val="000000"/>
                <w:sz w:val="24"/>
                <w:szCs w:val="24"/>
              </w:rPr>
              <w:t>37.49%</w:t>
            </w:r>
          </w:p>
        </w:tc>
        <w:tc>
          <w:tcPr>
            <w:tcW w:w="726" w:type="pct"/>
            <w:shd w:val="clear" w:color="auto" w:fill="auto"/>
            <w:vAlign w:val="bottom"/>
          </w:tcPr>
          <w:p w14:paraId="2C6E02F8" w14:textId="26C0348C" w:rsidR="00864F33" w:rsidRPr="00864F33" w:rsidRDefault="00864F33" w:rsidP="00864F33">
            <w:pPr>
              <w:pStyle w:val="Tabletext"/>
              <w:jc w:val="center"/>
              <w:rPr>
                <w:sz w:val="24"/>
                <w:szCs w:val="24"/>
                <w:lang w:val="en-CA"/>
              </w:rPr>
            </w:pPr>
            <w:r w:rsidRPr="00864F33">
              <w:rPr>
                <w:color w:val="000000"/>
                <w:sz w:val="24"/>
                <w:szCs w:val="24"/>
              </w:rPr>
              <w:t>38.90%</w:t>
            </w:r>
          </w:p>
        </w:tc>
        <w:tc>
          <w:tcPr>
            <w:tcW w:w="726" w:type="pct"/>
            <w:shd w:val="clear" w:color="auto" w:fill="auto"/>
            <w:vAlign w:val="bottom"/>
          </w:tcPr>
          <w:p w14:paraId="1374BB63" w14:textId="36ACB926" w:rsidR="00864F33" w:rsidRPr="00864F33" w:rsidRDefault="00864F33" w:rsidP="00864F33">
            <w:pPr>
              <w:pStyle w:val="Tabletext"/>
              <w:jc w:val="center"/>
              <w:rPr>
                <w:sz w:val="24"/>
                <w:szCs w:val="24"/>
                <w:lang w:val="en-CA"/>
              </w:rPr>
            </w:pPr>
            <w:r w:rsidRPr="00864F33">
              <w:rPr>
                <w:color w:val="000000"/>
                <w:sz w:val="24"/>
                <w:szCs w:val="24"/>
              </w:rPr>
              <w:t>40.64%</w:t>
            </w:r>
          </w:p>
        </w:tc>
        <w:tc>
          <w:tcPr>
            <w:tcW w:w="725" w:type="pct"/>
            <w:shd w:val="clear" w:color="auto" w:fill="auto"/>
            <w:vAlign w:val="bottom"/>
          </w:tcPr>
          <w:p w14:paraId="00458FE6" w14:textId="1B47BBED" w:rsidR="00864F33" w:rsidRPr="00864F33" w:rsidRDefault="00864F33" w:rsidP="00864F33">
            <w:pPr>
              <w:pStyle w:val="Tabletext"/>
              <w:jc w:val="center"/>
              <w:rPr>
                <w:sz w:val="24"/>
                <w:szCs w:val="24"/>
                <w:lang w:val="en-CA"/>
              </w:rPr>
            </w:pPr>
            <w:r w:rsidRPr="00864F33">
              <w:rPr>
                <w:color w:val="000000"/>
                <w:sz w:val="24"/>
                <w:szCs w:val="24"/>
              </w:rPr>
              <w:t>39.30%</w:t>
            </w:r>
          </w:p>
        </w:tc>
      </w:tr>
      <w:tr w:rsidR="00864F33" w:rsidRPr="00B561B8" w14:paraId="5FE21699" w14:textId="77777777" w:rsidTr="00864F33">
        <w:trPr>
          <w:cantSplit/>
        </w:trPr>
        <w:tc>
          <w:tcPr>
            <w:tcW w:w="645" w:type="pct"/>
            <w:shd w:val="clear" w:color="auto" w:fill="auto"/>
          </w:tcPr>
          <w:p w14:paraId="3711FBA7" w14:textId="6184BE9E" w:rsidR="00864F33" w:rsidRPr="00B561B8" w:rsidRDefault="00864F33" w:rsidP="00864F33">
            <w:pPr>
              <w:pStyle w:val="Tabletext"/>
              <w:rPr>
                <w:sz w:val="24"/>
                <w:szCs w:val="24"/>
                <w:lang w:val="en-CA"/>
              </w:rPr>
            </w:pPr>
            <w:r>
              <w:rPr>
                <w:sz w:val="24"/>
                <w:szCs w:val="24"/>
                <w:lang w:val="en-CA"/>
              </w:rPr>
              <w:t>2002</w:t>
            </w:r>
          </w:p>
        </w:tc>
        <w:tc>
          <w:tcPr>
            <w:tcW w:w="726" w:type="pct"/>
            <w:shd w:val="clear" w:color="auto" w:fill="auto"/>
            <w:vAlign w:val="bottom"/>
            <w:hideMark/>
          </w:tcPr>
          <w:p w14:paraId="5BFAC927" w14:textId="0B2B9051" w:rsidR="00864F33" w:rsidRPr="00864F33" w:rsidRDefault="00864F33" w:rsidP="00864F33">
            <w:pPr>
              <w:pStyle w:val="Tabletext"/>
              <w:jc w:val="center"/>
              <w:rPr>
                <w:sz w:val="24"/>
                <w:szCs w:val="24"/>
                <w:lang w:val="en-CA"/>
              </w:rPr>
            </w:pPr>
            <w:r w:rsidRPr="00864F33">
              <w:rPr>
                <w:color w:val="000000"/>
                <w:sz w:val="24"/>
                <w:szCs w:val="24"/>
              </w:rPr>
              <w:t>36.02%</w:t>
            </w:r>
          </w:p>
        </w:tc>
        <w:tc>
          <w:tcPr>
            <w:tcW w:w="726" w:type="pct"/>
            <w:shd w:val="clear" w:color="auto" w:fill="auto"/>
            <w:vAlign w:val="bottom"/>
            <w:hideMark/>
          </w:tcPr>
          <w:p w14:paraId="3F03C0D3" w14:textId="01F5F82A" w:rsidR="00864F33" w:rsidRPr="00864F33" w:rsidRDefault="00864F33" w:rsidP="00864F33">
            <w:pPr>
              <w:pStyle w:val="Tabletext"/>
              <w:jc w:val="center"/>
              <w:rPr>
                <w:sz w:val="24"/>
                <w:szCs w:val="24"/>
                <w:lang w:val="en-CA"/>
              </w:rPr>
            </w:pPr>
            <w:r w:rsidRPr="00864F33">
              <w:rPr>
                <w:color w:val="000000"/>
                <w:sz w:val="24"/>
                <w:szCs w:val="24"/>
              </w:rPr>
              <w:t>35.92%</w:t>
            </w:r>
          </w:p>
        </w:tc>
        <w:tc>
          <w:tcPr>
            <w:tcW w:w="726" w:type="pct"/>
            <w:shd w:val="clear" w:color="auto" w:fill="auto"/>
            <w:vAlign w:val="bottom"/>
            <w:hideMark/>
          </w:tcPr>
          <w:p w14:paraId="0E092876" w14:textId="69F89EA1" w:rsidR="00864F33" w:rsidRPr="00864F33" w:rsidRDefault="00864F33" w:rsidP="00864F33">
            <w:pPr>
              <w:pStyle w:val="Tabletext"/>
              <w:jc w:val="center"/>
              <w:rPr>
                <w:sz w:val="24"/>
                <w:szCs w:val="24"/>
                <w:lang w:val="en-CA"/>
              </w:rPr>
            </w:pPr>
            <w:r w:rsidRPr="00864F33">
              <w:rPr>
                <w:color w:val="000000"/>
                <w:sz w:val="24"/>
                <w:szCs w:val="24"/>
              </w:rPr>
              <w:t>37.21%</w:t>
            </w:r>
          </w:p>
        </w:tc>
        <w:tc>
          <w:tcPr>
            <w:tcW w:w="726" w:type="pct"/>
            <w:shd w:val="clear" w:color="auto" w:fill="auto"/>
            <w:vAlign w:val="bottom"/>
            <w:hideMark/>
          </w:tcPr>
          <w:p w14:paraId="1061E720" w14:textId="19A90F3B" w:rsidR="00864F33" w:rsidRPr="00864F33" w:rsidRDefault="00864F33" w:rsidP="00864F33">
            <w:pPr>
              <w:pStyle w:val="Tabletext"/>
              <w:jc w:val="center"/>
              <w:rPr>
                <w:sz w:val="24"/>
                <w:szCs w:val="24"/>
                <w:lang w:val="en-CA"/>
              </w:rPr>
            </w:pPr>
            <w:r w:rsidRPr="00864F33">
              <w:rPr>
                <w:color w:val="000000"/>
                <w:sz w:val="24"/>
                <w:szCs w:val="24"/>
              </w:rPr>
              <w:t>38.48%</w:t>
            </w:r>
          </w:p>
        </w:tc>
        <w:tc>
          <w:tcPr>
            <w:tcW w:w="726" w:type="pct"/>
            <w:shd w:val="clear" w:color="auto" w:fill="auto"/>
            <w:vAlign w:val="bottom"/>
            <w:hideMark/>
          </w:tcPr>
          <w:p w14:paraId="16EC6934" w14:textId="4CC74B61" w:rsidR="00864F33" w:rsidRPr="00864F33" w:rsidRDefault="00864F33" w:rsidP="00864F33">
            <w:pPr>
              <w:pStyle w:val="Tabletext"/>
              <w:jc w:val="center"/>
              <w:rPr>
                <w:sz w:val="24"/>
                <w:szCs w:val="24"/>
                <w:lang w:val="en-CA"/>
              </w:rPr>
            </w:pPr>
            <w:r w:rsidRPr="00864F33">
              <w:rPr>
                <w:color w:val="000000"/>
                <w:sz w:val="24"/>
                <w:szCs w:val="24"/>
              </w:rPr>
              <w:t>40.50%</w:t>
            </w:r>
          </w:p>
        </w:tc>
        <w:tc>
          <w:tcPr>
            <w:tcW w:w="725" w:type="pct"/>
            <w:shd w:val="clear" w:color="auto" w:fill="auto"/>
            <w:vAlign w:val="bottom"/>
            <w:hideMark/>
          </w:tcPr>
          <w:p w14:paraId="068CBAAC" w14:textId="62B64025" w:rsidR="00864F33" w:rsidRPr="00864F33" w:rsidRDefault="00864F33" w:rsidP="00864F33">
            <w:pPr>
              <w:pStyle w:val="Tabletext"/>
              <w:jc w:val="center"/>
              <w:rPr>
                <w:sz w:val="24"/>
                <w:szCs w:val="24"/>
                <w:lang w:val="en-CA"/>
              </w:rPr>
            </w:pPr>
            <w:r w:rsidRPr="00864F33">
              <w:rPr>
                <w:color w:val="000000"/>
                <w:sz w:val="24"/>
                <w:szCs w:val="24"/>
              </w:rPr>
              <w:t>39.16%</w:t>
            </w:r>
          </w:p>
        </w:tc>
      </w:tr>
      <w:tr w:rsidR="00864F33" w:rsidRPr="00B561B8" w14:paraId="57AA6774" w14:textId="77777777" w:rsidTr="00864F33">
        <w:trPr>
          <w:cantSplit/>
        </w:trPr>
        <w:tc>
          <w:tcPr>
            <w:tcW w:w="645" w:type="pct"/>
            <w:shd w:val="clear" w:color="auto" w:fill="auto"/>
          </w:tcPr>
          <w:p w14:paraId="7F89DBAC" w14:textId="129558B3" w:rsidR="00864F33" w:rsidRPr="00B561B8" w:rsidRDefault="00864F33" w:rsidP="00864F33">
            <w:pPr>
              <w:pStyle w:val="Tabletext"/>
              <w:rPr>
                <w:sz w:val="24"/>
                <w:szCs w:val="24"/>
                <w:lang w:val="en-CA"/>
              </w:rPr>
            </w:pPr>
            <w:r>
              <w:rPr>
                <w:sz w:val="24"/>
                <w:szCs w:val="24"/>
                <w:lang w:val="en-CA"/>
              </w:rPr>
              <w:t>2003</w:t>
            </w:r>
          </w:p>
        </w:tc>
        <w:tc>
          <w:tcPr>
            <w:tcW w:w="726" w:type="pct"/>
            <w:shd w:val="clear" w:color="auto" w:fill="auto"/>
            <w:vAlign w:val="bottom"/>
          </w:tcPr>
          <w:p w14:paraId="07062447" w14:textId="04C7BC83" w:rsidR="00864F33" w:rsidRPr="00864F33" w:rsidRDefault="00864F33" w:rsidP="00864F33">
            <w:pPr>
              <w:pStyle w:val="Tabletext"/>
              <w:jc w:val="center"/>
              <w:rPr>
                <w:sz w:val="24"/>
                <w:szCs w:val="24"/>
                <w:lang w:val="en-CA"/>
              </w:rPr>
            </w:pPr>
            <w:r w:rsidRPr="00864F33">
              <w:rPr>
                <w:color w:val="000000"/>
                <w:sz w:val="24"/>
                <w:szCs w:val="24"/>
              </w:rPr>
              <w:t>36.00%</w:t>
            </w:r>
          </w:p>
        </w:tc>
        <w:tc>
          <w:tcPr>
            <w:tcW w:w="726" w:type="pct"/>
            <w:shd w:val="clear" w:color="auto" w:fill="auto"/>
            <w:vAlign w:val="bottom"/>
          </w:tcPr>
          <w:p w14:paraId="11AA62CE" w14:textId="7D97A4BC" w:rsidR="00864F33" w:rsidRPr="00864F33" w:rsidRDefault="00864F33" w:rsidP="00864F33">
            <w:pPr>
              <w:pStyle w:val="Tabletext"/>
              <w:jc w:val="center"/>
              <w:rPr>
                <w:sz w:val="24"/>
                <w:szCs w:val="24"/>
                <w:lang w:val="en-CA"/>
              </w:rPr>
            </w:pPr>
            <w:r w:rsidRPr="00864F33">
              <w:rPr>
                <w:color w:val="000000"/>
                <w:sz w:val="24"/>
                <w:szCs w:val="24"/>
              </w:rPr>
              <w:t>35.81%</w:t>
            </w:r>
          </w:p>
        </w:tc>
        <w:tc>
          <w:tcPr>
            <w:tcW w:w="726" w:type="pct"/>
            <w:shd w:val="clear" w:color="auto" w:fill="auto"/>
            <w:vAlign w:val="bottom"/>
          </w:tcPr>
          <w:p w14:paraId="509D365A" w14:textId="3D97B483" w:rsidR="00864F33" w:rsidRPr="00864F33" w:rsidRDefault="00864F33" w:rsidP="00864F33">
            <w:pPr>
              <w:pStyle w:val="Tabletext"/>
              <w:jc w:val="center"/>
              <w:rPr>
                <w:sz w:val="24"/>
                <w:szCs w:val="24"/>
                <w:lang w:val="en-CA"/>
              </w:rPr>
            </w:pPr>
            <w:r w:rsidRPr="00864F33">
              <w:rPr>
                <w:color w:val="000000"/>
                <w:sz w:val="24"/>
                <w:szCs w:val="24"/>
              </w:rPr>
              <w:t>37.05%</w:t>
            </w:r>
          </w:p>
        </w:tc>
        <w:tc>
          <w:tcPr>
            <w:tcW w:w="726" w:type="pct"/>
            <w:shd w:val="clear" w:color="auto" w:fill="auto"/>
            <w:vAlign w:val="bottom"/>
          </w:tcPr>
          <w:p w14:paraId="3A3AF968" w14:textId="7FF4D4EF" w:rsidR="00864F33" w:rsidRPr="00864F33" w:rsidRDefault="00864F33" w:rsidP="00864F33">
            <w:pPr>
              <w:pStyle w:val="Tabletext"/>
              <w:jc w:val="center"/>
              <w:rPr>
                <w:sz w:val="24"/>
                <w:szCs w:val="24"/>
                <w:lang w:val="en-CA"/>
              </w:rPr>
            </w:pPr>
            <w:r w:rsidRPr="00864F33">
              <w:rPr>
                <w:color w:val="000000"/>
                <w:sz w:val="24"/>
                <w:szCs w:val="24"/>
              </w:rPr>
              <w:t>38.13%</w:t>
            </w:r>
          </w:p>
        </w:tc>
        <w:tc>
          <w:tcPr>
            <w:tcW w:w="726" w:type="pct"/>
            <w:shd w:val="clear" w:color="auto" w:fill="auto"/>
            <w:vAlign w:val="bottom"/>
          </w:tcPr>
          <w:p w14:paraId="037ED50A" w14:textId="6E99E2BC" w:rsidR="00864F33" w:rsidRPr="00864F33" w:rsidRDefault="00864F33" w:rsidP="00864F33">
            <w:pPr>
              <w:pStyle w:val="Tabletext"/>
              <w:jc w:val="center"/>
              <w:rPr>
                <w:sz w:val="24"/>
                <w:szCs w:val="24"/>
                <w:lang w:val="en-CA"/>
              </w:rPr>
            </w:pPr>
            <w:r w:rsidRPr="00864F33">
              <w:rPr>
                <w:color w:val="000000"/>
                <w:sz w:val="24"/>
                <w:szCs w:val="24"/>
              </w:rPr>
              <w:t>40.38%</w:t>
            </w:r>
          </w:p>
        </w:tc>
        <w:tc>
          <w:tcPr>
            <w:tcW w:w="725" w:type="pct"/>
            <w:shd w:val="clear" w:color="auto" w:fill="auto"/>
            <w:vAlign w:val="bottom"/>
          </w:tcPr>
          <w:p w14:paraId="33BF9456" w14:textId="209C47B3" w:rsidR="00864F33" w:rsidRPr="00864F33" w:rsidRDefault="00864F33" w:rsidP="00864F33">
            <w:pPr>
              <w:pStyle w:val="Tabletext"/>
              <w:jc w:val="center"/>
              <w:rPr>
                <w:sz w:val="24"/>
                <w:szCs w:val="24"/>
                <w:lang w:val="en-CA"/>
              </w:rPr>
            </w:pPr>
            <w:r w:rsidRPr="00864F33">
              <w:rPr>
                <w:color w:val="000000"/>
                <w:sz w:val="24"/>
                <w:szCs w:val="24"/>
              </w:rPr>
              <w:t>39.09%</w:t>
            </w:r>
          </w:p>
        </w:tc>
      </w:tr>
      <w:tr w:rsidR="00864F33" w:rsidRPr="00B561B8" w14:paraId="7CC15C97" w14:textId="77777777" w:rsidTr="00864F33">
        <w:trPr>
          <w:cantSplit/>
        </w:trPr>
        <w:tc>
          <w:tcPr>
            <w:tcW w:w="645" w:type="pct"/>
            <w:shd w:val="clear" w:color="auto" w:fill="auto"/>
            <w:noWrap/>
          </w:tcPr>
          <w:p w14:paraId="2ED86EFC" w14:textId="4802496D" w:rsidR="00864F33" w:rsidRPr="00B561B8" w:rsidRDefault="00864F33" w:rsidP="00864F33">
            <w:pPr>
              <w:pStyle w:val="Tabletext"/>
              <w:rPr>
                <w:sz w:val="24"/>
                <w:szCs w:val="24"/>
                <w:lang w:val="en-CA"/>
              </w:rPr>
            </w:pPr>
            <w:r>
              <w:rPr>
                <w:sz w:val="24"/>
                <w:szCs w:val="24"/>
                <w:lang w:val="en-CA"/>
              </w:rPr>
              <w:t>2004</w:t>
            </w:r>
          </w:p>
        </w:tc>
        <w:tc>
          <w:tcPr>
            <w:tcW w:w="726" w:type="pct"/>
            <w:shd w:val="clear" w:color="auto" w:fill="auto"/>
            <w:noWrap/>
            <w:vAlign w:val="bottom"/>
          </w:tcPr>
          <w:p w14:paraId="1E1D0640" w14:textId="26776C2E" w:rsidR="00864F33" w:rsidRPr="00864F33" w:rsidRDefault="00864F33" w:rsidP="00864F33">
            <w:pPr>
              <w:pStyle w:val="Tabletext"/>
              <w:jc w:val="center"/>
              <w:rPr>
                <w:sz w:val="24"/>
                <w:szCs w:val="24"/>
                <w:lang w:val="en-CA"/>
              </w:rPr>
            </w:pPr>
            <w:r w:rsidRPr="00864F33">
              <w:rPr>
                <w:color w:val="000000"/>
                <w:sz w:val="24"/>
                <w:szCs w:val="24"/>
              </w:rPr>
              <w:t>35.96%</w:t>
            </w:r>
          </w:p>
        </w:tc>
        <w:tc>
          <w:tcPr>
            <w:tcW w:w="726" w:type="pct"/>
            <w:shd w:val="clear" w:color="auto" w:fill="auto"/>
            <w:noWrap/>
            <w:vAlign w:val="bottom"/>
          </w:tcPr>
          <w:p w14:paraId="5A857F9E" w14:textId="4E7DE57F" w:rsidR="00864F33" w:rsidRPr="00864F33" w:rsidRDefault="00864F33" w:rsidP="00864F33">
            <w:pPr>
              <w:pStyle w:val="Tabletext"/>
              <w:jc w:val="center"/>
              <w:rPr>
                <w:sz w:val="24"/>
                <w:szCs w:val="24"/>
                <w:lang w:val="en-CA"/>
              </w:rPr>
            </w:pPr>
            <w:r w:rsidRPr="00864F33">
              <w:rPr>
                <w:color w:val="000000"/>
                <w:sz w:val="24"/>
                <w:szCs w:val="24"/>
              </w:rPr>
              <w:t>35.74%</w:t>
            </w:r>
          </w:p>
        </w:tc>
        <w:tc>
          <w:tcPr>
            <w:tcW w:w="726" w:type="pct"/>
            <w:shd w:val="clear" w:color="auto" w:fill="auto"/>
            <w:noWrap/>
            <w:vAlign w:val="bottom"/>
          </w:tcPr>
          <w:p w14:paraId="4E7DBD58" w14:textId="4EDA093C" w:rsidR="00864F33" w:rsidRPr="00864F33" w:rsidRDefault="00864F33" w:rsidP="00864F33">
            <w:pPr>
              <w:pStyle w:val="Tabletext"/>
              <w:jc w:val="center"/>
              <w:rPr>
                <w:sz w:val="24"/>
                <w:szCs w:val="24"/>
                <w:lang w:val="en-CA"/>
              </w:rPr>
            </w:pPr>
            <w:r w:rsidRPr="00864F33">
              <w:rPr>
                <w:color w:val="000000"/>
                <w:sz w:val="24"/>
                <w:szCs w:val="24"/>
              </w:rPr>
              <w:t>36.97%</w:t>
            </w:r>
          </w:p>
        </w:tc>
        <w:tc>
          <w:tcPr>
            <w:tcW w:w="726" w:type="pct"/>
            <w:shd w:val="clear" w:color="auto" w:fill="auto"/>
            <w:noWrap/>
            <w:vAlign w:val="bottom"/>
          </w:tcPr>
          <w:p w14:paraId="48D5B6DB" w14:textId="1DA1234F" w:rsidR="00864F33" w:rsidRPr="00864F33" w:rsidRDefault="00864F33" w:rsidP="00864F33">
            <w:pPr>
              <w:pStyle w:val="Tabletext"/>
              <w:jc w:val="center"/>
              <w:rPr>
                <w:sz w:val="24"/>
                <w:szCs w:val="24"/>
                <w:lang w:val="en-CA"/>
              </w:rPr>
            </w:pPr>
            <w:r w:rsidRPr="00864F33">
              <w:rPr>
                <w:color w:val="000000"/>
                <w:sz w:val="24"/>
                <w:szCs w:val="24"/>
              </w:rPr>
              <w:t>37.77%</w:t>
            </w:r>
          </w:p>
        </w:tc>
        <w:tc>
          <w:tcPr>
            <w:tcW w:w="726" w:type="pct"/>
            <w:shd w:val="clear" w:color="auto" w:fill="auto"/>
            <w:noWrap/>
            <w:vAlign w:val="bottom"/>
          </w:tcPr>
          <w:p w14:paraId="49D4B9E3" w14:textId="49D43F60" w:rsidR="00864F33" w:rsidRPr="00864F33" w:rsidRDefault="00864F33" w:rsidP="00864F33">
            <w:pPr>
              <w:pStyle w:val="Tabletext"/>
              <w:jc w:val="center"/>
              <w:rPr>
                <w:sz w:val="24"/>
                <w:szCs w:val="24"/>
                <w:lang w:val="en-CA"/>
              </w:rPr>
            </w:pPr>
            <w:r w:rsidRPr="00864F33">
              <w:rPr>
                <w:color w:val="000000"/>
                <w:sz w:val="24"/>
                <w:szCs w:val="24"/>
              </w:rPr>
              <w:t>40.23%</w:t>
            </w:r>
          </w:p>
        </w:tc>
        <w:tc>
          <w:tcPr>
            <w:tcW w:w="725" w:type="pct"/>
            <w:shd w:val="clear" w:color="auto" w:fill="auto"/>
            <w:noWrap/>
            <w:vAlign w:val="bottom"/>
          </w:tcPr>
          <w:p w14:paraId="00EC1A80" w14:textId="6E90301F" w:rsidR="00864F33" w:rsidRPr="00864F33" w:rsidRDefault="00864F33" w:rsidP="00864F33">
            <w:pPr>
              <w:pStyle w:val="Tabletext"/>
              <w:jc w:val="center"/>
              <w:rPr>
                <w:sz w:val="24"/>
                <w:szCs w:val="24"/>
                <w:lang w:val="en-CA"/>
              </w:rPr>
            </w:pPr>
            <w:r w:rsidRPr="00864F33">
              <w:rPr>
                <w:color w:val="000000"/>
                <w:sz w:val="24"/>
                <w:szCs w:val="24"/>
              </w:rPr>
              <w:t>39.02%</w:t>
            </w:r>
          </w:p>
        </w:tc>
      </w:tr>
      <w:tr w:rsidR="00864F33" w:rsidRPr="00B561B8" w14:paraId="4A05F836" w14:textId="77777777" w:rsidTr="00864F33">
        <w:trPr>
          <w:cantSplit/>
        </w:trPr>
        <w:tc>
          <w:tcPr>
            <w:tcW w:w="645" w:type="pct"/>
            <w:shd w:val="clear" w:color="auto" w:fill="auto"/>
            <w:noWrap/>
          </w:tcPr>
          <w:p w14:paraId="06CA2C04" w14:textId="66C285FF" w:rsidR="00864F33" w:rsidRPr="00B561B8" w:rsidRDefault="00864F33" w:rsidP="00864F33">
            <w:pPr>
              <w:pStyle w:val="Tabletextindented"/>
              <w:ind w:left="-23"/>
              <w:rPr>
                <w:sz w:val="24"/>
                <w:szCs w:val="24"/>
              </w:rPr>
            </w:pPr>
            <w:r>
              <w:rPr>
                <w:sz w:val="24"/>
                <w:szCs w:val="24"/>
              </w:rPr>
              <w:t>2005</w:t>
            </w:r>
          </w:p>
        </w:tc>
        <w:tc>
          <w:tcPr>
            <w:tcW w:w="726" w:type="pct"/>
            <w:shd w:val="clear" w:color="auto" w:fill="auto"/>
            <w:noWrap/>
            <w:vAlign w:val="bottom"/>
            <w:hideMark/>
          </w:tcPr>
          <w:p w14:paraId="53E19FFE" w14:textId="2C9304D5" w:rsidR="00864F33" w:rsidRPr="00864F33" w:rsidRDefault="00864F33" w:rsidP="00864F33">
            <w:pPr>
              <w:pStyle w:val="Tabletext"/>
              <w:jc w:val="center"/>
              <w:rPr>
                <w:sz w:val="24"/>
                <w:szCs w:val="24"/>
                <w:lang w:val="en-CA"/>
              </w:rPr>
            </w:pPr>
            <w:r w:rsidRPr="00864F33">
              <w:rPr>
                <w:color w:val="000000"/>
                <w:sz w:val="24"/>
                <w:szCs w:val="24"/>
              </w:rPr>
              <w:t>35.84%</w:t>
            </w:r>
          </w:p>
        </w:tc>
        <w:tc>
          <w:tcPr>
            <w:tcW w:w="726" w:type="pct"/>
            <w:shd w:val="clear" w:color="auto" w:fill="auto"/>
            <w:noWrap/>
            <w:vAlign w:val="bottom"/>
            <w:hideMark/>
          </w:tcPr>
          <w:p w14:paraId="11C3C23F" w14:textId="1F2D24B1" w:rsidR="00864F33" w:rsidRPr="00864F33" w:rsidRDefault="00864F33" w:rsidP="00864F33">
            <w:pPr>
              <w:pStyle w:val="Tabletext"/>
              <w:jc w:val="center"/>
              <w:rPr>
                <w:sz w:val="24"/>
                <w:szCs w:val="24"/>
                <w:lang w:val="en-CA"/>
              </w:rPr>
            </w:pPr>
            <w:r w:rsidRPr="00864F33">
              <w:rPr>
                <w:color w:val="000000"/>
                <w:sz w:val="24"/>
                <w:szCs w:val="24"/>
              </w:rPr>
              <w:t>35.75%</w:t>
            </w:r>
          </w:p>
        </w:tc>
        <w:tc>
          <w:tcPr>
            <w:tcW w:w="726" w:type="pct"/>
            <w:shd w:val="clear" w:color="auto" w:fill="auto"/>
            <w:noWrap/>
            <w:vAlign w:val="bottom"/>
            <w:hideMark/>
          </w:tcPr>
          <w:p w14:paraId="1DFF9EBD" w14:textId="21E54E74" w:rsidR="00864F33" w:rsidRPr="00864F33" w:rsidRDefault="00864F33" w:rsidP="00864F33">
            <w:pPr>
              <w:pStyle w:val="Tabletext"/>
              <w:jc w:val="center"/>
              <w:rPr>
                <w:sz w:val="24"/>
                <w:szCs w:val="24"/>
                <w:lang w:val="en-CA"/>
              </w:rPr>
            </w:pPr>
            <w:r w:rsidRPr="00864F33">
              <w:rPr>
                <w:color w:val="000000"/>
                <w:sz w:val="24"/>
                <w:szCs w:val="24"/>
              </w:rPr>
              <w:t>36.84%</w:t>
            </w:r>
          </w:p>
        </w:tc>
        <w:tc>
          <w:tcPr>
            <w:tcW w:w="726" w:type="pct"/>
            <w:shd w:val="clear" w:color="auto" w:fill="auto"/>
            <w:noWrap/>
            <w:vAlign w:val="bottom"/>
            <w:hideMark/>
          </w:tcPr>
          <w:p w14:paraId="727986CF" w14:textId="74FF7BCC" w:rsidR="00864F33" w:rsidRPr="00864F33" w:rsidRDefault="00864F33" w:rsidP="00864F33">
            <w:pPr>
              <w:pStyle w:val="Tabletext"/>
              <w:jc w:val="center"/>
              <w:rPr>
                <w:sz w:val="24"/>
                <w:szCs w:val="24"/>
                <w:lang w:val="en-CA"/>
              </w:rPr>
            </w:pPr>
            <w:r w:rsidRPr="00864F33">
              <w:rPr>
                <w:color w:val="000000"/>
                <w:sz w:val="24"/>
                <w:szCs w:val="24"/>
              </w:rPr>
              <w:t>37.41%</w:t>
            </w:r>
          </w:p>
        </w:tc>
        <w:tc>
          <w:tcPr>
            <w:tcW w:w="726" w:type="pct"/>
            <w:shd w:val="clear" w:color="auto" w:fill="auto"/>
            <w:noWrap/>
            <w:vAlign w:val="bottom"/>
            <w:hideMark/>
          </w:tcPr>
          <w:p w14:paraId="3B359E59" w14:textId="083D4224" w:rsidR="00864F33" w:rsidRPr="00864F33" w:rsidRDefault="00864F33" w:rsidP="00864F33">
            <w:pPr>
              <w:pStyle w:val="Tabletext"/>
              <w:jc w:val="center"/>
              <w:rPr>
                <w:sz w:val="24"/>
                <w:szCs w:val="24"/>
                <w:lang w:val="en-CA"/>
              </w:rPr>
            </w:pPr>
            <w:r w:rsidRPr="00864F33">
              <w:rPr>
                <w:color w:val="000000"/>
                <w:sz w:val="24"/>
                <w:szCs w:val="24"/>
              </w:rPr>
              <w:t>40.06%</w:t>
            </w:r>
          </w:p>
        </w:tc>
        <w:tc>
          <w:tcPr>
            <w:tcW w:w="725" w:type="pct"/>
            <w:shd w:val="clear" w:color="auto" w:fill="auto"/>
            <w:noWrap/>
            <w:vAlign w:val="bottom"/>
            <w:hideMark/>
          </w:tcPr>
          <w:p w14:paraId="13088C95" w14:textId="311F0A76" w:rsidR="00864F33" w:rsidRPr="00864F33" w:rsidRDefault="00864F33" w:rsidP="00864F33">
            <w:pPr>
              <w:pStyle w:val="Tabletext"/>
              <w:jc w:val="center"/>
              <w:rPr>
                <w:sz w:val="24"/>
                <w:szCs w:val="24"/>
                <w:lang w:val="en-CA"/>
              </w:rPr>
            </w:pPr>
            <w:r w:rsidRPr="00864F33">
              <w:rPr>
                <w:color w:val="000000"/>
                <w:sz w:val="24"/>
                <w:szCs w:val="24"/>
              </w:rPr>
              <w:t>39.04%</w:t>
            </w:r>
          </w:p>
        </w:tc>
      </w:tr>
      <w:tr w:rsidR="00864F33" w:rsidRPr="00B561B8" w14:paraId="7646FC20" w14:textId="77777777" w:rsidTr="00864F33">
        <w:trPr>
          <w:cantSplit/>
        </w:trPr>
        <w:tc>
          <w:tcPr>
            <w:tcW w:w="645" w:type="pct"/>
            <w:shd w:val="clear" w:color="auto" w:fill="auto"/>
            <w:noWrap/>
          </w:tcPr>
          <w:p w14:paraId="29E365E2" w14:textId="2D805F98" w:rsidR="00864F33" w:rsidRDefault="00864F33" w:rsidP="00864F33">
            <w:pPr>
              <w:pStyle w:val="Tabletextindented"/>
              <w:ind w:left="-23"/>
              <w:rPr>
                <w:sz w:val="24"/>
                <w:szCs w:val="24"/>
              </w:rPr>
            </w:pPr>
            <w:r>
              <w:rPr>
                <w:sz w:val="24"/>
                <w:szCs w:val="24"/>
              </w:rPr>
              <w:t>2006</w:t>
            </w:r>
          </w:p>
        </w:tc>
        <w:tc>
          <w:tcPr>
            <w:tcW w:w="726" w:type="pct"/>
            <w:shd w:val="clear" w:color="auto" w:fill="auto"/>
            <w:noWrap/>
            <w:vAlign w:val="bottom"/>
          </w:tcPr>
          <w:p w14:paraId="13C85B75" w14:textId="0EE1313A" w:rsidR="00864F33" w:rsidRPr="00864F33" w:rsidRDefault="00864F33" w:rsidP="00864F33">
            <w:pPr>
              <w:pStyle w:val="Tabletext"/>
              <w:jc w:val="center"/>
              <w:rPr>
                <w:sz w:val="24"/>
                <w:szCs w:val="24"/>
                <w:lang w:val="en-CA"/>
              </w:rPr>
            </w:pPr>
            <w:r w:rsidRPr="00864F33">
              <w:rPr>
                <w:color w:val="000000"/>
                <w:sz w:val="24"/>
                <w:szCs w:val="24"/>
              </w:rPr>
              <w:t>35.72%</w:t>
            </w:r>
          </w:p>
        </w:tc>
        <w:tc>
          <w:tcPr>
            <w:tcW w:w="726" w:type="pct"/>
            <w:shd w:val="clear" w:color="auto" w:fill="auto"/>
            <w:noWrap/>
            <w:vAlign w:val="bottom"/>
          </w:tcPr>
          <w:p w14:paraId="08694E81" w14:textId="702A482C" w:rsidR="00864F33" w:rsidRPr="00864F33" w:rsidRDefault="00864F33" w:rsidP="00864F33">
            <w:pPr>
              <w:pStyle w:val="Tabletext"/>
              <w:jc w:val="center"/>
              <w:rPr>
                <w:sz w:val="24"/>
                <w:szCs w:val="24"/>
                <w:lang w:val="en-CA"/>
              </w:rPr>
            </w:pPr>
            <w:r w:rsidRPr="00864F33">
              <w:rPr>
                <w:color w:val="000000"/>
                <w:sz w:val="24"/>
                <w:szCs w:val="24"/>
              </w:rPr>
              <w:t>35.82%</w:t>
            </w:r>
          </w:p>
        </w:tc>
        <w:tc>
          <w:tcPr>
            <w:tcW w:w="726" w:type="pct"/>
            <w:shd w:val="clear" w:color="auto" w:fill="auto"/>
            <w:noWrap/>
            <w:vAlign w:val="bottom"/>
          </w:tcPr>
          <w:p w14:paraId="4AF56AC7" w14:textId="211FB27A" w:rsidR="00864F33" w:rsidRPr="00864F33" w:rsidRDefault="00864F33" w:rsidP="00864F33">
            <w:pPr>
              <w:pStyle w:val="Tabletext"/>
              <w:jc w:val="center"/>
              <w:rPr>
                <w:sz w:val="24"/>
                <w:szCs w:val="24"/>
                <w:lang w:val="en-CA"/>
              </w:rPr>
            </w:pPr>
            <w:r w:rsidRPr="00864F33">
              <w:rPr>
                <w:color w:val="000000"/>
                <w:sz w:val="24"/>
                <w:szCs w:val="24"/>
              </w:rPr>
              <w:t>36.78%</w:t>
            </w:r>
          </w:p>
        </w:tc>
        <w:tc>
          <w:tcPr>
            <w:tcW w:w="726" w:type="pct"/>
            <w:shd w:val="clear" w:color="auto" w:fill="auto"/>
            <w:noWrap/>
            <w:vAlign w:val="bottom"/>
          </w:tcPr>
          <w:p w14:paraId="440E2BCF" w14:textId="580EBAC6" w:rsidR="00864F33" w:rsidRPr="00864F33" w:rsidRDefault="00864F33" w:rsidP="00864F33">
            <w:pPr>
              <w:pStyle w:val="Tabletext"/>
              <w:jc w:val="center"/>
              <w:rPr>
                <w:sz w:val="24"/>
                <w:szCs w:val="24"/>
                <w:lang w:val="en-CA"/>
              </w:rPr>
            </w:pPr>
            <w:r w:rsidRPr="00864F33">
              <w:rPr>
                <w:color w:val="000000"/>
                <w:sz w:val="24"/>
                <w:szCs w:val="24"/>
              </w:rPr>
              <w:t>37.07%</w:t>
            </w:r>
          </w:p>
        </w:tc>
        <w:tc>
          <w:tcPr>
            <w:tcW w:w="726" w:type="pct"/>
            <w:shd w:val="clear" w:color="auto" w:fill="auto"/>
            <w:noWrap/>
            <w:vAlign w:val="bottom"/>
          </w:tcPr>
          <w:p w14:paraId="6EB38408" w14:textId="48203092" w:rsidR="00864F33" w:rsidRPr="00864F33" w:rsidRDefault="00864F33" w:rsidP="00864F33">
            <w:pPr>
              <w:pStyle w:val="Tabletext"/>
              <w:jc w:val="center"/>
              <w:rPr>
                <w:sz w:val="24"/>
                <w:szCs w:val="24"/>
                <w:lang w:val="en-CA"/>
              </w:rPr>
            </w:pPr>
            <w:r w:rsidRPr="00864F33">
              <w:rPr>
                <w:color w:val="000000"/>
                <w:sz w:val="24"/>
                <w:szCs w:val="24"/>
              </w:rPr>
              <w:t>39.80%</w:t>
            </w:r>
          </w:p>
        </w:tc>
        <w:tc>
          <w:tcPr>
            <w:tcW w:w="725" w:type="pct"/>
            <w:shd w:val="clear" w:color="auto" w:fill="auto"/>
            <w:noWrap/>
            <w:vAlign w:val="bottom"/>
          </w:tcPr>
          <w:p w14:paraId="77DD0CF5" w14:textId="15F4276F" w:rsidR="00864F33" w:rsidRPr="00864F33" w:rsidRDefault="00864F33" w:rsidP="00864F33">
            <w:pPr>
              <w:pStyle w:val="Tabletext"/>
              <w:jc w:val="center"/>
              <w:rPr>
                <w:sz w:val="24"/>
                <w:szCs w:val="24"/>
                <w:lang w:val="en-CA"/>
              </w:rPr>
            </w:pPr>
            <w:r w:rsidRPr="00864F33">
              <w:rPr>
                <w:color w:val="000000"/>
                <w:sz w:val="24"/>
                <w:szCs w:val="24"/>
              </w:rPr>
              <w:t>39.13%</w:t>
            </w:r>
          </w:p>
        </w:tc>
      </w:tr>
      <w:tr w:rsidR="00864F33" w:rsidRPr="00B561B8" w14:paraId="5B0BDFC5" w14:textId="77777777" w:rsidTr="00864F33">
        <w:trPr>
          <w:cantSplit/>
        </w:trPr>
        <w:tc>
          <w:tcPr>
            <w:tcW w:w="645" w:type="pct"/>
            <w:shd w:val="clear" w:color="auto" w:fill="auto"/>
            <w:noWrap/>
          </w:tcPr>
          <w:p w14:paraId="1C4351D6" w14:textId="045139C9" w:rsidR="00864F33" w:rsidRDefault="00864F33" w:rsidP="00864F33">
            <w:pPr>
              <w:pStyle w:val="Tabletextindented"/>
              <w:ind w:left="-23"/>
              <w:rPr>
                <w:sz w:val="24"/>
                <w:szCs w:val="24"/>
              </w:rPr>
            </w:pPr>
            <w:r>
              <w:rPr>
                <w:sz w:val="24"/>
                <w:szCs w:val="24"/>
              </w:rPr>
              <w:t>2007</w:t>
            </w:r>
          </w:p>
        </w:tc>
        <w:tc>
          <w:tcPr>
            <w:tcW w:w="726" w:type="pct"/>
            <w:shd w:val="clear" w:color="auto" w:fill="auto"/>
            <w:noWrap/>
            <w:vAlign w:val="bottom"/>
          </w:tcPr>
          <w:p w14:paraId="5DA73C1B" w14:textId="5299915C" w:rsidR="00864F33" w:rsidRPr="00864F33" w:rsidRDefault="00864F33" w:rsidP="00864F33">
            <w:pPr>
              <w:pStyle w:val="Tabletext"/>
              <w:jc w:val="center"/>
              <w:rPr>
                <w:sz w:val="24"/>
                <w:szCs w:val="24"/>
                <w:lang w:val="en-CA"/>
              </w:rPr>
            </w:pPr>
            <w:r w:rsidRPr="00864F33">
              <w:rPr>
                <w:color w:val="000000"/>
                <w:sz w:val="24"/>
                <w:szCs w:val="24"/>
              </w:rPr>
              <w:t>35.63%</w:t>
            </w:r>
          </w:p>
        </w:tc>
        <w:tc>
          <w:tcPr>
            <w:tcW w:w="726" w:type="pct"/>
            <w:shd w:val="clear" w:color="auto" w:fill="auto"/>
            <w:noWrap/>
            <w:vAlign w:val="bottom"/>
          </w:tcPr>
          <w:p w14:paraId="73B9CEF1" w14:textId="686A4D90" w:rsidR="00864F33" w:rsidRPr="00864F33" w:rsidRDefault="00864F33" w:rsidP="00864F33">
            <w:pPr>
              <w:pStyle w:val="Tabletext"/>
              <w:jc w:val="center"/>
              <w:rPr>
                <w:sz w:val="24"/>
                <w:szCs w:val="24"/>
                <w:lang w:val="en-CA"/>
              </w:rPr>
            </w:pPr>
            <w:r w:rsidRPr="00864F33">
              <w:rPr>
                <w:color w:val="000000"/>
                <w:sz w:val="24"/>
                <w:szCs w:val="24"/>
              </w:rPr>
              <w:t>35.89%</w:t>
            </w:r>
          </w:p>
        </w:tc>
        <w:tc>
          <w:tcPr>
            <w:tcW w:w="726" w:type="pct"/>
            <w:shd w:val="clear" w:color="auto" w:fill="auto"/>
            <w:noWrap/>
            <w:vAlign w:val="bottom"/>
          </w:tcPr>
          <w:p w14:paraId="3A44EC69" w14:textId="512E70AB" w:rsidR="00864F33" w:rsidRPr="00864F33" w:rsidRDefault="00864F33" w:rsidP="00864F33">
            <w:pPr>
              <w:pStyle w:val="Tabletext"/>
              <w:jc w:val="center"/>
              <w:rPr>
                <w:sz w:val="24"/>
                <w:szCs w:val="24"/>
                <w:lang w:val="en-CA"/>
              </w:rPr>
            </w:pPr>
            <w:r w:rsidRPr="00864F33">
              <w:rPr>
                <w:color w:val="000000"/>
                <w:sz w:val="24"/>
                <w:szCs w:val="24"/>
              </w:rPr>
              <w:t>36.92%</w:t>
            </w:r>
          </w:p>
        </w:tc>
        <w:tc>
          <w:tcPr>
            <w:tcW w:w="726" w:type="pct"/>
            <w:shd w:val="clear" w:color="auto" w:fill="auto"/>
            <w:noWrap/>
            <w:vAlign w:val="bottom"/>
          </w:tcPr>
          <w:p w14:paraId="012E518A" w14:textId="7DA52469" w:rsidR="00864F33" w:rsidRPr="00864F33" w:rsidRDefault="00864F33" w:rsidP="00864F33">
            <w:pPr>
              <w:pStyle w:val="Tabletext"/>
              <w:jc w:val="center"/>
              <w:rPr>
                <w:sz w:val="24"/>
                <w:szCs w:val="24"/>
                <w:lang w:val="en-CA"/>
              </w:rPr>
            </w:pPr>
            <w:r w:rsidRPr="00864F33">
              <w:rPr>
                <w:color w:val="000000"/>
                <w:sz w:val="24"/>
                <w:szCs w:val="24"/>
              </w:rPr>
              <w:t>36.81%</w:t>
            </w:r>
          </w:p>
        </w:tc>
        <w:tc>
          <w:tcPr>
            <w:tcW w:w="726" w:type="pct"/>
            <w:shd w:val="clear" w:color="auto" w:fill="auto"/>
            <w:noWrap/>
            <w:vAlign w:val="bottom"/>
          </w:tcPr>
          <w:p w14:paraId="68FAC2FE" w14:textId="4372DD9C" w:rsidR="00864F33" w:rsidRPr="00864F33" w:rsidRDefault="00864F33" w:rsidP="00864F33">
            <w:pPr>
              <w:pStyle w:val="Tabletext"/>
              <w:jc w:val="center"/>
              <w:rPr>
                <w:sz w:val="24"/>
                <w:szCs w:val="24"/>
                <w:lang w:val="en-CA"/>
              </w:rPr>
            </w:pPr>
            <w:r w:rsidRPr="00864F33">
              <w:rPr>
                <w:color w:val="000000"/>
                <w:sz w:val="24"/>
                <w:szCs w:val="24"/>
              </w:rPr>
              <w:t>39.58%</w:t>
            </w:r>
          </w:p>
        </w:tc>
        <w:tc>
          <w:tcPr>
            <w:tcW w:w="725" w:type="pct"/>
            <w:shd w:val="clear" w:color="auto" w:fill="auto"/>
            <w:noWrap/>
            <w:vAlign w:val="bottom"/>
          </w:tcPr>
          <w:p w14:paraId="77177C63" w14:textId="28AC811D" w:rsidR="00864F33" w:rsidRPr="00864F33" w:rsidRDefault="00864F33" w:rsidP="00864F33">
            <w:pPr>
              <w:pStyle w:val="Tabletext"/>
              <w:jc w:val="center"/>
              <w:rPr>
                <w:sz w:val="24"/>
                <w:szCs w:val="24"/>
                <w:lang w:val="en-CA"/>
              </w:rPr>
            </w:pPr>
            <w:r w:rsidRPr="00864F33">
              <w:rPr>
                <w:color w:val="000000"/>
                <w:sz w:val="24"/>
                <w:szCs w:val="24"/>
              </w:rPr>
              <w:t>39.30%</w:t>
            </w:r>
          </w:p>
        </w:tc>
      </w:tr>
      <w:tr w:rsidR="00864F33" w:rsidRPr="00B561B8" w14:paraId="5D8AC2AC" w14:textId="77777777" w:rsidTr="00864F33">
        <w:trPr>
          <w:cantSplit/>
        </w:trPr>
        <w:tc>
          <w:tcPr>
            <w:tcW w:w="645" w:type="pct"/>
            <w:shd w:val="clear" w:color="auto" w:fill="auto"/>
            <w:noWrap/>
          </w:tcPr>
          <w:p w14:paraId="71946181" w14:textId="4376BB25" w:rsidR="00864F33" w:rsidRDefault="00864F33" w:rsidP="00864F33">
            <w:pPr>
              <w:pStyle w:val="Tabletextindented"/>
              <w:ind w:left="-23"/>
              <w:rPr>
                <w:sz w:val="24"/>
                <w:szCs w:val="24"/>
              </w:rPr>
            </w:pPr>
            <w:r>
              <w:rPr>
                <w:sz w:val="24"/>
                <w:szCs w:val="24"/>
              </w:rPr>
              <w:t>2008</w:t>
            </w:r>
          </w:p>
        </w:tc>
        <w:tc>
          <w:tcPr>
            <w:tcW w:w="726" w:type="pct"/>
            <w:shd w:val="clear" w:color="auto" w:fill="auto"/>
            <w:noWrap/>
            <w:vAlign w:val="bottom"/>
          </w:tcPr>
          <w:p w14:paraId="646D8301" w14:textId="7CE20E66" w:rsidR="00864F33" w:rsidRPr="00864F33" w:rsidRDefault="00864F33" w:rsidP="00864F33">
            <w:pPr>
              <w:pStyle w:val="Tabletext"/>
              <w:jc w:val="center"/>
              <w:rPr>
                <w:sz w:val="24"/>
                <w:szCs w:val="24"/>
                <w:lang w:val="en-CA"/>
              </w:rPr>
            </w:pPr>
            <w:r w:rsidRPr="00864F33">
              <w:rPr>
                <w:color w:val="000000"/>
                <w:sz w:val="24"/>
                <w:szCs w:val="24"/>
              </w:rPr>
              <w:t>35.58%</w:t>
            </w:r>
          </w:p>
        </w:tc>
        <w:tc>
          <w:tcPr>
            <w:tcW w:w="726" w:type="pct"/>
            <w:shd w:val="clear" w:color="auto" w:fill="auto"/>
            <w:noWrap/>
            <w:vAlign w:val="bottom"/>
          </w:tcPr>
          <w:p w14:paraId="5847A1FE" w14:textId="074F493B" w:rsidR="00864F33" w:rsidRPr="00864F33" w:rsidRDefault="00864F33" w:rsidP="00864F33">
            <w:pPr>
              <w:pStyle w:val="Tabletext"/>
              <w:jc w:val="center"/>
              <w:rPr>
                <w:sz w:val="24"/>
                <w:szCs w:val="24"/>
                <w:lang w:val="en-CA"/>
              </w:rPr>
            </w:pPr>
            <w:r w:rsidRPr="00864F33">
              <w:rPr>
                <w:color w:val="000000"/>
                <w:sz w:val="24"/>
                <w:szCs w:val="24"/>
              </w:rPr>
              <w:t>35.87%</w:t>
            </w:r>
          </w:p>
        </w:tc>
        <w:tc>
          <w:tcPr>
            <w:tcW w:w="726" w:type="pct"/>
            <w:shd w:val="clear" w:color="auto" w:fill="auto"/>
            <w:noWrap/>
            <w:vAlign w:val="bottom"/>
          </w:tcPr>
          <w:p w14:paraId="4F1E64F0" w14:textId="07B91EC0" w:rsidR="00864F33" w:rsidRPr="00864F33" w:rsidRDefault="00864F33" w:rsidP="00864F33">
            <w:pPr>
              <w:pStyle w:val="Tabletext"/>
              <w:jc w:val="center"/>
              <w:rPr>
                <w:sz w:val="24"/>
                <w:szCs w:val="24"/>
                <w:lang w:val="en-CA"/>
              </w:rPr>
            </w:pPr>
            <w:r w:rsidRPr="00864F33">
              <w:rPr>
                <w:color w:val="000000"/>
                <w:sz w:val="24"/>
                <w:szCs w:val="24"/>
              </w:rPr>
              <w:t>37.08%</w:t>
            </w:r>
          </w:p>
        </w:tc>
        <w:tc>
          <w:tcPr>
            <w:tcW w:w="726" w:type="pct"/>
            <w:shd w:val="clear" w:color="auto" w:fill="auto"/>
            <w:noWrap/>
            <w:vAlign w:val="bottom"/>
          </w:tcPr>
          <w:p w14:paraId="5C1338F5" w14:textId="63DD55B5" w:rsidR="00864F33" w:rsidRPr="00864F33" w:rsidRDefault="00864F33" w:rsidP="00864F33">
            <w:pPr>
              <w:pStyle w:val="Tabletext"/>
              <w:jc w:val="center"/>
              <w:rPr>
                <w:sz w:val="24"/>
                <w:szCs w:val="24"/>
                <w:lang w:val="en-CA"/>
              </w:rPr>
            </w:pPr>
            <w:r w:rsidRPr="00864F33">
              <w:rPr>
                <w:color w:val="000000"/>
                <w:sz w:val="24"/>
                <w:szCs w:val="24"/>
              </w:rPr>
              <w:t>36.57%</w:t>
            </w:r>
          </w:p>
        </w:tc>
        <w:tc>
          <w:tcPr>
            <w:tcW w:w="726" w:type="pct"/>
            <w:shd w:val="clear" w:color="auto" w:fill="auto"/>
            <w:noWrap/>
            <w:vAlign w:val="bottom"/>
          </w:tcPr>
          <w:p w14:paraId="687CECD0" w14:textId="3D2DF62B" w:rsidR="00864F33" w:rsidRPr="00864F33" w:rsidRDefault="00864F33" w:rsidP="00864F33">
            <w:pPr>
              <w:pStyle w:val="Tabletext"/>
              <w:jc w:val="center"/>
              <w:rPr>
                <w:sz w:val="24"/>
                <w:szCs w:val="24"/>
                <w:lang w:val="en-CA"/>
              </w:rPr>
            </w:pPr>
            <w:r w:rsidRPr="00864F33">
              <w:rPr>
                <w:color w:val="000000"/>
                <w:sz w:val="24"/>
                <w:szCs w:val="24"/>
              </w:rPr>
              <w:t>39.32%</w:t>
            </w:r>
          </w:p>
        </w:tc>
        <w:tc>
          <w:tcPr>
            <w:tcW w:w="725" w:type="pct"/>
            <w:shd w:val="clear" w:color="auto" w:fill="auto"/>
            <w:noWrap/>
            <w:vAlign w:val="bottom"/>
          </w:tcPr>
          <w:p w14:paraId="1B95D14A" w14:textId="27499B4D" w:rsidR="00864F33" w:rsidRPr="00864F33" w:rsidRDefault="00864F33" w:rsidP="00864F33">
            <w:pPr>
              <w:pStyle w:val="Tabletext"/>
              <w:jc w:val="center"/>
              <w:rPr>
                <w:sz w:val="24"/>
                <w:szCs w:val="24"/>
                <w:lang w:val="en-CA"/>
              </w:rPr>
            </w:pPr>
            <w:r w:rsidRPr="00864F33">
              <w:rPr>
                <w:color w:val="000000"/>
                <w:sz w:val="24"/>
                <w:szCs w:val="24"/>
              </w:rPr>
              <w:t>39.46%</w:t>
            </w:r>
          </w:p>
        </w:tc>
      </w:tr>
      <w:tr w:rsidR="00864F33" w:rsidRPr="00B561B8" w14:paraId="03A44B0E" w14:textId="77777777" w:rsidTr="00864F33">
        <w:trPr>
          <w:cantSplit/>
        </w:trPr>
        <w:tc>
          <w:tcPr>
            <w:tcW w:w="645" w:type="pct"/>
            <w:shd w:val="clear" w:color="auto" w:fill="auto"/>
            <w:noWrap/>
          </w:tcPr>
          <w:p w14:paraId="2F5B2291" w14:textId="345EF6E8" w:rsidR="00864F33" w:rsidRDefault="00864F33" w:rsidP="00864F33">
            <w:pPr>
              <w:pStyle w:val="Tabletextindented"/>
              <w:ind w:left="-23"/>
              <w:rPr>
                <w:sz w:val="24"/>
                <w:szCs w:val="24"/>
              </w:rPr>
            </w:pPr>
            <w:r>
              <w:rPr>
                <w:sz w:val="24"/>
                <w:szCs w:val="24"/>
              </w:rPr>
              <w:lastRenderedPageBreak/>
              <w:t>2009</w:t>
            </w:r>
          </w:p>
        </w:tc>
        <w:tc>
          <w:tcPr>
            <w:tcW w:w="726" w:type="pct"/>
            <w:shd w:val="clear" w:color="auto" w:fill="auto"/>
            <w:noWrap/>
            <w:vAlign w:val="bottom"/>
          </w:tcPr>
          <w:p w14:paraId="5649E599" w14:textId="4DD79DFB" w:rsidR="00864F33" w:rsidRPr="00864F33" w:rsidRDefault="00864F33" w:rsidP="00864F33">
            <w:pPr>
              <w:pStyle w:val="Tabletext"/>
              <w:jc w:val="center"/>
              <w:rPr>
                <w:sz w:val="24"/>
                <w:szCs w:val="24"/>
                <w:lang w:val="en-CA"/>
              </w:rPr>
            </w:pPr>
            <w:r w:rsidRPr="00864F33">
              <w:rPr>
                <w:color w:val="000000"/>
                <w:sz w:val="24"/>
                <w:szCs w:val="24"/>
              </w:rPr>
              <w:t>35.65%</w:t>
            </w:r>
          </w:p>
        </w:tc>
        <w:tc>
          <w:tcPr>
            <w:tcW w:w="726" w:type="pct"/>
            <w:shd w:val="clear" w:color="auto" w:fill="auto"/>
            <w:noWrap/>
            <w:vAlign w:val="bottom"/>
          </w:tcPr>
          <w:p w14:paraId="6BF9FF03" w14:textId="63D48B2F" w:rsidR="00864F33" w:rsidRPr="00864F33" w:rsidRDefault="00864F33" w:rsidP="00864F33">
            <w:pPr>
              <w:pStyle w:val="Tabletext"/>
              <w:jc w:val="center"/>
              <w:rPr>
                <w:sz w:val="24"/>
                <w:szCs w:val="24"/>
                <w:lang w:val="en-CA"/>
              </w:rPr>
            </w:pPr>
            <w:r w:rsidRPr="00864F33">
              <w:rPr>
                <w:color w:val="000000"/>
                <w:sz w:val="24"/>
                <w:szCs w:val="24"/>
              </w:rPr>
              <w:t>35.83%</w:t>
            </w:r>
          </w:p>
        </w:tc>
        <w:tc>
          <w:tcPr>
            <w:tcW w:w="726" w:type="pct"/>
            <w:shd w:val="clear" w:color="auto" w:fill="auto"/>
            <w:noWrap/>
            <w:vAlign w:val="bottom"/>
          </w:tcPr>
          <w:p w14:paraId="70B90D86" w14:textId="6BEC8494" w:rsidR="00864F33" w:rsidRPr="00864F33" w:rsidRDefault="00864F33" w:rsidP="00864F33">
            <w:pPr>
              <w:pStyle w:val="Tabletext"/>
              <w:jc w:val="center"/>
              <w:rPr>
                <w:sz w:val="24"/>
                <w:szCs w:val="24"/>
                <w:lang w:val="en-CA"/>
              </w:rPr>
            </w:pPr>
            <w:r w:rsidRPr="00864F33">
              <w:rPr>
                <w:color w:val="000000"/>
                <w:sz w:val="24"/>
                <w:szCs w:val="24"/>
              </w:rPr>
              <w:t>37.31%</w:t>
            </w:r>
          </w:p>
        </w:tc>
        <w:tc>
          <w:tcPr>
            <w:tcW w:w="726" w:type="pct"/>
            <w:shd w:val="clear" w:color="auto" w:fill="auto"/>
            <w:noWrap/>
            <w:vAlign w:val="bottom"/>
          </w:tcPr>
          <w:p w14:paraId="0648BC34" w14:textId="6BA7214B" w:rsidR="00864F33" w:rsidRPr="00864F33" w:rsidRDefault="00864F33" w:rsidP="00864F33">
            <w:pPr>
              <w:pStyle w:val="Tabletext"/>
              <w:jc w:val="center"/>
              <w:rPr>
                <w:sz w:val="24"/>
                <w:szCs w:val="24"/>
                <w:lang w:val="en-CA"/>
              </w:rPr>
            </w:pPr>
            <w:r w:rsidRPr="00864F33">
              <w:rPr>
                <w:color w:val="000000"/>
                <w:sz w:val="24"/>
                <w:szCs w:val="24"/>
              </w:rPr>
              <w:t>36.47%</w:t>
            </w:r>
          </w:p>
        </w:tc>
        <w:tc>
          <w:tcPr>
            <w:tcW w:w="726" w:type="pct"/>
            <w:shd w:val="clear" w:color="auto" w:fill="auto"/>
            <w:noWrap/>
            <w:vAlign w:val="bottom"/>
          </w:tcPr>
          <w:p w14:paraId="2F68C75F" w14:textId="05B51A15" w:rsidR="00864F33" w:rsidRPr="00864F33" w:rsidRDefault="00864F33" w:rsidP="00864F33">
            <w:pPr>
              <w:pStyle w:val="Tabletext"/>
              <w:jc w:val="center"/>
              <w:rPr>
                <w:sz w:val="24"/>
                <w:szCs w:val="24"/>
                <w:lang w:val="en-CA"/>
              </w:rPr>
            </w:pPr>
            <w:r w:rsidRPr="00864F33">
              <w:rPr>
                <w:color w:val="000000"/>
                <w:sz w:val="24"/>
                <w:szCs w:val="24"/>
              </w:rPr>
              <w:t>39.06%</w:t>
            </w:r>
          </w:p>
        </w:tc>
        <w:tc>
          <w:tcPr>
            <w:tcW w:w="725" w:type="pct"/>
            <w:shd w:val="clear" w:color="auto" w:fill="auto"/>
            <w:noWrap/>
            <w:vAlign w:val="bottom"/>
          </w:tcPr>
          <w:p w14:paraId="61B54EFE" w14:textId="0FB65765" w:rsidR="00864F33" w:rsidRPr="00864F33" w:rsidRDefault="00864F33" w:rsidP="00864F33">
            <w:pPr>
              <w:pStyle w:val="Tabletext"/>
              <w:jc w:val="center"/>
              <w:rPr>
                <w:sz w:val="24"/>
                <w:szCs w:val="24"/>
                <w:lang w:val="en-CA"/>
              </w:rPr>
            </w:pPr>
            <w:r w:rsidRPr="00864F33">
              <w:rPr>
                <w:color w:val="000000"/>
                <w:sz w:val="24"/>
                <w:szCs w:val="24"/>
              </w:rPr>
              <w:t>39.62%</w:t>
            </w:r>
          </w:p>
        </w:tc>
      </w:tr>
      <w:tr w:rsidR="00864F33" w:rsidRPr="00B561B8" w14:paraId="007F9D26" w14:textId="77777777" w:rsidTr="00864F33">
        <w:trPr>
          <w:cantSplit/>
        </w:trPr>
        <w:tc>
          <w:tcPr>
            <w:tcW w:w="645" w:type="pct"/>
            <w:shd w:val="clear" w:color="auto" w:fill="auto"/>
            <w:noWrap/>
          </w:tcPr>
          <w:p w14:paraId="50E01753" w14:textId="06A7D35B" w:rsidR="00864F33" w:rsidRDefault="00864F33" w:rsidP="00864F33">
            <w:pPr>
              <w:pStyle w:val="Tabletextindented"/>
              <w:ind w:left="-23"/>
              <w:rPr>
                <w:sz w:val="24"/>
                <w:szCs w:val="24"/>
              </w:rPr>
            </w:pPr>
            <w:r>
              <w:rPr>
                <w:sz w:val="24"/>
                <w:szCs w:val="24"/>
              </w:rPr>
              <w:t>2010</w:t>
            </w:r>
          </w:p>
        </w:tc>
        <w:tc>
          <w:tcPr>
            <w:tcW w:w="726" w:type="pct"/>
            <w:shd w:val="clear" w:color="auto" w:fill="auto"/>
            <w:noWrap/>
            <w:vAlign w:val="bottom"/>
          </w:tcPr>
          <w:p w14:paraId="3FEBB0AE" w14:textId="61438745" w:rsidR="00864F33" w:rsidRPr="00864F33" w:rsidRDefault="00864F33" w:rsidP="00864F33">
            <w:pPr>
              <w:pStyle w:val="Tabletext"/>
              <w:jc w:val="center"/>
              <w:rPr>
                <w:sz w:val="24"/>
                <w:szCs w:val="24"/>
                <w:lang w:val="en-CA"/>
              </w:rPr>
            </w:pPr>
            <w:r w:rsidRPr="00864F33">
              <w:rPr>
                <w:color w:val="000000"/>
                <w:sz w:val="24"/>
                <w:szCs w:val="24"/>
              </w:rPr>
              <w:t>35.73%</w:t>
            </w:r>
          </w:p>
        </w:tc>
        <w:tc>
          <w:tcPr>
            <w:tcW w:w="726" w:type="pct"/>
            <w:shd w:val="clear" w:color="auto" w:fill="auto"/>
            <w:noWrap/>
            <w:vAlign w:val="bottom"/>
          </w:tcPr>
          <w:p w14:paraId="4FE5E1C5" w14:textId="76A94A24" w:rsidR="00864F33" w:rsidRPr="00864F33" w:rsidRDefault="00864F33" w:rsidP="00864F33">
            <w:pPr>
              <w:pStyle w:val="Tabletext"/>
              <w:jc w:val="center"/>
              <w:rPr>
                <w:sz w:val="24"/>
                <w:szCs w:val="24"/>
                <w:lang w:val="en-CA"/>
              </w:rPr>
            </w:pPr>
            <w:r w:rsidRPr="00864F33">
              <w:rPr>
                <w:color w:val="000000"/>
                <w:sz w:val="24"/>
                <w:szCs w:val="24"/>
              </w:rPr>
              <w:t>35.74%</w:t>
            </w:r>
          </w:p>
        </w:tc>
        <w:tc>
          <w:tcPr>
            <w:tcW w:w="726" w:type="pct"/>
            <w:shd w:val="clear" w:color="auto" w:fill="auto"/>
            <w:noWrap/>
            <w:vAlign w:val="bottom"/>
          </w:tcPr>
          <w:p w14:paraId="4113253F" w14:textId="578E2C61" w:rsidR="00864F33" w:rsidRPr="00864F33" w:rsidRDefault="00864F33" w:rsidP="00864F33">
            <w:pPr>
              <w:pStyle w:val="Tabletext"/>
              <w:jc w:val="center"/>
              <w:rPr>
                <w:sz w:val="24"/>
                <w:szCs w:val="24"/>
                <w:lang w:val="en-CA"/>
              </w:rPr>
            </w:pPr>
            <w:r w:rsidRPr="00864F33">
              <w:rPr>
                <w:color w:val="000000"/>
                <w:sz w:val="24"/>
                <w:szCs w:val="24"/>
              </w:rPr>
              <w:t>37.40%</w:t>
            </w:r>
          </w:p>
        </w:tc>
        <w:tc>
          <w:tcPr>
            <w:tcW w:w="726" w:type="pct"/>
            <w:shd w:val="clear" w:color="auto" w:fill="auto"/>
            <w:noWrap/>
            <w:vAlign w:val="bottom"/>
          </w:tcPr>
          <w:p w14:paraId="1688C432" w14:textId="04497543" w:rsidR="00864F33" w:rsidRPr="00864F33" w:rsidRDefault="00864F33" w:rsidP="00864F33">
            <w:pPr>
              <w:pStyle w:val="Tabletext"/>
              <w:jc w:val="center"/>
              <w:rPr>
                <w:sz w:val="24"/>
                <w:szCs w:val="24"/>
                <w:lang w:val="en-CA"/>
              </w:rPr>
            </w:pPr>
            <w:r w:rsidRPr="00864F33">
              <w:rPr>
                <w:color w:val="000000"/>
                <w:sz w:val="24"/>
                <w:szCs w:val="24"/>
              </w:rPr>
              <w:t>36.47%</w:t>
            </w:r>
          </w:p>
        </w:tc>
        <w:tc>
          <w:tcPr>
            <w:tcW w:w="726" w:type="pct"/>
            <w:shd w:val="clear" w:color="auto" w:fill="auto"/>
            <w:noWrap/>
            <w:vAlign w:val="bottom"/>
          </w:tcPr>
          <w:p w14:paraId="17DB71A2" w14:textId="11242DA9" w:rsidR="00864F33" w:rsidRPr="00864F33" w:rsidRDefault="00864F33" w:rsidP="00864F33">
            <w:pPr>
              <w:pStyle w:val="Tabletext"/>
              <w:jc w:val="center"/>
              <w:rPr>
                <w:sz w:val="24"/>
                <w:szCs w:val="24"/>
                <w:lang w:val="en-CA"/>
              </w:rPr>
            </w:pPr>
            <w:r w:rsidRPr="00864F33">
              <w:rPr>
                <w:color w:val="000000"/>
                <w:sz w:val="24"/>
                <w:szCs w:val="24"/>
              </w:rPr>
              <w:t>38.80%</w:t>
            </w:r>
          </w:p>
        </w:tc>
        <w:tc>
          <w:tcPr>
            <w:tcW w:w="725" w:type="pct"/>
            <w:shd w:val="clear" w:color="auto" w:fill="auto"/>
            <w:noWrap/>
            <w:vAlign w:val="bottom"/>
          </w:tcPr>
          <w:p w14:paraId="58A3018F" w14:textId="33F86737" w:rsidR="00864F33" w:rsidRPr="00864F33" w:rsidRDefault="00864F33" w:rsidP="00864F33">
            <w:pPr>
              <w:pStyle w:val="Tabletext"/>
              <w:jc w:val="center"/>
              <w:rPr>
                <w:sz w:val="24"/>
                <w:szCs w:val="24"/>
                <w:lang w:val="en-CA"/>
              </w:rPr>
            </w:pPr>
            <w:r w:rsidRPr="00864F33">
              <w:rPr>
                <w:color w:val="000000"/>
                <w:sz w:val="24"/>
                <w:szCs w:val="24"/>
              </w:rPr>
              <w:t>39.82%</w:t>
            </w:r>
          </w:p>
        </w:tc>
      </w:tr>
      <w:tr w:rsidR="00864F33" w:rsidRPr="00B561B8" w14:paraId="111AEE60" w14:textId="77777777" w:rsidTr="00864F33">
        <w:trPr>
          <w:cantSplit/>
        </w:trPr>
        <w:tc>
          <w:tcPr>
            <w:tcW w:w="645" w:type="pct"/>
            <w:shd w:val="clear" w:color="auto" w:fill="auto"/>
            <w:noWrap/>
          </w:tcPr>
          <w:p w14:paraId="09538F68" w14:textId="5FB5CF59" w:rsidR="00864F33" w:rsidRDefault="00864F33" w:rsidP="00864F33">
            <w:pPr>
              <w:pStyle w:val="Tabletextindented"/>
              <w:ind w:left="-23"/>
              <w:rPr>
                <w:sz w:val="24"/>
                <w:szCs w:val="24"/>
              </w:rPr>
            </w:pPr>
            <w:r>
              <w:rPr>
                <w:sz w:val="24"/>
                <w:szCs w:val="24"/>
              </w:rPr>
              <w:t>2011</w:t>
            </w:r>
          </w:p>
        </w:tc>
        <w:tc>
          <w:tcPr>
            <w:tcW w:w="726" w:type="pct"/>
            <w:shd w:val="clear" w:color="auto" w:fill="auto"/>
            <w:noWrap/>
            <w:vAlign w:val="bottom"/>
          </w:tcPr>
          <w:p w14:paraId="65B14D90" w14:textId="5B9C7302" w:rsidR="00864F33" w:rsidRPr="00864F33" w:rsidRDefault="00864F33" w:rsidP="00864F33">
            <w:pPr>
              <w:pStyle w:val="Tabletext"/>
              <w:jc w:val="center"/>
              <w:rPr>
                <w:sz w:val="24"/>
                <w:szCs w:val="24"/>
                <w:lang w:val="en-CA"/>
              </w:rPr>
            </w:pPr>
            <w:r w:rsidRPr="00864F33">
              <w:rPr>
                <w:color w:val="000000"/>
                <w:sz w:val="24"/>
                <w:szCs w:val="24"/>
              </w:rPr>
              <w:t>35.86%</w:t>
            </w:r>
          </w:p>
        </w:tc>
        <w:tc>
          <w:tcPr>
            <w:tcW w:w="726" w:type="pct"/>
            <w:shd w:val="clear" w:color="auto" w:fill="auto"/>
            <w:noWrap/>
            <w:vAlign w:val="bottom"/>
          </w:tcPr>
          <w:p w14:paraId="5DF983C6" w14:textId="1BF4FF40" w:rsidR="00864F33" w:rsidRPr="00864F33" w:rsidRDefault="00864F33" w:rsidP="00864F33">
            <w:pPr>
              <w:pStyle w:val="Tabletext"/>
              <w:jc w:val="center"/>
              <w:rPr>
                <w:sz w:val="24"/>
                <w:szCs w:val="24"/>
                <w:lang w:val="en-CA"/>
              </w:rPr>
            </w:pPr>
            <w:r w:rsidRPr="00864F33">
              <w:rPr>
                <w:color w:val="000000"/>
                <w:sz w:val="24"/>
                <w:szCs w:val="24"/>
              </w:rPr>
              <w:t>35.70%</w:t>
            </w:r>
          </w:p>
        </w:tc>
        <w:tc>
          <w:tcPr>
            <w:tcW w:w="726" w:type="pct"/>
            <w:shd w:val="clear" w:color="auto" w:fill="auto"/>
            <w:noWrap/>
            <w:vAlign w:val="bottom"/>
          </w:tcPr>
          <w:p w14:paraId="48412370" w14:textId="20F106D4" w:rsidR="00864F33" w:rsidRPr="00864F33" w:rsidRDefault="00864F33" w:rsidP="00864F33">
            <w:pPr>
              <w:pStyle w:val="Tabletext"/>
              <w:jc w:val="center"/>
              <w:rPr>
                <w:sz w:val="24"/>
                <w:szCs w:val="24"/>
                <w:lang w:val="en-CA"/>
              </w:rPr>
            </w:pPr>
            <w:r w:rsidRPr="00864F33">
              <w:rPr>
                <w:color w:val="000000"/>
                <w:sz w:val="24"/>
                <w:szCs w:val="24"/>
              </w:rPr>
              <w:t>37.36%</w:t>
            </w:r>
          </w:p>
        </w:tc>
        <w:tc>
          <w:tcPr>
            <w:tcW w:w="726" w:type="pct"/>
            <w:shd w:val="clear" w:color="auto" w:fill="auto"/>
            <w:noWrap/>
            <w:vAlign w:val="bottom"/>
          </w:tcPr>
          <w:p w14:paraId="05F957BB" w14:textId="599FBEEB" w:rsidR="00864F33" w:rsidRPr="00864F33" w:rsidRDefault="00864F33" w:rsidP="00864F33">
            <w:pPr>
              <w:pStyle w:val="Tabletext"/>
              <w:jc w:val="center"/>
              <w:rPr>
                <w:sz w:val="24"/>
                <w:szCs w:val="24"/>
                <w:lang w:val="en-CA"/>
              </w:rPr>
            </w:pPr>
            <w:r w:rsidRPr="00864F33">
              <w:rPr>
                <w:color w:val="000000"/>
                <w:sz w:val="24"/>
                <w:szCs w:val="24"/>
              </w:rPr>
              <w:t>36.55%</w:t>
            </w:r>
          </w:p>
        </w:tc>
        <w:tc>
          <w:tcPr>
            <w:tcW w:w="726" w:type="pct"/>
            <w:shd w:val="clear" w:color="auto" w:fill="auto"/>
            <w:noWrap/>
            <w:vAlign w:val="bottom"/>
          </w:tcPr>
          <w:p w14:paraId="49A764D2" w14:textId="606C1749" w:rsidR="00864F33" w:rsidRPr="00864F33" w:rsidRDefault="00864F33" w:rsidP="00864F33">
            <w:pPr>
              <w:pStyle w:val="Tabletext"/>
              <w:jc w:val="center"/>
              <w:rPr>
                <w:sz w:val="24"/>
                <w:szCs w:val="24"/>
                <w:lang w:val="en-CA"/>
              </w:rPr>
            </w:pPr>
            <w:r w:rsidRPr="00864F33">
              <w:rPr>
                <w:color w:val="000000"/>
                <w:sz w:val="24"/>
                <w:szCs w:val="24"/>
              </w:rPr>
              <w:t>38.58%</w:t>
            </w:r>
          </w:p>
        </w:tc>
        <w:tc>
          <w:tcPr>
            <w:tcW w:w="725" w:type="pct"/>
            <w:shd w:val="clear" w:color="auto" w:fill="auto"/>
            <w:noWrap/>
            <w:vAlign w:val="bottom"/>
          </w:tcPr>
          <w:p w14:paraId="35D3957F" w14:textId="2DC62429" w:rsidR="00864F33" w:rsidRPr="00864F33" w:rsidRDefault="00864F33" w:rsidP="00864F33">
            <w:pPr>
              <w:pStyle w:val="Tabletext"/>
              <w:jc w:val="center"/>
              <w:rPr>
                <w:sz w:val="24"/>
                <w:szCs w:val="24"/>
                <w:lang w:val="en-CA"/>
              </w:rPr>
            </w:pPr>
            <w:r w:rsidRPr="00864F33">
              <w:rPr>
                <w:color w:val="000000"/>
                <w:sz w:val="24"/>
                <w:szCs w:val="24"/>
              </w:rPr>
              <w:t>39.94%</w:t>
            </w:r>
          </w:p>
        </w:tc>
      </w:tr>
      <w:tr w:rsidR="00864F33" w:rsidRPr="00B561B8" w14:paraId="1723C71A" w14:textId="77777777" w:rsidTr="00864F33">
        <w:trPr>
          <w:cantSplit/>
        </w:trPr>
        <w:tc>
          <w:tcPr>
            <w:tcW w:w="645" w:type="pct"/>
            <w:shd w:val="clear" w:color="auto" w:fill="auto"/>
            <w:noWrap/>
          </w:tcPr>
          <w:p w14:paraId="1DA9B940" w14:textId="153DD82C" w:rsidR="00864F33" w:rsidRDefault="00864F33" w:rsidP="00864F33">
            <w:pPr>
              <w:pStyle w:val="Tabletextindented"/>
              <w:ind w:left="-23"/>
              <w:rPr>
                <w:sz w:val="24"/>
                <w:szCs w:val="24"/>
              </w:rPr>
            </w:pPr>
            <w:r>
              <w:rPr>
                <w:sz w:val="24"/>
                <w:szCs w:val="24"/>
              </w:rPr>
              <w:t>2012</w:t>
            </w:r>
          </w:p>
        </w:tc>
        <w:tc>
          <w:tcPr>
            <w:tcW w:w="726" w:type="pct"/>
            <w:shd w:val="clear" w:color="auto" w:fill="auto"/>
            <w:noWrap/>
            <w:vAlign w:val="bottom"/>
          </w:tcPr>
          <w:p w14:paraId="13349203" w14:textId="25660E2A" w:rsidR="00864F33" w:rsidRPr="00864F33" w:rsidRDefault="00864F33" w:rsidP="00864F33">
            <w:pPr>
              <w:pStyle w:val="Tabletext"/>
              <w:jc w:val="center"/>
              <w:rPr>
                <w:sz w:val="24"/>
                <w:szCs w:val="24"/>
                <w:lang w:val="en-CA"/>
              </w:rPr>
            </w:pPr>
            <w:r w:rsidRPr="00864F33">
              <w:rPr>
                <w:color w:val="000000"/>
                <w:sz w:val="24"/>
                <w:szCs w:val="24"/>
              </w:rPr>
              <w:t>36.01%</w:t>
            </w:r>
          </w:p>
        </w:tc>
        <w:tc>
          <w:tcPr>
            <w:tcW w:w="726" w:type="pct"/>
            <w:shd w:val="clear" w:color="auto" w:fill="auto"/>
            <w:noWrap/>
            <w:vAlign w:val="bottom"/>
          </w:tcPr>
          <w:p w14:paraId="62D234AF" w14:textId="573A2FDB" w:rsidR="00864F33" w:rsidRPr="00864F33" w:rsidRDefault="00864F33" w:rsidP="00864F33">
            <w:pPr>
              <w:pStyle w:val="Tabletext"/>
              <w:jc w:val="center"/>
              <w:rPr>
                <w:sz w:val="24"/>
                <w:szCs w:val="24"/>
                <w:lang w:val="en-CA"/>
              </w:rPr>
            </w:pPr>
            <w:r w:rsidRPr="00864F33">
              <w:rPr>
                <w:color w:val="000000"/>
                <w:sz w:val="24"/>
                <w:szCs w:val="24"/>
              </w:rPr>
              <w:t>35.76%</w:t>
            </w:r>
          </w:p>
        </w:tc>
        <w:tc>
          <w:tcPr>
            <w:tcW w:w="726" w:type="pct"/>
            <w:shd w:val="clear" w:color="auto" w:fill="auto"/>
            <w:noWrap/>
            <w:vAlign w:val="bottom"/>
          </w:tcPr>
          <w:p w14:paraId="353C153C" w14:textId="6E4AD326" w:rsidR="00864F33" w:rsidRPr="00864F33" w:rsidRDefault="00864F33" w:rsidP="00864F33">
            <w:pPr>
              <w:pStyle w:val="Tabletext"/>
              <w:jc w:val="center"/>
              <w:rPr>
                <w:sz w:val="24"/>
                <w:szCs w:val="24"/>
                <w:lang w:val="en-CA"/>
              </w:rPr>
            </w:pPr>
            <w:r w:rsidRPr="00864F33">
              <w:rPr>
                <w:color w:val="000000"/>
                <w:sz w:val="24"/>
                <w:szCs w:val="24"/>
              </w:rPr>
              <w:t>37.06%</w:t>
            </w:r>
          </w:p>
        </w:tc>
        <w:tc>
          <w:tcPr>
            <w:tcW w:w="726" w:type="pct"/>
            <w:shd w:val="clear" w:color="auto" w:fill="auto"/>
            <w:noWrap/>
            <w:vAlign w:val="bottom"/>
          </w:tcPr>
          <w:p w14:paraId="5D077BB5" w14:textId="47935CE7" w:rsidR="00864F33" w:rsidRPr="00864F33" w:rsidRDefault="00864F33" w:rsidP="00864F33">
            <w:pPr>
              <w:pStyle w:val="Tabletext"/>
              <w:jc w:val="center"/>
              <w:rPr>
                <w:sz w:val="24"/>
                <w:szCs w:val="24"/>
                <w:lang w:val="en-CA"/>
              </w:rPr>
            </w:pPr>
            <w:r w:rsidRPr="00864F33">
              <w:rPr>
                <w:color w:val="000000"/>
                <w:sz w:val="24"/>
                <w:szCs w:val="24"/>
              </w:rPr>
              <w:t>47.69%</w:t>
            </w:r>
          </w:p>
        </w:tc>
        <w:tc>
          <w:tcPr>
            <w:tcW w:w="726" w:type="pct"/>
            <w:shd w:val="clear" w:color="auto" w:fill="auto"/>
            <w:noWrap/>
            <w:vAlign w:val="bottom"/>
          </w:tcPr>
          <w:p w14:paraId="0321B197" w14:textId="7B5FECBF" w:rsidR="00864F33" w:rsidRPr="00864F33" w:rsidRDefault="00864F33" w:rsidP="00864F33">
            <w:pPr>
              <w:pStyle w:val="Tabletext"/>
              <w:jc w:val="center"/>
              <w:rPr>
                <w:sz w:val="24"/>
                <w:szCs w:val="24"/>
                <w:lang w:val="en-CA"/>
              </w:rPr>
            </w:pPr>
            <w:r w:rsidRPr="00864F33">
              <w:rPr>
                <w:color w:val="000000"/>
                <w:sz w:val="24"/>
                <w:szCs w:val="24"/>
              </w:rPr>
              <w:t>38.49%</w:t>
            </w:r>
          </w:p>
        </w:tc>
        <w:tc>
          <w:tcPr>
            <w:tcW w:w="725" w:type="pct"/>
            <w:shd w:val="clear" w:color="auto" w:fill="auto"/>
            <w:noWrap/>
            <w:vAlign w:val="bottom"/>
          </w:tcPr>
          <w:p w14:paraId="3EA6915F" w14:textId="2A0A4BA2" w:rsidR="00864F33" w:rsidRPr="00864F33" w:rsidRDefault="00864F33" w:rsidP="00864F33">
            <w:pPr>
              <w:pStyle w:val="Tabletext"/>
              <w:jc w:val="center"/>
              <w:rPr>
                <w:sz w:val="24"/>
                <w:szCs w:val="24"/>
                <w:lang w:val="en-CA"/>
              </w:rPr>
            </w:pPr>
            <w:r w:rsidRPr="00864F33">
              <w:rPr>
                <w:color w:val="000000"/>
                <w:sz w:val="24"/>
                <w:szCs w:val="24"/>
              </w:rPr>
              <w:t>39.79%</w:t>
            </w:r>
          </w:p>
        </w:tc>
      </w:tr>
      <w:tr w:rsidR="00864F33" w:rsidRPr="00B561B8" w14:paraId="6481DC24" w14:textId="77777777" w:rsidTr="00864F33">
        <w:trPr>
          <w:cantSplit/>
        </w:trPr>
        <w:tc>
          <w:tcPr>
            <w:tcW w:w="645" w:type="pct"/>
            <w:shd w:val="clear" w:color="auto" w:fill="auto"/>
            <w:noWrap/>
          </w:tcPr>
          <w:p w14:paraId="4538A8D4" w14:textId="4B3FEE3D" w:rsidR="00864F33" w:rsidRDefault="00864F33" w:rsidP="00864F33">
            <w:pPr>
              <w:pStyle w:val="Tabletextindented"/>
              <w:ind w:left="-23"/>
              <w:rPr>
                <w:sz w:val="24"/>
                <w:szCs w:val="24"/>
              </w:rPr>
            </w:pPr>
            <w:r>
              <w:rPr>
                <w:sz w:val="24"/>
                <w:szCs w:val="24"/>
              </w:rPr>
              <w:t>2013</w:t>
            </w:r>
          </w:p>
        </w:tc>
        <w:tc>
          <w:tcPr>
            <w:tcW w:w="726" w:type="pct"/>
            <w:shd w:val="clear" w:color="auto" w:fill="auto"/>
            <w:noWrap/>
            <w:vAlign w:val="bottom"/>
          </w:tcPr>
          <w:p w14:paraId="29B1ADF9" w14:textId="68043D39" w:rsidR="00864F33" w:rsidRPr="00864F33" w:rsidRDefault="00864F33" w:rsidP="00864F33">
            <w:pPr>
              <w:pStyle w:val="Tabletext"/>
              <w:jc w:val="center"/>
              <w:rPr>
                <w:sz w:val="24"/>
                <w:szCs w:val="24"/>
                <w:lang w:val="en-CA"/>
              </w:rPr>
            </w:pPr>
            <w:r w:rsidRPr="00864F33">
              <w:rPr>
                <w:color w:val="000000"/>
                <w:sz w:val="24"/>
                <w:szCs w:val="24"/>
              </w:rPr>
              <w:t>36.21%</w:t>
            </w:r>
          </w:p>
        </w:tc>
        <w:tc>
          <w:tcPr>
            <w:tcW w:w="726" w:type="pct"/>
            <w:shd w:val="clear" w:color="auto" w:fill="auto"/>
            <w:noWrap/>
            <w:vAlign w:val="bottom"/>
          </w:tcPr>
          <w:p w14:paraId="206C04F2" w14:textId="05AD9677" w:rsidR="00864F33" w:rsidRPr="00864F33" w:rsidRDefault="00864F33" w:rsidP="00864F33">
            <w:pPr>
              <w:pStyle w:val="Tabletext"/>
              <w:jc w:val="center"/>
              <w:rPr>
                <w:sz w:val="24"/>
                <w:szCs w:val="24"/>
                <w:lang w:val="en-CA"/>
              </w:rPr>
            </w:pPr>
            <w:r w:rsidRPr="00864F33">
              <w:rPr>
                <w:color w:val="000000"/>
                <w:sz w:val="24"/>
                <w:szCs w:val="24"/>
              </w:rPr>
              <w:t>35.86%</w:t>
            </w:r>
          </w:p>
        </w:tc>
        <w:tc>
          <w:tcPr>
            <w:tcW w:w="726" w:type="pct"/>
            <w:shd w:val="clear" w:color="auto" w:fill="auto"/>
            <w:noWrap/>
            <w:vAlign w:val="bottom"/>
          </w:tcPr>
          <w:p w14:paraId="6B06896F" w14:textId="6F721624" w:rsidR="00864F33" w:rsidRPr="00864F33" w:rsidRDefault="00864F33" w:rsidP="00864F33">
            <w:pPr>
              <w:pStyle w:val="Tabletext"/>
              <w:jc w:val="center"/>
              <w:rPr>
                <w:sz w:val="24"/>
                <w:szCs w:val="24"/>
                <w:lang w:val="en-CA"/>
              </w:rPr>
            </w:pPr>
            <w:r w:rsidRPr="00864F33">
              <w:rPr>
                <w:color w:val="000000"/>
                <w:sz w:val="24"/>
                <w:szCs w:val="24"/>
              </w:rPr>
              <w:t>36.76%</w:t>
            </w:r>
          </w:p>
        </w:tc>
        <w:tc>
          <w:tcPr>
            <w:tcW w:w="726" w:type="pct"/>
            <w:shd w:val="clear" w:color="auto" w:fill="auto"/>
            <w:noWrap/>
            <w:vAlign w:val="bottom"/>
          </w:tcPr>
          <w:p w14:paraId="74D35923" w14:textId="06C844CA" w:rsidR="00864F33" w:rsidRPr="00864F33" w:rsidRDefault="00864F33" w:rsidP="00864F33">
            <w:pPr>
              <w:pStyle w:val="Tabletext"/>
              <w:jc w:val="center"/>
              <w:rPr>
                <w:sz w:val="24"/>
                <w:szCs w:val="24"/>
                <w:lang w:val="en-CA"/>
              </w:rPr>
            </w:pPr>
            <w:r w:rsidRPr="00864F33">
              <w:rPr>
                <w:color w:val="000000"/>
                <w:sz w:val="24"/>
                <w:szCs w:val="24"/>
              </w:rPr>
              <w:t>36.71%</w:t>
            </w:r>
          </w:p>
        </w:tc>
        <w:tc>
          <w:tcPr>
            <w:tcW w:w="726" w:type="pct"/>
            <w:shd w:val="clear" w:color="auto" w:fill="auto"/>
            <w:noWrap/>
            <w:vAlign w:val="bottom"/>
          </w:tcPr>
          <w:p w14:paraId="6B0F909E" w14:textId="4C03A777" w:rsidR="00864F33" w:rsidRPr="00864F33" w:rsidRDefault="00864F33" w:rsidP="00864F33">
            <w:pPr>
              <w:pStyle w:val="Tabletext"/>
              <w:jc w:val="center"/>
              <w:rPr>
                <w:sz w:val="24"/>
                <w:szCs w:val="24"/>
                <w:lang w:val="en-CA"/>
              </w:rPr>
            </w:pPr>
            <w:r w:rsidRPr="00864F33">
              <w:rPr>
                <w:color w:val="000000"/>
                <w:sz w:val="24"/>
                <w:szCs w:val="24"/>
              </w:rPr>
              <w:t>38.34%</w:t>
            </w:r>
          </w:p>
        </w:tc>
        <w:tc>
          <w:tcPr>
            <w:tcW w:w="725" w:type="pct"/>
            <w:shd w:val="clear" w:color="auto" w:fill="auto"/>
            <w:noWrap/>
            <w:vAlign w:val="bottom"/>
          </w:tcPr>
          <w:p w14:paraId="4F2BF5CF" w14:textId="433C4EE8" w:rsidR="00864F33" w:rsidRPr="00864F33" w:rsidRDefault="00864F33" w:rsidP="00864F33">
            <w:pPr>
              <w:pStyle w:val="Tabletext"/>
              <w:jc w:val="center"/>
              <w:rPr>
                <w:sz w:val="24"/>
                <w:szCs w:val="24"/>
                <w:lang w:val="en-CA"/>
              </w:rPr>
            </w:pPr>
            <w:r w:rsidRPr="00864F33">
              <w:rPr>
                <w:color w:val="000000"/>
                <w:sz w:val="24"/>
                <w:szCs w:val="24"/>
              </w:rPr>
              <w:t>39.62%</w:t>
            </w:r>
          </w:p>
        </w:tc>
      </w:tr>
      <w:tr w:rsidR="00864F33" w:rsidRPr="00B561B8" w14:paraId="515DEB09" w14:textId="77777777" w:rsidTr="00864F33">
        <w:trPr>
          <w:cantSplit/>
        </w:trPr>
        <w:tc>
          <w:tcPr>
            <w:tcW w:w="645" w:type="pct"/>
            <w:shd w:val="clear" w:color="auto" w:fill="auto"/>
            <w:noWrap/>
          </w:tcPr>
          <w:p w14:paraId="5F5C6D3A" w14:textId="608DB0BE" w:rsidR="00864F33" w:rsidRDefault="00864F33" w:rsidP="00864F33">
            <w:pPr>
              <w:pStyle w:val="Tabletextindented"/>
              <w:ind w:left="-23"/>
              <w:rPr>
                <w:sz w:val="24"/>
                <w:szCs w:val="24"/>
              </w:rPr>
            </w:pPr>
            <w:r>
              <w:rPr>
                <w:sz w:val="24"/>
                <w:szCs w:val="24"/>
              </w:rPr>
              <w:t>2014</w:t>
            </w:r>
          </w:p>
        </w:tc>
        <w:tc>
          <w:tcPr>
            <w:tcW w:w="726" w:type="pct"/>
            <w:shd w:val="clear" w:color="auto" w:fill="auto"/>
            <w:noWrap/>
            <w:vAlign w:val="bottom"/>
          </w:tcPr>
          <w:p w14:paraId="77D720D6" w14:textId="7BABE97A" w:rsidR="00864F33" w:rsidRPr="00864F33" w:rsidRDefault="00864F33" w:rsidP="00864F33">
            <w:pPr>
              <w:pStyle w:val="Tabletext"/>
              <w:jc w:val="center"/>
              <w:rPr>
                <w:sz w:val="24"/>
                <w:szCs w:val="24"/>
                <w:lang w:val="en-CA"/>
              </w:rPr>
            </w:pPr>
            <w:r w:rsidRPr="00864F33">
              <w:rPr>
                <w:color w:val="000000"/>
                <w:sz w:val="24"/>
                <w:szCs w:val="24"/>
              </w:rPr>
              <w:t>36.38%</w:t>
            </w:r>
          </w:p>
        </w:tc>
        <w:tc>
          <w:tcPr>
            <w:tcW w:w="726" w:type="pct"/>
            <w:shd w:val="clear" w:color="auto" w:fill="auto"/>
            <w:noWrap/>
            <w:vAlign w:val="bottom"/>
          </w:tcPr>
          <w:p w14:paraId="1313989F" w14:textId="0D28ED4D" w:rsidR="00864F33" w:rsidRPr="00864F33" w:rsidRDefault="00864F33" w:rsidP="00864F33">
            <w:pPr>
              <w:pStyle w:val="Tabletext"/>
              <w:jc w:val="center"/>
              <w:rPr>
                <w:sz w:val="24"/>
                <w:szCs w:val="24"/>
                <w:lang w:val="en-CA"/>
              </w:rPr>
            </w:pPr>
            <w:r w:rsidRPr="00864F33">
              <w:rPr>
                <w:color w:val="000000"/>
                <w:sz w:val="24"/>
                <w:szCs w:val="24"/>
              </w:rPr>
              <w:t>35.94%</w:t>
            </w:r>
          </w:p>
        </w:tc>
        <w:tc>
          <w:tcPr>
            <w:tcW w:w="726" w:type="pct"/>
            <w:shd w:val="clear" w:color="auto" w:fill="auto"/>
            <w:noWrap/>
            <w:vAlign w:val="bottom"/>
          </w:tcPr>
          <w:p w14:paraId="71D2CE5F" w14:textId="76245FBD" w:rsidR="00864F33" w:rsidRPr="00864F33" w:rsidRDefault="00864F33" w:rsidP="00864F33">
            <w:pPr>
              <w:pStyle w:val="Tabletext"/>
              <w:jc w:val="center"/>
              <w:rPr>
                <w:sz w:val="24"/>
                <w:szCs w:val="24"/>
                <w:lang w:val="en-CA"/>
              </w:rPr>
            </w:pPr>
            <w:r w:rsidRPr="00864F33">
              <w:rPr>
                <w:color w:val="000000"/>
                <w:sz w:val="24"/>
                <w:szCs w:val="24"/>
              </w:rPr>
              <w:t>36.41%</w:t>
            </w:r>
          </w:p>
        </w:tc>
        <w:tc>
          <w:tcPr>
            <w:tcW w:w="726" w:type="pct"/>
            <w:shd w:val="clear" w:color="auto" w:fill="auto"/>
            <w:noWrap/>
            <w:vAlign w:val="bottom"/>
          </w:tcPr>
          <w:p w14:paraId="3F43FEB5" w14:textId="6C79BB69" w:rsidR="00864F33" w:rsidRPr="00864F33" w:rsidRDefault="00864F33" w:rsidP="00864F33">
            <w:pPr>
              <w:pStyle w:val="Tabletext"/>
              <w:jc w:val="center"/>
              <w:rPr>
                <w:sz w:val="24"/>
                <w:szCs w:val="24"/>
                <w:lang w:val="en-CA"/>
              </w:rPr>
            </w:pPr>
            <w:r w:rsidRPr="00864F33">
              <w:rPr>
                <w:color w:val="000000"/>
                <w:sz w:val="24"/>
                <w:szCs w:val="24"/>
              </w:rPr>
              <w:t>36.83%</w:t>
            </w:r>
          </w:p>
        </w:tc>
        <w:tc>
          <w:tcPr>
            <w:tcW w:w="726" w:type="pct"/>
            <w:shd w:val="clear" w:color="auto" w:fill="auto"/>
            <w:noWrap/>
            <w:vAlign w:val="bottom"/>
          </w:tcPr>
          <w:p w14:paraId="2E8F4AAF" w14:textId="15179EC3" w:rsidR="00864F33" w:rsidRPr="00864F33" w:rsidRDefault="00864F33" w:rsidP="00864F33">
            <w:pPr>
              <w:pStyle w:val="Tabletext"/>
              <w:jc w:val="center"/>
              <w:rPr>
                <w:sz w:val="24"/>
                <w:szCs w:val="24"/>
                <w:lang w:val="en-CA"/>
              </w:rPr>
            </w:pPr>
            <w:r w:rsidRPr="00864F33">
              <w:rPr>
                <w:color w:val="000000"/>
                <w:sz w:val="24"/>
                <w:szCs w:val="24"/>
              </w:rPr>
              <w:t>38.15%</w:t>
            </w:r>
          </w:p>
        </w:tc>
        <w:tc>
          <w:tcPr>
            <w:tcW w:w="725" w:type="pct"/>
            <w:shd w:val="clear" w:color="auto" w:fill="auto"/>
            <w:noWrap/>
            <w:vAlign w:val="bottom"/>
          </w:tcPr>
          <w:p w14:paraId="4A30E8C0" w14:textId="46325CCE" w:rsidR="00864F33" w:rsidRPr="00864F33" w:rsidRDefault="00864F33" w:rsidP="00864F33">
            <w:pPr>
              <w:pStyle w:val="Tabletext"/>
              <w:jc w:val="center"/>
              <w:rPr>
                <w:sz w:val="24"/>
                <w:szCs w:val="24"/>
                <w:lang w:val="en-CA"/>
              </w:rPr>
            </w:pPr>
            <w:r w:rsidRPr="00864F33">
              <w:rPr>
                <w:color w:val="000000"/>
                <w:sz w:val="24"/>
                <w:szCs w:val="24"/>
              </w:rPr>
              <w:t>39.57%</w:t>
            </w:r>
          </w:p>
        </w:tc>
      </w:tr>
      <w:tr w:rsidR="00864F33" w:rsidRPr="00B561B8" w14:paraId="4850B773" w14:textId="77777777" w:rsidTr="00864F33">
        <w:trPr>
          <w:cantSplit/>
        </w:trPr>
        <w:tc>
          <w:tcPr>
            <w:tcW w:w="645" w:type="pct"/>
            <w:shd w:val="clear" w:color="auto" w:fill="auto"/>
          </w:tcPr>
          <w:p w14:paraId="0A4E8F11" w14:textId="6960457E" w:rsidR="00864F33" w:rsidRPr="00B561B8" w:rsidRDefault="00864F33" w:rsidP="00864F33">
            <w:pPr>
              <w:pStyle w:val="Tabletextindented"/>
              <w:ind w:left="0"/>
              <w:rPr>
                <w:sz w:val="24"/>
                <w:szCs w:val="24"/>
              </w:rPr>
            </w:pPr>
            <w:r>
              <w:rPr>
                <w:sz w:val="24"/>
                <w:szCs w:val="24"/>
              </w:rPr>
              <w:t>2015</w:t>
            </w:r>
          </w:p>
        </w:tc>
        <w:tc>
          <w:tcPr>
            <w:tcW w:w="726" w:type="pct"/>
            <w:shd w:val="clear" w:color="auto" w:fill="auto"/>
            <w:vAlign w:val="bottom"/>
            <w:hideMark/>
          </w:tcPr>
          <w:p w14:paraId="7CA6D2B0" w14:textId="680DE42A" w:rsidR="00864F33" w:rsidRPr="00864F33" w:rsidRDefault="00864F33" w:rsidP="00864F33">
            <w:pPr>
              <w:pStyle w:val="Tabletext"/>
              <w:jc w:val="center"/>
              <w:rPr>
                <w:sz w:val="24"/>
                <w:szCs w:val="24"/>
                <w:lang w:val="en-CA"/>
              </w:rPr>
            </w:pPr>
            <w:r w:rsidRPr="00864F33">
              <w:rPr>
                <w:color w:val="000000"/>
                <w:sz w:val="24"/>
                <w:szCs w:val="24"/>
              </w:rPr>
              <w:t>36.52%</w:t>
            </w:r>
          </w:p>
        </w:tc>
        <w:tc>
          <w:tcPr>
            <w:tcW w:w="726" w:type="pct"/>
            <w:shd w:val="clear" w:color="auto" w:fill="auto"/>
            <w:vAlign w:val="bottom"/>
            <w:hideMark/>
          </w:tcPr>
          <w:p w14:paraId="26EDA9C5" w14:textId="591DE17C" w:rsidR="00864F33" w:rsidRPr="00864F33" w:rsidRDefault="00864F33" w:rsidP="00864F33">
            <w:pPr>
              <w:pStyle w:val="Tabletext"/>
              <w:jc w:val="center"/>
              <w:rPr>
                <w:sz w:val="24"/>
                <w:szCs w:val="24"/>
                <w:lang w:val="en-CA"/>
              </w:rPr>
            </w:pPr>
            <w:r w:rsidRPr="00864F33">
              <w:rPr>
                <w:color w:val="000000"/>
                <w:sz w:val="24"/>
                <w:szCs w:val="24"/>
              </w:rPr>
              <w:t>35.95%</w:t>
            </w:r>
          </w:p>
        </w:tc>
        <w:tc>
          <w:tcPr>
            <w:tcW w:w="726" w:type="pct"/>
            <w:shd w:val="clear" w:color="auto" w:fill="auto"/>
            <w:vAlign w:val="bottom"/>
            <w:hideMark/>
          </w:tcPr>
          <w:p w14:paraId="0696B07A" w14:textId="090FD7A7" w:rsidR="00864F33" w:rsidRPr="00864F33" w:rsidRDefault="00864F33" w:rsidP="00864F33">
            <w:pPr>
              <w:pStyle w:val="Tabletext"/>
              <w:jc w:val="center"/>
              <w:rPr>
                <w:sz w:val="24"/>
                <w:szCs w:val="24"/>
                <w:lang w:val="en-CA"/>
              </w:rPr>
            </w:pPr>
            <w:r w:rsidRPr="00864F33">
              <w:rPr>
                <w:color w:val="000000"/>
                <w:sz w:val="24"/>
                <w:szCs w:val="24"/>
              </w:rPr>
              <w:t>36.02%</w:t>
            </w:r>
          </w:p>
        </w:tc>
        <w:tc>
          <w:tcPr>
            <w:tcW w:w="726" w:type="pct"/>
            <w:shd w:val="clear" w:color="auto" w:fill="auto"/>
            <w:vAlign w:val="bottom"/>
            <w:hideMark/>
          </w:tcPr>
          <w:p w14:paraId="5DFCFDDA" w14:textId="4C67DD44" w:rsidR="00864F33" w:rsidRPr="00864F33" w:rsidRDefault="00864F33" w:rsidP="00864F33">
            <w:pPr>
              <w:pStyle w:val="Tabletext"/>
              <w:jc w:val="center"/>
              <w:rPr>
                <w:sz w:val="24"/>
                <w:szCs w:val="24"/>
                <w:lang w:val="en-CA"/>
              </w:rPr>
            </w:pPr>
            <w:r w:rsidRPr="00864F33">
              <w:rPr>
                <w:color w:val="000000"/>
                <w:sz w:val="24"/>
                <w:szCs w:val="24"/>
              </w:rPr>
              <w:t>36.95%</w:t>
            </w:r>
          </w:p>
        </w:tc>
        <w:tc>
          <w:tcPr>
            <w:tcW w:w="726" w:type="pct"/>
            <w:shd w:val="clear" w:color="auto" w:fill="auto"/>
            <w:vAlign w:val="bottom"/>
            <w:hideMark/>
          </w:tcPr>
          <w:p w14:paraId="4DA3839D" w14:textId="6AFCE0D3" w:rsidR="00864F33" w:rsidRPr="00864F33" w:rsidRDefault="00864F33" w:rsidP="00864F33">
            <w:pPr>
              <w:pStyle w:val="Tabletext"/>
              <w:jc w:val="center"/>
              <w:rPr>
                <w:sz w:val="24"/>
                <w:szCs w:val="24"/>
                <w:lang w:val="en-CA"/>
              </w:rPr>
            </w:pPr>
            <w:r w:rsidRPr="00864F33">
              <w:rPr>
                <w:color w:val="000000"/>
                <w:sz w:val="24"/>
                <w:szCs w:val="24"/>
              </w:rPr>
              <w:t>37.98%</w:t>
            </w:r>
          </w:p>
        </w:tc>
        <w:tc>
          <w:tcPr>
            <w:tcW w:w="725" w:type="pct"/>
            <w:shd w:val="clear" w:color="auto" w:fill="auto"/>
            <w:vAlign w:val="bottom"/>
            <w:hideMark/>
          </w:tcPr>
          <w:p w14:paraId="14FCFBB3" w14:textId="67D4D691" w:rsidR="00864F33" w:rsidRPr="00864F33" w:rsidRDefault="00864F33" w:rsidP="00864F33">
            <w:pPr>
              <w:pStyle w:val="Tabletext"/>
              <w:jc w:val="center"/>
              <w:rPr>
                <w:sz w:val="24"/>
                <w:szCs w:val="24"/>
                <w:lang w:val="en-CA"/>
              </w:rPr>
            </w:pPr>
            <w:r w:rsidRPr="00864F33">
              <w:rPr>
                <w:color w:val="000000"/>
                <w:sz w:val="24"/>
                <w:szCs w:val="24"/>
              </w:rPr>
              <w:t>39.51%</w:t>
            </w:r>
          </w:p>
        </w:tc>
      </w:tr>
    </w:tbl>
    <w:p w14:paraId="4D9E5E02" w14:textId="35F2C565" w:rsidR="00817886" w:rsidRDefault="00864F33" w:rsidP="00817886">
      <w:pPr>
        <w:rPr>
          <w:sz w:val="20"/>
        </w:rPr>
      </w:pPr>
      <w:r w:rsidRPr="00864F33">
        <w:rPr>
          <w:sz w:val="20"/>
        </w:rPr>
        <w:t xml:space="preserve">Statistics Canada.  </w:t>
      </w:r>
      <w:proofErr w:type="gramStart"/>
      <w:r w:rsidRPr="00864F33">
        <w:rPr>
          <w:sz w:val="20"/>
        </w:rPr>
        <w:t>Table  17</w:t>
      </w:r>
      <w:proofErr w:type="gramEnd"/>
      <w:r w:rsidRPr="00864F33">
        <w:rPr>
          <w:sz w:val="20"/>
        </w:rPr>
        <w:t>-10-0060-01   Estimates of population as of July 1st, by marital status or legal marital status, age and sex</w:t>
      </w:r>
      <w:r w:rsidR="00817886">
        <w:rPr>
          <w:sz w:val="20"/>
        </w:rPr>
        <w:t>.</w:t>
      </w:r>
      <w:r>
        <w:rPr>
          <w:sz w:val="20"/>
        </w:rPr>
        <w:t xml:space="preserve"> </w:t>
      </w:r>
      <w:r w:rsidRPr="00864F33">
        <w:rPr>
          <w:sz w:val="20"/>
        </w:rPr>
        <w:t>DOI:   https://doi.org/10.25318/1710006001-eng</w:t>
      </w:r>
      <w:r>
        <w:rPr>
          <w:sz w:val="20"/>
        </w:rPr>
        <w:t>.</w:t>
      </w:r>
    </w:p>
    <w:p w14:paraId="38C84B0D" w14:textId="77777777" w:rsidR="00817886" w:rsidRDefault="00817886"/>
    <w:sectPr w:rsidR="00817886" w:rsidSect="00864F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DC9"/>
    <w:rsid w:val="00147ACC"/>
    <w:rsid w:val="00202DC9"/>
    <w:rsid w:val="004267BE"/>
    <w:rsid w:val="00511490"/>
    <w:rsid w:val="00532941"/>
    <w:rsid w:val="005A3DD9"/>
    <w:rsid w:val="005F53B8"/>
    <w:rsid w:val="005F548A"/>
    <w:rsid w:val="00817886"/>
    <w:rsid w:val="00864F33"/>
    <w:rsid w:val="00A5553F"/>
    <w:rsid w:val="00C17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A9E24"/>
  <w15:chartTrackingRefBased/>
  <w15:docId w15:val="{D89801BA-4C49-4B52-8F3A-DE185AC33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2DC9"/>
    <w:pPr>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2DC9"/>
    <w:pPr>
      <w:spacing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202DC9"/>
    <w:rPr>
      <w:rFonts w:ascii="Segoe UI" w:hAnsi="Segoe UI" w:cs="Segoe UI"/>
      <w:sz w:val="18"/>
      <w:szCs w:val="18"/>
    </w:rPr>
  </w:style>
  <w:style w:type="paragraph" w:customStyle="1" w:styleId="Tabletext">
    <w:name w:val="Table text"/>
    <w:link w:val="TabletextChar"/>
    <w:qFormat/>
    <w:rsid w:val="00202DC9"/>
    <w:pPr>
      <w:spacing w:before="40" w:after="40" w:line="288" w:lineRule="auto"/>
    </w:pPr>
    <w:rPr>
      <w:rFonts w:ascii="Times New Roman" w:eastAsia="Times New Roman" w:hAnsi="Times New Roman" w:cs="Times New Roman"/>
      <w:sz w:val="20"/>
      <w:szCs w:val="20"/>
    </w:rPr>
  </w:style>
  <w:style w:type="paragraph" w:customStyle="1" w:styleId="paragraph">
    <w:name w:val="paragraph"/>
    <w:basedOn w:val="Normal"/>
    <w:link w:val="paragraphChar"/>
    <w:qFormat/>
    <w:rsid w:val="00202DC9"/>
    <w:pPr>
      <w:spacing w:before="120" w:after="240" w:line="480" w:lineRule="auto"/>
    </w:pPr>
    <w:rPr>
      <w:sz w:val="20"/>
    </w:rPr>
  </w:style>
  <w:style w:type="paragraph" w:customStyle="1" w:styleId="tabfigtitle">
    <w:name w:val="tab/fig title"/>
    <w:basedOn w:val="Normal"/>
    <w:rsid w:val="00202DC9"/>
    <w:pPr>
      <w:keepNext/>
      <w:spacing w:before="120" w:line="480" w:lineRule="auto"/>
    </w:pPr>
    <w:rPr>
      <w:b/>
      <w:sz w:val="20"/>
    </w:rPr>
  </w:style>
  <w:style w:type="paragraph" w:customStyle="1" w:styleId="Tableheadings">
    <w:name w:val="Table headings"/>
    <w:basedOn w:val="Normal"/>
    <w:rsid w:val="00202DC9"/>
    <w:pPr>
      <w:spacing w:before="40" w:after="40" w:line="288" w:lineRule="auto"/>
    </w:pPr>
    <w:rPr>
      <w:b/>
      <w:sz w:val="20"/>
    </w:rPr>
  </w:style>
  <w:style w:type="character" w:customStyle="1" w:styleId="paragraphChar">
    <w:name w:val="paragraph Char"/>
    <w:link w:val="paragraph"/>
    <w:rsid w:val="00202DC9"/>
    <w:rPr>
      <w:rFonts w:ascii="Times New Roman" w:eastAsia="Times New Roman" w:hAnsi="Times New Roman" w:cs="Times New Roman"/>
      <w:sz w:val="20"/>
      <w:szCs w:val="20"/>
    </w:rPr>
  </w:style>
  <w:style w:type="character" w:customStyle="1" w:styleId="TabletextChar">
    <w:name w:val="Table text Char"/>
    <w:link w:val="Tabletext"/>
    <w:locked/>
    <w:rsid w:val="00202DC9"/>
    <w:rPr>
      <w:rFonts w:ascii="Times New Roman" w:eastAsia="Times New Roman" w:hAnsi="Times New Roman" w:cs="Times New Roman"/>
      <w:sz w:val="20"/>
      <w:szCs w:val="20"/>
    </w:rPr>
  </w:style>
  <w:style w:type="paragraph" w:customStyle="1" w:styleId="Tabletextindented">
    <w:name w:val="Table text indented"/>
    <w:basedOn w:val="Tabletext"/>
    <w:qFormat/>
    <w:rsid w:val="005A3DD9"/>
    <w:pPr>
      <w:ind w:left="288"/>
    </w:pPr>
    <w:rPr>
      <w:sz w:val="18"/>
      <w:szCs w:val="18"/>
      <w:lang w:val="en-CA"/>
    </w:rPr>
  </w:style>
  <w:style w:type="paragraph" w:customStyle="1" w:styleId="Tablecolumnheadings">
    <w:name w:val="Table column headings"/>
    <w:basedOn w:val="Normal"/>
    <w:rsid w:val="005A3DD9"/>
    <w:pPr>
      <w:keepNext/>
      <w:spacing w:before="40" w:after="40" w:line="288" w:lineRule="auto"/>
      <w:jc w:val="center"/>
    </w:pPr>
    <w:rPr>
      <w:b/>
      <w:sz w:val="18"/>
    </w:rPr>
  </w:style>
  <w:style w:type="character" w:styleId="CommentReference">
    <w:name w:val="annotation reference"/>
    <w:basedOn w:val="DefaultParagraphFont"/>
    <w:uiPriority w:val="99"/>
    <w:semiHidden/>
    <w:unhideWhenUsed/>
    <w:rsid w:val="00532941"/>
    <w:rPr>
      <w:sz w:val="16"/>
      <w:szCs w:val="16"/>
    </w:rPr>
  </w:style>
  <w:style w:type="paragraph" w:styleId="CommentText">
    <w:name w:val="annotation text"/>
    <w:basedOn w:val="Normal"/>
    <w:link w:val="CommentTextChar"/>
    <w:uiPriority w:val="99"/>
    <w:semiHidden/>
    <w:unhideWhenUsed/>
    <w:rsid w:val="00532941"/>
    <w:pPr>
      <w:spacing w:line="240" w:lineRule="auto"/>
    </w:pPr>
    <w:rPr>
      <w:sz w:val="20"/>
    </w:rPr>
  </w:style>
  <w:style w:type="character" w:customStyle="1" w:styleId="CommentTextChar">
    <w:name w:val="Comment Text Char"/>
    <w:basedOn w:val="DefaultParagraphFont"/>
    <w:link w:val="CommentText"/>
    <w:uiPriority w:val="99"/>
    <w:semiHidden/>
    <w:rsid w:val="005329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41"/>
    <w:rPr>
      <w:b/>
      <w:bCs/>
    </w:rPr>
  </w:style>
  <w:style w:type="character" w:customStyle="1" w:styleId="CommentSubjectChar">
    <w:name w:val="Comment Subject Char"/>
    <w:basedOn w:val="CommentTextChar"/>
    <w:link w:val="CommentSubject"/>
    <w:uiPriority w:val="99"/>
    <w:semiHidden/>
    <w:rsid w:val="0053294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608</Words>
  <Characters>3468</Characters>
  <Application>Microsoft Office Word</Application>
  <DocSecurity>0</DocSecurity>
  <Lines>28</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Michele</dc:creator>
  <cp:keywords/>
  <dc:description/>
  <cp:lastModifiedBy>Wasserman, Matt</cp:lastModifiedBy>
  <cp:revision>2</cp:revision>
  <dcterms:created xsi:type="dcterms:W3CDTF">2020-03-05T18:52:00Z</dcterms:created>
  <dcterms:modified xsi:type="dcterms:W3CDTF">2020-03-05T18:52:00Z</dcterms:modified>
</cp:coreProperties>
</file>