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D9FDCA" w14:textId="1DD40368" w:rsidR="00B50E16" w:rsidRPr="00EE2E74" w:rsidRDefault="00B50E16" w:rsidP="00B50E16">
      <w:pPr>
        <w:spacing w:after="240"/>
        <w:rPr>
          <w:rFonts w:asciiTheme="minorHAnsi" w:hAnsiTheme="minorHAnsi"/>
          <w:b/>
        </w:rPr>
      </w:pPr>
      <w:r w:rsidRPr="00EE2E74">
        <w:rPr>
          <w:rFonts w:asciiTheme="minorHAnsi" w:hAnsiTheme="minorHAnsi"/>
          <w:b/>
        </w:rPr>
        <w:t xml:space="preserve">Supplementary </w:t>
      </w:r>
      <w:r w:rsidR="00EE2E74" w:rsidRPr="00EE2E74">
        <w:rPr>
          <w:rFonts w:asciiTheme="minorHAnsi" w:hAnsiTheme="minorHAnsi"/>
          <w:b/>
        </w:rPr>
        <w:t>Figures</w:t>
      </w:r>
    </w:p>
    <w:p w14:paraId="6E86E891" w14:textId="76310891" w:rsidR="00EE2E74" w:rsidRPr="00EE2E74" w:rsidRDefault="00F86942" w:rsidP="00B50E16">
      <w:pPr>
        <w:spacing w:after="240"/>
        <w:rPr>
          <w:rFonts w:asciiTheme="minorHAnsi" w:hAnsiTheme="minorHAnsi"/>
          <w:b/>
        </w:rPr>
      </w:pPr>
      <w:r>
        <w:rPr>
          <w:rFonts w:asciiTheme="minorHAnsi" w:hAnsiTheme="minorHAnsi"/>
          <w:b/>
        </w:rPr>
        <w:pict w14:anchorId="0F57CC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6.4pt;height:260.8pt">
            <v:imagedata r:id="rId9" o:title="Figure S1" croptop="15009f" cropbottom="13523f" cropleft="7679f" cropright="9047f"/>
          </v:shape>
        </w:pict>
      </w:r>
    </w:p>
    <w:p w14:paraId="0ECB9E90" w14:textId="13E5B614" w:rsidR="00B50E16" w:rsidRPr="00EE2E74" w:rsidRDefault="00B50E16" w:rsidP="00B50E16">
      <w:pPr>
        <w:spacing w:after="240"/>
        <w:rPr>
          <w:rFonts w:asciiTheme="minorHAnsi" w:hAnsiTheme="minorHAnsi"/>
        </w:rPr>
      </w:pPr>
      <w:r w:rsidRPr="00EE2E74">
        <w:rPr>
          <w:rFonts w:asciiTheme="minorHAnsi" w:hAnsiTheme="minorHAnsi"/>
          <w:b/>
        </w:rPr>
        <w:t>Fig. S1. Study data flow chart</w:t>
      </w:r>
    </w:p>
    <w:p w14:paraId="0FFD1E32" w14:textId="77777777" w:rsidR="00EE2E74" w:rsidRPr="00EE2E74" w:rsidRDefault="00EE2E74">
      <w:pPr>
        <w:spacing w:after="160" w:line="259" w:lineRule="auto"/>
        <w:rPr>
          <w:rFonts w:asciiTheme="minorHAnsi" w:hAnsiTheme="minorHAnsi"/>
          <w:b/>
        </w:rPr>
      </w:pPr>
      <w:r w:rsidRPr="00EE2E74">
        <w:rPr>
          <w:rFonts w:asciiTheme="minorHAnsi" w:hAnsiTheme="minorHAnsi"/>
          <w:b/>
        </w:rPr>
        <w:br w:type="page"/>
      </w:r>
    </w:p>
    <w:p w14:paraId="6471AA21" w14:textId="57E54C47" w:rsidR="00EE2E74" w:rsidRPr="00EE2E74" w:rsidRDefault="00F86942" w:rsidP="00B50E16">
      <w:pPr>
        <w:spacing w:after="240"/>
        <w:rPr>
          <w:rFonts w:asciiTheme="minorHAnsi" w:hAnsiTheme="minorHAnsi"/>
          <w:b/>
        </w:rPr>
      </w:pPr>
      <w:r>
        <w:rPr>
          <w:rFonts w:asciiTheme="minorHAnsi" w:hAnsiTheme="minorHAnsi"/>
          <w:b/>
        </w:rPr>
        <w:lastRenderedPageBreak/>
        <w:pict w14:anchorId="05973BF7">
          <v:shape id="_x0000_i1026" type="#_x0000_t75" style="width:449.6pt;height:355.2pt">
            <v:imagedata r:id="rId10" o:title="Figure S2"/>
          </v:shape>
        </w:pict>
      </w:r>
    </w:p>
    <w:p w14:paraId="348EB3B5" w14:textId="0A4F26FC" w:rsidR="00B50E16" w:rsidRPr="00EE2E74" w:rsidRDefault="00B50E16" w:rsidP="00B50E16">
      <w:pPr>
        <w:spacing w:after="240"/>
        <w:rPr>
          <w:rFonts w:asciiTheme="minorHAnsi" w:hAnsiTheme="minorHAnsi"/>
          <w:b/>
        </w:rPr>
      </w:pPr>
      <w:r w:rsidRPr="00EE2E74">
        <w:rPr>
          <w:rFonts w:asciiTheme="minorHAnsi" w:hAnsiTheme="minorHAnsi"/>
          <w:b/>
        </w:rPr>
        <w:t xml:space="preserve">Fig. S2. Reduced susceptibility/resistance determinants identified amongst the major ribotypes by </w:t>
      </w:r>
      <w:r w:rsidRPr="00EE2E74">
        <w:rPr>
          <w:rFonts w:asciiTheme="minorHAnsi" w:hAnsiTheme="minorHAnsi"/>
          <w:b/>
          <w:i/>
        </w:rPr>
        <w:t>in</w:t>
      </w:r>
      <w:r w:rsidR="00F86942">
        <w:rPr>
          <w:rFonts w:asciiTheme="minorHAnsi" w:hAnsiTheme="minorHAnsi"/>
          <w:b/>
          <w:i/>
        </w:rPr>
        <w:t> </w:t>
      </w:r>
      <w:r w:rsidRPr="00EE2E74">
        <w:rPr>
          <w:rFonts w:asciiTheme="minorHAnsi" w:hAnsiTheme="minorHAnsi"/>
          <w:b/>
          <w:i/>
        </w:rPr>
        <w:t>silico</w:t>
      </w:r>
      <w:r w:rsidRPr="00EE2E74">
        <w:rPr>
          <w:rFonts w:asciiTheme="minorHAnsi" w:hAnsiTheme="minorHAnsi"/>
          <w:b/>
        </w:rPr>
        <w:t xml:space="preserve"> annotation.</w:t>
      </w:r>
    </w:p>
    <w:p w14:paraId="619105D6" w14:textId="77777777" w:rsidR="00B50E16" w:rsidRPr="00EE2E74" w:rsidRDefault="00B50E16" w:rsidP="00B50E16">
      <w:pPr>
        <w:pStyle w:val="ListParagraph"/>
        <w:spacing w:after="240"/>
        <w:ind w:left="0"/>
        <w:contextualSpacing w:val="0"/>
        <w:rPr>
          <w:rFonts w:asciiTheme="minorHAnsi" w:hAnsiTheme="minorHAnsi"/>
        </w:rPr>
      </w:pPr>
      <w:r w:rsidRPr="00EE2E74">
        <w:rPr>
          <w:rFonts w:asciiTheme="minorHAnsi" w:hAnsiTheme="minorHAnsi"/>
        </w:rPr>
        <w:t>(</w:t>
      </w:r>
      <w:r w:rsidRPr="00EE2E74">
        <w:rPr>
          <w:rFonts w:asciiTheme="minorHAnsi" w:hAnsiTheme="minorHAnsi"/>
          <w:b/>
        </w:rPr>
        <w:t>a</w:t>
      </w:r>
      <w:r w:rsidRPr="00EE2E74">
        <w:rPr>
          <w:rFonts w:asciiTheme="minorHAnsi" w:hAnsiTheme="minorHAnsi"/>
        </w:rPr>
        <w:t xml:space="preserve">) Boxplots above the dashed line represent the number of reduced susceptibility/resistance determinants identified within each major ribotype, using the Comprehensive Antibiotic Resistance Database and literature reports. Boxplots below the dashed line represent the number of corresponding antibiotic classes affected by these determinants. Boxplots are color-coded according to clade. </w:t>
      </w:r>
    </w:p>
    <w:p w14:paraId="1399CFD7" w14:textId="77777777" w:rsidR="00B50E16" w:rsidRPr="00EE2E74" w:rsidRDefault="00B50E16" w:rsidP="00B50E16">
      <w:pPr>
        <w:pStyle w:val="ListParagraph"/>
        <w:spacing w:after="240"/>
        <w:ind w:left="0"/>
        <w:contextualSpacing w:val="0"/>
        <w:rPr>
          <w:rFonts w:asciiTheme="minorHAnsi" w:hAnsiTheme="minorHAnsi"/>
        </w:rPr>
      </w:pPr>
      <w:r w:rsidRPr="00EE2E74">
        <w:rPr>
          <w:rFonts w:asciiTheme="minorHAnsi" w:hAnsiTheme="minorHAnsi"/>
        </w:rPr>
        <w:t>(</w:t>
      </w:r>
      <w:r w:rsidRPr="00EE2E74">
        <w:rPr>
          <w:rFonts w:asciiTheme="minorHAnsi" w:hAnsiTheme="minorHAnsi"/>
          <w:b/>
        </w:rPr>
        <w:t>b</w:t>
      </w:r>
      <w:r w:rsidRPr="00EE2E74">
        <w:rPr>
          <w:rFonts w:asciiTheme="minorHAnsi" w:hAnsiTheme="minorHAnsi"/>
        </w:rPr>
        <w:t>) The values correspond to the reduced susceptibility/resistance ratio (except 0 or 1) for each ribotype.</w:t>
      </w:r>
    </w:p>
    <w:p w14:paraId="0EC73091" w14:textId="77777777" w:rsidR="00B50E16" w:rsidRPr="00EE2E74" w:rsidRDefault="00B50E16" w:rsidP="00B50E16">
      <w:pPr>
        <w:spacing w:after="240"/>
        <w:rPr>
          <w:rFonts w:asciiTheme="minorHAnsi" w:hAnsiTheme="minorHAnsi"/>
        </w:rPr>
      </w:pPr>
      <w:r w:rsidRPr="00EE2E74">
        <w:rPr>
          <w:rFonts w:asciiTheme="minorHAnsi" w:hAnsiTheme="minorHAnsi"/>
        </w:rPr>
        <w:t>The ribotypes were ranked by the median of number of reduced susceptibility/resistance determinants.</w:t>
      </w:r>
    </w:p>
    <w:p w14:paraId="0DEDD6A0" w14:textId="1162D930" w:rsidR="00F86942" w:rsidRDefault="00B50E16" w:rsidP="00B50E16">
      <w:pPr>
        <w:spacing w:after="240"/>
        <w:rPr>
          <w:rFonts w:asciiTheme="minorHAnsi" w:hAnsiTheme="minorHAnsi"/>
        </w:rPr>
      </w:pPr>
      <w:r w:rsidRPr="00EE2E74">
        <w:rPr>
          <w:rFonts w:asciiTheme="minorHAnsi" w:hAnsiTheme="minorHAnsi"/>
        </w:rPr>
        <w:lastRenderedPageBreak/>
        <w:t>ARO, Antibiotic Resistance Ontology.</w:t>
      </w:r>
    </w:p>
    <w:p w14:paraId="1832C54E" w14:textId="77777777" w:rsidR="00F86942" w:rsidRDefault="00F86942">
      <w:pPr>
        <w:spacing w:after="160" w:line="259" w:lineRule="auto"/>
        <w:rPr>
          <w:rFonts w:asciiTheme="minorHAnsi" w:hAnsiTheme="minorHAnsi"/>
        </w:rPr>
      </w:pPr>
      <w:r>
        <w:rPr>
          <w:rFonts w:asciiTheme="minorHAnsi" w:hAnsiTheme="minorHAnsi"/>
        </w:rPr>
        <w:br w:type="page"/>
      </w:r>
    </w:p>
    <w:p w14:paraId="2E5135E2" w14:textId="5DDE87AC" w:rsidR="00EE2E74" w:rsidRPr="00EE2E74" w:rsidRDefault="00F86942" w:rsidP="00B50E16">
      <w:pPr>
        <w:spacing w:after="240"/>
        <w:rPr>
          <w:rFonts w:asciiTheme="minorHAnsi" w:hAnsiTheme="minorHAnsi"/>
          <w:b/>
        </w:rPr>
      </w:pPr>
      <w:r>
        <w:rPr>
          <w:rFonts w:asciiTheme="minorHAnsi" w:hAnsiTheme="minorHAnsi"/>
          <w:b/>
        </w:rPr>
        <w:lastRenderedPageBreak/>
        <w:pict w14:anchorId="4383669F">
          <v:shape id="_x0000_i1027" type="#_x0000_t75" style="width:356.8pt;height:489.6pt">
            <v:imagedata r:id="rId11" o:title="Figure S3"/>
          </v:shape>
        </w:pict>
      </w:r>
    </w:p>
    <w:p w14:paraId="784F6D2C" w14:textId="6ABB4BA0" w:rsidR="00B50E16" w:rsidRPr="00EE2E74" w:rsidRDefault="00B50E16" w:rsidP="00B50E16">
      <w:pPr>
        <w:spacing w:after="240"/>
        <w:rPr>
          <w:rFonts w:asciiTheme="minorHAnsi" w:hAnsiTheme="minorHAnsi"/>
        </w:rPr>
      </w:pPr>
      <w:r w:rsidRPr="00EE2E74">
        <w:rPr>
          <w:rFonts w:asciiTheme="minorHAnsi" w:hAnsiTheme="minorHAnsi"/>
          <w:b/>
        </w:rPr>
        <w:t>Fig. S</w:t>
      </w:r>
      <w:r w:rsidRPr="00EE2E74">
        <w:rPr>
          <w:rFonts w:asciiTheme="minorHAnsi" w:hAnsiTheme="minorHAnsi"/>
          <w:b/>
          <w:lang w:eastAsia="zh-CN"/>
        </w:rPr>
        <w:t>3.</w:t>
      </w:r>
      <w:r w:rsidRPr="00EE2E74">
        <w:rPr>
          <w:rFonts w:asciiTheme="minorHAnsi" w:hAnsiTheme="minorHAnsi"/>
          <w:b/>
        </w:rPr>
        <w:t xml:space="preserve"> VT tree of the</w:t>
      </w:r>
      <w:r w:rsidRPr="00EE2E74">
        <w:rPr>
          <w:rFonts w:asciiTheme="minorHAnsi" w:hAnsiTheme="minorHAnsi"/>
          <w:b/>
          <w:iCs/>
        </w:rPr>
        <w:t xml:space="preserve"> (A) complete </w:t>
      </w:r>
      <w:r w:rsidRPr="00EE2E74">
        <w:rPr>
          <w:rFonts w:asciiTheme="minorHAnsi" w:hAnsiTheme="minorHAnsi"/>
          <w:b/>
        </w:rPr>
        <w:t xml:space="preserve">gene and (B) CROP domain of </w:t>
      </w:r>
      <w:r w:rsidRPr="00EE2E74">
        <w:rPr>
          <w:rFonts w:asciiTheme="minorHAnsi" w:hAnsiTheme="minorHAnsi"/>
          <w:b/>
          <w:i/>
          <w:iCs/>
        </w:rPr>
        <w:t>tcdB</w:t>
      </w:r>
      <w:r w:rsidRPr="00EE2E74">
        <w:rPr>
          <w:rFonts w:asciiTheme="minorHAnsi" w:hAnsiTheme="minorHAnsi"/>
          <w:b/>
        </w:rPr>
        <w:t>.</w:t>
      </w:r>
    </w:p>
    <w:p w14:paraId="1A1C21E7" w14:textId="77777777" w:rsidR="00B50E16" w:rsidRPr="00EE2E74" w:rsidRDefault="00B50E16" w:rsidP="00B50E16">
      <w:pPr>
        <w:spacing w:after="240"/>
        <w:rPr>
          <w:rFonts w:asciiTheme="minorHAnsi" w:hAnsiTheme="minorHAnsi"/>
        </w:rPr>
      </w:pPr>
      <w:r w:rsidRPr="00EE2E74">
        <w:rPr>
          <w:rFonts w:asciiTheme="minorHAnsi" w:hAnsiTheme="minorHAnsi"/>
        </w:rPr>
        <w:t xml:space="preserve">Representative amino acid sequences of 62 </w:t>
      </w:r>
      <w:r w:rsidRPr="00EE2E74">
        <w:rPr>
          <w:rFonts w:asciiTheme="minorHAnsi" w:hAnsiTheme="minorHAnsi"/>
          <w:i/>
        </w:rPr>
        <w:t>tcdB</w:t>
      </w:r>
      <w:r w:rsidRPr="00EE2E74">
        <w:rPr>
          <w:rFonts w:asciiTheme="minorHAnsi" w:hAnsiTheme="minorHAnsi"/>
        </w:rPr>
        <w:t xml:space="preserve"> VTs were used to construct the maximum-likelihood gene tree by MEGA7. “*” indicates the VT with a stop-gain mutation.</w:t>
      </w:r>
    </w:p>
    <w:p w14:paraId="29F8F7AC" w14:textId="49D9EE8D" w:rsidR="00B50E16" w:rsidRPr="00EE2E74" w:rsidRDefault="00B50E16" w:rsidP="00EE2E74">
      <w:pPr>
        <w:tabs>
          <w:tab w:val="right" w:pos="9360"/>
        </w:tabs>
        <w:spacing w:after="240"/>
        <w:rPr>
          <w:rFonts w:asciiTheme="minorHAnsi" w:hAnsiTheme="minorHAnsi"/>
        </w:rPr>
      </w:pPr>
      <w:r w:rsidRPr="00EE2E74">
        <w:rPr>
          <w:rFonts w:asciiTheme="minorHAnsi" w:hAnsiTheme="minorHAnsi"/>
        </w:rPr>
        <w:t>VT, variant type.</w:t>
      </w:r>
      <w:r w:rsidR="00EE2E74" w:rsidRPr="00EE2E74">
        <w:rPr>
          <w:rFonts w:asciiTheme="minorHAnsi" w:hAnsiTheme="minorHAnsi"/>
        </w:rPr>
        <w:tab/>
      </w:r>
    </w:p>
    <w:p w14:paraId="0A0D7BD2" w14:textId="46D51AD8" w:rsidR="00EE2E74" w:rsidRPr="00EE2E74" w:rsidRDefault="00F86942" w:rsidP="00B50E16">
      <w:pPr>
        <w:spacing w:after="240"/>
        <w:rPr>
          <w:rFonts w:asciiTheme="minorHAnsi" w:hAnsiTheme="minorHAnsi"/>
          <w:b/>
        </w:rPr>
      </w:pPr>
      <w:r>
        <w:rPr>
          <w:rFonts w:asciiTheme="minorHAnsi" w:hAnsiTheme="minorHAnsi"/>
          <w:b/>
        </w:rPr>
        <w:lastRenderedPageBreak/>
        <w:pict w14:anchorId="6A286D98">
          <v:shape id="_x0000_i1028" type="#_x0000_t75" style="width:468.8pt;height:233.6pt">
            <v:imagedata r:id="rId12" o:title="Figure S4"/>
          </v:shape>
        </w:pict>
      </w:r>
    </w:p>
    <w:p w14:paraId="424377D0" w14:textId="3D8DF56F" w:rsidR="00B50E16" w:rsidRPr="00EE2E74" w:rsidRDefault="00B50E16" w:rsidP="00B50E16">
      <w:pPr>
        <w:spacing w:after="240"/>
        <w:rPr>
          <w:rFonts w:asciiTheme="minorHAnsi" w:hAnsiTheme="minorHAnsi"/>
        </w:rPr>
      </w:pPr>
      <w:r w:rsidRPr="00EE2E74">
        <w:rPr>
          <w:rFonts w:asciiTheme="minorHAnsi" w:hAnsiTheme="minorHAnsi"/>
          <w:b/>
        </w:rPr>
        <w:t>Fig. S</w:t>
      </w:r>
      <w:r w:rsidRPr="00EE2E74">
        <w:rPr>
          <w:rFonts w:asciiTheme="minorHAnsi" w:hAnsiTheme="minorHAnsi"/>
          <w:b/>
          <w:lang w:eastAsia="zh-CN"/>
        </w:rPr>
        <w:t>4.</w:t>
      </w:r>
      <w:r w:rsidRPr="00EE2E74">
        <w:rPr>
          <w:rFonts w:asciiTheme="minorHAnsi" w:hAnsiTheme="minorHAnsi"/>
          <w:b/>
        </w:rPr>
        <w:t xml:space="preserve"> Maximum-likelihood tree of </w:t>
      </w:r>
      <w:r w:rsidRPr="00EE2E74">
        <w:rPr>
          <w:rFonts w:asciiTheme="minorHAnsi" w:hAnsiTheme="minorHAnsi"/>
          <w:b/>
          <w:i/>
        </w:rPr>
        <w:t>cdtA</w:t>
      </w:r>
      <w:r w:rsidRPr="00EE2E74">
        <w:rPr>
          <w:rFonts w:asciiTheme="minorHAnsi" w:hAnsiTheme="minorHAnsi"/>
          <w:b/>
        </w:rPr>
        <w:t xml:space="preserve"> and </w:t>
      </w:r>
      <w:r w:rsidRPr="00EE2E74">
        <w:rPr>
          <w:rFonts w:asciiTheme="minorHAnsi" w:hAnsiTheme="minorHAnsi"/>
          <w:b/>
          <w:i/>
        </w:rPr>
        <w:t>cdtB.</w:t>
      </w:r>
    </w:p>
    <w:p w14:paraId="315844E6" w14:textId="77777777" w:rsidR="00B50E16" w:rsidRPr="00EE2E74" w:rsidRDefault="00B50E16" w:rsidP="00B50E16">
      <w:pPr>
        <w:spacing w:after="240"/>
        <w:rPr>
          <w:rFonts w:asciiTheme="minorHAnsi" w:hAnsiTheme="minorHAnsi"/>
        </w:rPr>
      </w:pPr>
      <w:r w:rsidRPr="00EE2E74">
        <w:rPr>
          <w:rFonts w:asciiTheme="minorHAnsi" w:hAnsiTheme="minorHAnsi"/>
        </w:rPr>
        <w:t>The VT for each ribotype is displayed. Background shading is color-coded according to clade.</w:t>
      </w:r>
    </w:p>
    <w:p w14:paraId="2257F955" w14:textId="77777777" w:rsidR="00B50E16" w:rsidRPr="00EE2E74" w:rsidRDefault="00B50E16" w:rsidP="00B50E16">
      <w:pPr>
        <w:spacing w:after="240"/>
        <w:rPr>
          <w:rFonts w:asciiTheme="minorHAnsi" w:hAnsiTheme="minorHAnsi"/>
        </w:rPr>
      </w:pPr>
      <w:r w:rsidRPr="00EE2E74">
        <w:rPr>
          <w:rFonts w:asciiTheme="minorHAnsi" w:hAnsiTheme="minorHAnsi"/>
        </w:rPr>
        <w:t>VT, variant type.</w:t>
      </w:r>
    </w:p>
    <w:p w14:paraId="2C44F893" w14:textId="19F7235D" w:rsidR="006E5F2F" w:rsidRPr="00EE2E74" w:rsidRDefault="00682AB7" w:rsidP="00B50E16">
      <w:pPr>
        <w:spacing w:after="240"/>
        <w:rPr>
          <w:rFonts w:asciiTheme="minorHAnsi" w:hAnsiTheme="minorHAnsi"/>
        </w:rPr>
      </w:pPr>
    </w:p>
    <w:sectPr w:rsidR="006E5F2F" w:rsidRPr="00EE2E74" w:rsidSect="004F232E">
      <w:footerReference w:type="default" r:id="rId13"/>
      <w:pgSz w:w="12240" w:h="15840" w:code="1"/>
      <w:pgMar w:top="1701" w:right="1440" w:bottom="993"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1BDC66" w14:textId="77777777" w:rsidR="00682AB7" w:rsidRDefault="00682AB7" w:rsidP="00796BBD">
      <w:pPr>
        <w:spacing w:line="240" w:lineRule="auto"/>
      </w:pPr>
      <w:r>
        <w:separator/>
      </w:r>
    </w:p>
  </w:endnote>
  <w:endnote w:type="continuationSeparator" w:id="0">
    <w:p w14:paraId="611A2FBD" w14:textId="77777777" w:rsidR="00682AB7" w:rsidRDefault="00682AB7" w:rsidP="00796BBD">
      <w:pPr>
        <w:spacing w:line="240" w:lineRule="auto"/>
      </w:pPr>
      <w:r>
        <w:continuationSeparator/>
      </w:r>
    </w:p>
  </w:endnote>
  <w:endnote w:type="continuationNotice" w:id="1">
    <w:p w14:paraId="3AFE2ABB" w14:textId="77777777" w:rsidR="00682AB7" w:rsidRDefault="00682AB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8B15EC" w14:textId="02E2456C" w:rsidR="004C3F85" w:rsidRDefault="00682AB7">
    <w:pPr>
      <w:pStyle w:val="Footer"/>
      <w:jc w:val="right"/>
    </w:pPr>
  </w:p>
  <w:p w14:paraId="6BD4EBC1" w14:textId="77777777" w:rsidR="004C3F85" w:rsidRDefault="00682A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6A3459" w14:textId="77777777" w:rsidR="00682AB7" w:rsidRDefault="00682AB7" w:rsidP="00796BBD">
      <w:pPr>
        <w:spacing w:line="240" w:lineRule="auto"/>
      </w:pPr>
      <w:r>
        <w:separator/>
      </w:r>
    </w:p>
  </w:footnote>
  <w:footnote w:type="continuationSeparator" w:id="0">
    <w:p w14:paraId="539C9E31" w14:textId="77777777" w:rsidR="00682AB7" w:rsidRDefault="00682AB7" w:rsidP="00796BBD">
      <w:pPr>
        <w:spacing w:line="240" w:lineRule="auto"/>
      </w:pPr>
      <w:r>
        <w:continuationSeparator/>
      </w:r>
    </w:p>
  </w:footnote>
  <w:footnote w:type="continuationNotice" w:id="1">
    <w:p w14:paraId="1C9DFAE1" w14:textId="77777777" w:rsidR="00682AB7" w:rsidRDefault="00682AB7">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47"/>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0E16"/>
    <w:rsid w:val="000937AB"/>
    <w:rsid w:val="000E3EAB"/>
    <w:rsid w:val="00370164"/>
    <w:rsid w:val="00390BB7"/>
    <w:rsid w:val="004947DD"/>
    <w:rsid w:val="00682AB7"/>
    <w:rsid w:val="00687915"/>
    <w:rsid w:val="00796BBD"/>
    <w:rsid w:val="008564D2"/>
    <w:rsid w:val="00B50E16"/>
    <w:rsid w:val="00C17EF6"/>
    <w:rsid w:val="00D05854"/>
    <w:rsid w:val="00EE2E74"/>
    <w:rsid w:val="00F86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551F8"/>
  <w15:chartTrackingRefBased/>
  <w15:docId w15:val="{D9441160-ACA6-4058-B45A-9B6CBBA4E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 non-spaced for bullets"/>
    <w:rsid w:val="00B50E16"/>
    <w:pPr>
      <w:spacing w:after="0" w:line="480" w:lineRule="auto"/>
    </w:pPr>
    <w:rPr>
      <w:rFonts w:ascii="Times New Roman" w:eastAsiaTheme="minorEastAsia"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50E16"/>
    <w:pPr>
      <w:tabs>
        <w:tab w:val="center" w:pos="4513"/>
        <w:tab w:val="right" w:pos="9026"/>
      </w:tabs>
      <w:spacing w:line="240" w:lineRule="auto"/>
    </w:pPr>
  </w:style>
  <w:style w:type="character" w:customStyle="1" w:styleId="FooterChar">
    <w:name w:val="Footer Char"/>
    <w:basedOn w:val="DefaultParagraphFont"/>
    <w:link w:val="Footer"/>
    <w:uiPriority w:val="99"/>
    <w:rsid w:val="00B50E16"/>
    <w:rPr>
      <w:rFonts w:ascii="Times New Roman" w:eastAsiaTheme="minorEastAsia" w:hAnsi="Times New Roman" w:cs="Times New Roman"/>
    </w:rPr>
  </w:style>
  <w:style w:type="paragraph" w:styleId="ListParagraph">
    <w:name w:val="List Paragraph"/>
    <w:basedOn w:val="Normal"/>
    <w:link w:val="ListParagraphChar"/>
    <w:uiPriority w:val="34"/>
    <w:qFormat/>
    <w:rsid w:val="00B50E16"/>
    <w:pPr>
      <w:ind w:left="720"/>
      <w:contextualSpacing/>
    </w:pPr>
  </w:style>
  <w:style w:type="character" w:customStyle="1" w:styleId="ListParagraphChar">
    <w:name w:val="List Paragraph Char"/>
    <w:basedOn w:val="DefaultParagraphFont"/>
    <w:link w:val="ListParagraph"/>
    <w:uiPriority w:val="34"/>
    <w:rsid w:val="00B50E16"/>
    <w:rPr>
      <w:rFonts w:ascii="Times New Roman" w:eastAsiaTheme="minorEastAsia" w:hAnsi="Times New Roman" w:cs="Times New Roman"/>
    </w:rPr>
  </w:style>
  <w:style w:type="paragraph" w:styleId="BalloonText">
    <w:name w:val="Balloon Text"/>
    <w:basedOn w:val="Normal"/>
    <w:link w:val="BalloonTextChar"/>
    <w:uiPriority w:val="99"/>
    <w:semiHidden/>
    <w:unhideWhenUsed/>
    <w:rsid w:val="003701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70164"/>
    <w:rPr>
      <w:rFonts w:ascii="Segoe UI" w:eastAsiaTheme="minorEastAsia" w:hAnsi="Segoe UI" w:cs="Segoe UI"/>
      <w:sz w:val="18"/>
      <w:szCs w:val="18"/>
    </w:rPr>
  </w:style>
  <w:style w:type="paragraph" w:styleId="Header">
    <w:name w:val="header"/>
    <w:basedOn w:val="Normal"/>
    <w:link w:val="HeaderChar"/>
    <w:uiPriority w:val="99"/>
    <w:unhideWhenUsed/>
    <w:rsid w:val="00796BBD"/>
    <w:pPr>
      <w:tabs>
        <w:tab w:val="center" w:pos="4680"/>
        <w:tab w:val="right" w:pos="9360"/>
      </w:tabs>
      <w:spacing w:line="240" w:lineRule="auto"/>
    </w:pPr>
  </w:style>
  <w:style w:type="character" w:customStyle="1" w:styleId="HeaderChar">
    <w:name w:val="Header Char"/>
    <w:basedOn w:val="DefaultParagraphFont"/>
    <w:link w:val="Header"/>
    <w:uiPriority w:val="99"/>
    <w:rsid w:val="00796BBD"/>
    <w:rPr>
      <w:rFonts w:ascii="Times New Roman" w:eastAsiaTheme="minorEastAsia"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Word" ma:contentTypeID="0x010100FA0963FA69A646AA916D2E41284FC1000010F9DDE69301F74B93734751F516365C" ma:contentTypeVersion="0" ma:contentTypeDescription="Create a new document." ma:contentTypeScope="" ma:versionID="3227adc8c42129dbe9b405d58cbf12e1">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56273A-4E82-4E97-B485-F42D4D525F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1939409-102C-4CDB-ABF6-604C688B43DE}">
  <ds:schemaRefs>
    <ds:schemaRef ds:uri="http://schemas.microsoft.com/sharepoint/v3/contenttype/forms"/>
  </ds:schemaRefs>
</ds:datastoreItem>
</file>

<file path=customXml/itemProps3.xml><?xml version="1.0" encoding="utf-8"?>
<ds:datastoreItem xmlns:ds="http://schemas.openxmlformats.org/officeDocument/2006/customXml" ds:itemID="{9831BC1E-FE8C-4B11-9856-BA003C1265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184</Words>
  <Characters>1055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CMC team</dc:creator>
  <cp:keywords/>
  <dc:description/>
  <cp:lastModifiedBy>Clare Smith</cp:lastModifiedBy>
  <cp:revision>3</cp:revision>
  <dcterms:created xsi:type="dcterms:W3CDTF">2021-02-25T11:46:00Z</dcterms:created>
  <dcterms:modified xsi:type="dcterms:W3CDTF">2021-03-09T14:22:00Z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0x010100FA0963FA69A646AA916D2E41284FC1000010F9DDE69301F74B93734751F516365C</vt:lpwstr>
  </property>
</Properties>
</file>