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4A43" w:rsidRPr="000A4A43" w:rsidRDefault="000A4A43" w:rsidP="000A4A43">
      <w:pPr>
        <w:tabs>
          <w:tab w:val="left" w:pos="2190"/>
        </w:tabs>
        <w:spacing w:line="480" w:lineRule="auto"/>
        <w:rPr>
          <w:rFonts w:cstheme="minorHAnsi"/>
          <w:b/>
          <w:bCs/>
        </w:rPr>
      </w:pPr>
      <w:proofErr w:type="spellStart"/>
      <w:r w:rsidRPr="000A4A43">
        <w:rPr>
          <w:rFonts w:cstheme="minorHAnsi"/>
          <w:b/>
          <w:bCs/>
        </w:rPr>
        <w:t>Pregabalin</w:t>
      </w:r>
      <w:proofErr w:type="spellEnd"/>
      <w:r w:rsidRPr="000A4A43">
        <w:rPr>
          <w:rFonts w:cstheme="minorHAnsi"/>
          <w:b/>
          <w:bCs/>
        </w:rPr>
        <w:t xml:space="preserve"> and Gabapentin in Patients with Spinal Cord Injury-Related Neuropathic Pain: A Network Meta-Analysis</w:t>
      </w:r>
    </w:p>
    <w:p w:rsidR="000A4A43" w:rsidRPr="000A4A43" w:rsidRDefault="000A4A43" w:rsidP="000A4A43">
      <w:pPr>
        <w:spacing w:line="480" w:lineRule="auto"/>
        <w:rPr>
          <w:rFonts w:eastAsia="Arial Unicode MS" w:cstheme="minorHAnsi"/>
          <w:szCs w:val="24"/>
          <w:vertAlign w:val="superscript"/>
        </w:rPr>
      </w:pPr>
      <w:bookmarkStart w:id="0" w:name="_Hlk59749645"/>
      <w:r w:rsidRPr="000A4A43">
        <w:rPr>
          <w:rFonts w:cstheme="minorHAnsi"/>
          <w:szCs w:val="24"/>
        </w:rPr>
        <w:t>Chen</w:t>
      </w:r>
      <w:r w:rsidRPr="000A4A43">
        <w:rPr>
          <w:rFonts w:eastAsia="Arial Unicode MS" w:cstheme="minorHAnsi"/>
          <w:szCs w:val="24"/>
        </w:rPr>
        <w:t xml:space="preserve"> </w:t>
      </w:r>
      <w:proofErr w:type="spellStart"/>
      <w:r w:rsidRPr="000A4A43">
        <w:rPr>
          <w:rFonts w:cstheme="minorHAnsi"/>
          <w:szCs w:val="24"/>
        </w:rPr>
        <w:t>Tong</w:t>
      </w:r>
      <w:r w:rsidRPr="000A4A43">
        <w:rPr>
          <w:rFonts w:eastAsia="Arial Unicode MS" w:cstheme="minorHAnsi"/>
          <w:szCs w:val="24"/>
          <w:vertAlign w:val="superscript"/>
        </w:rPr>
        <w:t>1</w:t>
      </w:r>
      <w:proofErr w:type="spellEnd"/>
      <w:r w:rsidRPr="000A4A43">
        <w:rPr>
          <w:rFonts w:eastAsia="Arial Unicode MS" w:cstheme="minorHAnsi"/>
          <w:szCs w:val="24"/>
        </w:rPr>
        <w:t xml:space="preserve">, </w:t>
      </w:r>
      <w:proofErr w:type="spellStart"/>
      <w:r w:rsidRPr="000A4A43">
        <w:rPr>
          <w:rFonts w:eastAsia="Arial Unicode MS" w:cstheme="minorHAnsi"/>
          <w:szCs w:val="24"/>
        </w:rPr>
        <w:t>Zuo</w:t>
      </w:r>
      <w:proofErr w:type="spellEnd"/>
      <w:r w:rsidRPr="000A4A43">
        <w:rPr>
          <w:rFonts w:eastAsia="Arial Unicode MS" w:cstheme="minorHAnsi"/>
          <w:szCs w:val="24"/>
        </w:rPr>
        <w:t xml:space="preserve"> </w:t>
      </w:r>
      <w:proofErr w:type="spellStart"/>
      <w:r w:rsidRPr="000A4A43">
        <w:rPr>
          <w:rFonts w:eastAsia="Arial Unicode MS" w:cstheme="minorHAnsi"/>
          <w:szCs w:val="24"/>
        </w:rPr>
        <w:t>Zhengyao</w:t>
      </w:r>
      <w:r w:rsidRPr="000A4A43">
        <w:rPr>
          <w:rFonts w:eastAsia="Arial Unicode MS" w:cstheme="minorHAnsi"/>
          <w:szCs w:val="24"/>
          <w:vertAlign w:val="superscript"/>
        </w:rPr>
        <w:t>1</w:t>
      </w:r>
      <w:proofErr w:type="spellEnd"/>
      <w:r w:rsidRPr="000A4A43">
        <w:rPr>
          <w:rFonts w:eastAsia="Arial Unicode MS" w:cstheme="minorHAnsi"/>
          <w:szCs w:val="24"/>
        </w:rPr>
        <w:t xml:space="preserve">, </w:t>
      </w:r>
      <w:r w:rsidRPr="000A4A43">
        <w:rPr>
          <w:rFonts w:cstheme="minorHAnsi"/>
          <w:szCs w:val="24"/>
        </w:rPr>
        <w:t>Li</w:t>
      </w:r>
      <w:r w:rsidRPr="000A4A43">
        <w:rPr>
          <w:rFonts w:eastAsia="Arial Unicode MS" w:cstheme="minorHAnsi"/>
          <w:szCs w:val="24"/>
        </w:rPr>
        <w:t xml:space="preserve"> </w:t>
      </w:r>
      <w:proofErr w:type="spellStart"/>
      <w:r w:rsidRPr="000A4A43">
        <w:rPr>
          <w:rFonts w:cstheme="minorHAnsi"/>
          <w:szCs w:val="24"/>
        </w:rPr>
        <w:t>Mei</w:t>
      </w:r>
      <w:r w:rsidRPr="000A4A43">
        <w:rPr>
          <w:rFonts w:eastAsia="Arial Unicode MS" w:cstheme="minorHAnsi"/>
          <w:szCs w:val="24"/>
          <w:vertAlign w:val="superscript"/>
        </w:rPr>
        <w:t>1</w:t>
      </w:r>
      <w:proofErr w:type="spellEnd"/>
      <w:r w:rsidRPr="000A4A43">
        <w:rPr>
          <w:rFonts w:eastAsia="Arial Unicode MS" w:cstheme="minorHAnsi"/>
          <w:szCs w:val="24"/>
        </w:rPr>
        <w:t>, Su Dongpo</w:t>
      </w:r>
      <w:r w:rsidRPr="000A4A43">
        <w:rPr>
          <w:rFonts w:eastAsia="Arial Unicode MS" w:cstheme="minorHAnsi"/>
          <w:szCs w:val="24"/>
          <w:vertAlign w:val="superscript"/>
        </w:rPr>
        <w:t>1</w:t>
      </w:r>
      <w:r w:rsidRPr="000A4A43">
        <w:rPr>
          <w:rFonts w:eastAsia="Arial Unicode MS" w:cstheme="minorHAnsi"/>
          <w:szCs w:val="24"/>
        </w:rPr>
        <w:t>, Han Qian</w:t>
      </w:r>
      <w:r w:rsidRPr="000A4A43">
        <w:rPr>
          <w:rFonts w:eastAsia="Arial Unicode MS" w:cstheme="minorHAnsi"/>
          <w:szCs w:val="24"/>
          <w:vertAlign w:val="superscript"/>
        </w:rPr>
        <w:t>1</w:t>
      </w:r>
      <w:r w:rsidRPr="000A4A43">
        <w:rPr>
          <w:rFonts w:eastAsia="Arial Unicode MS" w:cstheme="minorHAnsi"/>
          <w:szCs w:val="24"/>
        </w:rPr>
        <w:t>, Mu Fengqun</w:t>
      </w:r>
      <w:r w:rsidRPr="000A4A43">
        <w:rPr>
          <w:rFonts w:eastAsia="Arial Unicode MS" w:cstheme="minorHAnsi"/>
          <w:szCs w:val="24"/>
          <w:vertAlign w:val="superscript"/>
        </w:rPr>
        <w:t>2</w:t>
      </w:r>
      <w:r w:rsidRPr="000A4A43">
        <w:rPr>
          <w:rFonts w:eastAsia="Arial Unicode MS" w:cstheme="minorHAnsi"/>
          <w:szCs w:val="24"/>
        </w:rPr>
        <w:t xml:space="preserve"> </w:t>
      </w:r>
    </w:p>
    <w:bookmarkEnd w:id="0"/>
    <w:p w:rsidR="000A4A43" w:rsidRPr="000A4A43" w:rsidRDefault="000A4A43" w:rsidP="000A4A43">
      <w:pPr>
        <w:widowControl w:val="0"/>
        <w:numPr>
          <w:ilvl w:val="0"/>
          <w:numId w:val="1"/>
        </w:numPr>
        <w:tabs>
          <w:tab w:val="left" w:pos="312"/>
        </w:tabs>
        <w:spacing w:after="0" w:line="480" w:lineRule="auto"/>
        <w:jc w:val="both"/>
        <w:rPr>
          <w:rFonts w:eastAsia="Arial Unicode MS" w:cstheme="minorHAnsi"/>
          <w:szCs w:val="24"/>
        </w:rPr>
      </w:pPr>
      <w:r w:rsidRPr="000A4A43">
        <w:rPr>
          <w:rFonts w:eastAsia="Arial Unicode MS" w:cstheme="minorHAnsi"/>
          <w:szCs w:val="24"/>
        </w:rPr>
        <w:t>Department of Neurosurgery, North China University of Science and Technology Affiliated Hospital, Tangshan 063000, Hebei Province, China</w:t>
      </w:r>
    </w:p>
    <w:p w:rsidR="000A4A43" w:rsidRPr="000A4A43" w:rsidRDefault="000A4A43" w:rsidP="000A4A43">
      <w:pPr>
        <w:widowControl w:val="0"/>
        <w:numPr>
          <w:ilvl w:val="0"/>
          <w:numId w:val="1"/>
        </w:numPr>
        <w:tabs>
          <w:tab w:val="left" w:pos="312"/>
        </w:tabs>
        <w:spacing w:after="0" w:line="480" w:lineRule="auto"/>
        <w:jc w:val="both"/>
        <w:rPr>
          <w:rFonts w:eastAsia="Arial Unicode MS" w:cstheme="minorHAnsi"/>
          <w:szCs w:val="24"/>
        </w:rPr>
      </w:pPr>
      <w:r w:rsidRPr="000A4A43">
        <w:rPr>
          <w:rFonts w:eastAsia="Arial Unicode MS" w:cstheme="minorHAnsi"/>
          <w:szCs w:val="24"/>
        </w:rPr>
        <w:t xml:space="preserve">Department of Neurology, </w:t>
      </w:r>
      <w:proofErr w:type="spellStart"/>
      <w:r w:rsidRPr="000A4A43">
        <w:rPr>
          <w:rFonts w:eastAsia="Arial Unicode MS" w:cstheme="minorHAnsi"/>
          <w:szCs w:val="24"/>
        </w:rPr>
        <w:t>Gongren</w:t>
      </w:r>
      <w:proofErr w:type="spellEnd"/>
      <w:r w:rsidRPr="000A4A43">
        <w:rPr>
          <w:rFonts w:eastAsia="Arial Unicode MS" w:cstheme="minorHAnsi"/>
          <w:szCs w:val="24"/>
        </w:rPr>
        <w:t xml:space="preserve"> Hospital, Tangshan 063000, Hebei Province, China</w:t>
      </w:r>
      <w:r w:rsidRPr="000A4A43">
        <w:rPr>
          <w:rFonts w:eastAsia="Arial Unicode MS" w:cstheme="minorHAnsi"/>
          <w:szCs w:val="24"/>
          <w:vertAlign w:val="superscript"/>
        </w:rPr>
        <w:t xml:space="preserve"> </w:t>
      </w:r>
    </w:p>
    <w:p w:rsidR="000A4A43" w:rsidRPr="000A4A43" w:rsidRDefault="000A4A43" w:rsidP="000A4A43">
      <w:pPr>
        <w:spacing w:line="480" w:lineRule="auto"/>
        <w:rPr>
          <w:rFonts w:eastAsia="Arial Unicode MS" w:cstheme="minorHAnsi"/>
          <w:szCs w:val="24"/>
        </w:rPr>
      </w:pPr>
      <w:bookmarkStart w:id="1" w:name="_GoBack"/>
      <w:bookmarkEnd w:id="1"/>
    </w:p>
    <w:p w:rsidR="000A4A43" w:rsidRPr="000A4A43" w:rsidRDefault="000A4A43" w:rsidP="000A4A43">
      <w:pPr>
        <w:spacing w:line="480" w:lineRule="auto"/>
        <w:rPr>
          <w:rFonts w:eastAsia="Arial Unicode MS" w:cstheme="minorHAnsi"/>
          <w:szCs w:val="24"/>
        </w:rPr>
      </w:pPr>
      <w:r w:rsidRPr="000A4A43">
        <w:rPr>
          <w:rFonts w:eastAsia="Arial Unicode MS" w:cstheme="minorHAnsi"/>
          <w:b/>
          <w:bCs/>
          <w:szCs w:val="24"/>
        </w:rPr>
        <w:t>First Author:</w:t>
      </w:r>
      <w:r w:rsidRPr="000A4A43">
        <w:rPr>
          <w:rFonts w:eastAsia="Arial Unicode MS" w:cstheme="minorHAnsi"/>
          <w:szCs w:val="24"/>
        </w:rPr>
        <w:t xml:space="preserve"> </w:t>
      </w:r>
      <w:r w:rsidRPr="000A4A43">
        <w:rPr>
          <w:rFonts w:cstheme="minorHAnsi"/>
          <w:szCs w:val="24"/>
        </w:rPr>
        <w:t>Chen</w:t>
      </w:r>
      <w:r w:rsidRPr="000A4A43">
        <w:rPr>
          <w:rFonts w:eastAsia="Arial Unicode MS" w:cstheme="minorHAnsi"/>
          <w:szCs w:val="24"/>
        </w:rPr>
        <w:t xml:space="preserve"> Tong and </w:t>
      </w:r>
      <w:proofErr w:type="spellStart"/>
      <w:r w:rsidRPr="000A4A43">
        <w:rPr>
          <w:rFonts w:cstheme="minorHAnsi"/>
          <w:szCs w:val="24"/>
        </w:rPr>
        <w:t>Zuo</w:t>
      </w:r>
      <w:proofErr w:type="spellEnd"/>
      <w:r w:rsidRPr="000A4A43">
        <w:rPr>
          <w:rFonts w:eastAsia="Arial Unicode MS" w:cstheme="minorHAnsi"/>
          <w:szCs w:val="24"/>
        </w:rPr>
        <w:t xml:space="preserve"> </w:t>
      </w:r>
      <w:proofErr w:type="spellStart"/>
      <w:r w:rsidRPr="000A4A43">
        <w:rPr>
          <w:rFonts w:eastAsia="Arial Unicode MS" w:cstheme="minorHAnsi"/>
          <w:szCs w:val="24"/>
        </w:rPr>
        <w:t>Zhengyao</w:t>
      </w:r>
      <w:proofErr w:type="spellEnd"/>
    </w:p>
    <w:p w:rsidR="000A4A43" w:rsidRPr="000A4A43" w:rsidRDefault="000A4A43" w:rsidP="000A4A43">
      <w:pPr>
        <w:spacing w:line="480" w:lineRule="auto"/>
        <w:rPr>
          <w:rFonts w:eastAsia="Arial Unicode MS" w:cstheme="minorHAnsi"/>
          <w:szCs w:val="24"/>
        </w:rPr>
      </w:pPr>
      <w:r w:rsidRPr="000A4A43">
        <w:rPr>
          <w:rFonts w:eastAsia="Arial Unicode MS" w:cstheme="minorHAnsi"/>
          <w:b/>
          <w:bCs/>
          <w:szCs w:val="24"/>
        </w:rPr>
        <w:t>Corresponding Author:</w:t>
      </w:r>
      <w:r w:rsidRPr="000A4A43">
        <w:rPr>
          <w:rFonts w:eastAsia="Arial Unicode MS" w:cstheme="minorHAnsi"/>
          <w:szCs w:val="24"/>
        </w:rPr>
        <w:t xml:space="preserve"> Chen Tong</w:t>
      </w:r>
    </w:p>
    <w:p w:rsidR="000A4A43" w:rsidRPr="000A4A43" w:rsidRDefault="000A4A43" w:rsidP="000A4A43">
      <w:pPr>
        <w:spacing w:line="480" w:lineRule="auto"/>
        <w:rPr>
          <w:rFonts w:eastAsia="Arial Unicode MS" w:cstheme="minorHAnsi"/>
          <w:szCs w:val="24"/>
        </w:rPr>
      </w:pPr>
      <w:r w:rsidRPr="000A4A43">
        <w:rPr>
          <w:rFonts w:eastAsia="Arial Unicode MS" w:cstheme="minorHAnsi"/>
          <w:b/>
          <w:bCs/>
          <w:szCs w:val="24"/>
        </w:rPr>
        <w:t>E-mail address:</w:t>
      </w:r>
      <w:r w:rsidRPr="000A4A43">
        <w:rPr>
          <w:rFonts w:eastAsia="Arial Unicode MS" w:cstheme="minorHAnsi"/>
          <w:szCs w:val="24"/>
        </w:rPr>
        <w:t xml:space="preserve"> ct.1973@163.com </w:t>
      </w:r>
    </w:p>
    <w:p w:rsidR="000A4A43" w:rsidRPr="000A4A43" w:rsidRDefault="000A4A43">
      <w:pPr>
        <w:rPr>
          <w:rFonts w:cstheme="minorHAnsi"/>
        </w:rPr>
      </w:pPr>
    </w:p>
    <w:p w:rsidR="000A4A43" w:rsidRPr="000A4A43" w:rsidRDefault="000A4A43">
      <w:pPr>
        <w:rPr>
          <w:rFonts w:cstheme="minorHAnsi"/>
        </w:rPr>
      </w:pPr>
      <w:r w:rsidRPr="000A4A43">
        <w:rPr>
          <w:rFonts w:cstheme="minorHAnsi"/>
        </w:rPr>
        <w:br w:type="page"/>
      </w:r>
    </w:p>
    <w:p w:rsidR="000A4A43" w:rsidRPr="000A4A43" w:rsidRDefault="00B20F31" w:rsidP="000A4A43">
      <w:pPr>
        <w:spacing w:line="480" w:lineRule="auto"/>
        <w:rPr>
          <w:rFonts w:cstheme="minorHAnsi"/>
        </w:rPr>
      </w:pPr>
      <w:r>
        <w:rPr>
          <w:rFonts w:cstheme="minorHAnsi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5.8pt;height:228.55pt">
            <v:imagedata r:id="rId5" o:title="Supplemental Figure 1a"/>
          </v:shape>
        </w:pict>
      </w:r>
    </w:p>
    <w:p w:rsidR="000A4A43" w:rsidRPr="000A4A43" w:rsidRDefault="00B20F31" w:rsidP="000A4A43">
      <w:pPr>
        <w:spacing w:line="480" w:lineRule="auto"/>
        <w:rPr>
          <w:rFonts w:cstheme="minorHAnsi"/>
        </w:rPr>
      </w:pPr>
      <w:r>
        <w:rPr>
          <w:rFonts w:cstheme="minorHAnsi"/>
        </w:rPr>
        <w:pict>
          <v:shape id="_x0000_i1026" type="#_x0000_t75" style="width:405.2pt;height:292.2pt">
            <v:imagedata r:id="rId6" o:title="Supplemental Figure 1b"/>
          </v:shape>
        </w:pict>
      </w:r>
    </w:p>
    <w:p w:rsidR="000A4A43" w:rsidRPr="000A4A43" w:rsidRDefault="000A4A43" w:rsidP="000A4A43">
      <w:pPr>
        <w:spacing w:line="480" w:lineRule="auto"/>
        <w:rPr>
          <w:rFonts w:cstheme="minorHAnsi"/>
        </w:rPr>
      </w:pPr>
      <w:r w:rsidRPr="000A4A43">
        <w:rPr>
          <w:rFonts w:cstheme="minorHAnsi"/>
        </w:rPr>
        <w:t>Supplemental Figure 1. a) Subgroup analysis of average pain intensity after treatment. b) Subgroup analysis of the proportion of patients who discontinued treatment due to adverse treatment effects.</w:t>
      </w:r>
    </w:p>
    <w:p w:rsidR="000A4A43" w:rsidRPr="000A4A43" w:rsidRDefault="000A4A43" w:rsidP="000A4A43">
      <w:pPr>
        <w:spacing w:line="480" w:lineRule="auto"/>
        <w:rPr>
          <w:rFonts w:cstheme="minorHAnsi"/>
        </w:rPr>
      </w:pPr>
    </w:p>
    <w:p w:rsidR="000A4A43" w:rsidRPr="000A4A43" w:rsidRDefault="000A4A43" w:rsidP="000A4A43">
      <w:pPr>
        <w:spacing w:line="480" w:lineRule="auto"/>
        <w:rPr>
          <w:rFonts w:cstheme="minorHAnsi"/>
        </w:rPr>
      </w:pPr>
    </w:p>
    <w:p w:rsidR="000A4A43" w:rsidRPr="000A4A43" w:rsidRDefault="00B20F31" w:rsidP="000A4A43">
      <w:pPr>
        <w:spacing w:line="480" w:lineRule="auto"/>
        <w:rPr>
          <w:rFonts w:cstheme="minorHAnsi"/>
        </w:rPr>
      </w:pPr>
      <w:r>
        <w:rPr>
          <w:rFonts w:cstheme="minorHAnsi"/>
        </w:rPr>
        <w:pict>
          <v:shape id="_x0000_i1027" type="#_x0000_t75" style="width:339.05pt;height:87.05pt">
            <v:imagedata r:id="rId7" o:title="Supplemental Figure 2"/>
          </v:shape>
        </w:pict>
      </w:r>
    </w:p>
    <w:p w:rsidR="000A4A43" w:rsidRPr="000A4A43" w:rsidRDefault="000A4A43" w:rsidP="000A4A43">
      <w:pPr>
        <w:spacing w:line="480" w:lineRule="auto"/>
        <w:rPr>
          <w:rFonts w:cstheme="minorHAnsi"/>
        </w:rPr>
      </w:pPr>
      <w:r w:rsidRPr="000A4A43">
        <w:rPr>
          <w:rFonts w:cstheme="minorHAnsi"/>
        </w:rPr>
        <w:t>Supplemental Figure 2. Node analysis for consistency</w:t>
      </w:r>
    </w:p>
    <w:p w:rsidR="000A4A43" w:rsidRPr="000A4A43" w:rsidRDefault="000A4A43" w:rsidP="000A4A43">
      <w:pPr>
        <w:spacing w:line="480" w:lineRule="auto"/>
        <w:rPr>
          <w:rFonts w:cstheme="minorHAnsi"/>
        </w:rPr>
      </w:pPr>
      <w:r w:rsidRPr="000A4A43">
        <w:rPr>
          <w:rFonts w:cstheme="minorHAnsi"/>
        </w:rPr>
        <w:t>* all evidence regarding these contrasts were derived from trials in which these treatments were directly compared.</w:t>
      </w:r>
    </w:p>
    <w:p w:rsidR="000A4A43" w:rsidRPr="000A4A43" w:rsidRDefault="000A4A43" w:rsidP="000A4A43">
      <w:pPr>
        <w:spacing w:line="480" w:lineRule="auto"/>
        <w:rPr>
          <w:rFonts w:cstheme="minorHAnsi"/>
        </w:rPr>
      </w:pPr>
      <w:r w:rsidRPr="000A4A43">
        <w:rPr>
          <w:rFonts w:cstheme="minorHAnsi"/>
        </w:rPr>
        <w:t xml:space="preserve">(A) Gabapentin (GBP); (B) </w:t>
      </w:r>
      <w:proofErr w:type="spellStart"/>
      <w:r w:rsidRPr="000A4A43">
        <w:rPr>
          <w:rFonts w:cstheme="minorHAnsi"/>
        </w:rPr>
        <w:t>pregabalin</w:t>
      </w:r>
      <w:proofErr w:type="spellEnd"/>
      <w:r w:rsidRPr="000A4A43">
        <w:rPr>
          <w:rFonts w:cstheme="minorHAnsi"/>
        </w:rPr>
        <w:t xml:space="preserve"> (</w:t>
      </w:r>
      <w:proofErr w:type="spellStart"/>
      <w:r w:rsidRPr="000A4A43">
        <w:rPr>
          <w:rFonts w:cstheme="minorHAnsi"/>
        </w:rPr>
        <w:t>PGB</w:t>
      </w:r>
      <w:proofErr w:type="spellEnd"/>
      <w:r w:rsidRPr="000A4A43">
        <w:rPr>
          <w:rFonts w:cstheme="minorHAnsi"/>
        </w:rPr>
        <w:t>); (C) amitriptyline; (D) carbamazepine; and (E) placebo.</w:t>
      </w:r>
    </w:p>
    <w:p w:rsidR="000A4A43" w:rsidRPr="000A4A43" w:rsidRDefault="000A4A43" w:rsidP="000A4A43">
      <w:pPr>
        <w:spacing w:line="480" w:lineRule="auto"/>
        <w:rPr>
          <w:rFonts w:cstheme="minorHAnsi"/>
        </w:rPr>
      </w:pPr>
      <w:r w:rsidRPr="000A4A43">
        <w:rPr>
          <w:rFonts w:cstheme="minorHAnsi"/>
        </w:rPr>
        <w:t>Supplemental Figure 3. Treatment rankings based on the overall incidence of treatment-related adverse effects.</w:t>
      </w:r>
    </w:p>
    <w:p w:rsidR="000A4A43" w:rsidRPr="000A4A43" w:rsidRDefault="000A4A43" w:rsidP="000A4A43">
      <w:pPr>
        <w:spacing w:line="480" w:lineRule="auto"/>
        <w:rPr>
          <w:rFonts w:cstheme="minorHAnsi"/>
        </w:rPr>
      </w:pPr>
      <w:r w:rsidRPr="000A4A43">
        <w:rPr>
          <w:rFonts w:cstheme="minorHAnsi"/>
        </w:rPr>
        <w:t xml:space="preserve">zero: gabapentin (GBP); _y _B: </w:t>
      </w:r>
      <w:proofErr w:type="spellStart"/>
      <w:r w:rsidRPr="000A4A43">
        <w:rPr>
          <w:rFonts w:cstheme="minorHAnsi"/>
        </w:rPr>
        <w:t>pregabalin</w:t>
      </w:r>
      <w:proofErr w:type="spellEnd"/>
      <w:r w:rsidRPr="000A4A43">
        <w:rPr>
          <w:rFonts w:cstheme="minorHAnsi"/>
        </w:rPr>
        <w:t xml:space="preserve"> (</w:t>
      </w:r>
      <w:proofErr w:type="spellStart"/>
      <w:r w:rsidRPr="000A4A43">
        <w:rPr>
          <w:rFonts w:cstheme="minorHAnsi"/>
        </w:rPr>
        <w:t>PGB</w:t>
      </w:r>
      <w:proofErr w:type="spellEnd"/>
      <w:r w:rsidRPr="000A4A43">
        <w:rPr>
          <w:rFonts w:cstheme="minorHAnsi"/>
        </w:rPr>
        <w:t>); _y _C: placebo</w:t>
      </w:r>
    </w:p>
    <w:p w:rsidR="000A4A43" w:rsidRPr="000A4A43" w:rsidRDefault="000A4A43">
      <w:pPr>
        <w:rPr>
          <w:rFonts w:cstheme="minorHAnsi"/>
        </w:rPr>
      </w:pPr>
      <w:r w:rsidRPr="000A4A43">
        <w:rPr>
          <w:rFonts w:cstheme="minorHAnsi"/>
        </w:rPr>
        <w:br w:type="page"/>
      </w:r>
    </w:p>
    <w:p w:rsidR="000A4A43" w:rsidRPr="000A4A43" w:rsidRDefault="000A4A43" w:rsidP="000A4A43">
      <w:pPr>
        <w:spacing w:line="480" w:lineRule="auto"/>
        <w:rPr>
          <w:rFonts w:cstheme="minorHAnsi"/>
        </w:rPr>
      </w:pPr>
      <w:r w:rsidRPr="000A4A43">
        <w:rPr>
          <w:rFonts w:cstheme="minorHAnsi"/>
          <w:noProof/>
          <w:lang w:val="en-IN" w:eastAsia="en-IN"/>
        </w:rPr>
        <w:drawing>
          <wp:inline distT="0" distB="0" distL="0" distR="0">
            <wp:extent cx="2952750" cy="2095500"/>
            <wp:effectExtent l="0" t="0" r="0" b="0"/>
            <wp:docPr id="1" name="Picture 1" descr="C:\Users\lhq3740\AppData\Local\Microsoft\Windows\INetCache\Content.Word\Supplemental Figure 3. Treatment ranking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hq3740\AppData\Local\Microsoft\Windows\INetCache\Content.Word\Supplemental Figure 3. Treatment rankings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4A43" w:rsidRPr="000A4A43" w:rsidRDefault="000A4A43" w:rsidP="000A4A43">
      <w:pPr>
        <w:spacing w:line="480" w:lineRule="auto"/>
        <w:rPr>
          <w:rFonts w:cstheme="minorHAnsi"/>
        </w:rPr>
      </w:pPr>
      <w:r w:rsidRPr="000A4A43">
        <w:rPr>
          <w:rFonts w:cstheme="minorHAnsi"/>
        </w:rPr>
        <w:t>Supplemental Figure 3. Treatment rankings based on the overall incidence of treatment-related adverse effects.</w:t>
      </w:r>
    </w:p>
    <w:p w:rsidR="000A4A43" w:rsidRPr="000A4A43" w:rsidRDefault="000A4A43" w:rsidP="000A4A43">
      <w:pPr>
        <w:spacing w:line="480" w:lineRule="auto"/>
        <w:rPr>
          <w:rFonts w:cstheme="minorHAnsi"/>
        </w:rPr>
      </w:pPr>
      <w:r w:rsidRPr="000A4A43">
        <w:rPr>
          <w:rFonts w:cstheme="minorHAnsi"/>
        </w:rPr>
        <w:t xml:space="preserve">zero: gabapentin (GBP); _y _B: </w:t>
      </w:r>
      <w:proofErr w:type="spellStart"/>
      <w:r w:rsidRPr="000A4A43">
        <w:rPr>
          <w:rFonts w:cstheme="minorHAnsi"/>
        </w:rPr>
        <w:t>pregabalin</w:t>
      </w:r>
      <w:proofErr w:type="spellEnd"/>
      <w:r w:rsidRPr="000A4A43">
        <w:rPr>
          <w:rFonts w:cstheme="minorHAnsi"/>
        </w:rPr>
        <w:t xml:space="preserve"> (</w:t>
      </w:r>
      <w:proofErr w:type="spellStart"/>
      <w:r w:rsidRPr="000A4A43">
        <w:rPr>
          <w:rFonts w:cstheme="minorHAnsi"/>
        </w:rPr>
        <w:t>PGB</w:t>
      </w:r>
      <w:proofErr w:type="spellEnd"/>
      <w:r w:rsidRPr="000A4A43">
        <w:rPr>
          <w:rFonts w:cstheme="minorHAnsi"/>
        </w:rPr>
        <w:t>); _y _C: placebo</w:t>
      </w:r>
    </w:p>
    <w:p w:rsidR="000A4A43" w:rsidRPr="000A4A43" w:rsidRDefault="000A4A43" w:rsidP="000A4A43">
      <w:pPr>
        <w:spacing w:line="480" w:lineRule="auto"/>
        <w:rPr>
          <w:rFonts w:cstheme="minorHAnsi"/>
        </w:rPr>
      </w:pPr>
    </w:p>
    <w:p w:rsidR="000A4A43" w:rsidRPr="000A4A43" w:rsidRDefault="000A4A43">
      <w:pPr>
        <w:rPr>
          <w:rFonts w:cstheme="minorHAnsi"/>
        </w:rPr>
      </w:pPr>
    </w:p>
    <w:sectPr w:rsidR="000A4A43" w:rsidRPr="000A4A43" w:rsidSect="00B20F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48CE3C"/>
    <w:multiLevelType w:val="singleLevel"/>
    <w:tmpl w:val="7448CE3C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A43"/>
    <w:rsid w:val="000A4A43"/>
    <w:rsid w:val="003A2707"/>
    <w:rsid w:val="00AF58C0"/>
    <w:rsid w:val="00B20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5:chartTrackingRefBased/>
  <w15:docId w15:val="{A417BAD1-52EF-4172-BF70-17E5D4B18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1343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Holt</dc:creator>
  <cp:keywords/>
  <dc:description/>
  <cp:lastModifiedBy>Kavi Surya S.</cp:lastModifiedBy>
  <cp:revision>2</cp:revision>
  <dcterms:created xsi:type="dcterms:W3CDTF">2021-08-04T15:14:00Z</dcterms:created>
  <dcterms:modified xsi:type="dcterms:W3CDTF">2021-08-06T01:34:00Z</dcterms:modified>
</cp:coreProperties>
</file>