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CD62A0" w14:textId="198A7049" w:rsidR="005C20A7" w:rsidRDefault="005C20A7" w:rsidP="005C20A7">
      <w:pPr>
        <w:rPr>
          <w:b/>
          <w:bCs/>
          <w:sz w:val="24"/>
          <w:szCs w:val="24"/>
        </w:rPr>
      </w:pPr>
      <w:bookmarkStart w:id="0" w:name="_GoBack"/>
      <w:bookmarkEnd w:id="0"/>
    </w:p>
    <w:p w14:paraId="6F0253D8" w14:textId="47576F91" w:rsidR="005C20A7" w:rsidRDefault="005C20A7" w:rsidP="005C20A7">
      <w:pPr>
        <w:rPr>
          <w:b/>
          <w:bCs/>
          <w:sz w:val="24"/>
          <w:szCs w:val="24"/>
        </w:rPr>
      </w:pPr>
    </w:p>
    <w:p w14:paraId="005FEF50" w14:textId="7B6C772C" w:rsidR="005C20A7" w:rsidRDefault="005C20A7" w:rsidP="005C20A7">
      <w:pPr>
        <w:rPr>
          <w:b/>
          <w:bCs/>
          <w:sz w:val="24"/>
          <w:szCs w:val="24"/>
        </w:rPr>
      </w:pPr>
    </w:p>
    <w:p w14:paraId="0B24CC26" w14:textId="77777777" w:rsidR="005C20A7" w:rsidRDefault="005C20A7" w:rsidP="005C20A7">
      <w:pPr>
        <w:rPr>
          <w:b/>
          <w:bCs/>
          <w:sz w:val="24"/>
          <w:szCs w:val="24"/>
        </w:rPr>
      </w:pPr>
    </w:p>
    <w:p w14:paraId="362187F3" w14:textId="59415502" w:rsidR="005C20A7" w:rsidRPr="005C20A7" w:rsidRDefault="005C20A7" w:rsidP="005C20A7">
      <w:pPr>
        <w:jc w:val="center"/>
        <w:rPr>
          <w:sz w:val="24"/>
          <w:szCs w:val="24"/>
        </w:rPr>
      </w:pPr>
      <w:r w:rsidRPr="005C20A7">
        <w:rPr>
          <w:sz w:val="24"/>
          <w:szCs w:val="24"/>
        </w:rPr>
        <w:t xml:space="preserve">Opioid Taper </w:t>
      </w:r>
      <w:r w:rsidR="00986417">
        <w:rPr>
          <w:sz w:val="24"/>
          <w:szCs w:val="24"/>
        </w:rPr>
        <w:t xml:space="preserve">is </w:t>
      </w:r>
      <w:proofErr w:type="gramStart"/>
      <w:r w:rsidR="00986417">
        <w:rPr>
          <w:sz w:val="24"/>
          <w:szCs w:val="24"/>
        </w:rPr>
        <w:t>Associated</w:t>
      </w:r>
      <w:proofErr w:type="gramEnd"/>
      <w:r w:rsidR="00986417">
        <w:rPr>
          <w:sz w:val="24"/>
          <w:szCs w:val="24"/>
        </w:rPr>
        <w:t xml:space="preserve"> with </w:t>
      </w:r>
      <w:r w:rsidRPr="005C20A7">
        <w:rPr>
          <w:sz w:val="24"/>
          <w:szCs w:val="24"/>
        </w:rPr>
        <w:t>Improve</w:t>
      </w:r>
      <w:r w:rsidR="00986417">
        <w:rPr>
          <w:sz w:val="24"/>
          <w:szCs w:val="24"/>
        </w:rPr>
        <w:t>d</w:t>
      </w:r>
      <w:r w:rsidRPr="005C20A7">
        <w:rPr>
          <w:sz w:val="24"/>
          <w:szCs w:val="24"/>
        </w:rPr>
        <w:t xml:space="preserve"> Experimental Pain Tolerance in Patients with Chronic Pain</w:t>
      </w:r>
      <w:r w:rsidR="00986417">
        <w:rPr>
          <w:sz w:val="24"/>
          <w:szCs w:val="24"/>
        </w:rPr>
        <w:t>: An Observational Study</w:t>
      </w:r>
    </w:p>
    <w:p w14:paraId="3F69375D" w14:textId="5D984209" w:rsidR="005C20A7" w:rsidRDefault="005C20A7" w:rsidP="005C20A7">
      <w:pPr>
        <w:rPr>
          <w:b/>
          <w:bCs/>
          <w:sz w:val="24"/>
          <w:szCs w:val="24"/>
        </w:rPr>
      </w:pPr>
    </w:p>
    <w:p w14:paraId="352A4BD5" w14:textId="32ABE7D2" w:rsidR="005C20A7" w:rsidRDefault="005C20A7" w:rsidP="005C20A7">
      <w:pPr>
        <w:rPr>
          <w:b/>
          <w:bCs/>
          <w:sz w:val="24"/>
          <w:szCs w:val="24"/>
        </w:rPr>
      </w:pPr>
    </w:p>
    <w:p w14:paraId="07E93B09" w14:textId="77777777" w:rsidR="005C20A7" w:rsidRPr="005C20A7" w:rsidRDefault="005C20A7" w:rsidP="005C20A7">
      <w:pPr>
        <w:rPr>
          <w:b/>
          <w:bCs/>
          <w:sz w:val="24"/>
          <w:szCs w:val="24"/>
        </w:rPr>
      </w:pPr>
    </w:p>
    <w:p w14:paraId="427DCC91" w14:textId="66CB8168" w:rsidR="005C20A7" w:rsidRPr="005C20A7" w:rsidRDefault="005C20A7" w:rsidP="005C20A7">
      <w:pPr>
        <w:rPr>
          <w:sz w:val="24"/>
          <w:szCs w:val="24"/>
          <w:vertAlign w:val="superscript"/>
        </w:rPr>
      </w:pPr>
      <w:r w:rsidRPr="005C20A7">
        <w:rPr>
          <w:sz w:val="24"/>
          <w:szCs w:val="24"/>
        </w:rPr>
        <w:t>Peggy Compton, PhD</w:t>
      </w:r>
      <w:r w:rsidRPr="005C20A7">
        <w:rPr>
          <w:sz w:val="24"/>
          <w:szCs w:val="24"/>
          <w:vertAlign w:val="superscript"/>
        </w:rPr>
        <w:t>1</w:t>
      </w:r>
      <w:r w:rsidRPr="005C20A7">
        <w:rPr>
          <w:sz w:val="24"/>
          <w:szCs w:val="24"/>
        </w:rPr>
        <w:t xml:space="preserve">, Olivia </w:t>
      </w:r>
      <w:r w:rsidR="00C904AD" w:rsidRPr="005C20A7">
        <w:rPr>
          <w:sz w:val="24"/>
          <w:szCs w:val="24"/>
        </w:rPr>
        <w:t>H</w:t>
      </w:r>
      <w:r w:rsidR="00C904AD">
        <w:rPr>
          <w:sz w:val="24"/>
          <w:szCs w:val="24"/>
        </w:rPr>
        <w:t>.</w:t>
      </w:r>
      <w:r w:rsidR="00C904AD" w:rsidRPr="005C20A7">
        <w:rPr>
          <w:sz w:val="24"/>
          <w:szCs w:val="24"/>
        </w:rPr>
        <w:t xml:space="preserve"> </w:t>
      </w:r>
      <w:r w:rsidRPr="005C20A7">
        <w:rPr>
          <w:sz w:val="24"/>
          <w:szCs w:val="24"/>
        </w:rPr>
        <w:t xml:space="preserve">Arnold, </w:t>
      </w:r>
      <w:r w:rsidR="00182C79" w:rsidRPr="005C20A7">
        <w:rPr>
          <w:sz w:val="24"/>
          <w:szCs w:val="24"/>
        </w:rPr>
        <w:t>PhD</w:t>
      </w:r>
      <w:r w:rsidR="00182C79">
        <w:rPr>
          <w:sz w:val="24"/>
          <w:szCs w:val="24"/>
          <w:vertAlign w:val="superscript"/>
        </w:rPr>
        <w:t>1</w:t>
      </w:r>
      <w:r w:rsidRPr="005C20A7">
        <w:rPr>
          <w:sz w:val="24"/>
          <w:szCs w:val="24"/>
        </w:rPr>
        <w:t xml:space="preserve">, </w:t>
      </w:r>
      <w:proofErr w:type="spellStart"/>
      <w:r w:rsidRPr="005C20A7">
        <w:rPr>
          <w:sz w:val="24"/>
          <w:szCs w:val="24"/>
        </w:rPr>
        <w:t>Subhash</w:t>
      </w:r>
      <w:proofErr w:type="spellEnd"/>
      <w:r w:rsidRPr="005C20A7">
        <w:rPr>
          <w:sz w:val="24"/>
          <w:szCs w:val="24"/>
        </w:rPr>
        <w:t xml:space="preserve"> </w:t>
      </w:r>
      <w:proofErr w:type="spellStart"/>
      <w:r w:rsidRPr="005C20A7">
        <w:rPr>
          <w:sz w:val="24"/>
          <w:szCs w:val="24"/>
        </w:rPr>
        <w:t>Aryal</w:t>
      </w:r>
      <w:proofErr w:type="spellEnd"/>
      <w:r w:rsidRPr="005C20A7">
        <w:rPr>
          <w:sz w:val="24"/>
          <w:szCs w:val="24"/>
        </w:rPr>
        <w:t>, PhD</w:t>
      </w:r>
      <w:r w:rsidRPr="005C20A7">
        <w:rPr>
          <w:sz w:val="24"/>
          <w:szCs w:val="24"/>
          <w:vertAlign w:val="superscript"/>
        </w:rPr>
        <w:t>1</w:t>
      </w:r>
      <w:r w:rsidRPr="005C20A7">
        <w:rPr>
          <w:sz w:val="24"/>
          <w:szCs w:val="24"/>
        </w:rPr>
        <w:t xml:space="preserve">, Ignacio </w:t>
      </w:r>
      <w:proofErr w:type="spellStart"/>
      <w:r w:rsidRPr="005C20A7">
        <w:rPr>
          <w:sz w:val="24"/>
          <w:szCs w:val="24"/>
        </w:rPr>
        <w:t>Badiola</w:t>
      </w:r>
      <w:proofErr w:type="spellEnd"/>
      <w:r w:rsidRPr="005C20A7">
        <w:rPr>
          <w:sz w:val="24"/>
          <w:szCs w:val="24"/>
        </w:rPr>
        <w:t>, MD</w:t>
      </w:r>
      <w:r w:rsidRPr="005C20A7">
        <w:rPr>
          <w:sz w:val="24"/>
          <w:szCs w:val="24"/>
          <w:vertAlign w:val="superscript"/>
        </w:rPr>
        <w:t>3</w:t>
      </w:r>
    </w:p>
    <w:p w14:paraId="6F1DB216" w14:textId="76DEE24E" w:rsidR="005C20A7" w:rsidRPr="005C20A7" w:rsidRDefault="005C20A7" w:rsidP="005C20A7">
      <w:pPr>
        <w:rPr>
          <w:sz w:val="24"/>
          <w:szCs w:val="24"/>
        </w:rPr>
      </w:pPr>
      <w:r w:rsidRPr="005C20A7">
        <w:rPr>
          <w:sz w:val="24"/>
          <w:szCs w:val="24"/>
          <w:vertAlign w:val="superscript"/>
        </w:rPr>
        <w:t>1</w:t>
      </w:r>
      <w:r w:rsidRPr="005C20A7">
        <w:rPr>
          <w:sz w:val="24"/>
          <w:szCs w:val="24"/>
        </w:rPr>
        <w:t xml:space="preserve"> School of Nursing, University of Pennsylvania</w:t>
      </w:r>
      <w:r w:rsidR="00182C79">
        <w:rPr>
          <w:sz w:val="24"/>
          <w:szCs w:val="24"/>
        </w:rPr>
        <w:t>, Philadelphia, PA, USA</w:t>
      </w:r>
    </w:p>
    <w:p w14:paraId="51B8484B" w14:textId="72A5951E" w:rsidR="005C20A7" w:rsidRPr="005C20A7" w:rsidRDefault="00182C79" w:rsidP="005C20A7">
      <w:pPr>
        <w:rPr>
          <w:sz w:val="24"/>
          <w:szCs w:val="24"/>
        </w:rPr>
      </w:pPr>
      <w:r>
        <w:rPr>
          <w:sz w:val="24"/>
          <w:szCs w:val="24"/>
          <w:vertAlign w:val="superscript"/>
        </w:rPr>
        <w:t>2</w:t>
      </w:r>
      <w:r w:rsidRPr="005C20A7">
        <w:rPr>
          <w:sz w:val="24"/>
          <w:szCs w:val="24"/>
          <w:vertAlign w:val="superscript"/>
        </w:rPr>
        <w:t xml:space="preserve"> </w:t>
      </w:r>
      <w:r w:rsidR="005C20A7" w:rsidRPr="005C20A7">
        <w:rPr>
          <w:sz w:val="24"/>
          <w:szCs w:val="24"/>
        </w:rPr>
        <w:t>Perelman School of Medicine, University of Pennsylvania</w:t>
      </w:r>
      <w:r>
        <w:rPr>
          <w:sz w:val="24"/>
          <w:szCs w:val="24"/>
        </w:rPr>
        <w:t>, Philadelphia, PA, USA</w:t>
      </w:r>
      <w:r w:rsidR="005C20A7" w:rsidRPr="005C20A7">
        <w:rPr>
          <w:sz w:val="24"/>
          <w:szCs w:val="24"/>
        </w:rPr>
        <w:t> </w:t>
      </w:r>
    </w:p>
    <w:p w14:paraId="25BA424F" w14:textId="77777777" w:rsidR="005C20A7" w:rsidRPr="005C20A7" w:rsidRDefault="005C20A7" w:rsidP="005C20A7">
      <w:pPr>
        <w:rPr>
          <w:b/>
          <w:bCs/>
          <w:sz w:val="24"/>
          <w:szCs w:val="24"/>
        </w:rPr>
      </w:pPr>
    </w:p>
    <w:p w14:paraId="2937E78B" w14:textId="77777777" w:rsidR="005C20A7" w:rsidRDefault="005C20A7" w:rsidP="005C20A7">
      <w:pPr>
        <w:rPr>
          <w:b/>
          <w:bCs/>
          <w:sz w:val="24"/>
          <w:szCs w:val="24"/>
        </w:rPr>
      </w:pPr>
    </w:p>
    <w:p w14:paraId="6E746E1F" w14:textId="77777777" w:rsidR="005C20A7" w:rsidRDefault="005C20A7" w:rsidP="005C20A7">
      <w:pPr>
        <w:rPr>
          <w:b/>
          <w:bCs/>
          <w:sz w:val="24"/>
          <w:szCs w:val="24"/>
        </w:rPr>
      </w:pPr>
    </w:p>
    <w:p w14:paraId="5007B194" w14:textId="77777777" w:rsidR="005C20A7" w:rsidRDefault="005C20A7" w:rsidP="005C20A7">
      <w:pPr>
        <w:rPr>
          <w:b/>
          <w:bCs/>
          <w:sz w:val="24"/>
          <w:szCs w:val="24"/>
        </w:rPr>
      </w:pPr>
    </w:p>
    <w:p w14:paraId="3F984DB6" w14:textId="77777777" w:rsidR="005C20A7" w:rsidRDefault="005C20A7" w:rsidP="005C20A7">
      <w:pPr>
        <w:rPr>
          <w:b/>
          <w:bCs/>
          <w:sz w:val="24"/>
          <w:szCs w:val="24"/>
        </w:rPr>
      </w:pPr>
    </w:p>
    <w:p w14:paraId="758E9B1A" w14:textId="52346876" w:rsidR="005C20A7" w:rsidRPr="005C20A7" w:rsidRDefault="005C20A7" w:rsidP="005C20A7">
      <w:pPr>
        <w:spacing w:after="120" w:line="240" w:lineRule="auto"/>
        <w:rPr>
          <w:sz w:val="24"/>
          <w:szCs w:val="24"/>
        </w:rPr>
      </w:pPr>
      <w:r w:rsidRPr="005C20A7">
        <w:rPr>
          <w:sz w:val="24"/>
          <w:szCs w:val="24"/>
        </w:rPr>
        <w:t>Corresponding Author:</w:t>
      </w:r>
    </w:p>
    <w:p w14:paraId="7AE11C71" w14:textId="77777777" w:rsidR="005C20A7" w:rsidRPr="005C20A7" w:rsidRDefault="005C20A7" w:rsidP="005C20A7">
      <w:pPr>
        <w:spacing w:after="120" w:line="240" w:lineRule="auto"/>
        <w:rPr>
          <w:sz w:val="24"/>
          <w:szCs w:val="24"/>
        </w:rPr>
      </w:pPr>
      <w:r w:rsidRPr="005C20A7">
        <w:rPr>
          <w:sz w:val="24"/>
          <w:szCs w:val="24"/>
        </w:rPr>
        <w:t>Peggy Compton, RN, PhD</w:t>
      </w:r>
    </w:p>
    <w:p w14:paraId="290D1FC0" w14:textId="77777777" w:rsidR="005C20A7" w:rsidRPr="005C20A7" w:rsidRDefault="005C20A7" w:rsidP="005C20A7">
      <w:pPr>
        <w:spacing w:after="120" w:line="240" w:lineRule="auto"/>
        <w:rPr>
          <w:sz w:val="24"/>
          <w:szCs w:val="24"/>
        </w:rPr>
      </w:pPr>
      <w:r w:rsidRPr="005C20A7">
        <w:rPr>
          <w:sz w:val="24"/>
          <w:szCs w:val="24"/>
        </w:rPr>
        <w:t>Family and Community Health</w:t>
      </w:r>
    </w:p>
    <w:p w14:paraId="7787D699" w14:textId="77777777" w:rsidR="005C20A7" w:rsidRPr="005C20A7" w:rsidRDefault="005C20A7" w:rsidP="005C20A7">
      <w:pPr>
        <w:spacing w:after="120" w:line="240" w:lineRule="auto"/>
        <w:rPr>
          <w:sz w:val="24"/>
          <w:szCs w:val="24"/>
        </w:rPr>
      </w:pPr>
      <w:r w:rsidRPr="005C20A7">
        <w:rPr>
          <w:sz w:val="24"/>
          <w:szCs w:val="24"/>
        </w:rPr>
        <w:t>Claire M. Fagin Hall, Room 402</w:t>
      </w:r>
    </w:p>
    <w:p w14:paraId="3140A138" w14:textId="77777777" w:rsidR="005C20A7" w:rsidRPr="005C20A7" w:rsidRDefault="005C20A7" w:rsidP="005C20A7">
      <w:pPr>
        <w:spacing w:after="120" w:line="240" w:lineRule="auto"/>
        <w:rPr>
          <w:sz w:val="24"/>
          <w:szCs w:val="24"/>
        </w:rPr>
      </w:pPr>
      <w:r w:rsidRPr="005C20A7">
        <w:rPr>
          <w:sz w:val="24"/>
          <w:szCs w:val="24"/>
        </w:rPr>
        <w:t>418 Curie Blvd</w:t>
      </w:r>
    </w:p>
    <w:p w14:paraId="1775C214" w14:textId="77777777" w:rsidR="005C20A7" w:rsidRPr="005C20A7" w:rsidRDefault="005C20A7" w:rsidP="005C20A7">
      <w:pPr>
        <w:spacing w:after="120" w:line="240" w:lineRule="auto"/>
        <w:rPr>
          <w:sz w:val="24"/>
          <w:szCs w:val="24"/>
        </w:rPr>
      </w:pPr>
      <w:r w:rsidRPr="005C20A7">
        <w:rPr>
          <w:sz w:val="24"/>
          <w:szCs w:val="24"/>
        </w:rPr>
        <w:t>Philadelphia, PA  19104-4217</w:t>
      </w:r>
    </w:p>
    <w:p w14:paraId="1BA33FDA" w14:textId="77777777" w:rsidR="005C20A7" w:rsidRPr="005C20A7" w:rsidRDefault="005C20A7" w:rsidP="005C20A7">
      <w:pPr>
        <w:spacing w:after="120" w:line="240" w:lineRule="auto"/>
        <w:rPr>
          <w:sz w:val="24"/>
          <w:szCs w:val="24"/>
        </w:rPr>
      </w:pPr>
      <w:r w:rsidRPr="005C20A7">
        <w:rPr>
          <w:sz w:val="24"/>
          <w:szCs w:val="24"/>
        </w:rPr>
        <w:t>T: 215 898 6679</w:t>
      </w:r>
    </w:p>
    <w:p w14:paraId="60D545B7" w14:textId="77777777" w:rsidR="005C20A7" w:rsidRPr="005C20A7" w:rsidRDefault="005C20A7" w:rsidP="005C20A7">
      <w:pPr>
        <w:spacing w:after="120" w:line="240" w:lineRule="auto"/>
        <w:rPr>
          <w:sz w:val="24"/>
          <w:szCs w:val="24"/>
        </w:rPr>
      </w:pPr>
      <w:r w:rsidRPr="005C20A7">
        <w:rPr>
          <w:sz w:val="24"/>
          <w:szCs w:val="24"/>
        </w:rPr>
        <w:t>F: 215 746 3374</w:t>
      </w:r>
    </w:p>
    <w:p w14:paraId="70E06E2C" w14:textId="77777777" w:rsidR="005C20A7" w:rsidRPr="005C20A7" w:rsidRDefault="002D0FFD" w:rsidP="005C20A7">
      <w:pPr>
        <w:spacing w:after="120" w:line="240" w:lineRule="auto"/>
        <w:rPr>
          <w:sz w:val="24"/>
          <w:szCs w:val="24"/>
          <w:u w:val="single"/>
        </w:rPr>
      </w:pPr>
      <w:hyperlink r:id="rId5" w:history="1">
        <w:r w:rsidR="005C20A7" w:rsidRPr="005C20A7">
          <w:rPr>
            <w:rStyle w:val="Hyperlink"/>
            <w:sz w:val="24"/>
            <w:szCs w:val="24"/>
          </w:rPr>
          <w:t>pcompton@nursing.upenn.edu</w:t>
        </w:r>
      </w:hyperlink>
    </w:p>
    <w:p w14:paraId="6CEF6F04" w14:textId="77777777" w:rsidR="005C20A7" w:rsidRPr="005C20A7" w:rsidRDefault="005C20A7" w:rsidP="005C20A7">
      <w:pPr>
        <w:spacing w:after="120" w:line="240" w:lineRule="auto"/>
        <w:rPr>
          <w:sz w:val="24"/>
          <w:szCs w:val="24"/>
        </w:rPr>
      </w:pPr>
      <w:r w:rsidRPr="005C20A7">
        <w:rPr>
          <w:sz w:val="24"/>
          <w:szCs w:val="24"/>
        </w:rPr>
        <w:t>ORCID 0000 0001 9284 5331</w:t>
      </w:r>
    </w:p>
    <w:p w14:paraId="7524CE47" w14:textId="77777777" w:rsidR="005C20A7" w:rsidRDefault="005C20A7">
      <w:pPr>
        <w:rPr>
          <w:b/>
          <w:bCs/>
          <w:sz w:val="24"/>
          <w:szCs w:val="24"/>
        </w:rPr>
      </w:pPr>
      <w:r>
        <w:rPr>
          <w:b/>
          <w:bCs/>
          <w:sz w:val="24"/>
          <w:szCs w:val="24"/>
        </w:rPr>
        <w:br w:type="page"/>
      </w:r>
    </w:p>
    <w:p w14:paraId="1A721C4F" w14:textId="55569742" w:rsidR="006051E2" w:rsidRPr="005C20A7" w:rsidRDefault="00986417" w:rsidP="006051E2">
      <w:pPr>
        <w:jc w:val="center"/>
        <w:rPr>
          <w:b/>
          <w:bCs/>
          <w:sz w:val="24"/>
          <w:szCs w:val="24"/>
        </w:rPr>
      </w:pPr>
      <w:r>
        <w:rPr>
          <w:b/>
          <w:bCs/>
          <w:sz w:val="24"/>
          <w:szCs w:val="24"/>
        </w:rPr>
        <w:lastRenderedPageBreak/>
        <w:t>Supplementary Material</w:t>
      </w:r>
    </w:p>
    <w:p w14:paraId="533982CB" w14:textId="0B255DF3" w:rsidR="006051E2" w:rsidRPr="006051E2" w:rsidRDefault="006051E2" w:rsidP="006051E2">
      <w:pPr>
        <w:rPr>
          <w:sz w:val="24"/>
          <w:szCs w:val="24"/>
        </w:rPr>
      </w:pPr>
      <w:r w:rsidRPr="006051E2">
        <w:rPr>
          <w:i/>
          <w:iCs/>
          <w:sz w:val="24"/>
          <w:szCs w:val="24"/>
          <w:u w:val="single"/>
        </w:rPr>
        <w:t>Pain Responses</w:t>
      </w:r>
      <w:r w:rsidRPr="006051E2">
        <w:rPr>
          <w:i/>
          <w:iCs/>
          <w:sz w:val="24"/>
          <w:szCs w:val="24"/>
        </w:rPr>
        <w:t xml:space="preserve">: </w:t>
      </w:r>
      <w:r w:rsidRPr="006051E2">
        <w:rPr>
          <w:iCs/>
          <w:sz w:val="24"/>
          <w:szCs w:val="24"/>
        </w:rPr>
        <w:t xml:space="preserve">The primary dependent variable, pain sensitivity, </w:t>
      </w:r>
      <w:r w:rsidRPr="006051E2">
        <w:rPr>
          <w:sz w:val="24"/>
          <w:szCs w:val="24"/>
        </w:rPr>
        <w:t>was measured using two highly reliable and valid pain induction techniques, the cold-pressor test (CPT) and quantitative sensory testing (QST)</w:t>
      </w:r>
      <w:r>
        <w:rPr>
          <w:sz w:val="24"/>
          <w:szCs w:val="24"/>
        </w:rPr>
        <w:t>.  T</w:t>
      </w:r>
      <w:r w:rsidRPr="006051E2">
        <w:rPr>
          <w:sz w:val="24"/>
          <w:szCs w:val="24"/>
        </w:rPr>
        <w:t>hree aspects of the pain response were captured at each study session: evoked pain; temporal summation; and conditioned pain modulation, which map on to the hypothesized peripheral, spinal and supra-spinal mechanisms of pain processing respectively</w:t>
      </w:r>
      <w:r>
        <w:rPr>
          <w:sz w:val="24"/>
          <w:szCs w:val="24"/>
        </w:rPr>
        <w:t xml:space="preserve">.  Described below are the </w:t>
      </w:r>
      <w:r w:rsidRPr="006051E2">
        <w:rPr>
          <w:sz w:val="24"/>
          <w:szCs w:val="24"/>
        </w:rPr>
        <w:t>experimental pain induction technique methods</w:t>
      </w:r>
      <w:r>
        <w:rPr>
          <w:sz w:val="24"/>
          <w:szCs w:val="24"/>
        </w:rPr>
        <w:t xml:space="preserve"> </w:t>
      </w:r>
      <w:proofErr w:type="spellStart"/>
      <w:r>
        <w:rPr>
          <w:sz w:val="24"/>
          <w:szCs w:val="24"/>
        </w:rPr>
        <w:t>utlized</w:t>
      </w:r>
      <w:proofErr w:type="spellEnd"/>
      <w:r w:rsidRPr="006051E2">
        <w:rPr>
          <w:sz w:val="24"/>
          <w:szCs w:val="24"/>
        </w:rPr>
        <w:t xml:space="preserve">.   </w:t>
      </w:r>
    </w:p>
    <w:p w14:paraId="605B93ED" w14:textId="77777777" w:rsidR="006051E2" w:rsidRPr="006051E2" w:rsidRDefault="006051E2" w:rsidP="006051E2">
      <w:pPr>
        <w:numPr>
          <w:ilvl w:val="0"/>
          <w:numId w:val="2"/>
        </w:numPr>
        <w:rPr>
          <w:sz w:val="24"/>
          <w:szCs w:val="24"/>
        </w:rPr>
      </w:pPr>
      <w:r w:rsidRPr="006051E2">
        <w:rPr>
          <w:sz w:val="24"/>
          <w:szCs w:val="24"/>
          <w:u w:val="single"/>
        </w:rPr>
        <w:t>Evoked pain perception</w:t>
      </w:r>
      <w:r w:rsidRPr="006051E2">
        <w:rPr>
          <w:sz w:val="24"/>
          <w:szCs w:val="24"/>
        </w:rPr>
        <w:t xml:space="preserve">: The CPT apparatus consisted of a circulating water bath maintained at 1°C ± 0.5°C, into which subjects immerse their non-dominant hand and forearm to elicit a nociceptive response. Elapsed time (in seconds) until pain threshold and tolerance were reached measured evoked pain. The test began with obtaining the subjects’ blood pressure on the non-dominant arm, noting the diastolic pressure, and leaving the cuff in place. Subjects then submerged their arm in a warm water bath heated to 37.8°C. A stopwatch was simultaneously activated with arm immersion. At 1 minute 40 seconds, the blood pressure cuff was inflated to 20 mmHg below the diastolic pressure. At 2 minutes, the subjects’ hand was moved to the cold-water bath. Subjects were instructed to indicate when the cold sensation became a painful sensation (pain threshold), and when the pain became subjectively intolerable or spontaneous hand removal (pain tolerance). Immediately after hand withdrawal, subjects were asked to mark maximal pain intensity on a computerized visual analogue scale (Co-VAS, 0-100).  </w:t>
      </w:r>
    </w:p>
    <w:p w14:paraId="3446DC17" w14:textId="77777777" w:rsidR="006051E2" w:rsidRPr="006051E2" w:rsidRDefault="006051E2" w:rsidP="006051E2">
      <w:pPr>
        <w:numPr>
          <w:ilvl w:val="0"/>
          <w:numId w:val="1"/>
        </w:numPr>
        <w:rPr>
          <w:sz w:val="24"/>
          <w:szCs w:val="24"/>
        </w:rPr>
      </w:pPr>
      <w:r w:rsidRPr="006051E2">
        <w:rPr>
          <w:sz w:val="24"/>
          <w:szCs w:val="24"/>
          <w:u w:val="single"/>
        </w:rPr>
        <w:t>Temporal Summation (TS)</w:t>
      </w:r>
      <w:r w:rsidRPr="006051E2">
        <w:rPr>
          <w:sz w:val="24"/>
          <w:szCs w:val="24"/>
        </w:rPr>
        <w:t xml:space="preserve">: As a component of QST, a thermal testing analyzer (TSA; Medoc TSA-2001 device; Ramat </w:t>
      </w:r>
      <w:proofErr w:type="spellStart"/>
      <w:r w:rsidRPr="006051E2">
        <w:rPr>
          <w:sz w:val="24"/>
          <w:szCs w:val="24"/>
        </w:rPr>
        <w:t>Yishay</w:t>
      </w:r>
      <w:proofErr w:type="spellEnd"/>
      <w:r w:rsidRPr="006051E2">
        <w:rPr>
          <w:sz w:val="24"/>
          <w:szCs w:val="24"/>
        </w:rPr>
        <w:t xml:space="preserve">, Israel) with a sized 30 x 30 mm </w:t>
      </w:r>
      <w:proofErr w:type="spellStart"/>
      <w:r w:rsidRPr="006051E2">
        <w:rPr>
          <w:sz w:val="24"/>
          <w:szCs w:val="24"/>
        </w:rPr>
        <w:t>Peltier</w:t>
      </w:r>
      <w:proofErr w:type="spellEnd"/>
      <w:r w:rsidRPr="006051E2">
        <w:rPr>
          <w:sz w:val="24"/>
          <w:szCs w:val="24"/>
        </w:rPr>
        <w:t xml:space="preserve"> </w:t>
      </w:r>
      <w:proofErr w:type="spellStart"/>
      <w:r w:rsidRPr="006051E2">
        <w:rPr>
          <w:sz w:val="24"/>
          <w:szCs w:val="24"/>
        </w:rPr>
        <w:t>thermode</w:t>
      </w:r>
      <w:proofErr w:type="spellEnd"/>
      <w:r w:rsidRPr="006051E2">
        <w:rPr>
          <w:sz w:val="24"/>
          <w:szCs w:val="24"/>
        </w:rPr>
        <w:t xml:space="preserve"> was used for the assessment of thermal temporal summation (TS), reflecting increased rate of firing of ascending pre-synaptic neuron with ongoing stimulation. Specifically, tonic noxious heat stimulation was applied to the dominant volar using a ramp-and-hold method with 3-seconds of tonic noxious heat stimulation applied four (4) times rapidly, with 3-second intervals between each of the stimuli. The baseline temperature was set to 32.0°C and increased at a rate of 10°C/s up to a destination temperature of 46.5°C. At each peak, subjects rated the magnitude of their perceived pain using a computerized visual analogue scale (Co-VAS, 0-100). The difference between subjective pain severity at Peak 4 and Peak 1 were entered into the analysis, with a positive number representing temporal summation effects.  </w:t>
      </w:r>
    </w:p>
    <w:p w14:paraId="1D7634E6" w14:textId="77777777" w:rsidR="006051E2" w:rsidRPr="006051E2" w:rsidRDefault="006051E2" w:rsidP="006051E2">
      <w:pPr>
        <w:numPr>
          <w:ilvl w:val="0"/>
          <w:numId w:val="1"/>
        </w:numPr>
        <w:rPr>
          <w:sz w:val="24"/>
          <w:szCs w:val="24"/>
        </w:rPr>
      </w:pPr>
      <w:r w:rsidRPr="006051E2">
        <w:rPr>
          <w:sz w:val="24"/>
          <w:szCs w:val="24"/>
          <w:u w:val="single"/>
        </w:rPr>
        <w:t>Conditioned Pain Modulation (CPM)</w:t>
      </w:r>
      <w:r w:rsidRPr="006051E2">
        <w:rPr>
          <w:sz w:val="24"/>
          <w:szCs w:val="24"/>
        </w:rPr>
        <w:t xml:space="preserve">: Again using QST apparatus, the TSA </w:t>
      </w:r>
      <w:proofErr w:type="spellStart"/>
      <w:r w:rsidRPr="006051E2">
        <w:rPr>
          <w:sz w:val="24"/>
          <w:szCs w:val="24"/>
        </w:rPr>
        <w:t>thermode</w:t>
      </w:r>
      <w:proofErr w:type="spellEnd"/>
      <w:r w:rsidRPr="006051E2">
        <w:rPr>
          <w:sz w:val="24"/>
          <w:szCs w:val="24"/>
        </w:rPr>
        <w:t xml:space="preserve"> was applied to the thenar eminence of the dominant hand, and subjects asked to verbally report pain intensity of six (6) heat pain stimuli of 47ºC (starting from 37ºC at an increasing and decreasing rate of 10ºC/s), each lasting 4 seconds with an interval of 12 seconds. Following two (2) baseline measures, subjects were instructed to report the intensity of the same heat pain stimuli with their non-dominant hand immersed in a cold-water bath (12ºC) at 15 and </w:t>
      </w:r>
      <w:r w:rsidRPr="006051E2">
        <w:rPr>
          <w:sz w:val="24"/>
          <w:szCs w:val="24"/>
        </w:rPr>
        <w:lastRenderedPageBreak/>
        <w:t>30 seconds of immersion. Finally, subjects were instructed to remove their hand from the cold-water bath and rate the severity of two (2) additional heat pain stimuli administered at 15 and 30 seconds. Comparison of perceived pain severity of heat pain with and without counter-stimulation (cold-water bath) provides evidence of supra-spinal modulation of pain responses.</w:t>
      </w:r>
    </w:p>
    <w:p w14:paraId="1F149A6B" w14:textId="77777777" w:rsidR="007C267D" w:rsidRDefault="007C267D"/>
    <w:sectPr w:rsidR="007C26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46208"/>
    <w:multiLevelType w:val="hybridMultilevel"/>
    <w:tmpl w:val="14184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A7A1D00"/>
    <w:multiLevelType w:val="hybridMultilevel"/>
    <w:tmpl w:val="9CCE0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1E2"/>
    <w:rsid w:val="00182C79"/>
    <w:rsid w:val="001B240A"/>
    <w:rsid w:val="002D0FFD"/>
    <w:rsid w:val="005C20A7"/>
    <w:rsid w:val="006051E2"/>
    <w:rsid w:val="007C267D"/>
    <w:rsid w:val="00986417"/>
    <w:rsid w:val="00C90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E77FC"/>
  <w15:chartTrackingRefBased/>
  <w15:docId w15:val="{95FA66FF-80BE-41A6-AA6E-9E1180EF3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20A7"/>
    <w:rPr>
      <w:color w:val="0563C1" w:themeColor="hyperlink"/>
      <w:u w:val="single"/>
    </w:rPr>
  </w:style>
  <w:style w:type="character" w:customStyle="1" w:styleId="UnresolvedMention">
    <w:name w:val="Unresolved Mention"/>
    <w:basedOn w:val="DefaultParagraphFont"/>
    <w:uiPriority w:val="99"/>
    <w:semiHidden/>
    <w:unhideWhenUsed/>
    <w:rsid w:val="005C20A7"/>
    <w:rPr>
      <w:color w:val="605E5C"/>
      <w:shd w:val="clear" w:color="auto" w:fill="E1DFDD"/>
    </w:rPr>
  </w:style>
  <w:style w:type="paragraph" w:styleId="Revision">
    <w:name w:val="Revision"/>
    <w:hidden/>
    <w:uiPriority w:val="99"/>
    <w:semiHidden/>
    <w:rsid w:val="00C904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compton@nursing.upenn.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Compton, Peggy A</dc:creator>
  <cp:keywords/>
  <dc:description/>
  <cp:lastModifiedBy>Prathiba V.</cp:lastModifiedBy>
  <cp:revision>3</cp:revision>
  <dcterms:created xsi:type="dcterms:W3CDTF">2021-11-30T22:37:00Z</dcterms:created>
  <dcterms:modified xsi:type="dcterms:W3CDTF">2021-12-14T14:12:00Z</dcterms:modified>
</cp:coreProperties>
</file>