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42117" w14:textId="77777777" w:rsidR="001611A0" w:rsidRPr="000D7009" w:rsidRDefault="001611A0" w:rsidP="001611A0">
      <w:pPr>
        <w:pStyle w:val="Heading1"/>
        <w:spacing w:line="480" w:lineRule="auto"/>
        <w:contextualSpacing/>
        <w:rPr>
          <w:lang w:val="en-US"/>
        </w:rPr>
      </w:pPr>
      <w:bookmarkStart w:id="0" w:name="_Ref45316813"/>
      <w:bookmarkStart w:id="1" w:name="_Toc47722471"/>
      <w:r w:rsidRPr="000D7009">
        <w:rPr>
          <w:lang w:val="en-US"/>
        </w:rPr>
        <w:t xml:space="preserve">Supplementary </w:t>
      </w:r>
      <w:r>
        <w:rPr>
          <w:lang w:val="en-US"/>
        </w:rPr>
        <w:t>file S</w:t>
      </w:r>
      <w:r w:rsidRPr="000D7009">
        <w:rPr>
          <w:lang w:val="en-US"/>
        </w:rPr>
        <w:t>10: Mean HIT-6 score and mean reduction in HIT-6 score and proportion of patients with severe (≥60) HIT-6 score and with improvement in HIT-6 score at different time points</w:t>
      </w:r>
    </w:p>
    <w:bookmarkEnd w:id="0"/>
    <w:p w14:paraId="20149B3A" w14:textId="77777777" w:rsidR="00967B94" w:rsidRDefault="00967B94" w:rsidP="00967B94">
      <w:pPr>
        <w:rPr>
          <w:b/>
          <w:bCs/>
          <w:lang w:val="en-US"/>
        </w:rPr>
      </w:pPr>
    </w:p>
    <w:p w14:paraId="3C4647D9" w14:textId="6AB44053" w:rsidR="001611A0" w:rsidRPr="00967B94" w:rsidRDefault="001611A0" w:rsidP="00967B94">
      <w:pPr>
        <w:pStyle w:val="Heading1"/>
        <w:keepLines w:val="0"/>
        <w:rPr>
          <w:rFonts w:eastAsiaTheme="minorHAnsi" w:cstheme="minorBidi"/>
          <w:lang w:val="en-US"/>
        </w:rPr>
      </w:pPr>
      <w:r w:rsidRPr="00967B94">
        <w:rPr>
          <w:rFonts w:eastAsiaTheme="minorHAnsi" w:cstheme="minorBidi"/>
          <w:lang w:val="en-US"/>
        </w:rPr>
        <w:lastRenderedPageBreak/>
        <w:t>Table S10(</w:t>
      </w:r>
      <w:proofErr w:type="spellStart"/>
      <w:r w:rsidRPr="00967B94">
        <w:rPr>
          <w:rFonts w:eastAsiaTheme="minorHAnsi" w:cstheme="minorBidi"/>
          <w:lang w:val="en-US"/>
        </w:rPr>
        <w:t>i</w:t>
      </w:r>
      <w:proofErr w:type="spellEnd"/>
      <w:r w:rsidRPr="00967B94">
        <w:rPr>
          <w:rFonts w:eastAsiaTheme="minorHAnsi" w:cstheme="minorBidi"/>
          <w:lang w:val="en-US"/>
        </w:rPr>
        <w:t>) Mean HIT-6 score and mean reduction in HIT-6 score at different time points in chronic migraine patients</w:t>
      </w:r>
      <w:bookmarkEnd w:id="1"/>
    </w:p>
    <w:tbl>
      <w:tblPr>
        <w:tblStyle w:val="GridTable4-Accent1110"/>
        <w:tblW w:w="0" w:type="auto"/>
        <w:tblLook w:val="04A0" w:firstRow="1" w:lastRow="0" w:firstColumn="1" w:lastColumn="0" w:noHBand="0" w:noVBand="1"/>
      </w:tblPr>
      <w:tblGrid>
        <w:gridCol w:w="1751"/>
        <w:gridCol w:w="1069"/>
        <w:gridCol w:w="1055"/>
        <w:gridCol w:w="1170"/>
        <w:gridCol w:w="1055"/>
        <w:gridCol w:w="1171"/>
        <w:gridCol w:w="1055"/>
        <w:gridCol w:w="1171"/>
        <w:gridCol w:w="1055"/>
        <w:gridCol w:w="1170"/>
        <w:gridCol w:w="1055"/>
        <w:gridCol w:w="1171"/>
      </w:tblGrid>
      <w:tr w:rsidR="001611A0" w:rsidRPr="000D7009" w14:paraId="3641176B" w14:textId="77777777" w:rsidTr="0080520F">
        <w:trPr>
          <w:cnfStyle w:val="100000000000" w:firstRow="1" w:lastRow="0" w:firstColumn="0" w:lastColumn="0" w:oddVBand="0" w:evenVBand="0" w:oddHBand="0" w:evenHBand="0" w:firstRowFirstColumn="0" w:firstRowLastColumn="0" w:lastRowFirstColumn="0" w:lastRowLastColumn="0"/>
          <w:trHeight w:val="274"/>
          <w:tblHeader/>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6F3F1729" w14:textId="77777777" w:rsidR="001611A0" w:rsidRPr="000D7009" w:rsidRDefault="001611A0" w:rsidP="0080520F">
            <w:pPr>
              <w:pStyle w:val="Heading1"/>
              <w:spacing w:line="480" w:lineRule="auto"/>
              <w:contextualSpacing/>
              <w:outlineLvl w:val="0"/>
              <w:rPr>
                <w:sz w:val="18"/>
                <w:szCs w:val="18"/>
                <w:lang w:val="en-US"/>
              </w:rPr>
            </w:pPr>
            <w:r w:rsidRPr="000D7009">
              <w:rPr>
                <w:sz w:val="18"/>
                <w:szCs w:val="18"/>
                <w:lang w:val="en-US"/>
              </w:rPr>
              <w:lastRenderedPageBreak/>
              <w:t>Treatment</w:t>
            </w:r>
          </w:p>
        </w:tc>
        <w:tc>
          <w:tcPr>
            <w:tcW w:w="12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62687D19"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Baseline</w:t>
            </w:r>
          </w:p>
        </w:tc>
        <w:tc>
          <w:tcPr>
            <w:tcW w:w="2471" w:type="dxa"/>
            <w:gridSpan w:val="2"/>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5D941600"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3 months</w:t>
            </w:r>
          </w:p>
        </w:tc>
        <w:tc>
          <w:tcPr>
            <w:tcW w:w="2472" w:type="dxa"/>
            <w:gridSpan w:val="2"/>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151CE9C0"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6 months</w:t>
            </w:r>
          </w:p>
        </w:tc>
        <w:tc>
          <w:tcPr>
            <w:tcW w:w="2471" w:type="dxa"/>
            <w:gridSpan w:val="2"/>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114025DF"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1 year</w:t>
            </w:r>
          </w:p>
        </w:tc>
        <w:tc>
          <w:tcPr>
            <w:tcW w:w="2471" w:type="dxa"/>
            <w:gridSpan w:val="2"/>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64F99B8D"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2 years</w:t>
            </w:r>
          </w:p>
        </w:tc>
        <w:tc>
          <w:tcPr>
            <w:tcW w:w="2472" w:type="dxa"/>
            <w:gridSpan w:val="2"/>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56D14B42"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3 years</w:t>
            </w:r>
          </w:p>
        </w:tc>
      </w:tr>
      <w:tr w:rsidR="001611A0" w:rsidRPr="000D7009" w14:paraId="5FA48077" w14:textId="77777777" w:rsidTr="0080520F">
        <w:trPr>
          <w:cnfStyle w:val="100000000000" w:firstRow="1" w:lastRow="0" w:firstColumn="0" w:lastColumn="0" w:oddVBand="0" w:evenVBand="0" w:oddHBand="0" w:evenHBand="0" w:firstRowFirstColumn="0" w:firstRowLastColumn="0" w:lastRowFirstColumn="0" w:lastRowLastColumn="0"/>
          <w:trHeight w:val="480"/>
          <w:tblHeader/>
        </w:trPr>
        <w:tc>
          <w:tcPr>
            <w:cnfStyle w:val="001000000000" w:firstRow="0" w:lastRow="0" w:firstColumn="1" w:lastColumn="0" w:oddVBand="0" w:evenVBand="0" w:oddHBand="0" w:evenHBand="0" w:firstRowFirstColumn="0" w:firstRowLastColumn="0" w:lastRowFirstColumn="0" w:lastRowLastColumn="0"/>
            <w:tcW w:w="0" w:type="auto"/>
            <w:vMerge/>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7A2C21AF" w14:textId="77777777" w:rsidR="001611A0" w:rsidRPr="000D7009" w:rsidRDefault="001611A0" w:rsidP="0080520F">
            <w:pPr>
              <w:pStyle w:val="Heading1"/>
              <w:spacing w:line="480" w:lineRule="auto"/>
              <w:contextualSpacing/>
              <w:outlineLvl w:val="0"/>
              <w:rPr>
                <w:sz w:val="18"/>
                <w:szCs w:val="18"/>
                <w:lang w:val="en-US"/>
              </w:rPr>
            </w:pPr>
          </w:p>
        </w:tc>
        <w:tc>
          <w:tcPr>
            <w:tcW w:w="12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0A153129"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 xml:space="preserve">Mean values </w:t>
            </w:r>
            <w:r w:rsidRPr="000D7009">
              <w:rPr>
                <w:sz w:val="18"/>
                <w:szCs w:val="18"/>
                <w:lang w:val="en-US"/>
              </w:rPr>
              <w:br/>
              <w:t>(# studies)</w:t>
            </w:r>
          </w:p>
        </w:tc>
        <w:tc>
          <w:tcPr>
            <w:tcW w:w="123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6A0BABA9"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Mean values (# studies)</w:t>
            </w:r>
          </w:p>
        </w:tc>
        <w:tc>
          <w:tcPr>
            <w:tcW w:w="12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5CC57452"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 xml:space="preserve">Mean reduction </w:t>
            </w:r>
            <w:r w:rsidRPr="000D7009">
              <w:rPr>
                <w:sz w:val="18"/>
                <w:szCs w:val="18"/>
                <w:lang w:val="en-US"/>
              </w:rPr>
              <w:br/>
              <w:t>(# studies)</w:t>
            </w:r>
          </w:p>
        </w:tc>
        <w:tc>
          <w:tcPr>
            <w:tcW w:w="123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1E0C4648"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Mean values (# studies)</w:t>
            </w:r>
          </w:p>
        </w:tc>
        <w:tc>
          <w:tcPr>
            <w:tcW w:w="123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57F0FF7D"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 xml:space="preserve">Mean reduction </w:t>
            </w:r>
            <w:r w:rsidRPr="000D7009">
              <w:rPr>
                <w:sz w:val="18"/>
                <w:szCs w:val="18"/>
                <w:lang w:val="en-US"/>
              </w:rPr>
              <w:br/>
              <w:t>(# studies)</w:t>
            </w:r>
          </w:p>
        </w:tc>
        <w:tc>
          <w:tcPr>
            <w:tcW w:w="12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53863540"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Mean values (# studies)</w:t>
            </w:r>
          </w:p>
        </w:tc>
        <w:tc>
          <w:tcPr>
            <w:tcW w:w="123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5EB5C618"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 xml:space="preserve">Mean reduction </w:t>
            </w:r>
            <w:r w:rsidRPr="000D7009">
              <w:rPr>
                <w:sz w:val="18"/>
                <w:szCs w:val="18"/>
                <w:lang w:val="en-US"/>
              </w:rPr>
              <w:br/>
              <w:t>(# studies)</w:t>
            </w:r>
          </w:p>
        </w:tc>
        <w:tc>
          <w:tcPr>
            <w:tcW w:w="123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7E7D6B7E"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Mean values (# studies)</w:t>
            </w:r>
          </w:p>
        </w:tc>
        <w:tc>
          <w:tcPr>
            <w:tcW w:w="1235"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2C91CCBE"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 xml:space="preserve">Mean reduction </w:t>
            </w:r>
            <w:r w:rsidRPr="000D7009">
              <w:rPr>
                <w:sz w:val="18"/>
                <w:szCs w:val="18"/>
                <w:lang w:val="en-US"/>
              </w:rPr>
              <w:br/>
              <w:t>(# studies)</w:t>
            </w:r>
          </w:p>
        </w:tc>
        <w:tc>
          <w:tcPr>
            <w:tcW w:w="123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7068542F"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Mean values (# studies)</w:t>
            </w:r>
          </w:p>
        </w:tc>
        <w:tc>
          <w:tcPr>
            <w:tcW w:w="1236" w:type="dxa"/>
            <w:tcBorders>
              <w:top w:val="dotted" w:sz="4" w:space="0" w:color="FFFFFF" w:themeColor="background1"/>
              <w:left w:val="dotted" w:sz="4" w:space="0" w:color="FFFFFF" w:themeColor="background1"/>
              <w:bottom w:val="dotted" w:sz="4" w:space="0" w:color="FFFFFF" w:themeColor="background1"/>
              <w:right w:val="dotted" w:sz="4" w:space="0" w:color="FFFFFF" w:themeColor="background1"/>
            </w:tcBorders>
            <w:shd w:val="clear" w:color="auto" w:fill="5B9BD5" w:themeFill="accent1"/>
            <w:hideMark/>
          </w:tcPr>
          <w:p w14:paraId="6D7293FF"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sz w:val="18"/>
                <w:szCs w:val="18"/>
                <w:lang w:val="en-US"/>
              </w:rPr>
            </w:pPr>
            <w:r w:rsidRPr="000D7009">
              <w:rPr>
                <w:sz w:val="18"/>
                <w:szCs w:val="18"/>
                <w:lang w:val="en-US"/>
              </w:rPr>
              <w:t xml:space="preserve">Mean reduction </w:t>
            </w:r>
            <w:r w:rsidRPr="000D7009">
              <w:rPr>
                <w:sz w:val="18"/>
                <w:szCs w:val="18"/>
                <w:lang w:val="en-US"/>
              </w:rPr>
              <w:br/>
              <w:t>(# studies)</w:t>
            </w:r>
          </w:p>
        </w:tc>
      </w:tr>
      <w:tr w:rsidR="001611A0" w:rsidRPr="000D7009" w14:paraId="1135F06B" w14:textId="77777777" w:rsidTr="008052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12"/>
            <w:shd w:val="clear" w:color="auto" w:fill="808080" w:themeFill="background1" w:themeFillShade="80"/>
          </w:tcPr>
          <w:p w14:paraId="44E1458C" w14:textId="77777777" w:rsidR="001611A0" w:rsidRPr="000D7009" w:rsidRDefault="001611A0" w:rsidP="0080520F">
            <w:pPr>
              <w:pStyle w:val="Heading1"/>
              <w:spacing w:line="480" w:lineRule="auto"/>
              <w:contextualSpacing/>
              <w:outlineLvl w:val="0"/>
              <w:rPr>
                <w:color w:val="000000"/>
                <w:sz w:val="18"/>
                <w:szCs w:val="18"/>
                <w:lang w:val="en-US"/>
              </w:rPr>
            </w:pPr>
            <w:r w:rsidRPr="000D7009">
              <w:rPr>
                <w:color w:val="FFFFFF" w:themeColor="background1"/>
                <w:sz w:val="18"/>
                <w:szCs w:val="18"/>
                <w:lang w:val="en-US" w:eastAsia="en-IN"/>
              </w:rPr>
              <w:t>All patients irrespective of prior treatment status</w:t>
            </w:r>
          </w:p>
        </w:tc>
      </w:tr>
      <w:tr w:rsidR="001611A0" w:rsidRPr="000D7009" w14:paraId="355C3D39" w14:textId="77777777" w:rsidTr="0080520F">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5D54E334" w14:textId="77777777" w:rsidR="001611A0" w:rsidRPr="000D7009" w:rsidRDefault="001611A0" w:rsidP="0080520F">
            <w:pPr>
              <w:pStyle w:val="Heading1"/>
              <w:spacing w:line="480" w:lineRule="auto"/>
              <w:contextualSpacing/>
              <w:outlineLvl w:val="0"/>
              <w:rPr>
                <w:color w:val="000000"/>
                <w:sz w:val="18"/>
                <w:szCs w:val="18"/>
                <w:lang w:val="en-US"/>
              </w:rPr>
            </w:pPr>
            <w:r w:rsidRPr="000D7009">
              <w:rPr>
                <w:color w:val="000000"/>
                <w:sz w:val="18"/>
                <w:szCs w:val="18"/>
                <w:lang w:val="en-US"/>
              </w:rPr>
              <w:t>OnabotulinumtoxinA</w:t>
            </w:r>
          </w:p>
        </w:tc>
        <w:tc>
          <w:tcPr>
            <w:tcW w:w="1235" w:type="dxa"/>
          </w:tcPr>
          <w:p w14:paraId="1C9D33C9"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61.2-72.1 (N=12)</w:t>
            </w:r>
          </w:p>
        </w:tc>
        <w:tc>
          <w:tcPr>
            <w:tcW w:w="1236" w:type="dxa"/>
          </w:tcPr>
          <w:p w14:paraId="55D85D17"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39.5</w:t>
            </w:r>
            <w:r w:rsidRPr="000D7009">
              <w:rPr>
                <w:color w:val="000000"/>
                <w:sz w:val="18"/>
                <w:szCs w:val="18"/>
                <w:vertAlign w:val="superscript"/>
                <w:lang w:val="en-US"/>
              </w:rPr>
              <w:t>†</w:t>
            </w:r>
            <w:r w:rsidRPr="000D7009">
              <w:rPr>
                <w:color w:val="000000"/>
                <w:sz w:val="18"/>
                <w:szCs w:val="18"/>
                <w:lang w:val="en-US"/>
              </w:rPr>
              <w:t>-72.4 (N=6)</w:t>
            </w:r>
          </w:p>
        </w:tc>
        <w:tc>
          <w:tcPr>
            <w:tcW w:w="1235" w:type="dxa"/>
          </w:tcPr>
          <w:p w14:paraId="68782899"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9.7-15.8 (N=2); Statistically significant (N=3)</w:t>
            </w:r>
          </w:p>
        </w:tc>
        <w:tc>
          <w:tcPr>
            <w:tcW w:w="1236" w:type="dxa"/>
          </w:tcPr>
          <w:p w14:paraId="64BA6F57"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56.4-66.2 (N=6)</w:t>
            </w:r>
          </w:p>
        </w:tc>
        <w:tc>
          <w:tcPr>
            <w:tcW w:w="1236" w:type="dxa"/>
          </w:tcPr>
          <w:p w14:paraId="5F4E3CD0"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1.8-11.7 (N=2); Statistically significant (N=4)</w:t>
            </w:r>
          </w:p>
        </w:tc>
        <w:tc>
          <w:tcPr>
            <w:tcW w:w="1235" w:type="dxa"/>
          </w:tcPr>
          <w:p w14:paraId="577FDA18"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54.6-60.5 (N=6)</w:t>
            </w:r>
          </w:p>
        </w:tc>
        <w:tc>
          <w:tcPr>
            <w:tcW w:w="1236" w:type="dxa"/>
          </w:tcPr>
          <w:p w14:paraId="5EDE9F16"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5.0-11.8 (N=3); Statistically significant (N=2)</w:t>
            </w:r>
          </w:p>
        </w:tc>
        <w:tc>
          <w:tcPr>
            <w:tcW w:w="1236" w:type="dxa"/>
          </w:tcPr>
          <w:p w14:paraId="1D89FD10"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49.0-57.9 (N=2)</w:t>
            </w:r>
          </w:p>
        </w:tc>
        <w:tc>
          <w:tcPr>
            <w:tcW w:w="1235" w:type="dxa"/>
          </w:tcPr>
          <w:p w14:paraId="51BE2222"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Statistically significant (N=2)</w:t>
            </w:r>
          </w:p>
        </w:tc>
        <w:tc>
          <w:tcPr>
            <w:tcW w:w="1236" w:type="dxa"/>
          </w:tcPr>
          <w:p w14:paraId="06304B98"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57.2-62.8 (N=2)</w:t>
            </w:r>
          </w:p>
        </w:tc>
        <w:tc>
          <w:tcPr>
            <w:tcW w:w="1236" w:type="dxa"/>
          </w:tcPr>
          <w:p w14:paraId="05D0C68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Statistically significant (N=1)</w:t>
            </w:r>
          </w:p>
        </w:tc>
      </w:tr>
      <w:tr w:rsidR="001611A0" w:rsidRPr="000D7009" w14:paraId="2536D192" w14:textId="77777777" w:rsidTr="008052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2EA57EF0" w14:textId="77777777" w:rsidR="001611A0" w:rsidRPr="000D7009" w:rsidRDefault="001611A0" w:rsidP="0080520F">
            <w:pPr>
              <w:pStyle w:val="Heading1"/>
              <w:spacing w:line="480" w:lineRule="auto"/>
              <w:contextualSpacing/>
              <w:outlineLvl w:val="0"/>
              <w:rPr>
                <w:color w:val="000000"/>
                <w:sz w:val="18"/>
                <w:szCs w:val="18"/>
                <w:lang w:val="en-US"/>
              </w:rPr>
            </w:pPr>
            <w:r w:rsidRPr="000D7009">
              <w:rPr>
                <w:color w:val="000000"/>
                <w:sz w:val="18"/>
                <w:szCs w:val="18"/>
                <w:lang w:val="en-US"/>
              </w:rPr>
              <w:t>Erenumab</w:t>
            </w:r>
          </w:p>
        </w:tc>
        <w:tc>
          <w:tcPr>
            <w:tcW w:w="1235" w:type="dxa"/>
          </w:tcPr>
          <w:p w14:paraId="1E037EC1"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66.0-69.2 (N=2)</w:t>
            </w:r>
          </w:p>
        </w:tc>
        <w:tc>
          <w:tcPr>
            <w:tcW w:w="1236" w:type="dxa"/>
          </w:tcPr>
          <w:p w14:paraId="0722631F"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57.0-58.0 (N=2)</w:t>
            </w:r>
          </w:p>
        </w:tc>
        <w:tc>
          <w:tcPr>
            <w:tcW w:w="1235" w:type="dxa"/>
          </w:tcPr>
          <w:p w14:paraId="4D4147CB"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12.8 (N=1)</w:t>
            </w:r>
          </w:p>
        </w:tc>
        <w:tc>
          <w:tcPr>
            <w:tcW w:w="1236" w:type="dxa"/>
          </w:tcPr>
          <w:p w14:paraId="5C6C250A"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3BD5D8DC"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5" w:type="dxa"/>
          </w:tcPr>
          <w:p w14:paraId="15ED3CCD"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494245E3"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0E7FDEE6"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5" w:type="dxa"/>
          </w:tcPr>
          <w:p w14:paraId="5A96D154"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66E9710F"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24A33BB8"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r>
      <w:tr w:rsidR="001611A0" w:rsidRPr="000D7009" w14:paraId="1F1EE184" w14:textId="77777777" w:rsidTr="0080520F">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3128BB5" w14:textId="77777777" w:rsidR="001611A0" w:rsidRPr="000D7009" w:rsidRDefault="001611A0" w:rsidP="0080520F">
            <w:pPr>
              <w:pStyle w:val="Heading1"/>
              <w:spacing w:line="480" w:lineRule="auto"/>
              <w:contextualSpacing/>
              <w:outlineLvl w:val="0"/>
              <w:rPr>
                <w:color w:val="000000"/>
                <w:sz w:val="18"/>
                <w:szCs w:val="18"/>
                <w:lang w:val="en-US"/>
              </w:rPr>
            </w:pPr>
            <w:r w:rsidRPr="000D7009">
              <w:rPr>
                <w:color w:val="000000"/>
                <w:sz w:val="18"/>
                <w:szCs w:val="18"/>
                <w:lang w:val="en-US"/>
              </w:rPr>
              <w:t>Topiramate</w:t>
            </w:r>
          </w:p>
        </w:tc>
        <w:tc>
          <w:tcPr>
            <w:tcW w:w="1235" w:type="dxa"/>
          </w:tcPr>
          <w:p w14:paraId="3986650A"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62.0 (N=1)</w:t>
            </w:r>
          </w:p>
        </w:tc>
        <w:tc>
          <w:tcPr>
            <w:tcW w:w="1236" w:type="dxa"/>
          </w:tcPr>
          <w:p w14:paraId="73DEF2A4"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43.2</w:t>
            </w:r>
            <w:r w:rsidRPr="000D7009">
              <w:rPr>
                <w:color w:val="000000"/>
                <w:sz w:val="18"/>
                <w:szCs w:val="18"/>
                <w:vertAlign w:val="superscript"/>
                <w:lang w:val="en-US"/>
              </w:rPr>
              <w:t>†</w:t>
            </w:r>
            <w:r w:rsidRPr="000D7009">
              <w:rPr>
                <w:color w:val="000000"/>
                <w:sz w:val="18"/>
                <w:szCs w:val="18"/>
                <w:lang w:val="en-US"/>
              </w:rPr>
              <w:t xml:space="preserve"> (N=1)</w:t>
            </w:r>
          </w:p>
        </w:tc>
        <w:tc>
          <w:tcPr>
            <w:tcW w:w="1235" w:type="dxa"/>
          </w:tcPr>
          <w:p w14:paraId="4B0F7EC1"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2C7E91A6"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0EA6577D"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5" w:type="dxa"/>
          </w:tcPr>
          <w:p w14:paraId="1E770325"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56C066C6"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2E33ACF2"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5" w:type="dxa"/>
          </w:tcPr>
          <w:p w14:paraId="0F7E92CA"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05D1FED1"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tcPr>
          <w:p w14:paraId="64294A9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NA</w:t>
            </w:r>
          </w:p>
        </w:tc>
      </w:tr>
      <w:tr w:rsidR="001611A0" w:rsidRPr="000D7009" w14:paraId="6381BA61" w14:textId="77777777" w:rsidTr="008052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gridSpan w:val="12"/>
            <w:shd w:val="clear" w:color="auto" w:fill="808080" w:themeFill="background1" w:themeFillShade="80"/>
          </w:tcPr>
          <w:p w14:paraId="7EBE3EF2" w14:textId="77777777" w:rsidR="001611A0" w:rsidRPr="000D7009" w:rsidRDefault="001611A0" w:rsidP="0080520F">
            <w:pPr>
              <w:pStyle w:val="Heading1"/>
              <w:spacing w:line="480" w:lineRule="auto"/>
              <w:contextualSpacing/>
              <w:outlineLvl w:val="0"/>
              <w:rPr>
                <w:color w:val="000000"/>
                <w:sz w:val="18"/>
                <w:szCs w:val="18"/>
                <w:lang w:val="en-US"/>
              </w:rPr>
            </w:pPr>
            <w:r w:rsidRPr="000D7009">
              <w:rPr>
                <w:color w:val="FFFFFF" w:themeColor="background1"/>
                <w:sz w:val="18"/>
                <w:szCs w:val="18"/>
                <w:lang w:val="en-US" w:eastAsia="en-IN"/>
              </w:rPr>
              <w:t>Previously treated patients</w:t>
            </w:r>
          </w:p>
        </w:tc>
      </w:tr>
      <w:tr w:rsidR="001611A0" w:rsidRPr="000D7009" w14:paraId="0938373C" w14:textId="77777777" w:rsidTr="0080520F">
        <w:trPr>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02D80DCF" w14:textId="77777777" w:rsidR="001611A0" w:rsidRPr="000D7009" w:rsidRDefault="001611A0" w:rsidP="0080520F">
            <w:pPr>
              <w:pStyle w:val="Heading1"/>
              <w:spacing w:line="480" w:lineRule="auto"/>
              <w:contextualSpacing/>
              <w:outlineLvl w:val="0"/>
              <w:rPr>
                <w:color w:val="000000"/>
                <w:sz w:val="18"/>
                <w:szCs w:val="18"/>
                <w:lang w:val="en-US"/>
              </w:rPr>
            </w:pPr>
            <w:r w:rsidRPr="000D7009">
              <w:rPr>
                <w:color w:val="000000"/>
                <w:sz w:val="18"/>
                <w:szCs w:val="18"/>
                <w:lang w:val="en-US"/>
              </w:rPr>
              <w:t>OnabotulinumtoxinA</w:t>
            </w:r>
          </w:p>
        </w:tc>
        <w:tc>
          <w:tcPr>
            <w:tcW w:w="1235" w:type="dxa"/>
            <w:hideMark/>
          </w:tcPr>
          <w:p w14:paraId="3596674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65.1-72.1 (N=9)</w:t>
            </w:r>
          </w:p>
        </w:tc>
        <w:tc>
          <w:tcPr>
            <w:tcW w:w="1236" w:type="dxa"/>
            <w:hideMark/>
          </w:tcPr>
          <w:p w14:paraId="66043D7F"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53.4-72.4 (N=5)</w:t>
            </w:r>
          </w:p>
        </w:tc>
        <w:tc>
          <w:tcPr>
            <w:tcW w:w="1235" w:type="dxa"/>
            <w:hideMark/>
          </w:tcPr>
          <w:p w14:paraId="4BB81EE8"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9.7-15.8 (N=2); Statistically significant (N=2)</w:t>
            </w:r>
          </w:p>
        </w:tc>
        <w:tc>
          <w:tcPr>
            <w:tcW w:w="1236" w:type="dxa"/>
            <w:hideMark/>
          </w:tcPr>
          <w:p w14:paraId="71868817"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56.4-66.2 (N=6)</w:t>
            </w:r>
          </w:p>
        </w:tc>
        <w:tc>
          <w:tcPr>
            <w:tcW w:w="1236" w:type="dxa"/>
            <w:hideMark/>
          </w:tcPr>
          <w:p w14:paraId="511FC414"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1.8-11.7 (N=2); Statistically significant (N=4)</w:t>
            </w:r>
          </w:p>
        </w:tc>
        <w:tc>
          <w:tcPr>
            <w:tcW w:w="1235" w:type="dxa"/>
            <w:hideMark/>
          </w:tcPr>
          <w:p w14:paraId="4AB2187E"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54.6-60.5 (N=4)</w:t>
            </w:r>
          </w:p>
        </w:tc>
        <w:tc>
          <w:tcPr>
            <w:tcW w:w="1236" w:type="dxa"/>
            <w:hideMark/>
          </w:tcPr>
          <w:p w14:paraId="2D6282D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5.4-11.8 (N=2); Statistically significant (N=2)</w:t>
            </w:r>
          </w:p>
        </w:tc>
        <w:tc>
          <w:tcPr>
            <w:tcW w:w="1236" w:type="dxa"/>
            <w:hideMark/>
          </w:tcPr>
          <w:p w14:paraId="3741A574"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49.0-57.9 (N=2)</w:t>
            </w:r>
          </w:p>
        </w:tc>
        <w:tc>
          <w:tcPr>
            <w:tcW w:w="1235" w:type="dxa"/>
            <w:hideMark/>
          </w:tcPr>
          <w:p w14:paraId="6C7533F2"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Statistically significant (N=2)</w:t>
            </w:r>
          </w:p>
        </w:tc>
        <w:tc>
          <w:tcPr>
            <w:tcW w:w="1236" w:type="dxa"/>
            <w:hideMark/>
          </w:tcPr>
          <w:p w14:paraId="6756BED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57.2 (N=1)</w:t>
            </w:r>
          </w:p>
        </w:tc>
        <w:tc>
          <w:tcPr>
            <w:tcW w:w="1236" w:type="dxa"/>
            <w:hideMark/>
          </w:tcPr>
          <w:p w14:paraId="05E3A4DC"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color w:val="000000"/>
                <w:sz w:val="18"/>
                <w:szCs w:val="18"/>
                <w:lang w:val="en-US"/>
              </w:rPr>
            </w:pPr>
            <w:r w:rsidRPr="000D7009">
              <w:rPr>
                <w:color w:val="000000"/>
                <w:sz w:val="18"/>
                <w:szCs w:val="18"/>
                <w:lang w:val="en-US"/>
              </w:rPr>
              <w:t>Statistically significant (N=1)</w:t>
            </w:r>
          </w:p>
        </w:tc>
      </w:tr>
      <w:tr w:rsidR="001611A0" w:rsidRPr="000D7009" w14:paraId="079F02F0" w14:textId="77777777" w:rsidTr="0080520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14:paraId="4CABABD3" w14:textId="77777777" w:rsidR="001611A0" w:rsidRPr="000D7009" w:rsidRDefault="001611A0" w:rsidP="0080520F">
            <w:pPr>
              <w:pStyle w:val="Heading1"/>
              <w:spacing w:line="480" w:lineRule="auto"/>
              <w:contextualSpacing/>
              <w:outlineLvl w:val="0"/>
              <w:rPr>
                <w:color w:val="000000"/>
                <w:sz w:val="18"/>
                <w:szCs w:val="18"/>
                <w:lang w:val="en-US"/>
              </w:rPr>
            </w:pPr>
            <w:r w:rsidRPr="000D7009">
              <w:rPr>
                <w:color w:val="000000"/>
                <w:sz w:val="18"/>
                <w:szCs w:val="18"/>
                <w:lang w:val="en-US"/>
              </w:rPr>
              <w:lastRenderedPageBreak/>
              <w:t>Erenumab</w:t>
            </w:r>
          </w:p>
        </w:tc>
        <w:tc>
          <w:tcPr>
            <w:tcW w:w="1235" w:type="dxa"/>
            <w:hideMark/>
          </w:tcPr>
          <w:p w14:paraId="70EB8BE0"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66.0-69.2 (N=2)</w:t>
            </w:r>
          </w:p>
        </w:tc>
        <w:tc>
          <w:tcPr>
            <w:tcW w:w="1236" w:type="dxa"/>
            <w:hideMark/>
          </w:tcPr>
          <w:p w14:paraId="1762027E"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57.0-58.0 (N=2)</w:t>
            </w:r>
          </w:p>
        </w:tc>
        <w:tc>
          <w:tcPr>
            <w:tcW w:w="1235" w:type="dxa"/>
            <w:hideMark/>
          </w:tcPr>
          <w:p w14:paraId="260667D4"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12.8 (N=1)</w:t>
            </w:r>
          </w:p>
        </w:tc>
        <w:tc>
          <w:tcPr>
            <w:tcW w:w="1236" w:type="dxa"/>
            <w:hideMark/>
          </w:tcPr>
          <w:p w14:paraId="5EC9F180"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hideMark/>
          </w:tcPr>
          <w:p w14:paraId="0442B244"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5" w:type="dxa"/>
            <w:hideMark/>
          </w:tcPr>
          <w:p w14:paraId="0DBD8A5C"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hideMark/>
          </w:tcPr>
          <w:p w14:paraId="3B71B2FB"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hideMark/>
          </w:tcPr>
          <w:p w14:paraId="13EC0C92"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5" w:type="dxa"/>
            <w:hideMark/>
          </w:tcPr>
          <w:p w14:paraId="61AAF828"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hideMark/>
          </w:tcPr>
          <w:p w14:paraId="76FEFC6E"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c>
          <w:tcPr>
            <w:tcW w:w="1236" w:type="dxa"/>
            <w:hideMark/>
          </w:tcPr>
          <w:p w14:paraId="2F27095D" w14:textId="77777777" w:rsidR="001611A0" w:rsidRPr="000D7009" w:rsidRDefault="001611A0" w:rsidP="0080520F">
            <w:pPr>
              <w:pStyle w:val="Heading1"/>
              <w:spacing w:line="480" w:lineRule="auto"/>
              <w:contextualSpacing/>
              <w:outlineLvl w:val="0"/>
              <w:cnfStyle w:val="000000100000" w:firstRow="0" w:lastRow="0" w:firstColumn="0" w:lastColumn="0" w:oddVBand="0" w:evenVBand="0" w:oddHBand="1" w:evenHBand="0" w:firstRowFirstColumn="0" w:firstRowLastColumn="0" w:lastRowFirstColumn="0" w:lastRowLastColumn="0"/>
              <w:rPr>
                <w:color w:val="000000"/>
                <w:sz w:val="18"/>
                <w:szCs w:val="18"/>
                <w:lang w:val="en-US"/>
              </w:rPr>
            </w:pPr>
            <w:r w:rsidRPr="000D7009">
              <w:rPr>
                <w:color w:val="000000"/>
                <w:sz w:val="18"/>
                <w:szCs w:val="18"/>
                <w:lang w:val="en-US"/>
              </w:rPr>
              <w:t>NA</w:t>
            </w:r>
          </w:p>
        </w:tc>
      </w:tr>
    </w:tbl>
    <w:p w14:paraId="7A4075F8" w14:textId="5E79C863" w:rsidR="001611A0" w:rsidRPr="003018D6" w:rsidRDefault="001611A0" w:rsidP="001611A0">
      <w:pPr>
        <w:pStyle w:val="Heading1"/>
        <w:spacing w:line="480" w:lineRule="auto"/>
        <w:contextualSpacing/>
        <w:rPr>
          <w:b w:val="0"/>
          <w:bCs w:val="0"/>
        </w:rPr>
      </w:pPr>
      <w:bookmarkStart w:id="2" w:name="_Hlk45791190"/>
      <w:r w:rsidRPr="003018D6">
        <w:rPr>
          <w:b w:val="0"/>
          <w:bCs w:val="0"/>
          <w:lang w:val="en-US"/>
        </w:rPr>
        <w:t xml:space="preserve">HIT: </w:t>
      </w:r>
      <w:r w:rsidR="00967B94">
        <w:rPr>
          <w:b w:val="0"/>
          <w:bCs w:val="0"/>
          <w:lang w:val="en-US"/>
        </w:rPr>
        <w:t>H</w:t>
      </w:r>
      <w:r w:rsidRPr="003018D6">
        <w:rPr>
          <w:b w:val="0"/>
          <w:bCs w:val="0"/>
          <w:lang w:val="en-US"/>
        </w:rPr>
        <w:t xml:space="preserve">eadache </w:t>
      </w:r>
      <w:r w:rsidR="00967B94">
        <w:rPr>
          <w:b w:val="0"/>
          <w:bCs w:val="0"/>
          <w:lang w:val="en-US"/>
        </w:rPr>
        <w:t>I</w:t>
      </w:r>
      <w:r w:rsidRPr="003018D6">
        <w:rPr>
          <w:b w:val="0"/>
          <w:bCs w:val="0"/>
          <w:lang w:val="en-US"/>
        </w:rPr>
        <w:t xml:space="preserve">mpact </w:t>
      </w:r>
      <w:r w:rsidR="00967B94">
        <w:rPr>
          <w:b w:val="0"/>
          <w:bCs w:val="0"/>
          <w:lang w:val="en-US"/>
        </w:rPr>
        <w:t>T</w:t>
      </w:r>
      <w:r w:rsidRPr="003018D6">
        <w:rPr>
          <w:b w:val="0"/>
          <w:bCs w:val="0"/>
          <w:lang w:val="en-US"/>
        </w:rPr>
        <w:t>est; NA: not available.</w:t>
      </w:r>
    </w:p>
    <w:bookmarkEnd w:id="2"/>
    <w:p w14:paraId="15FAA18F" w14:textId="77777777" w:rsidR="001611A0" w:rsidRPr="003018D6" w:rsidRDefault="001611A0" w:rsidP="001611A0">
      <w:pPr>
        <w:pStyle w:val="Heading1"/>
        <w:spacing w:line="480" w:lineRule="auto"/>
        <w:contextualSpacing/>
        <w:rPr>
          <w:b w:val="0"/>
          <w:bCs w:val="0"/>
        </w:rPr>
      </w:pPr>
      <w:r w:rsidRPr="003018D6">
        <w:rPr>
          <w:b w:val="0"/>
          <w:bCs w:val="0"/>
          <w:color w:val="000000"/>
          <w:vertAlign w:val="superscript"/>
          <w:lang w:val="en-US"/>
        </w:rPr>
        <w:t>†</w:t>
      </w:r>
      <w:r w:rsidRPr="003018D6">
        <w:rPr>
          <w:b w:val="0"/>
          <w:bCs w:val="0"/>
          <w:color w:val="000000"/>
          <w:lang w:val="en-US"/>
        </w:rPr>
        <w:t>Value estimated using Digitizer.</w:t>
      </w:r>
    </w:p>
    <w:p w14:paraId="4B14A52B" w14:textId="77777777" w:rsidR="001611A0" w:rsidRPr="003018D6" w:rsidRDefault="001611A0" w:rsidP="001611A0">
      <w:pPr>
        <w:pStyle w:val="Heading1"/>
        <w:spacing w:line="480" w:lineRule="auto"/>
        <w:contextualSpacing/>
        <w:rPr>
          <w:b w:val="0"/>
          <w:bCs w:val="0"/>
        </w:rPr>
      </w:pPr>
      <w:r w:rsidRPr="003018D6">
        <w:rPr>
          <w:b w:val="0"/>
          <w:bCs w:val="0"/>
          <w:lang w:val="en-US"/>
        </w:rPr>
        <w:t>HIT-6 scale: A screening and monitoring tool that is used to provide a global measure of headache impact in six domains (pain, social functioning, role functioning, vitality, cognitive functioning, and psychological distress). The score ranges from 36 to 78 with higher score indicates worsening.</w:t>
      </w:r>
    </w:p>
    <w:p w14:paraId="721141A1" w14:textId="77777777" w:rsidR="001611A0" w:rsidRDefault="001611A0" w:rsidP="001611A0">
      <w:pPr>
        <w:spacing w:after="160" w:line="259" w:lineRule="auto"/>
        <w:rPr>
          <w:rFonts w:eastAsiaTheme="majorEastAsia" w:cstheme="minorHAnsi"/>
          <w:b/>
          <w:bCs/>
          <w:lang w:val="en-US"/>
        </w:rPr>
      </w:pPr>
      <w:r>
        <w:rPr>
          <w:lang w:val="en-US"/>
        </w:rPr>
        <w:br w:type="page"/>
      </w:r>
    </w:p>
    <w:p w14:paraId="1B0FA39E" w14:textId="77777777" w:rsidR="001611A0" w:rsidRPr="000D7009" w:rsidRDefault="001611A0" w:rsidP="001611A0">
      <w:pPr>
        <w:pStyle w:val="Heading1"/>
        <w:spacing w:line="480" w:lineRule="auto"/>
        <w:contextualSpacing/>
      </w:pPr>
      <w:r w:rsidRPr="000D7009">
        <w:rPr>
          <w:lang w:val="en-US"/>
        </w:rPr>
        <w:lastRenderedPageBreak/>
        <w:t>Table S10(ii) Proportion of patients with severe (≥60) HIT-6 score and with improvement in HIT-6 score at different time points in chronic migraine patients</w:t>
      </w:r>
    </w:p>
    <w:tbl>
      <w:tblPr>
        <w:tblStyle w:val="GridTable4-Accent11101"/>
        <w:tblW w:w="5000" w:type="pct"/>
        <w:tblLook w:val="06A0" w:firstRow="1" w:lastRow="0" w:firstColumn="1" w:lastColumn="0" w:noHBand="1" w:noVBand="1"/>
      </w:tblPr>
      <w:tblGrid>
        <w:gridCol w:w="1751"/>
        <w:gridCol w:w="863"/>
        <w:gridCol w:w="997"/>
        <w:gridCol w:w="1052"/>
        <w:gridCol w:w="1725"/>
        <w:gridCol w:w="1025"/>
        <w:gridCol w:w="1326"/>
        <w:gridCol w:w="1373"/>
        <w:gridCol w:w="1309"/>
        <w:gridCol w:w="1306"/>
        <w:gridCol w:w="1231"/>
      </w:tblGrid>
      <w:tr w:rsidR="001611A0" w:rsidRPr="000D7009" w14:paraId="495473C3" w14:textId="77777777" w:rsidTr="0080520F">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27" w:type="pct"/>
            <w:vMerge w:val="restart"/>
            <w:tcBorders>
              <w:top w:val="nil"/>
              <w:left w:val="nil"/>
              <w:bottom w:val="single" w:sz="4" w:space="0" w:color="FFFFFF" w:themeColor="background1"/>
              <w:right w:val="single" w:sz="4" w:space="0" w:color="FFFFFF" w:themeColor="background1"/>
            </w:tcBorders>
            <w:shd w:val="clear" w:color="auto" w:fill="5B9BD5" w:themeFill="accent1"/>
          </w:tcPr>
          <w:p w14:paraId="4204AE0E" w14:textId="77777777" w:rsidR="001611A0" w:rsidRPr="000D7009" w:rsidRDefault="001611A0" w:rsidP="0080520F">
            <w:pPr>
              <w:pStyle w:val="Heading1"/>
              <w:spacing w:line="480" w:lineRule="auto"/>
              <w:contextualSpacing/>
              <w:outlineLvl w:val="0"/>
              <w:rPr>
                <w:rFonts w:ascii="Calibri" w:hAnsi="Calibri" w:cs="Calibri"/>
                <w:sz w:val="18"/>
                <w:szCs w:val="18"/>
                <w:lang w:val="en-US"/>
              </w:rPr>
            </w:pPr>
            <w:r w:rsidRPr="000D7009">
              <w:rPr>
                <w:rFonts w:ascii="Calibri" w:hAnsi="Calibri" w:cs="Calibri"/>
                <w:color w:val="FFFFFF" w:themeColor="background1"/>
                <w:sz w:val="18"/>
                <w:szCs w:val="18"/>
                <w:lang w:val="en-US"/>
              </w:rPr>
              <w:t>Study name</w:t>
            </w:r>
          </w:p>
        </w:tc>
        <w:tc>
          <w:tcPr>
            <w:tcW w:w="309" w:type="pct"/>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489617C4"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lang w:val="en-US"/>
              </w:rPr>
            </w:pPr>
            <w:r w:rsidRPr="000D7009">
              <w:rPr>
                <w:rFonts w:ascii="Calibri" w:hAnsi="Calibri" w:cs="Calibri"/>
                <w:color w:val="FFFFFF" w:themeColor="background1"/>
                <w:sz w:val="18"/>
                <w:szCs w:val="18"/>
                <w:lang w:val="en-US"/>
              </w:rPr>
              <w:t>Study design</w:t>
            </w:r>
          </w:p>
        </w:tc>
        <w:tc>
          <w:tcPr>
            <w:tcW w:w="357" w:type="pct"/>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411A9B63"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lang w:val="en-US"/>
              </w:rPr>
            </w:pPr>
            <w:r w:rsidRPr="000D7009">
              <w:rPr>
                <w:rFonts w:ascii="Calibri" w:hAnsi="Calibri" w:cs="Calibri"/>
                <w:color w:val="FFFFFF" w:themeColor="background1"/>
                <w:sz w:val="18"/>
                <w:szCs w:val="18"/>
                <w:lang w:val="en-US"/>
              </w:rPr>
              <w:t>Patient type</w:t>
            </w:r>
          </w:p>
        </w:tc>
        <w:tc>
          <w:tcPr>
            <w:tcW w:w="377" w:type="pct"/>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34C7EEFF"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lang w:val="en-US"/>
              </w:rPr>
            </w:pPr>
            <w:r w:rsidRPr="000D7009">
              <w:rPr>
                <w:rFonts w:ascii="Calibri" w:hAnsi="Calibri" w:cs="Calibri"/>
                <w:color w:val="FFFFFF" w:themeColor="background1"/>
                <w:sz w:val="18"/>
                <w:szCs w:val="18"/>
                <w:lang w:val="en-US"/>
              </w:rPr>
              <w:t>Failed preventive treatment</w:t>
            </w:r>
          </w:p>
        </w:tc>
        <w:tc>
          <w:tcPr>
            <w:tcW w:w="618" w:type="pct"/>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752871CB"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lang w:val="en-US"/>
              </w:rPr>
            </w:pPr>
            <w:r w:rsidRPr="000D7009">
              <w:rPr>
                <w:rFonts w:ascii="Calibri" w:hAnsi="Calibri" w:cs="Calibri"/>
                <w:color w:val="FFFFFF" w:themeColor="background1"/>
                <w:sz w:val="18"/>
                <w:szCs w:val="18"/>
                <w:lang w:val="en-US"/>
              </w:rPr>
              <w:t>Intervention</w:t>
            </w:r>
          </w:p>
        </w:tc>
        <w:tc>
          <w:tcPr>
            <w:tcW w:w="367" w:type="pct"/>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5B9BD5" w:themeFill="accent1"/>
          </w:tcPr>
          <w:p w14:paraId="2BA26BB0"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lang w:val="en-US"/>
              </w:rPr>
            </w:pPr>
            <w:r w:rsidRPr="000D7009">
              <w:rPr>
                <w:rFonts w:ascii="Calibri" w:hAnsi="Calibri" w:cs="Calibri"/>
                <w:color w:val="FFFFFF" w:themeColor="background1"/>
                <w:sz w:val="18"/>
                <w:szCs w:val="18"/>
                <w:lang w:val="en-US"/>
              </w:rPr>
              <w:t>N</w:t>
            </w:r>
          </w:p>
        </w:tc>
        <w:tc>
          <w:tcPr>
            <w:tcW w:w="2345" w:type="pct"/>
            <w:gridSpan w:val="5"/>
            <w:tcBorders>
              <w:top w:val="nil"/>
              <w:left w:val="single" w:sz="4" w:space="0" w:color="FFFFFF" w:themeColor="background1"/>
              <w:bottom w:val="single" w:sz="4" w:space="0" w:color="FFFFFF" w:themeColor="background1"/>
              <w:right w:val="nil"/>
            </w:tcBorders>
            <w:shd w:val="clear" w:color="auto" w:fill="5B9BD5" w:themeFill="accent1"/>
          </w:tcPr>
          <w:p w14:paraId="110A0AFE" w14:textId="77777777" w:rsidR="001611A0" w:rsidRPr="000D7009" w:rsidRDefault="001611A0" w:rsidP="0080520F">
            <w:pPr>
              <w:pStyle w:val="Heading1"/>
              <w:spacing w:line="480" w:lineRule="auto"/>
              <w:contextualSpacing/>
              <w:outlineLvl w:val="0"/>
              <w:cnfStyle w:val="100000000000" w:firstRow="1"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lang w:val="en-US"/>
              </w:rPr>
            </w:pPr>
            <w:r w:rsidRPr="000D7009">
              <w:rPr>
                <w:rFonts w:ascii="Calibri" w:hAnsi="Calibri" w:cs="Calibri"/>
                <w:color w:val="FFFFFF" w:themeColor="background1"/>
                <w:sz w:val="18"/>
                <w:szCs w:val="18"/>
                <w:lang w:val="en-US"/>
              </w:rPr>
              <w:t>Headache impact test-6 (HIT-6) score, n (%)</w:t>
            </w:r>
          </w:p>
        </w:tc>
      </w:tr>
      <w:tr w:rsidR="001611A0" w:rsidRPr="000D7009" w14:paraId="7F2F603E"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vMerge/>
            <w:tcBorders>
              <w:top w:val="single" w:sz="4" w:space="0" w:color="FFFFFF" w:themeColor="background1"/>
              <w:left w:val="nil"/>
              <w:bottom w:val="nil"/>
              <w:right w:val="single" w:sz="4" w:space="0" w:color="FFFFFF" w:themeColor="background1"/>
            </w:tcBorders>
            <w:shd w:val="clear" w:color="auto" w:fill="5B9BD5" w:themeFill="accent1"/>
          </w:tcPr>
          <w:p w14:paraId="47E9D03D" w14:textId="77777777" w:rsidR="001611A0" w:rsidRPr="000D7009" w:rsidRDefault="001611A0" w:rsidP="0080520F">
            <w:pPr>
              <w:pStyle w:val="Heading1"/>
              <w:spacing w:line="480" w:lineRule="auto"/>
              <w:contextualSpacing/>
              <w:outlineLvl w:val="0"/>
              <w:rPr>
                <w:rFonts w:ascii="Calibri" w:hAnsi="Calibri" w:cs="Calibri"/>
                <w:color w:val="000000"/>
                <w:sz w:val="18"/>
                <w:szCs w:val="18"/>
                <w:lang w:val="en-US"/>
              </w:rPr>
            </w:pPr>
          </w:p>
        </w:tc>
        <w:tc>
          <w:tcPr>
            <w:tcW w:w="309" w:type="pct"/>
            <w:vMerge/>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6FE68A2D"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357" w:type="pct"/>
            <w:vMerge/>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7A4FCE44"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377" w:type="pct"/>
            <w:vMerge/>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62A8F286"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618" w:type="pct"/>
            <w:vMerge/>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066CE735"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367" w:type="pct"/>
            <w:vMerge/>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1AEE9EA5"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475" w:type="pct"/>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4F48D0DE"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b w:val="0"/>
                <w:bCs w:val="0"/>
                <w:color w:val="FFFFFF" w:themeColor="background1"/>
                <w:sz w:val="18"/>
                <w:szCs w:val="18"/>
                <w:lang w:val="en-US"/>
              </w:rPr>
              <w:t>Baseline</w:t>
            </w:r>
          </w:p>
        </w:tc>
        <w:tc>
          <w:tcPr>
            <w:tcW w:w="492" w:type="pct"/>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3781C5F1"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b w:val="0"/>
                <w:bCs w:val="0"/>
                <w:color w:val="FFFFFF" w:themeColor="background1"/>
                <w:sz w:val="18"/>
                <w:szCs w:val="18"/>
                <w:lang w:val="en-US"/>
              </w:rPr>
              <w:t>3 months</w:t>
            </w:r>
          </w:p>
        </w:tc>
        <w:tc>
          <w:tcPr>
            <w:tcW w:w="469" w:type="pct"/>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08937A9B"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b w:val="0"/>
                <w:bCs w:val="0"/>
                <w:color w:val="FFFFFF" w:themeColor="background1"/>
                <w:sz w:val="18"/>
                <w:szCs w:val="18"/>
                <w:lang w:val="en-US"/>
              </w:rPr>
              <w:t>6 months</w:t>
            </w:r>
          </w:p>
        </w:tc>
        <w:tc>
          <w:tcPr>
            <w:tcW w:w="468" w:type="pct"/>
            <w:tcBorders>
              <w:top w:val="single" w:sz="4" w:space="0" w:color="FFFFFF" w:themeColor="background1"/>
              <w:left w:val="single" w:sz="4" w:space="0" w:color="FFFFFF" w:themeColor="background1"/>
              <w:bottom w:val="nil"/>
              <w:right w:val="single" w:sz="4" w:space="0" w:color="FFFFFF" w:themeColor="background1"/>
            </w:tcBorders>
            <w:shd w:val="clear" w:color="auto" w:fill="5B9BD5" w:themeFill="accent1"/>
          </w:tcPr>
          <w:p w14:paraId="1CD34DCC"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lang w:val="en-US"/>
              </w:rPr>
            </w:pPr>
            <w:r w:rsidRPr="000D7009">
              <w:rPr>
                <w:rFonts w:ascii="Calibri" w:hAnsi="Calibri" w:cs="Calibri"/>
                <w:b w:val="0"/>
                <w:bCs w:val="0"/>
                <w:color w:val="FFFFFF" w:themeColor="background1"/>
                <w:sz w:val="18"/>
                <w:szCs w:val="18"/>
                <w:lang w:val="en-US"/>
              </w:rPr>
              <w:t>1 year</w:t>
            </w:r>
          </w:p>
        </w:tc>
        <w:tc>
          <w:tcPr>
            <w:tcW w:w="441" w:type="pct"/>
            <w:tcBorders>
              <w:top w:val="single" w:sz="4" w:space="0" w:color="FFFFFF" w:themeColor="background1"/>
              <w:left w:val="single" w:sz="4" w:space="0" w:color="FFFFFF" w:themeColor="background1"/>
              <w:bottom w:val="nil"/>
              <w:right w:val="nil"/>
            </w:tcBorders>
            <w:shd w:val="clear" w:color="auto" w:fill="5B9BD5" w:themeFill="accent1"/>
          </w:tcPr>
          <w:p w14:paraId="715C5B81"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FFFFFF" w:themeColor="background1"/>
                <w:sz w:val="18"/>
                <w:szCs w:val="18"/>
                <w:lang w:val="en-US"/>
              </w:rPr>
            </w:pPr>
            <w:r w:rsidRPr="000D7009">
              <w:rPr>
                <w:rFonts w:ascii="Calibri" w:hAnsi="Calibri" w:cs="Calibri"/>
                <w:b w:val="0"/>
                <w:bCs w:val="0"/>
                <w:color w:val="FFFFFF" w:themeColor="background1"/>
                <w:sz w:val="18"/>
                <w:szCs w:val="18"/>
                <w:lang w:val="en-US"/>
              </w:rPr>
              <w:t>2 years</w:t>
            </w:r>
          </w:p>
        </w:tc>
      </w:tr>
      <w:tr w:rsidR="001611A0" w:rsidRPr="000D7009" w14:paraId="349292E0"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808080" w:themeFill="background1" w:themeFillShade="80"/>
          </w:tcPr>
          <w:p w14:paraId="578C1871" w14:textId="77777777" w:rsidR="001611A0" w:rsidRPr="000D7009" w:rsidRDefault="001611A0" w:rsidP="0080520F">
            <w:pPr>
              <w:pStyle w:val="Heading1"/>
              <w:spacing w:line="480" w:lineRule="auto"/>
              <w:contextualSpacing/>
              <w:outlineLvl w:val="0"/>
              <w:rPr>
                <w:rFonts w:ascii="Calibri" w:hAnsi="Calibri" w:cs="Calibri"/>
                <w:color w:val="000000"/>
                <w:sz w:val="18"/>
                <w:szCs w:val="18"/>
                <w:lang w:val="en-US"/>
              </w:rPr>
            </w:pPr>
            <w:r w:rsidRPr="000D7009">
              <w:rPr>
                <w:rFonts w:ascii="Calibri" w:hAnsi="Calibri" w:cs="Calibri"/>
                <w:color w:val="FFFFFF" w:themeColor="background1"/>
                <w:sz w:val="18"/>
                <w:szCs w:val="18"/>
                <w:lang w:val="en-US"/>
              </w:rPr>
              <w:t>Chronic migraine (Proportion of patients with severe [≥60] HIT score)</w:t>
            </w:r>
          </w:p>
        </w:tc>
      </w:tr>
      <w:tr w:rsidR="001611A0" w:rsidRPr="003018D6" w14:paraId="7E11CA03"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vMerge w:val="restart"/>
            <w:shd w:val="clear" w:color="auto" w:fill="DEEAF6" w:themeFill="accent1" w:themeFillTint="33"/>
            <w:hideMark/>
          </w:tcPr>
          <w:p w14:paraId="76195D75" w14:textId="77777777" w:rsidR="001611A0" w:rsidRPr="003018D6" w:rsidRDefault="001611A0" w:rsidP="0080520F">
            <w:pPr>
              <w:pStyle w:val="Heading1"/>
              <w:spacing w:line="480" w:lineRule="auto"/>
              <w:contextualSpacing/>
              <w:outlineLvl w:val="0"/>
              <w:rPr>
                <w:rFonts w:ascii="Calibri" w:hAnsi="Calibri" w:cs="Calibri"/>
                <w:color w:val="000000"/>
                <w:sz w:val="18"/>
                <w:szCs w:val="18"/>
                <w:lang w:val="en-US"/>
              </w:rPr>
            </w:pPr>
            <w:r w:rsidRPr="003018D6">
              <w:rPr>
                <w:rFonts w:ascii="Calibri" w:hAnsi="Calibri" w:cs="Calibri"/>
                <w:b/>
                <w:bCs/>
                <w:color w:val="000000"/>
                <w:sz w:val="18"/>
                <w:szCs w:val="18"/>
                <w:lang w:val="en-US"/>
              </w:rPr>
              <w:t>Negro 2016 (Italy)</w:t>
            </w:r>
          </w:p>
        </w:tc>
        <w:tc>
          <w:tcPr>
            <w:tcW w:w="309" w:type="pct"/>
            <w:vMerge w:val="restart"/>
            <w:shd w:val="clear" w:color="auto" w:fill="DEEAF6" w:themeFill="accent1" w:themeFillTint="33"/>
            <w:hideMark/>
          </w:tcPr>
          <w:p w14:paraId="462359A6"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PCS</w:t>
            </w:r>
          </w:p>
        </w:tc>
        <w:tc>
          <w:tcPr>
            <w:tcW w:w="357" w:type="pct"/>
            <w:vMerge w:val="restart"/>
            <w:shd w:val="clear" w:color="auto" w:fill="DEEAF6" w:themeFill="accent1" w:themeFillTint="33"/>
            <w:hideMark/>
          </w:tcPr>
          <w:p w14:paraId="553310CB"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Previously treated</w:t>
            </w:r>
          </w:p>
        </w:tc>
        <w:tc>
          <w:tcPr>
            <w:tcW w:w="377" w:type="pct"/>
            <w:vMerge w:val="restart"/>
            <w:shd w:val="clear" w:color="auto" w:fill="DEEAF6" w:themeFill="accent1" w:themeFillTint="33"/>
          </w:tcPr>
          <w:p w14:paraId="23180D45"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≥1</w:t>
            </w:r>
          </w:p>
        </w:tc>
        <w:tc>
          <w:tcPr>
            <w:tcW w:w="618" w:type="pct"/>
            <w:shd w:val="clear" w:color="auto" w:fill="DEEAF6" w:themeFill="accent1" w:themeFillTint="33"/>
            <w:hideMark/>
          </w:tcPr>
          <w:p w14:paraId="6CC1DB84"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OnabotA 155 U</w:t>
            </w:r>
          </w:p>
        </w:tc>
        <w:tc>
          <w:tcPr>
            <w:tcW w:w="367" w:type="pct"/>
            <w:shd w:val="clear" w:color="auto" w:fill="DEEAF6" w:themeFill="accent1" w:themeFillTint="33"/>
            <w:hideMark/>
          </w:tcPr>
          <w:p w14:paraId="640F53C8"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132</w:t>
            </w:r>
          </w:p>
        </w:tc>
        <w:tc>
          <w:tcPr>
            <w:tcW w:w="475" w:type="pct"/>
            <w:shd w:val="clear" w:color="auto" w:fill="DEEAF6" w:themeFill="accent1" w:themeFillTint="33"/>
            <w:hideMark/>
          </w:tcPr>
          <w:p w14:paraId="3B0E112C"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124 (93.9)</w:t>
            </w:r>
          </w:p>
        </w:tc>
        <w:tc>
          <w:tcPr>
            <w:tcW w:w="492" w:type="pct"/>
            <w:shd w:val="clear" w:color="auto" w:fill="DEEAF6" w:themeFill="accent1" w:themeFillTint="33"/>
            <w:hideMark/>
          </w:tcPr>
          <w:p w14:paraId="25B5A5F2"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3018D6">
              <w:rPr>
                <w:rFonts w:ascii="Calibri" w:hAnsi="Calibri" w:cs="Calibri"/>
                <w:sz w:val="18"/>
                <w:szCs w:val="18"/>
                <w:lang w:val="en-US"/>
              </w:rPr>
              <w:t>-</w:t>
            </w:r>
          </w:p>
        </w:tc>
        <w:tc>
          <w:tcPr>
            <w:tcW w:w="469" w:type="pct"/>
            <w:shd w:val="clear" w:color="auto" w:fill="DEEAF6" w:themeFill="accent1" w:themeFillTint="33"/>
            <w:hideMark/>
          </w:tcPr>
          <w:p w14:paraId="44ABEA0A"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102 (77.3)</w:t>
            </w:r>
          </w:p>
        </w:tc>
        <w:tc>
          <w:tcPr>
            <w:tcW w:w="468" w:type="pct"/>
            <w:shd w:val="clear" w:color="auto" w:fill="DEEAF6" w:themeFill="accent1" w:themeFillTint="33"/>
            <w:hideMark/>
          </w:tcPr>
          <w:p w14:paraId="123E5328"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59 (44.7)</w:t>
            </w:r>
          </w:p>
        </w:tc>
        <w:tc>
          <w:tcPr>
            <w:tcW w:w="441" w:type="pct"/>
            <w:shd w:val="clear" w:color="auto" w:fill="DEEAF6" w:themeFill="accent1" w:themeFillTint="33"/>
            <w:hideMark/>
          </w:tcPr>
          <w:p w14:paraId="7C08F0FB"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29 (22)</w:t>
            </w:r>
          </w:p>
        </w:tc>
      </w:tr>
      <w:tr w:rsidR="001611A0" w:rsidRPr="003018D6" w14:paraId="736C4DBF"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vMerge/>
            <w:shd w:val="clear" w:color="auto" w:fill="DEEAF6" w:themeFill="accent1" w:themeFillTint="33"/>
            <w:hideMark/>
          </w:tcPr>
          <w:p w14:paraId="0B7FC69C" w14:textId="77777777" w:rsidR="001611A0" w:rsidRPr="003018D6" w:rsidRDefault="001611A0" w:rsidP="0080520F">
            <w:pPr>
              <w:pStyle w:val="Heading1"/>
              <w:spacing w:line="480" w:lineRule="auto"/>
              <w:contextualSpacing/>
              <w:outlineLvl w:val="0"/>
              <w:rPr>
                <w:rFonts w:ascii="Calibri" w:hAnsi="Calibri" w:cs="Calibri"/>
                <w:color w:val="000000"/>
                <w:sz w:val="18"/>
                <w:szCs w:val="18"/>
                <w:lang w:val="en-US"/>
              </w:rPr>
            </w:pPr>
          </w:p>
        </w:tc>
        <w:tc>
          <w:tcPr>
            <w:tcW w:w="309" w:type="pct"/>
            <w:vMerge/>
            <w:shd w:val="clear" w:color="auto" w:fill="DEEAF6" w:themeFill="accent1" w:themeFillTint="33"/>
            <w:hideMark/>
          </w:tcPr>
          <w:p w14:paraId="3FF30957"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357" w:type="pct"/>
            <w:vMerge/>
            <w:shd w:val="clear" w:color="auto" w:fill="DEEAF6" w:themeFill="accent1" w:themeFillTint="33"/>
            <w:hideMark/>
          </w:tcPr>
          <w:p w14:paraId="69BA310F"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377" w:type="pct"/>
            <w:vMerge/>
            <w:shd w:val="clear" w:color="auto" w:fill="DEEAF6" w:themeFill="accent1" w:themeFillTint="33"/>
          </w:tcPr>
          <w:p w14:paraId="26F90037"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618" w:type="pct"/>
            <w:shd w:val="clear" w:color="auto" w:fill="DEEAF6" w:themeFill="accent1" w:themeFillTint="33"/>
            <w:hideMark/>
          </w:tcPr>
          <w:p w14:paraId="398A09CF"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OnabotA 195 U</w:t>
            </w:r>
          </w:p>
        </w:tc>
        <w:tc>
          <w:tcPr>
            <w:tcW w:w="367" w:type="pct"/>
            <w:shd w:val="clear" w:color="auto" w:fill="DEEAF6" w:themeFill="accent1" w:themeFillTint="33"/>
            <w:hideMark/>
          </w:tcPr>
          <w:p w14:paraId="7FA71D24"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143</w:t>
            </w:r>
          </w:p>
        </w:tc>
        <w:tc>
          <w:tcPr>
            <w:tcW w:w="475" w:type="pct"/>
            <w:shd w:val="clear" w:color="auto" w:fill="DEEAF6" w:themeFill="accent1" w:themeFillTint="33"/>
            <w:hideMark/>
          </w:tcPr>
          <w:p w14:paraId="4915F134"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137 (95.8)</w:t>
            </w:r>
          </w:p>
        </w:tc>
        <w:tc>
          <w:tcPr>
            <w:tcW w:w="492" w:type="pct"/>
            <w:shd w:val="clear" w:color="auto" w:fill="DEEAF6" w:themeFill="accent1" w:themeFillTint="33"/>
            <w:hideMark/>
          </w:tcPr>
          <w:p w14:paraId="69D32CEF"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3018D6">
              <w:rPr>
                <w:rFonts w:ascii="Calibri" w:hAnsi="Calibri" w:cs="Calibri"/>
                <w:sz w:val="18"/>
                <w:szCs w:val="18"/>
                <w:lang w:val="en-US"/>
              </w:rPr>
              <w:t>-</w:t>
            </w:r>
          </w:p>
        </w:tc>
        <w:tc>
          <w:tcPr>
            <w:tcW w:w="469" w:type="pct"/>
            <w:shd w:val="clear" w:color="auto" w:fill="DEEAF6" w:themeFill="accent1" w:themeFillTint="33"/>
            <w:hideMark/>
          </w:tcPr>
          <w:p w14:paraId="656FACE1"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91 (63.6)</w:t>
            </w:r>
          </w:p>
        </w:tc>
        <w:tc>
          <w:tcPr>
            <w:tcW w:w="468" w:type="pct"/>
            <w:shd w:val="clear" w:color="auto" w:fill="DEEAF6" w:themeFill="accent1" w:themeFillTint="33"/>
            <w:hideMark/>
          </w:tcPr>
          <w:p w14:paraId="08482EB3"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57 (39.9)</w:t>
            </w:r>
          </w:p>
        </w:tc>
        <w:tc>
          <w:tcPr>
            <w:tcW w:w="441" w:type="pct"/>
            <w:shd w:val="clear" w:color="auto" w:fill="DEEAF6" w:themeFill="accent1" w:themeFillTint="33"/>
            <w:hideMark/>
          </w:tcPr>
          <w:p w14:paraId="54343F46"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22 (15.4)</w:t>
            </w:r>
          </w:p>
        </w:tc>
      </w:tr>
      <w:tr w:rsidR="001611A0" w:rsidRPr="003018D6" w14:paraId="18595169"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shd w:val="clear" w:color="auto" w:fill="auto"/>
            <w:hideMark/>
          </w:tcPr>
          <w:p w14:paraId="1CEF991E" w14:textId="77777777" w:rsidR="001611A0" w:rsidRPr="003018D6" w:rsidRDefault="001611A0" w:rsidP="0080520F">
            <w:pPr>
              <w:pStyle w:val="Heading1"/>
              <w:spacing w:line="480" w:lineRule="auto"/>
              <w:contextualSpacing/>
              <w:outlineLvl w:val="0"/>
              <w:rPr>
                <w:rFonts w:eastAsia="Times New Roman" w:cs="Calibri"/>
                <w:color w:val="000000"/>
                <w:sz w:val="18"/>
                <w:szCs w:val="18"/>
                <w:lang w:val="en-US"/>
              </w:rPr>
            </w:pPr>
            <w:proofErr w:type="spellStart"/>
            <w:r w:rsidRPr="003018D6">
              <w:rPr>
                <w:rFonts w:eastAsia="Times New Roman" w:cs="Calibri"/>
                <w:b/>
                <w:bCs/>
                <w:color w:val="000000"/>
                <w:sz w:val="18"/>
                <w:szCs w:val="18"/>
                <w:lang w:val="en-US"/>
              </w:rPr>
              <w:t>Sarchielli</w:t>
            </w:r>
            <w:proofErr w:type="spellEnd"/>
            <w:r w:rsidRPr="003018D6">
              <w:rPr>
                <w:rFonts w:eastAsia="Times New Roman" w:cs="Calibri"/>
                <w:b/>
                <w:bCs/>
                <w:color w:val="000000"/>
                <w:sz w:val="18"/>
                <w:szCs w:val="18"/>
                <w:lang w:val="en-US"/>
              </w:rPr>
              <w:t xml:space="preserve"> 2017 (Italy)</w:t>
            </w:r>
          </w:p>
        </w:tc>
        <w:tc>
          <w:tcPr>
            <w:tcW w:w="309" w:type="pct"/>
            <w:shd w:val="clear" w:color="auto" w:fill="auto"/>
            <w:hideMark/>
          </w:tcPr>
          <w:p w14:paraId="2ED1C9C6"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PCS</w:t>
            </w:r>
          </w:p>
        </w:tc>
        <w:tc>
          <w:tcPr>
            <w:tcW w:w="357" w:type="pct"/>
            <w:shd w:val="clear" w:color="auto" w:fill="auto"/>
            <w:hideMark/>
          </w:tcPr>
          <w:p w14:paraId="41367B69"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Previously treated</w:t>
            </w:r>
          </w:p>
        </w:tc>
        <w:tc>
          <w:tcPr>
            <w:tcW w:w="377" w:type="pct"/>
            <w:shd w:val="clear" w:color="auto" w:fill="auto"/>
          </w:tcPr>
          <w:p w14:paraId="622933C0"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≥2</w:t>
            </w:r>
          </w:p>
        </w:tc>
        <w:tc>
          <w:tcPr>
            <w:tcW w:w="618" w:type="pct"/>
            <w:shd w:val="clear" w:color="auto" w:fill="auto"/>
            <w:hideMark/>
          </w:tcPr>
          <w:p w14:paraId="61B326F6" w14:textId="0109624C"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OnabotA</w:t>
            </w:r>
          </w:p>
        </w:tc>
        <w:tc>
          <w:tcPr>
            <w:tcW w:w="367" w:type="pct"/>
            <w:shd w:val="clear" w:color="auto" w:fill="auto"/>
            <w:hideMark/>
          </w:tcPr>
          <w:p w14:paraId="30EA9FE2"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56</w:t>
            </w:r>
          </w:p>
        </w:tc>
        <w:tc>
          <w:tcPr>
            <w:tcW w:w="475" w:type="pct"/>
            <w:shd w:val="clear" w:color="auto" w:fill="auto"/>
            <w:hideMark/>
          </w:tcPr>
          <w:p w14:paraId="340465E3"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54 (95.8)</w:t>
            </w:r>
          </w:p>
        </w:tc>
        <w:tc>
          <w:tcPr>
            <w:tcW w:w="492" w:type="pct"/>
            <w:shd w:val="clear" w:color="auto" w:fill="auto"/>
            <w:hideMark/>
          </w:tcPr>
          <w:p w14:paraId="27C58591"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53 (94.6)</w:t>
            </w:r>
          </w:p>
        </w:tc>
        <w:tc>
          <w:tcPr>
            <w:tcW w:w="469" w:type="pct"/>
            <w:shd w:val="clear" w:color="auto" w:fill="auto"/>
            <w:hideMark/>
          </w:tcPr>
          <w:p w14:paraId="5FA1C5D2"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45 (80.4)</w:t>
            </w:r>
          </w:p>
        </w:tc>
        <w:tc>
          <w:tcPr>
            <w:tcW w:w="468" w:type="pct"/>
            <w:shd w:val="clear" w:color="auto" w:fill="auto"/>
            <w:hideMark/>
          </w:tcPr>
          <w:p w14:paraId="5C2EE154"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25 (44.6)</w:t>
            </w:r>
          </w:p>
        </w:tc>
        <w:tc>
          <w:tcPr>
            <w:tcW w:w="441" w:type="pct"/>
            <w:shd w:val="clear" w:color="auto" w:fill="auto"/>
            <w:hideMark/>
          </w:tcPr>
          <w:p w14:paraId="0D873DC4" w14:textId="77777777" w:rsidR="001611A0" w:rsidRPr="003018D6"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3018D6">
              <w:rPr>
                <w:rFonts w:ascii="Calibri" w:hAnsi="Calibri" w:cs="Calibri"/>
                <w:color w:val="000000"/>
                <w:sz w:val="18"/>
                <w:szCs w:val="18"/>
                <w:lang w:val="en-US"/>
              </w:rPr>
              <w:t>-</w:t>
            </w:r>
          </w:p>
        </w:tc>
      </w:tr>
      <w:tr w:rsidR="001611A0" w:rsidRPr="000D7009" w14:paraId="2D89D2C9"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5000" w:type="pct"/>
            <w:gridSpan w:val="11"/>
            <w:shd w:val="clear" w:color="auto" w:fill="808080" w:themeFill="background1" w:themeFillShade="80"/>
          </w:tcPr>
          <w:p w14:paraId="3594EE61" w14:textId="77777777" w:rsidR="001611A0" w:rsidRPr="000D7009" w:rsidRDefault="001611A0" w:rsidP="0080520F">
            <w:pPr>
              <w:pStyle w:val="Heading1"/>
              <w:spacing w:line="480" w:lineRule="auto"/>
              <w:contextualSpacing/>
              <w:outlineLvl w:val="0"/>
              <w:rPr>
                <w:rFonts w:ascii="Calibri" w:hAnsi="Calibri" w:cs="Calibri"/>
                <w:color w:val="000000"/>
                <w:sz w:val="18"/>
                <w:szCs w:val="18"/>
                <w:lang w:val="en-US"/>
              </w:rPr>
            </w:pPr>
            <w:r w:rsidRPr="000D7009">
              <w:rPr>
                <w:rFonts w:ascii="Calibri" w:hAnsi="Calibri" w:cs="Calibri"/>
                <w:color w:val="FFFFFF" w:themeColor="background1"/>
                <w:sz w:val="18"/>
                <w:szCs w:val="18"/>
                <w:lang w:val="en-US"/>
              </w:rPr>
              <w:t>Chronic migraine (Proportion of patients with improvement in HIT-6 score)</w:t>
            </w:r>
          </w:p>
        </w:tc>
      </w:tr>
      <w:tr w:rsidR="001611A0" w:rsidRPr="000D7009" w14:paraId="66B743AF"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shd w:val="clear" w:color="auto" w:fill="DEEAF6" w:themeFill="accent1" w:themeFillTint="33"/>
          </w:tcPr>
          <w:p w14:paraId="1B6830CE" w14:textId="77777777" w:rsidR="001611A0" w:rsidRPr="000D7009" w:rsidRDefault="001611A0" w:rsidP="0080520F">
            <w:pPr>
              <w:pStyle w:val="Heading1"/>
              <w:spacing w:line="480" w:lineRule="auto"/>
              <w:contextualSpacing/>
              <w:outlineLvl w:val="0"/>
              <w:rPr>
                <w:rFonts w:ascii="Calibri" w:hAnsi="Calibri" w:cs="Calibri"/>
                <w:color w:val="000000"/>
                <w:sz w:val="18"/>
                <w:szCs w:val="18"/>
                <w:vertAlign w:val="superscript"/>
                <w:lang w:val="en-US"/>
              </w:rPr>
            </w:pPr>
            <w:proofErr w:type="spellStart"/>
            <w:r w:rsidRPr="000D7009">
              <w:rPr>
                <w:rFonts w:ascii="Calibri" w:hAnsi="Calibri" w:cs="Calibri"/>
                <w:b/>
                <w:bCs/>
                <w:color w:val="000000"/>
                <w:sz w:val="18"/>
                <w:szCs w:val="18"/>
                <w:lang w:val="en-US"/>
              </w:rPr>
              <w:t>Maasumi</w:t>
            </w:r>
            <w:proofErr w:type="spellEnd"/>
            <w:r w:rsidRPr="000D7009">
              <w:rPr>
                <w:rFonts w:ascii="Calibri" w:hAnsi="Calibri" w:cs="Calibri"/>
                <w:b/>
                <w:bCs/>
                <w:color w:val="000000"/>
                <w:sz w:val="18"/>
                <w:szCs w:val="18"/>
                <w:lang w:val="en-US"/>
              </w:rPr>
              <w:t xml:space="preserve"> 2015 (US)</w:t>
            </w:r>
            <w:r w:rsidRPr="000D7009">
              <w:rPr>
                <w:rFonts w:ascii="Calibri" w:hAnsi="Calibri" w:cs="Calibri"/>
                <w:b/>
                <w:bCs/>
                <w:color w:val="000000"/>
                <w:sz w:val="18"/>
                <w:szCs w:val="18"/>
                <w:vertAlign w:val="superscript"/>
                <w:lang w:val="en-US"/>
              </w:rPr>
              <w:t>a</w:t>
            </w:r>
          </w:p>
        </w:tc>
        <w:tc>
          <w:tcPr>
            <w:tcW w:w="309" w:type="pct"/>
            <w:shd w:val="clear" w:color="auto" w:fill="DEEAF6" w:themeFill="accent1" w:themeFillTint="33"/>
          </w:tcPr>
          <w:p w14:paraId="072502C4"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RCS</w:t>
            </w:r>
          </w:p>
        </w:tc>
        <w:tc>
          <w:tcPr>
            <w:tcW w:w="357" w:type="pct"/>
            <w:shd w:val="clear" w:color="auto" w:fill="DEEAF6" w:themeFill="accent1" w:themeFillTint="33"/>
          </w:tcPr>
          <w:p w14:paraId="31E7C7F6"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Unknown</w:t>
            </w:r>
          </w:p>
        </w:tc>
        <w:tc>
          <w:tcPr>
            <w:tcW w:w="377" w:type="pct"/>
            <w:shd w:val="clear" w:color="auto" w:fill="DEEAF6" w:themeFill="accent1" w:themeFillTint="33"/>
          </w:tcPr>
          <w:p w14:paraId="23EEE908"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NR</w:t>
            </w:r>
          </w:p>
        </w:tc>
        <w:tc>
          <w:tcPr>
            <w:tcW w:w="618" w:type="pct"/>
            <w:shd w:val="clear" w:color="auto" w:fill="DEEAF6" w:themeFill="accent1" w:themeFillTint="33"/>
          </w:tcPr>
          <w:p w14:paraId="1F6EA862"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OnabotA</w:t>
            </w:r>
          </w:p>
        </w:tc>
        <w:tc>
          <w:tcPr>
            <w:tcW w:w="367" w:type="pct"/>
            <w:shd w:val="clear" w:color="auto" w:fill="DEEAF6" w:themeFill="accent1" w:themeFillTint="33"/>
          </w:tcPr>
          <w:p w14:paraId="733E6E39"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359</w:t>
            </w:r>
          </w:p>
        </w:tc>
        <w:tc>
          <w:tcPr>
            <w:tcW w:w="475" w:type="pct"/>
            <w:shd w:val="clear" w:color="auto" w:fill="DEEAF6" w:themeFill="accent1" w:themeFillTint="33"/>
          </w:tcPr>
          <w:p w14:paraId="3D176A82"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w:t>
            </w:r>
          </w:p>
        </w:tc>
        <w:tc>
          <w:tcPr>
            <w:tcW w:w="492" w:type="pct"/>
            <w:shd w:val="clear" w:color="auto" w:fill="DEEAF6" w:themeFill="accent1" w:themeFillTint="33"/>
          </w:tcPr>
          <w:p w14:paraId="465DC2FC"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w:t>
            </w:r>
          </w:p>
        </w:tc>
        <w:tc>
          <w:tcPr>
            <w:tcW w:w="469" w:type="pct"/>
            <w:shd w:val="clear" w:color="auto" w:fill="DEEAF6" w:themeFill="accent1" w:themeFillTint="33"/>
          </w:tcPr>
          <w:p w14:paraId="160E1B8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108 (30.1)</w:t>
            </w:r>
          </w:p>
        </w:tc>
        <w:tc>
          <w:tcPr>
            <w:tcW w:w="468" w:type="pct"/>
            <w:shd w:val="clear" w:color="auto" w:fill="DEEAF6" w:themeFill="accent1" w:themeFillTint="33"/>
          </w:tcPr>
          <w:p w14:paraId="36421B86"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w:t>
            </w:r>
          </w:p>
        </w:tc>
        <w:tc>
          <w:tcPr>
            <w:tcW w:w="441" w:type="pct"/>
            <w:shd w:val="clear" w:color="auto" w:fill="DEEAF6" w:themeFill="accent1" w:themeFillTint="33"/>
          </w:tcPr>
          <w:p w14:paraId="2126C098"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color w:val="000000"/>
                <w:sz w:val="18"/>
                <w:szCs w:val="18"/>
                <w:lang w:val="en-US"/>
              </w:rPr>
              <w:t>-</w:t>
            </w:r>
          </w:p>
        </w:tc>
      </w:tr>
      <w:tr w:rsidR="001611A0" w:rsidRPr="000D7009" w14:paraId="4C94A4D5"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vMerge w:val="restart"/>
            <w:hideMark/>
          </w:tcPr>
          <w:p w14:paraId="1FAC80D2" w14:textId="77777777" w:rsidR="001611A0" w:rsidRPr="000D7009" w:rsidRDefault="001611A0" w:rsidP="0080520F">
            <w:pPr>
              <w:pStyle w:val="Heading1"/>
              <w:spacing w:line="480" w:lineRule="auto"/>
              <w:contextualSpacing/>
              <w:outlineLvl w:val="0"/>
              <w:rPr>
                <w:rFonts w:ascii="Calibri" w:hAnsi="Calibri" w:cs="Calibri"/>
                <w:color w:val="000000"/>
                <w:sz w:val="18"/>
                <w:szCs w:val="18"/>
                <w:vertAlign w:val="superscript"/>
                <w:lang w:val="en-US"/>
              </w:rPr>
            </w:pPr>
            <w:proofErr w:type="spellStart"/>
            <w:r w:rsidRPr="000D7009">
              <w:rPr>
                <w:rFonts w:ascii="Calibri" w:hAnsi="Calibri" w:cs="Calibri"/>
                <w:b/>
                <w:bCs/>
                <w:color w:val="000000"/>
                <w:sz w:val="18"/>
                <w:szCs w:val="18"/>
                <w:lang w:val="en-US"/>
              </w:rPr>
              <w:t>Taddei</w:t>
            </w:r>
            <w:proofErr w:type="spellEnd"/>
            <w:r w:rsidRPr="000D7009">
              <w:rPr>
                <w:rFonts w:ascii="Calibri" w:hAnsi="Calibri" w:cs="Calibri"/>
                <w:b/>
                <w:bCs/>
                <w:color w:val="000000"/>
                <w:sz w:val="18"/>
                <w:szCs w:val="18"/>
                <w:lang w:val="en-US"/>
              </w:rPr>
              <w:t>-Allen 2019 (NR)</w:t>
            </w:r>
            <w:r w:rsidRPr="000D7009">
              <w:rPr>
                <w:rFonts w:ascii="Calibri" w:hAnsi="Calibri" w:cs="Calibri"/>
                <w:b/>
                <w:bCs/>
                <w:color w:val="000000"/>
                <w:sz w:val="18"/>
                <w:szCs w:val="18"/>
                <w:vertAlign w:val="superscript"/>
                <w:lang w:val="en-US"/>
              </w:rPr>
              <w:t>b</w:t>
            </w:r>
          </w:p>
        </w:tc>
        <w:tc>
          <w:tcPr>
            <w:tcW w:w="309" w:type="pct"/>
            <w:vMerge w:val="restart"/>
            <w:hideMark/>
          </w:tcPr>
          <w:p w14:paraId="37D6AF8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RCS</w:t>
            </w:r>
          </w:p>
        </w:tc>
        <w:tc>
          <w:tcPr>
            <w:tcW w:w="357" w:type="pct"/>
            <w:vMerge w:val="restart"/>
            <w:shd w:val="clear" w:color="auto" w:fill="auto"/>
            <w:hideMark/>
          </w:tcPr>
          <w:p w14:paraId="42180969"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Unknown</w:t>
            </w:r>
          </w:p>
        </w:tc>
        <w:tc>
          <w:tcPr>
            <w:tcW w:w="377" w:type="pct"/>
            <w:vMerge w:val="restart"/>
            <w:shd w:val="clear" w:color="auto" w:fill="auto"/>
          </w:tcPr>
          <w:p w14:paraId="2F2DCC4D"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NR</w:t>
            </w:r>
          </w:p>
        </w:tc>
        <w:tc>
          <w:tcPr>
            <w:tcW w:w="618" w:type="pct"/>
            <w:shd w:val="clear" w:color="auto" w:fill="auto"/>
            <w:hideMark/>
          </w:tcPr>
          <w:p w14:paraId="0B036092"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CGRP mAbs</w:t>
            </w:r>
            <w:r w:rsidRPr="000D7009">
              <w:rPr>
                <w:rFonts w:ascii="Calibri" w:hAnsi="Calibri" w:cs="Calibri"/>
                <w:color w:val="000000"/>
                <w:sz w:val="18"/>
                <w:szCs w:val="18"/>
                <w:vertAlign w:val="superscript"/>
                <w:lang w:val="en-US"/>
              </w:rPr>
              <w:t>^</w:t>
            </w:r>
          </w:p>
        </w:tc>
        <w:tc>
          <w:tcPr>
            <w:tcW w:w="367" w:type="pct"/>
            <w:shd w:val="clear" w:color="auto" w:fill="auto"/>
            <w:hideMark/>
          </w:tcPr>
          <w:p w14:paraId="1B9C762A"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21</w:t>
            </w:r>
          </w:p>
        </w:tc>
        <w:tc>
          <w:tcPr>
            <w:tcW w:w="475" w:type="pct"/>
            <w:shd w:val="clear" w:color="auto" w:fill="auto"/>
            <w:hideMark/>
          </w:tcPr>
          <w:p w14:paraId="5C6DFAC7"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w:t>
            </w:r>
          </w:p>
        </w:tc>
        <w:tc>
          <w:tcPr>
            <w:tcW w:w="492" w:type="pct"/>
            <w:shd w:val="clear" w:color="auto" w:fill="auto"/>
            <w:hideMark/>
          </w:tcPr>
          <w:p w14:paraId="023A961D"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w:t>
            </w:r>
          </w:p>
        </w:tc>
        <w:tc>
          <w:tcPr>
            <w:tcW w:w="469" w:type="pct"/>
            <w:shd w:val="clear" w:color="auto" w:fill="auto"/>
            <w:hideMark/>
          </w:tcPr>
          <w:p w14:paraId="1C9D86A4"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w:t>
            </w:r>
          </w:p>
        </w:tc>
        <w:tc>
          <w:tcPr>
            <w:tcW w:w="468" w:type="pct"/>
            <w:shd w:val="clear" w:color="auto" w:fill="auto"/>
            <w:hideMark/>
          </w:tcPr>
          <w:p w14:paraId="62430C95"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(44.0)</w:t>
            </w:r>
          </w:p>
        </w:tc>
        <w:tc>
          <w:tcPr>
            <w:tcW w:w="441" w:type="pct"/>
            <w:shd w:val="clear" w:color="auto" w:fill="auto"/>
            <w:hideMark/>
          </w:tcPr>
          <w:p w14:paraId="41469A27"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w:t>
            </w:r>
          </w:p>
        </w:tc>
      </w:tr>
      <w:tr w:rsidR="001611A0" w:rsidRPr="000D7009" w14:paraId="2C931310"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vMerge/>
            <w:hideMark/>
          </w:tcPr>
          <w:p w14:paraId="7D8450F9" w14:textId="77777777" w:rsidR="001611A0" w:rsidRPr="000D7009" w:rsidRDefault="001611A0" w:rsidP="0080520F">
            <w:pPr>
              <w:pStyle w:val="Heading1"/>
              <w:spacing w:line="480" w:lineRule="auto"/>
              <w:contextualSpacing/>
              <w:outlineLvl w:val="0"/>
              <w:rPr>
                <w:rFonts w:ascii="Calibri" w:hAnsi="Calibri" w:cs="Calibri"/>
                <w:color w:val="000000"/>
                <w:sz w:val="18"/>
                <w:szCs w:val="18"/>
                <w:lang w:val="en-US"/>
              </w:rPr>
            </w:pPr>
          </w:p>
        </w:tc>
        <w:tc>
          <w:tcPr>
            <w:tcW w:w="309" w:type="pct"/>
            <w:vMerge/>
            <w:hideMark/>
          </w:tcPr>
          <w:p w14:paraId="5823593E"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357" w:type="pct"/>
            <w:vMerge/>
            <w:shd w:val="clear" w:color="auto" w:fill="auto"/>
            <w:hideMark/>
          </w:tcPr>
          <w:p w14:paraId="5F2371DE"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377" w:type="pct"/>
            <w:vMerge/>
            <w:shd w:val="clear" w:color="auto" w:fill="auto"/>
          </w:tcPr>
          <w:p w14:paraId="6DD4436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p>
        </w:tc>
        <w:tc>
          <w:tcPr>
            <w:tcW w:w="618" w:type="pct"/>
            <w:shd w:val="clear" w:color="auto" w:fill="auto"/>
            <w:hideMark/>
          </w:tcPr>
          <w:p w14:paraId="032A22D5"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OnabotA</w:t>
            </w:r>
          </w:p>
        </w:tc>
        <w:tc>
          <w:tcPr>
            <w:tcW w:w="367" w:type="pct"/>
            <w:shd w:val="clear" w:color="auto" w:fill="auto"/>
            <w:hideMark/>
          </w:tcPr>
          <w:p w14:paraId="0286EE38"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21</w:t>
            </w:r>
          </w:p>
        </w:tc>
        <w:tc>
          <w:tcPr>
            <w:tcW w:w="475" w:type="pct"/>
            <w:shd w:val="clear" w:color="auto" w:fill="auto"/>
            <w:hideMark/>
          </w:tcPr>
          <w:p w14:paraId="0D6D8D9A"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w:t>
            </w:r>
          </w:p>
        </w:tc>
        <w:tc>
          <w:tcPr>
            <w:tcW w:w="492" w:type="pct"/>
            <w:shd w:val="clear" w:color="auto" w:fill="auto"/>
            <w:hideMark/>
          </w:tcPr>
          <w:p w14:paraId="3EDDFA59"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w:t>
            </w:r>
          </w:p>
        </w:tc>
        <w:tc>
          <w:tcPr>
            <w:tcW w:w="469" w:type="pct"/>
            <w:shd w:val="clear" w:color="auto" w:fill="auto"/>
            <w:hideMark/>
          </w:tcPr>
          <w:p w14:paraId="64D9FD64"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w:t>
            </w:r>
          </w:p>
        </w:tc>
        <w:tc>
          <w:tcPr>
            <w:tcW w:w="468" w:type="pct"/>
            <w:shd w:val="clear" w:color="auto" w:fill="auto"/>
            <w:hideMark/>
          </w:tcPr>
          <w:p w14:paraId="19DAE3E2"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(35.0)</w:t>
            </w:r>
          </w:p>
        </w:tc>
        <w:tc>
          <w:tcPr>
            <w:tcW w:w="441" w:type="pct"/>
            <w:shd w:val="clear" w:color="auto" w:fill="auto"/>
            <w:hideMark/>
          </w:tcPr>
          <w:p w14:paraId="7D6526EB"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color w:val="000000"/>
                <w:sz w:val="18"/>
                <w:szCs w:val="18"/>
                <w:lang w:val="en-US"/>
              </w:rPr>
              <w:t>-</w:t>
            </w:r>
          </w:p>
        </w:tc>
      </w:tr>
      <w:tr w:rsidR="001611A0" w:rsidRPr="000D7009" w14:paraId="7EA8B8BA"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shd w:val="clear" w:color="auto" w:fill="DEEAF6" w:themeFill="accent1" w:themeFillTint="33"/>
          </w:tcPr>
          <w:p w14:paraId="214F12DF" w14:textId="77777777" w:rsidR="001611A0" w:rsidRPr="000D7009" w:rsidRDefault="001611A0" w:rsidP="0080520F">
            <w:pPr>
              <w:pStyle w:val="Heading1"/>
              <w:spacing w:line="480" w:lineRule="auto"/>
              <w:contextualSpacing/>
              <w:outlineLvl w:val="0"/>
              <w:rPr>
                <w:rFonts w:ascii="Calibri" w:hAnsi="Calibri" w:cs="Calibri"/>
                <w:sz w:val="18"/>
                <w:szCs w:val="18"/>
                <w:vertAlign w:val="superscript"/>
                <w:lang w:val="en-US"/>
              </w:rPr>
            </w:pPr>
            <w:proofErr w:type="spellStart"/>
            <w:r w:rsidRPr="000D7009">
              <w:rPr>
                <w:rFonts w:ascii="Calibri" w:hAnsi="Calibri" w:cs="Calibri"/>
                <w:b/>
                <w:bCs/>
                <w:color w:val="000000"/>
                <w:sz w:val="18"/>
                <w:szCs w:val="18"/>
                <w:lang w:val="en-US" w:bidi="en-US"/>
              </w:rPr>
              <w:t>Sarchielli</w:t>
            </w:r>
            <w:proofErr w:type="spellEnd"/>
            <w:r w:rsidRPr="000D7009">
              <w:rPr>
                <w:rFonts w:ascii="Calibri" w:hAnsi="Calibri" w:cs="Calibri"/>
                <w:b/>
                <w:bCs/>
                <w:color w:val="000000"/>
                <w:sz w:val="18"/>
                <w:szCs w:val="18"/>
                <w:lang w:val="en-US" w:bidi="en-US"/>
              </w:rPr>
              <w:t xml:space="preserve"> 2017 (Italy)</w:t>
            </w:r>
            <w:r w:rsidRPr="000D7009">
              <w:rPr>
                <w:rFonts w:ascii="Calibri" w:hAnsi="Calibri" w:cs="Calibri"/>
                <w:b/>
                <w:bCs/>
                <w:color w:val="000000"/>
                <w:sz w:val="18"/>
                <w:szCs w:val="18"/>
                <w:vertAlign w:val="superscript"/>
                <w:lang w:val="en-US" w:bidi="en-US"/>
              </w:rPr>
              <w:t>c</w:t>
            </w:r>
          </w:p>
        </w:tc>
        <w:tc>
          <w:tcPr>
            <w:tcW w:w="309" w:type="pct"/>
            <w:shd w:val="clear" w:color="auto" w:fill="DEEAF6" w:themeFill="accent1" w:themeFillTint="33"/>
          </w:tcPr>
          <w:p w14:paraId="7193C87B"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color w:val="000000"/>
                <w:sz w:val="18"/>
                <w:szCs w:val="18"/>
                <w:lang w:val="en-US"/>
              </w:rPr>
              <w:t>PCS</w:t>
            </w:r>
          </w:p>
        </w:tc>
        <w:tc>
          <w:tcPr>
            <w:tcW w:w="357" w:type="pct"/>
            <w:shd w:val="clear" w:color="auto" w:fill="DEEAF6" w:themeFill="accent1" w:themeFillTint="33"/>
          </w:tcPr>
          <w:p w14:paraId="4D7EFDDC"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color w:val="000000"/>
                <w:sz w:val="18"/>
                <w:szCs w:val="18"/>
                <w:lang w:val="en-US"/>
              </w:rPr>
              <w:t>Previously treated</w:t>
            </w:r>
          </w:p>
        </w:tc>
        <w:tc>
          <w:tcPr>
            <w:tcW w:w="377" w:type="pct"/>
            <w:shd w:val="clear" w:color="auto" w:fill="DEEAF6" w:themeFill="accent1" w:themeFillTint="33"/>
          </w:tcPr>
          <w:p w14:paraId="1BDDBF69"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color w:val="000000"/>
                <w:sz w:val="18"/>
                <w:szCs w:val="18"/>
                <w:lang w:val="en-US"/>
              </w:rPr>
              <w:t>≥2</w:t>
            </w:r>
          </w:p>
        </w:tc>
        <w:tc>
          <w:tcPr>
            <w:tcW w:w="618" w:type="pct"/>
            <w:shd w:val="clear" w:color="auto" w:fill="DEEAF6" w:themeFill="accent1" w:themeFillTint="33"/>
          </w:tcPr>
          <w:p w14:paraId="2504D47F"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color w:val="000000"/>
                <w:sz w:val="18"/>
                <w:szCs w:val="18"/>
                <w:lang w:val="en-US"/>
              </w:rPr>
              <w:t>OnabotA</w:t>
            </w:r>
          </w:p>
        </w:tc>
        <w:tc>
          <w:tcPr>
            <w:tcW w:w="367" w:type="pct"/>
            <w:shd w:val="clear" w:color="auto" w:fill="DEEAF6" w:themeFill="accent1" w:themeFillTint="33"/>
          </w:tcPr>
          <w:p w14:paraId="4558CC3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56</w:t>
            </w:r>
          </w:p>
        </w:tc>
        <w:tc>
          <w:tcPr>
            <w:tcW w:w="475" w:type="pct"/>
            <w:shd w:val="clear" w:color="auto" w:fill="DEEAF6" w:themeFill="accent1" w:themeFillTint="33"/>
          </w:tcPr>
          <w:p w14:paraId="7A9EA5FA"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color w:val="000000"/>
                <w:sz w:val="18"/>
                <w:szCs w:val="18"/>
                <w:lang w:val="en-US"/>
              </w:rPr>
              <w:t>-</w:t>
            </w:r>
          </w:p>
        </w:tc>
        <w:tc>
          <w:tcPr>
            <w:tcW w:w="492" w:type="pct"/>
            <w:shd w:val="clear" w:color="auto" w:fill="DEEAF6" w:themeFill="accent1" w:themeFillTint="33"/>
          </w:tcPr>
          <w:p w14:paraId="335265C7"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5 (8.9)</w:t>
            </w:r>
          </w:p>
        </w:tc>
        <w:tc>
          <w:tcPr>
            <w:tcW w:w="469" w:type="pct"/>
            <w:shd w:val="clear" w:color="auto" w:fill="DEEAF6" w:themeFill="accent1" w:themeFillTint="33"/>
          </w:tcPr>
          <w:p w14:paraId="7B1743CE"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30 (53.5)</w:t>
            </w:r>
          </w:p>
        </w:tc>
        <w:tc>
          <w:tcPr>
            <w:tcW w:w="468" w:type="pct"/>
            <w:shd w:val="clear" w:color="auto" w:fill="DEEAF6" w:themeFill="accent1" w:themeFillTint="33"/>
          </w:tcPr>
          <w:p w14:paraId="46911EBC"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40 (71.4)</w:t>
            </w:r>
          </w:p>
        </w:tc>
        <w:tc>
          <w:tcPr>
            <w:tcW w:w="441" w:type="pct"/>
            <w:shd w:val="clear" w:color="auto" w:fill="DEEAF6" w:themeFill="accent1" w:themeFillTint="33"/>
          </w:tcPr>
          <w:p w14:paraId="4854F786"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w:t>
            </w:r>
          </w:p>
        </w:tc>
      </w:tr>
      <w:tr w:rsidR="001611A0" w:rsidRPr="000D7009" w14:paraId="7E5EA8F2" w14:textId="77777777" w:rsidTr="0080520F">
        <w:trPr>
          <w:trHeight w:val="282"/>
        </w:trPr>
        <w:tc>
          <w:tcPr>
            <w:cnfStyle w:val="001000000000" w:firstRow="0" w:lastRow="0" w:firstColumn="1" w:lastColumn="0" w:oddVBand="0" w:evenVBand="0" w:oddHBand="0" w:evenHBand="0" w:firstRowFirstColumn="0" w:firstRowLastColumn="0" w:lastRowFirstColumn="0" w:lastRowLastColumn="0"/>
            <w:tcW w:w="627" w:type="pct"/>
          </w:tcPr>
          <w:p w14:paraId="29C3AABD" w14:textId="77777777" w:rsidR="001611A0" w:rsidRPr="000D7009" w:rsidRDefault="001611A0" w:rsidP="0080520F">
            <w:pPr>
              <w:pStyle w:val="Heading1"/>
              <w:spacing w:line="480" w:lineRule="auto"/>
              <w:contextualSpacing/>
              <w:outlineLvl w:val="0"/>
              <w:rPr>
                <w:rFonts w:ascii="Calibri" w:hAnsi="Calibri" w:cs="Calibri"/>
                <w:color w:val="000000"/>
                <w:sz w:val="18"/>
                <w:szCs w:val="18"/>
                <w:vertAlign w:val="superscript"/>
                <w:lang w:val="en-US"/>
              </w:rPr>
            </w:pPr>
            <w:r w:rsidRPr="000D7009">
              <w:rPr>
                <w:rFonts w:ascii="Calibri" w:hAnsi="Calibri" w:cs="Calibri"/>
                <w:b/>
                <w:bCs/>
                <w:sz w:val="18"/>
                <w:szCs w:val="18"/>
                <w:lang w:val="en-US"/>
              </w:rPr>
              <w:t>Susie 2018 (UK)</w:t>
            </w:r>
            <w:r w:rsidRPr="000D7009">
              <w:rPr>
                <w:rFonts w:ascii="Calibri" w:hAnsi="Calibri" w:cs="Calibri"/>
                <w:b/>
                <w:bCs/>
                <w:sz w:val="18"/>
                <w:szCs w:val="18"/>
                <w:vertAlign w:val="superscript"/>
                <w:lang w:val="en-US"/>
              </w:rPr>
              <w:t>d</w:t>
            </w:r>
          </w:p>
        </w:tc>
        <w:tc>
          <w:tcPr>
            <w:tcW w:w="309" w:type="pct"/>
          </w:tcPr>
          <w:p w14:paraId="5279CF2E"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RCS</w:t>
            </w:r>
          </w:p>
        </w:tc>
        <w:tc>
          <w:tcPr>
            <w:tcW w:w="357" w:type="pct"/>
            <w:shd w:val="clear" w:color="auto" w:fill="auto"/>
          </w:tcPr>
          <w:p w14:paraId="260DEC3B"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Previously treated</w:t>
            </w:r>
          </w:p>
        </w:tc>
        <w:tc>
          <w:tcPr>
            <w:tcW w:w="377" w:type="pct"/>
            <w:shd w:val="clear" w:color="auto" w:fill="auto"/>
          </w:tcPr>
          <w:p w14:paraId="7F2C6913"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NR</w:t>
            </w:r>
          </w:p>
        </w:tc>
        <w:tc>
          <w:tcPr>
            <w:tcW w:w="618" w:type="pct"/>
            <w:shd w:val="clear" w:color="auto" w:fill="auto"/>
          </w:tcPr>
          <w:p w14:paraId="65C7EF58"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OnabotA</w:t>
            </w:r>
          </w:p>
        </w:tc>
        <w:tc>
          <w:tcPr>
            <w:tcW w:w="367" w:type="pct"/>
            <w:shd w:val="clear" w:color="auto" w:fill="auto"/>
          </w:tcPr>
          <w:p w14:paraId="4235DD1C"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100</w:t>
            </w:r>
          </w:p>
        </w:tc>
        <w:tc>
          <w:tcPr>
            <w:tcW w:w="475" w:type="pct"/>
            <w:shd w:val="clear" w:color="auto" w:fill="auto"/>
          </w:tcPr>
          <w:p w14:paraId="2770425B"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w:t>
            </w:r>
          </w:p>
        </w:tc>
        <w:tc>
          <w:tcPr>
            <w:tcW w:w="492" w:type="pct"/>
            <w:shd w:val="clear" w:color="auto" w:fill="auto"/>
          </w:tcPr>
          <w:p w14:paraId="18AE65F7"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w:t>
            </w:r>
          </w:p>
        </w:tc>
        <w:tc>
          <w:tcPr>
            <w:tcW w:w="469" w:type="pct"/>
            <w:shd w:val="clear" w:color="auto" w:fill="auto"/>
          </w:tcPr>
          <w:p w14:paraId="758A8474"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lang w:val="en-US"/>
              </w:rPr>
            </w:pPr>
            <w:r w:rsidRPr="000D7009">
              <w:rPr>
                <w:rFonts w:ascii="Calibri" w:hAnsi="Calibri" w:cs="Calibri"/>
                <w:sz w:val="18"/>
                <w:szCs w:val="18"/>
                <w:lang w:val="en-US"/>
              </w:rPr>
              <w:t>57 (57.0)</w:t>
            </w:r>
          </w:p>
        </w:tc>
        <w:tc>
          <w:tcPr>
            <w:tcW w:w="468" w:type="pct"/>
            <w:shd w:val="clear" w:color="auto" w:fill="auto"/>
          </w:tcPr>
          <w:p w14:paraId="5E083A2B"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w:t>
            </w:r>
          </w:p>
        </w:tc>
        <w:tc>
          <w:tcPr>
            <w:tcW w:w="441" w:type="pct"/>
            <w:shd w:val="clear" w:color="auto" w:fill="auto"/>
          </w:tcPr>
          <w:p w14:paraId="7CAC7057" w14:textId="77777777" w:rsidR="001611A0" w:rsidRPr="000D7009" w:rsidRDefault="001611A0" w:rsidP="0080520F">
            <w:pPr>
              <w:pStyle w:val="Heading1"/>
              <w:spacing w:line="480" w:lineRule="auto"/>
              <w:contextualSpacing/>
              <w:outlineLvl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en-US"/>
              </w:rPr>
            </w:pPr>
            <w:r w:rsidRPr="000D7009">
              <w:rPr>
                <w:rFonts w:ascii="Calibri" w:hAnsi="Calibri" w:cs="Calibri"/>
                <w:sz w:val="18"/>
                <w:szCs w:val="18"/>
                <w:lang w:val="en-US"/>
              </w:rPr>
              <w:t>-</w:t>
            </w:r>
          </w:p>
        </w:tc>
      </w:tr>
    </w:tbl>
    <w:p w14:paraId="1084491F" w14:textId="77777777" w:rsidR="001611A0" w:rsidRPr="003018D6" w:rsidRDefault="001611A0" w:rsidP="001611A0">
      <w:pPr>
        <w:pStyle w:val="Heading1"/>
        <w:spacing w:line="480" w:lineRule="auto"/>
        <w:contextualSpacing/>
        <w:rPr>
          <w:b w:val="0"/>
          <w:bCs w:val="0"/>
          <w:lang w:val="en-US"/>
        </w:rPr>
      </w:pPr>
      <w:bookmarkStart w:id="3" w:name="_Hlk45791253"/>
      <w:r w:rsidRPr="003018D6">
        <w:rPr>
          <w:b w:val="0"/>
          <w:bCs w:val="0"/>
          <w:lang w:val="en-US"/>
        </w:rPr>
        <w:t>CGRP: calcitonin gene-related peptide; ERE: erenumab; HIT: headache impact test; NR: not reported; OnabotA: onabotulinumtoxinA; PCS: prospective cohort study; RCS: retrospective cohort study.</w:t>
      </w:r>
    </w:p>
    <w:bookmarkEnd w:id="3"/>
    <w:p w14:paraId="3DF5F1D2" w14:textId="77777777" w:rsidR="001611A0" w:rsidRPr="003018D6" w:rsidRDefault="001611A0" w:rsidP="001611A0">
      <w:pPr>
        <w:pStyle w:val="Heading1"/>
        <w:spacing w:line="480" w:lineRule="auto"/>
        <w:contextualSpacing/>
        <w:rPr>
          <w:b w:val="0"/>
          <w:bCs w:val="0"/>
          <w:lang w:val="en-US"/>
        </w:rPr>
      </w:pPr>
      <w:r w:rsidRPr="003018D6">
        <w:rPr>
          <w:rFonts w:eastAsia="Times New Roman"/>
          <w:b w:val="0"/>
          <w:bCs w:val="0"/>
          <w:color w:val="000000"/>
          <w:vertAlign w:val="superscript"/>
          <w:lang w:val="en-US" w:eastAsia="en-GB"/>
        </w:rPr>
        <w:lastRenderedPageBreak/>
        <w:t>^</w:t>
      </w:r>
      <w:r w:rsidRPr="003018D6">
        <w:rPr>
          <w:rFonts w:eastAsia="Times New Roman"/>
          <w:b w:val="0"/>
          <w:bCs w:val="0"/>
          <w:color w:val="000000"/>
          <w:lang w:val="en-US" w:eastAsia="en-GB"/>
        </w:rPr>
        <w:t xml:space="preserve">Multiple CGRP </w:t>
      </w:r>
      <w:proofErr w:type="spellStart"/>
      <w:r w:rsidRPr="003018D6">
        <w:rPr>
          <w:rFonts w:eastAsia="Times New Roman"/>
          <w:b w:val="0"/>
          <w:bCs w:val="0"/>
          <w:color w:val="000000"/>
          <w:lang w:val="en-US" w:eastAsia="en-GB"/>
        </w:rPr>
        <w:t>mABs</w:t>
      </w:r>
      <w:proofErr w:type="spellEnd"/>
      <w:r w:rsidRPr="003018D6">
        <w:rPr>
          <w:rFonts w:eastAsia="Times New Roman"/>
          <w:b w:val="0"/>
          <w:bCs w:val="0"/>
          <w:color w:val="000000"/>
          <w:lang w:val="en-US" w:eastAsia="en-GB"/>
        </w:rPr>
        <w:t xml:space="preserve">: erenumab, galcanezumab, and fremanezumab; </w:t>
      </w:r>
      <w:proofErr w:type="spellStart"/>
      <w:r w:rsidRPr="003018D6">
        <w:rPr>
          <w:b w:val="0"/>
          <w:bCs w:val="0"/>
          <w:vertAlign w:val="superscript"/>
          <w:lang w:val="en-US"/>
        </w:rPr>
        <w:t>a</w:t>
      </w:r>
      <w:r w:rsidRPr="003018D6">
        <w:rPr>
          <w:b w:val="0"/>
          <w:bCs w:val="0"/>
          <w:lang w:val="en-US"/>
        </w:rPr>
        <w:t>Patients</w:t>
      </w:r>
      <w:proofErr w:type="spellEnd"/>
      <w:r w:rsidRPr="003018D6">
        <w:rPr>
          <w:b w:val="0"/>
          <w:bCs w:val="0"/>
          <w:lang w:val="en-US"/>
        </w:rPr>
        <w:t xml:space="preserve"> improved in HIT-6 score by </w:t>
      </w:r>
      <w:r w:rsidRPr="003018D6">
        <w:rPr>
          <w:rFonts w:cs="Calibri"/>
          <w:b w:val="0"/>
          <w:bCs w:val="0"/>
          <w:lang w:val="en-US"/>
        </w:rPr>
        <w:t>≥</w:t>
      </w:r>
      <w:r w:rsidRPr="003018D6">
        <w:rPr>
          <w:b w:val="0"/>
          <w:bCs w:val="0"/>
          <w:lang w:val="en-US"/>
        </w:rPr>
        <w:t xml:space="preserve">6 points; </w:t>
      </w:r>
      <w:proofErr w:type="spellStart"/>
      <w:r w:rsidRPr="003018D6">
        <w:rPr>
          <w:b w:val="0"/>
          <w:bCs w:val="0"/>
          <w:vertAlign w:val="superscript"/>
          <w:lang w:val="en-US"/>
        </w:rPr>
        <w:t>b</w:t>
      </w:r>
      <w:r w:rsidRPr="003018D6">
        <w:rPr>
          <w:b w:val="0"/>
          <w:bCs w:val="0"/>
          <w:lang w:val="en-US"/>
        </w:rPr>
        <w:t>Patients</w:t>
      </w:r>
      <w:proofErr w:type="spellEnd"/>
      <w:r w:rsidRPr="003018D6">
        <w:rPr>
          <w:b w:val="0"/>
          <w:bCs w:val="0"/>
          <w:lang w:val="en-US"/>
        </w:rPr>
        <w:t xml:space="preserve"> had at least a one severity class improvement per the HIT-6; </w:t>
      </w:r>
      <w:proofErr w:type="spellStart"/>
      <w:r w:rsidRPr="003018D6">
        <w:rPr>
          <w:b w:val="0"/>
          <w:bCs w:val="0"/>
          <w:vertAlign w:val="superscript"/>
          <w:lang w:val="en-US"/>
        </w:rPr>
        <w:t>c</w:t>
      </w:r>
      <w:r w:rsidRPr="003018D6">
        <w:rPr>
          <w:b w:val="0"/>
          <w:bCs w:val="0"/>
          <w:lang w:val="en-US"/>
        </w:rPr>
        <w:t>Patients</w:t>
      </w:r>
      <w:proofErr w:type="spellEnd"/>
      <w:r w:rsidRPr="003018D6">
        <w:rPr>
          <w:b w:val="0"/>
          <w:bCs w:val="0"/>
          <w:lang w:val="en-US"/>
        </w:rPr>
        <w:t xml:space="preserve"> improved in HIT-6 score by </w:t>
      </w:r>
      <w:r w:rsidRPr="003018D6">
        <w:rPr>
          <w:rFonts w:cs="Calibri"/>
          <w:b w:val="0"/>
          <w:bCs w:val="0"/>
          <w:lang w:val="en-US"/>
        </w:rPr>
        <w:t>≥5</w:t>
      </w:r>
      <w:r w:rsidRPr="003018D6">
        <w:rPr>
          <w:b w:val="0"/>
          <w:bCs w:val="0"/>
          <w:lang w:val="en-US"/>
        </w:rPr>
        <w:t xml:space="preserve"> points; </w:t>
      </w:r>
      <w:proofErr w:type="spellStart"/>
      <w:r w:rsidRPr="003018D6">
        <w:rPr>
          <w:b w:val="0"/>
          <w:bCs w:val="0"/>
          <w:vertAlign w:val="superscript"/>
          <w:lang w:val="en-US"/>
        </w:rPr>
        <w:t>d</w:t>
      </w:r>
      <w:r w:rsidRPr="003018D6">
        <w:rPr>
          <w:b w:val="0"/>
          <w:bCs w:val="0"/>
          <w:lang w:val="en-US"/>
        </w:rPr>
        <w:t>Patients</w:t>
      </w:r>
      <w:proofErr w:type="spellEnd"/>
      <w:r w:rsidRPr="003018D6">
        <w:rPr>
          <w:b w:val="0"/>
          <w:bCs w:val="0"/>
          <w:lang w:val="en-US"/>
        </w:rPr>
        <w:t xml:space="preserve"> improved in HIT-6 score by </w:t>
      </w:r>
      <w:r w:rsidRPr="003018D6">
        <w:rPr>
          <w:rFonts w:cs="Calibri"/>
          <w:b w:val="0"/>
          <w:bCs w:val="0"/>
          <w:lang w:val="en-US"/>
        </w:rPr>
        <w:t>≥3</w:t>
      </w:r>
      <w:r w:rsidRPr="003018D6">
        <w:rPr>
          <w:b w:val="0"/>
          <w:bCs w:val="0"/>
          <w:lang w:val="en-US"/>
        </w:rPr>
        <w:t xml:space="preserve"> points.</w:t>
      </w:r>
    </w:p>
    <w:p w14:paraId="1F4ACAAD" w14:textId="77777777" w:rsidR="001611A0" w:rsidRPr="003018D6" w:rsidRDefault="001611A0" w:rsidP="001611A0">
      <w:pPr>
        <w:pStyle w:val="Heading1"/>
        <w:spacing w:line="480" w:lineRule="auto"/>
        <w:contextualSpacing/>
        <w:rPr>
          <w:b w:val="0"/>
          <w:bCs w:val="0"/>
          <w:lang w:val="en-US"/>
        </w:rPr>
      </w:pPr>
      <w:r w:rsidRPr="003018D6">
        <w:rPr>
          <w:b w:val="0"/>
          <w:bCs w:val="0"/>
          <w:lang w:val="en-US"/>
        </w:rPr>
        <w:t xml:space="preserve">HIT-6 scale: </w:t>
      </w:r>
      <w:r w:rsidRPr="003018D6">
        <w:rPr>
          <w:b w:val="0"/>
          <w:bCs w:val="0"/>
          <w:szCs w:val="18"/>
          <w:lang w:val="en-US"/>
        </w:rPr>
        <w:t>A screening and monitoring tool that is used to provide a global measure of headache impact in six domains (pain, social functioning, role functioning, vitality, cognitive functioning, and psychological distress). The score ranges from 36 to 78 with higher score indicates worsening.</w:t>
      </w:r>
    </w:p>
    <w:p w14:paraId="134E09F8" w14:textId="77777777" w:rsidR="002621DE" w:rsidRDefault="002621DE"/>
    <w:sectPr w:rsidR="002621DE" w:rsidSect="003018D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1A0"/>
    <w:rsid w:val="001611A0"/>
    <w:rsid w:val="001B5A6C"/>
    <w:rsid w:val="002621DE"/>
    <w:rsid w:val="003450E1"/>
    <w:rsid w:val="00967B94"/>
    <w:rsid w:val="009A1B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6D7E3"/>
  <w15:chartTrackingRefBased/>
  <w15:docId w15:val="{E440C29C-AA91-415C-939F-4FB661A8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1A0"/>
    <w:pPr>
      <w:spacing w:after="0" w:line="360" w:lineRule="auto"/>
    </w:pPr>
  </w:style>
  <w:style w:type="paragraph" w:styleId="Heading1">
    <w:name w:val="heading 1"/>
    <w:basedOn w:val="Normal"/>
    <w:next w:val="Normal"/>
    <w:link w:val="Heading1Char"/>
    <w:qFormat/>
    <w:rsid w:val="001611A0"/>
    <w:pPr>
      <w:keepNext/>
      <w:keepLines/>
      <w:outlineLvl w:val="0"/>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1A0"/>
    <w:rPr>
      <w:rFonts w:eastAsiaTheme="majorEastAsia" w:cstheme="minorHAnsi"/>
      <w:b/>
      <w:bCs/>
    </w:rPr>
  </w:style>
  <w:style w:type="table" w:customStyle="1" w:styleId="GridTable4-Accent1110">
    <w:name w:val="Grid Table 4 - Accent 1110"/>
    <w:basedOn w:val="TableNormal"/>
    <w:uiPriority w:val="49"/>
    <w:rsid w:val="001611A0"/>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101">
    <w:name w:val="Grid Table 4 - Accent 11101"/>
    <w:basedOn w:val="TableNormal"/>
    <w:uiPriority w:val="49"/>
    <w:rsid w:val="001611A0"/>
    <w:pPr>
      <w:spacing w:after="0" w:line="240" w:lineRule="auto"/>
    </w:pPr>
    <w:rPr>
      <w:rFonts w:eastAsia="Times New Roman"/>
      <w:lang w:eastAsia="en-GB"/>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572</Words>
  <Characters>3266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McLaughlin</dc:creator>
  <cp:keywords/>
  <dc:description/>
  <cp:lastModifiedBy>OH-Edit-LZ</cp:lastModifiedBy>
  <cp:revision>3</cp:revision>
  <dcterms:created xsi:type="dcterms:W3CDTF">2022-10-31T13:31:00Z</dcterms:created>
  <dcterms:modified xsi:type="dcterms:W3CDTF">2022-11-01T13:30:00Z</dcterms:modified>
</cp:coreProperties>
</file>