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392" w:rsidRPr="000D7009" w:rsidRDefault="00C76392" w:rsidP="00C76392">
      <w:pPr>
        <w:pStyle w:val="Heading1"/>
        <w:spacing w:line="480" w:lineRule="auto"/>
        <w:contextualSpacing/>
        <w:rPr>
          <w:lang w:val="en-US"/>
        </w:rPr>
      </w:pPr>
      <w:bookmarkStart w:id="0" w:name="_GoBack"/>
      <w:r w:rsidRPr="000D7009">
        <w:rPr>
          <w:lang w:val="en-US"/>
        </w:rPr>
        <w:t xml:space="preserve">Supplementary </w:t>
      </w:r>
      <w:r>
        <w:rPr>
          <w:lang w:val="en-US"/>
        </w:rPr>
        <w:t>file</w:t>
      </w:r>
      <w:r w:rsidRPr="000D7009">
        <w:rPr>
          <w:lang w:val="en-US"/>
        </w:rPr>
        <w:t xml:space="preserve"> </w:t>
      </w:r>
      <w:r>
        <w:rPr>
          <w:lang w:val="en-US"/>
        </w:rPr>
        <w:t>S</w:t>
      </w:r>
      <w:r>
        <w:rPr>
          <w:lang w:val="en-US"/>
        </w:rPr>
        <w:t>5: Quality Assessment of S</w:t>
      </w:r>
      <w:r w:rsidRPr="000D7009">
        <w:rPr>
          <w:lang w:val="en-US"/>
        </w:rPr>
        <w:t>tudies</w:t>
      </w:r>
    </w:p>
    <w:p w:rsidR="00C76392" w:rsidRPr="000D7009" w:rsidRDefault="00C76392" w:rsidP="00C76392">
      <w:pPr>
        <w:pStyle w:val="Heading1"/>
        <w:spacing w:line="480" w:lineRule="auto"/>
        <w:contextualSpacing/>
        <w:rPr>
          <w:lang w:val="en-US" w:eastAsia="en-GB"/>
        </w:rPr>
      </w:pPr>
      <w:bookmarkStart w:id="1" w:name="_Toc43474350"/>
      <w:bookmarkEnd w:id="0"/>
      <w:r w:rsidRPr="000D7009">
        <w:rPr>
          <w:lang w:val="en-US"/>
        </w:rPr>
        <w:t>Newcastle-Ottawa scale for cohort studies</w:t>
      </w:r>
      <w:bookmarkEnd w:id="1"/>
    </w:p>
    <w:tbl>
      <w:tblPr>
        <w:tblStyle w:val="GridTable5Dark-Accent3"/>
        <w:tblW w:w="5000" w:type="pct"/>
        <w:tblLook w:val="0620" w:firstRow="1" w:lastRow="0" w:firstColumn="0" w:lastColumn="0" w:noHBand="1" w:noVBand="1"/>
      </w:tblPr>
      <w:tblGrid>
        <w:gridCol w:w="7366"/>
        <w:gridCol w:w="1650"/>
      </w:tblGrid>
      <w:tr w:rsidR="00C76392" w:rsidRPr="000D7009" w:rsidTr="00805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85" w:type="pct"/>
            <w:hideMark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Study question</w:t>
            </w:r>
          </w:p>
        </w:tc>
        <w:tc>
          <w:tcPr>
            <w:tcW w:w="915" w:type="pct"/>
            <w:hideMark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Points</w:t>
            </w:r>
          </w:p>
        </w:tc>
      </w:tr>
      <w:tr w:rsidR="00C76392" w:rsidRPr="000D7009" w:rsidTr="0080520F">
        <w:tc>
          <w:tcPr>
            <w:tcW w:w="4085" w:type="pct"/>
            <w:hideMark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  <w:r w:rsidRPr="000D7009">
              <w:rPr>
                <w:sz w:val="20"/>
                <w:lang w:val="en-US" w:eastAsia="en-GB"/>
              </w:rPr>
              <w:t>Selection</w:t>
            </w:r>
            <w:r w:rsidRPr="000D7009">
              <w:rPr>
                <w:sz w:val="20"/>
                <w:lang w:val="en-US" w:eastAsia="en-GB"/>
              </w:rPr>
              <w:tab/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  <w:r w:rsidRPr="000D7009">
              <w:rPr>
                <w:sz w:val="20"/>
                <w:lang w:val="en-US" w:eastAsia="en-GB"/>
              </w:rPr>
              <w:t>Representativeness of the exposed cohort (1 point)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  <w:r w:rsidRPr="000D7009">
              <w:rPr>
                <w:sz w:val="20"/>
                <w:lang w:val="en-US" w:eastAsia="en-GB"/>
              </w:rPr>
              <w:t>Selection of the non-exposed cohort (1 point)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  <w:r w:rsidRPr="000D7009">
              <w:rPr>
                <w:sz w:val="20"/>
                <w:lang w:val="en-US" w:eastAsia="en-GB"/>
              </w:rPr>
              <w:t>Ascertainment of exposure (1 point)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  <w:r w:rsidRPr="000D7009">
              <w:rPr>
                <w:sz w:val="20"/>
                <w:lang w:val="en-US" w:eastAsia="en-GB"/>
              </w:rPr>
              <w:t>Demonstration that outcome of interest was not present at start of study (1 point)</w:t>
            </w:r>
          </w:p>
        </w:tc>
        <w:tc>
          <w:tcPr>
            <w:tcW w:w="915" w:type="pct"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</w:p>
        </w:tc>
      </w:tr>
      <w:tr w:rsidR="00C76392" w:rsidRPr="000D7009" w:rsidTr="0080520F">
        <w:tc>
          <w:tcPr>
            <w:tcW w:w="4085" w:type="pct"/>
            <w:hideMark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  <w:r w:rsidRPr="000D7009">
              <w:rPr>
                <w:sz w:val="20"/>
                <w:lang w:val="en-US" w:eastAsia="en-GB"/>
              </w:rPr>
              <w:t>Comparability</w:t>
            </w:r>
            <w:r w:rsidRPr="000D7009">
              <w:rPr>
                <w:sz w:val="20"/>
                <w:lang w:val="en-US" w:eastAsia="en-GB"/>
              </w:rPr>
              <w:tab/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20"/>
                <w:lang w:val="en-US" w:eastAsia="en-GB"/>
              </w:rPr>
            </w:pPr>
            <w:r w:rsidRPr="000D7009">
              <w:rPr>
                <w:sz w:val="20"/>
                <w:szCs w:val="20"/>
                <w:lang w:val="en-US" w:eastAsia="en-GB"/>
              </w:rPr>
              <w:t>Comparability of cohorts on the basis of the design or analysis (2 points)</w:t>
            </w:r>
          </w:p>
        </w:tc>
        <w:tc>
          <w:tcPr>
            <w:tcW w:w="915" w:type="pct"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</w:p>
        </w:tc>
      </w:tr>
      <w:tr w:rsidR="00C76392" w:rsidRPr="000D7009" w:rsidTr="0080520F">
        <w:tc>
          <w:tcPr>
            <w:tcW w:w="4085" w:type="pct"/>
            <w:hideMark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  <w:r w:rsidRPr="000D7009">
              <w:rPr>
                <w:sz w:val="20"/>
                <w:lang w:val="en-US" w:eastAsia="en-GB"/>
              </w:rPr>
              <w:t>Outcome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  <w:r w:rsidRPr="000D7009">
              <w:rPr>
                <w:sz w:val="20"/>
                <w:lang w:val="en-US" w:eastAsia="en-GB"/>
              </w:rPr>
              <w:t>Assessment of outcome (1 point)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  <w:r w:rsidRPr="000D7009">
              <w:rPr>
                <w:sz w:val="20"/>
                <w:lang w:val="en-US" w:eastAsia="en-GB"/>
              </w:rPr>
              <w:t>Was follow-up long enough for outcomes to occur (1 point)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  <w:r w:rsidRPr="000D7009">
              <w:rPr>
                <w:sz w:val="20"/>
                <w:lang w:val="en-US" w:eastAsia="en-GB"/>
              </w:rPr>
              <w:t>Adequacy of follow-up of cohorts (1 point)</w:t>
            </w:r>
          </w:p>
        </w:tc>
        <w:tc>
          <w:tcPr>
            <w:tcW w:w="915" w:type="pct"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lang w:eastAsia="en-GB"/>
              </w:rPr>
            </w:pPr>
          </w:p>
        </w:tc>
      </w:tr>
    </w:tbl>
    <w:p w:rsidR="00C76392" w:rsidRPr="000D7009" w:rsidRDefault="00C76392" w:rsidP="00C76392">
      <w:pPr>
        <w:pStyle w:val="Heading1"/>
        <w:spacing w:line="480" w:lineRule="auto"/>
        <w:contextualSpacing/>
        <w:rPr>
          <w:sz w:val="20"/>
          <w:szCs w:val="16"/>
        </w:rPr>
      </w:pPr>
      <w:bookmarkStart w:id="2" w:name="_Ref9946873"/>
      <w:r w:rsidRPr="000D7009">
        <w:rPr>
          <w:sz w:val="20"/>
          <w:szCs w:val="16"/>
          <w:lang w:val="en-US"/>
        </w:rPr>
        <w:t>Cohort studies were graded from 0 (poorest quality) to 9 (highest quality).</w:t>
      </w:r>
    </w:p>
    <w:p w:rsidR="00C76392" w:rsidRPr="000D7009" w:rsidRDefault="00C76392" w:rsidP="00C76392">
      <w:pPr>
        <w:pStyle w:val="Heading1"/>
        <w:spacing w:line="480" w:lineRule="auto"/>
        <w:contextualSpacing/>
        <w:rPr>
          <w:lang w:val="en-US"/>
        </w:rPr>
      </w:pPr>
    </w:p>
    <w:p w:rsidR="00C76392" w:rsidRDefault="00C76392" w:rsidP="00C76392">
      <w:pPr>
        <w:spacing w:after="160" w:line="259" w:lineRule="auto"/>
        <w:rPr>
          <w:rFonts w:eastAsiaTheme="majorEastAsia" w:cstheme="minorHAnsi"/>
          <w:b/>
          <w:bCs/>
          <w:lang w:val="en-US"/>
        </w:rPr>
      </w:pPr>
      <w:bookmarkStart w:id="3" w:name="_Toc43474351"/>
      <w:bookmarkStart w:id="4" w:name="_Toc31573037"/>
      <w:bookmarkEnd w:id="2"/>
      <w:r>
        <w:rPr>
          <w:lang w:val="en-US"/>
        </w:rPr>
        <w:br w:type="page"/>
      </w:r>
    </w:p>
    <w:p w:rsidR="00C76392" w:rsidRPr="000D7009" w:rsidRDefault="00C76392" w:rsidP="00C76392">
      <w:pPr>
        <w:pStyle w:val="Heading1"/>
        <w:spacing w:line="480" w:lineRule="auto"/>
        <w:contextualSpacing/>
        <w:rPr>
          <w:lang w:val="en-US" w:eastAsia="en-GB"/>
        </w:rPr>
      </w:pPr>
      <w:r w:rsidRPr="000D7009">
        <w:rPr>
          <w:lang w:val="en-US"/>
        </w:rPr>
        <w:lastRenderedPageBreak/>
        <w:t>Newcastle-Ottawa scale for case-control studies</w:t>
      </w:r>
      <w:bookmarkEnd w:id="3"/>
      <w:bookmarkEnd w:id="4"/>
    </w:p>
    <w:tbl>
      <w:tblPr>
        <w:tblStyle w:val="GridTable5Dark-Accent3"/>
        <w:tblW w:w="5000" w:type="pct"/>
        <w:tblLook w:val="0620" w:firstRow="1" w:lastRow="0" w:firstColumn="0" w:lastColumn="0" w:noHBand="1" w:noVBand="1"/>
      </w:tblPr>
      <w:tblGrid>
        <w:gridCol w:w="7366"/>
        <w:gridCol w:w="1650"/>
      </w:tblGrid>
      <w:tr w:rsidR="00C76392" w:rsidRPr="000D7009" w:rsidTr="00805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085" w:type="pct"/>
            <w:hideMark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val="en-US"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Study question</w:t>
            </w:r>
          </w:p>
        </w:tc>
        <w:tc>
          <w:tcPr>
            <w:tcW w:w="915" w:type="pct"/>
            <w:hideMark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val="en-US"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Points</w:t>
            </w:r>
          </w:p>
        </w:tc>
      </w:tr>
      <w:tr w:rsidR="00C76392" w:rsidRPr="000D7009" w:rsidTr="0080520F">
        <w:tc>
          <w:tcPr>
            <w:tcW w:w="4085" w:type="pct"/>
            <w:hideMark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Selection</w:t>
            </w:r>
            <w:r w:rsidRPr="000D7009">
              <w:rPr>
                <w:sz w:val="20"/>
                <w:szCs w:val="32"/>
                <w:lang w:val="en-US" w:eastAsia="en-GB"/>
              </w:rPr>
              <w:tab/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Adequacy of the case definition (1 point)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Representativeness of cases (1 point)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Selection of controls (1 point)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Definition of controls (1 point)</w:t>
            </w:r>
          </w:p>
        </w:tc>
        <w:tc>
          <w:tcPr>
            <w:tcW w:w="915" w:type="pct"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</w:p>
        </w:tc>
      </w:tr>
      <w:tr w:rsidR="00C76392" w:rsidRPr="000D7009" w:rsidTr="0080520F">
        <w:tc>
          <w:tcPr>
            <w:tcW w:w="4085" w:type="pct"/>
            <w:hideMark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Comparability</w:t>
            </w:r>
            <w:r w:rsidRPr="000D7009">
              <w:rPr>
                <w:sz w:val="20"/>
                <w:szCs w:val="32"/>
                <w:lang w:val="en-US" w:eastAsia="en-GB"/>
              </w:rPr>
              <w:tab/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val="en-US"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Comparability of cases and controls (2 points)</w:t>
            </w:r>
          </w:p>
        </w:tc>
        <w:tc>
          <w:tcPr>
            <w:tcW w:w="915" w:type="pct"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</w:p>
        </w:tc>
      </w:tr>
      <w:tr w:rsidR="00C76392" w:rsidRPr="000D7009" w:rsidTr="0080520F">
        <w:tc>
          <w:tcPr>
            <w:tcW w:w="4085" w:type="pct"/>
            <w:hideMark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Exposure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Assessment of exposure (1 point)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Same method of ascertainment for cases and controls (1 point)</w:t>
            </w:r>
          </w:p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  <w:r w:rsidRPr="000D7009">
              <w:rPr>
                <w:sz w:val="20"/>
                <w:szCs w:val="32"/>
                <w:lang w:val="en-US" w:eastAsia="en-GB"/>
              </w:rPr>
              <w:t>Non-response rate (1 point)</w:t>
            </w:r>
          </w:p>
        </w:tc>
        <w:tc>
          <w:tcPr>
            <w:tcW w:w="915" w:type="pct"/>
          </w:tcPr>
          <w:p w:rsidR="00C76392" w:rsidRPr="000D7009" w:rsidRDefault="00C76392" w:rsidP="0080520F">
            <w:pPr>
              <w:pStyle w:val="Heading1"/>
              <w:spacing w:line="480" w:lineRule="auto"/>
              <w:contextualSpacing/>
              <w:outlineLvl w:val="0"/>
              <w:rPr>
                <w:sz w:val="20"/>
                <w:szCs w:val="32"/>
                <w:lang w:eastAsia="en-GB"/>
              </w:rPr>
            </w:pPr>
          </w:p>
        </w:tc>
      </w:tr>
    </w:tbl>
    <w:p w:rsidR="00C76392" w:rsidRPr="000D7009" w:rsidRDefault="00C76392" w:rsidP="00C76392">
      <w:pPr>
        <w:pStyle w:val="Heading1"/>
        <w:spacing w:line="480" w:lineRule="auto"/>
        <w:contextualSpacing/>
        <w:rPr>
          <w:sz w:val="20"/>
          <w:szCs w:val="16"/>
        </w:rPr>
      </w:pPr>
      <w:r w:rsidRPr="000D7009">
        <w:rPr>
          <w:sz w:val="20"/>
          <w:szCs w:val="16"/>
          <w:lang w:val="en-US"/>
        </w:rPr>
        <w:t>Case-control studies were graded from 0 (poorest quality) to 9 (highest quality).</w:t>
      </w:r>
    </w:p>
    <w:p w:rsidR="00C76392" w:rsidRPr="000D7009" w:rsidRDefault="00C76392" w:rsidP="00C76392">
      <w:pPr>
        <w:pStyle w:val="Heading1"/>
        <w:spacing w:line="480" w:lineRule="auto"/>
        <w:contextualSpacing/>
        <w:rPr>
          <w:lang w:val="en-US" w:eastAsia="en-GB"/>
        </w:rPr>
      </w:pPr>
    </w:p>
    <w:p w:rsidR="002621DE" w:rsidRDefault="002621DE"/>
    <w:sectPr w:rsidR="002621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392"/>
    <w:rsid w:val="001B5A6C"/>
    <w:rsid w:val="002621DE"/>
    <w:rsid w:val="009A1B3B"/>
    <w:rsid w:val="00C7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9AD43"/>
  <w15:chartTrackingRefBased/>
  <w15:docId w15:val="{945986A8-2890-4479-B3E5-4FA9406FF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392"/>
    <w:pPr>
      <w:spacing w:after="0" w:line="360" w:lineRule="auto"/>
    </w:pPr>
  </w:style>
  <w:style w:type="paragraph" w:styleId="Heading1">
    <w:name w:val="heading 1"/>
    <w:basedOn w:val="Normal"/>
    <w:next w:val="Normal"/>
    <w:link w:val="Heading1Char"/>
    <w:qFormat/>
    <w:rsid w:val="00C76392"/>
    <w:pPr>
      <w:keepNext/>
      <w:keepLines/>
      <w:outlineLvl w:val="0"/>
    </w:pPr>
    <w:rPr>
      <w:rFonts w:eastAsiaTheme="majorEastAsia" w:cstheme="minorHAns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76392"/>
    <w:rPr>
      <w:rFonts w:eastAsiaTheme="majorEastAsia" w:cstheme="minorHAnsi"/>
      <w:b/>
      <w:bCs/>
    </w:rPr>
  </w:style>
  <w:style w:type="table" w:styleId="GridTable5Dark-Accent3">
    <w:name w:val="Grid Table 5 Dark Accent 3"/>
    <w:basedOn w:val="TableNormal"/>
    <w:uiPriority w:val="50"/>
    <w:rsid w:val="00C763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McLaughlin</dc:creator>
  <cp:keywords/>
  <dc:description/>
  <cp:lastModifiedBy>Kathryn McLaughlin</cp:lastModifiedBy>
  <cp:revision>1</cp:revision>
  <dcterms:created xsi:type="dcterms:W3CDTF">2022-10-21T13:45:00Z</dcterms:created>
  <dcterms:modified xsi:type="dcterms:W3CDTF">2022-10-21T13:46:00Z</dcterms:modified>
</cp:coreProperties>
</file>