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DEB4C" w14:textId="0D3F16E6" w:rsidR="00851976" w:rsidRDefault="00851976" w:rsidP="00851976">
      <w:pPr>
        <w:pStyle w:val="Heading1"/>
        <w:spacing w:line="480" w:lineRule="auto"/>
        <w:contextualSpacing/>
        <w:rPr>
          <w:lang w:val="en-US"/>
        </w:rPr>
      </w:pPr>
      <w:r w:rsidRPr="000D7009">
        <w:rPr>
          <w:lang w:val="en-US"/>
        </w:rPr>
        <w:t xml:space="preserve">Supplementary </w:t>
      </w:r>
      <w:r>
        <w:rPr>
          <w:lang w:val="en-US"/>
        </w:rPr>
        <w:t>file</w:t>
      </w:r>
      <w:r w:rsidRPr="000D7009">
        <w:rPr>
          <w:lang w:val="en-US"/>
        </w:rPr>
        <w:t xml:space="preserve"> </w:t>
      </w:r>
      <w:r>
        <w:rPr>
          <w:lang w:val="en-US"/>
        </w:rPr>
        <w:t>S</w:t>
      </w:r>
      <w:r w:rsidRPr="000D7009">
        <w:rPr>
          <w:lang w:val="en-US"/>
        </w:rPr>
        <w:t>8: Mean monthly headache or migraine days and mean reduction in monthly headache or migraine days at different timepoints</w:t>
      </w:r>
    </w:p>
    <w:p w14:paraId="485E2E6D" w14:textId="77777777" w:rsidR="00955A7C" w:rsidRPr="00955A7C" w:rsidRDefault="00955A7C" w:rsidP="00955A7C">
      <w:pPr>
        <w:rPr>
          <w:lang w:val="en-US"/>
        </w:rPr>
      </w:pPr>
    </w:p>
    <w:p w14:paraId="42E8AAD6" w14:textId="77777777" w:rsidR="00851976" w:rsidRDefault="00851976" w:rsidP="00851976">
      <w:pPr>
        <w:pStyle w:val="Heading1"/>
        <w:spacing w:line="480" w:lineRule="auto"/>
        <w:contextualSpacing/>
      </w:pPr>
      <w:bookmarkStart w:id="0" w:name="_Toc47722456"/>
      <w:r w:rsidRPr="000D7009">
        <w:rPr>
          <w:lang w:val="en-US"/>
        </w:rPr>
        <w:t xml:space="preserve">Table S8(i) Mean monthly headache or migraine days and mean reduction in headache or migraine days at different time points in chronic migraine </w:t>
      </w:r>
      <w:bookmarkEnd w:id="0"/>
      <w:r w:rsidRPr="000D7009">
        <w:rPr>
          <w:lang w:val="en-US"/>
        </w:rPr>
        <w:t>patients</w:t>
      </w:r>
    </w:p>
    <w:p w14:paraId="17E49FF8" w14:textId="77777777" w:rsidR="00851976" w:rsidRPr="00851976" w:rsidRDefault="00851976" w:rsidP="00851976"/>
    <w:tbl>
      <w:tblPr>
        <w:tblStyle w:val="GridTable4-Accent1110"/>
        <w:tblW w:w="15388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1129"/>
        <w:gridCol w:w="993"/>
        <w:gridCol w:w="1134"/>
        <w:gridCol w:w="1701"/>
        <w:gridCol w:w="992"/>
        <w:gridCol w:w="1843"/>
        <w:gridCol w:w="992"/>
        <w:gridCol w:w="1617"/>
        <w:gridCol w:w="1020"/>
        <w:gridCol w:w="1794"/>
        <w:gridCol w:w="1020"/>
        <w:gridCol w:w="1153"/>
      </w:tblGrid>
      <w:tr w:rsidR="00851976" w:rsidRPr="000D7009" w14:paraId="27DA8954" w14:textId="77777777" w:rsidTr="008519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38D9BCAB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rPr>
                <w:color w:val="FFFFFF" w:themeColor="background1"/>
                <w:sz w:val="18"/>
                <w:szCs w:val="18"/>
                <w:lang w:val="en-US" w:eastAsia="en-IN"/>
              </w:rPr>
            </w:pPr>
            <w:r w:rsidRPr="000D7009">
              <w:rPr>
                <w:color w:val="FFFFFF" w:themeColor="background1"/>
                <w:sz w:val="18"/>
                <w:szCs w:val="18"/>
                <w:lang w:val="en-US" w:eastAsia="en-IN"/>
              </w:rPr>
              <w:lastRenderedPageBreak/>
              <w:t xml:space="preserve">Treatment </w:t>
            </w:r>
          </w:p>
        </w:tc>
        <w:tc>
          <w:tcPr>
            <w:tcW w:w="9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1427C237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  <w:lang w:val="en-US" w:eastAsia="en-IN"/>
              </w:rPr>
            </w:pPr>
            <w:r w:rsidRPr="000D7009">
              <w:rPr>
                <w:color w:val="FFFFFF" w:themeColor="background1"/>
                <w:sz w:val="18"/>
                <w:szCs w:val="18"/>
                <w:lang w:val="en-US" w:eastAsia="en-IN"/>
              </w:rPr>
              <w:t>Baseline</w:t>
            </w:r>
          </w:p>
        </w:tc>
        <w:tc>
          <w:tcPr>
            <w:tcW w:w="283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54528681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  <w:lang w:val="en-US" w:eastAsia="en-IN"/>
              </w:rPr>
            </w:pPr>
            <w:r w:rsidRPr="000D7009">
              <w:rPr>
                <w:color w:val="FFFFFF" w:themeColor="background1"/>
                <w:sz w:val="18"/>
                <w:szCs w:val="18"/>
                <w:lang w:val="en-US" w:eastAsia="en-IN"/>
              </w:rPr>
              <w:t>3 months</w:t>
            </w:r>
          </w:p>
        </w:tc>
        <w:tc>
          <w:tcPr>
            <w:tcW w:w="283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7CFEEA7C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  <w:lang w:val="en-US" w:eastAsia="en-IN"/>
              </w:rPr>
            </w:pPr>
            <w:r w:rsidRPr="000D7009">
              <w:rPr>
                <w:color w:val="FFFFFF" w:themeColor="background1"/>
                <w:sz w:val="18"/>
                <w:szCs w:val="18"/>
                <w:lang w:val="en-US" w:eastAsia="en-IN"/>
              </w:rPr>
              <w:t>6 months</w:t>
            </w:r>
          </w:p>
        </w:tc>
        <w:tc>
          <w:tcPr>
            <w:tcW w:w="26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5A769F44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  <w:lang w:val="en-US" w:eastAsia="en-IN"/>
              </w:rPr>
            </w:pPr>
            <w:r w:rsidRPr="000D7009">
              <w:rPr>
                <w:color w:val="FFFFFF" w:themeColor="background1"/>
                <w:sz w:val="18"/>
                <w:szCs w:val="18"/>
                <w:lang w:val="en-US" w:eastAsia="en-IN"/>
              </w:rPr>
              <w:t>1 year</w:t>
            </w:r>
          </w:p>
        </w:tc>
        <w:tc>
          <w:tcPr>
            <w:tcW w:w="281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13C8D63D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  <w:lang w:val="en-US" w:eastAsia="en-IN"/>
              </w:rPr>
            </w:pPr>
            <w:r w:rsidRPr="000D7009">
              <w:rPr>
                <w:color w:val="FFFFFF" w:themeColor="background1"/>
                <w:sz w:val="18"/>
                <w:szCs w:val="18"/>
                <w:lang w:val="en-US" w:eastAsia="en-IN"/>
              </w:rPr>
              <w:t>2 years</w:t>
            </w:r>
          </w:p>
        </w:tc>
        <w:tc>
          <w:tcPr>
            <w:tcW w:w="217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1ACF902B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  <w:lang w:val="en-US" w:eastAsia="en-IN"/>
              </w:rPr>
            </w:pPr>
            <w:r w:rsidRPr="000D7009">
              <w:rPr>
                <w:color w:val="FFFFFF" w:themeColor="background1"/>
                <w:sz w:val="18"/>
                <w:szCs w:val="18"/>
                <w:lang w:val="en-US" w:eastAsia="en-IN"/>
              </w:rPr>
              <w:t>≥3 years</w:t>
            </w:r>
          </w:p>
        </w:tc>
      </w:tr>
      <w:tr w:rsidR="00851976" w:rsidRPr="000D7009" w14:paraId="22194826" w14:textId="77777777" w:rsidTr="008519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05D32ED7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rPr>
                <w:color w:val="FFFFFF" w:themeColor="background1"/>
                <w:sz w:val="18"/>
                <w:szCs w:val="18"/>
                <w:lang w:val="en-US" w:eastAsia="en-IN"/>
              </w:rPr>
            </w:pPr>
          </w:p>
        </w:tc>
        <w:tc>
          <w:tcPr>
            <w:tcW w:w="9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11B8A0FC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  <w:lang w:val="en-US" w:eastAsia="en-IN"/>
              </w:rPr>
            </w:pPr>
            <w:r w:rsidRPr="000D7009">
              <w:rPr>
                <w:color w:val="FFFFFF" w:themeColor="background1"/>
                <w:sz w:val="18"/>
                <w:szCs w:val="18"/>
                <w:lang w:val="en-US" w:eastAsia="en-IN"/>
              </w:rPr>
              <w:t xml:space="preserve">Mean values </w:t>
            </w:r>
            <w:r w:rsidRPr="000D7009">
              <w:rPr>
                <w:color w:val="FFFFFF" w:themeColor="background1"/>
                <w:sz w:val="18"/>
                <w:szCs w:val="18"/>
                <w:lang w:val="en-US" w:eastAsia="en-IN"/>
              </w:rPr>
              <w:br/>
              <w:t>(# studies)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7304A3D5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  <w:lang w:val="en-US" w:eastAsia="en-IN"/>
              </w:rPr>
            </w:pPr>
            <w:r w:rsidRPr="000D7009">
              <w:rPr>
                <w:color w:val="FFFFFF" w:themeColor="background1"/>
                <w:sz w:val="18"/>
                <w:szCs w:val="18"/>
                <w:lang w:val="en-US" w:eastAsia="en-IN"/>
              </w:rPr>
              <w:t xml:space="preserve">Mean values </w:t>
            </w:r>
            <w:r w:rsidRPr="000D7009">
              <w:rPr>
                <w:color w:val="FFFFFF" w:themeColor="background1"/>
                <w:sz w:val="18"/>
                <w:szCs w:val="18"/>
                <w:lang w:val="en-US" w:eastAsia="en-IN"/>
              </w:rPr>
              <w:br/>
              <w:t>(# studies)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140E1CBD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  <w:lang w:val="en-US" w:eastAsia="en-IN"/>
              </w:rPr>
            </w:pPr>
            <w:r w:rsidRPr="000D7009">
              <w:rPr>
                <w:color w:val="FFFFFF" w:themeColor="background1"/>
                <w:sz w:val="18"/>
                <w:szCs w:val="18"/>
                <w:lang w:val="en-US" w:eastAsia="en-IN"/>
              </w:rPr>
              <w:t>Mean reduction (# studies)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7C7149F6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  <w:lang w:val="en-US" w:eastAsia="en-IN"/>
              </w:rPr>
            </w:pPr>
            <w:r w:rsidRPr="000D7009">
              <w:rPr>
                <w:color w:val="FFFFFF" w:themeColor="background1"/>
                <w:sz w:val="18"/>
                <w:szCs w:val="18"/>
                <w:lang w:val="en-US" w:eastAsia="en-IN"/>
              </w:rPr>
              <w:t xml:space="preserve">Mean values </w:t>
            </w:r>
            <w:r w:rsidRPr="000D7009">
              <w:rPr>
                <w:color w:val="FFFFFF" w:themeColor="background1"/>
                <w:sz w:val="18"/>
                <w:szCs w:val="18"/>
                <w:lang w:val="en-US" w:eastAsia="en-IN"/>
              </w:rPr>
              <w:br/>
              <w:t>(# studies)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212F5143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  <w:lang w:val="en-US" w:eastAsia="en-IN"/>
              </w:rPr>
            </w:pPr>
            <w:r w:rsidRPr="000D7009">
              <w:rPr>
                <w:color w:val="FFFFFF" w:themeColor="background1"/>
                <w:sz w:val="18"/>
                <w:szCs w:val="18"/>
                <w:lang w:val="en-US" w:eastAsia="en-IN"/>
              </w:rPr>
              <w:t xml:space="preserve">Mean reduction </w:t>
            </w:r>
            <w:r w:rsidRPr="000D7009">
              <w:rPr>
                <w:color w:val="FFFFFF" w:themeColor="background1"/>
                <w:sz w:val="18"/>
                <w:szCs w:val="18"/>
                <w:lang w:val="en-US" w:eastAsia="en-IN"/>
              </w:rPr>
              <w:br/>
              <w:t>(# studies)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2F4D4A96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  <w:lang w:val="en-US" w:eastAsia="en-IN"/>
              </w:rPr>
            </w:pPr>
            <w:r w:rsidRPr="000D7009">
              <w:rPr>
                <w:color w:val="FFFFFF" w:themeColor="background1"/>
                <w:sz w:val="18"/>
                <w:szCs w:val="18"/>
                <w:lang w:val="en-US" w:eastAsia="en-IN"/>
              </w:rPr>
              <w:t xml:space="preserve">Mean values </w:t>
            </w:r>
            <w:r w:rsidRPr="000D7009">
              <w:rPr>
                <w:color w:val="FFFFFF" w:themeColor="background1"/>
                <w:sz w:val="18"/>
                <w:szCs w:val="18"/>
                <w:lang w:val="en-US" w:eastAsia="en-IN"/>
              </w:rPr>
              <w:br/>
              <w:t>(# studies)</w:t>
            </w:r>
          </w:p>
        </w:tc>
        <w:tc>
          <w:tcPr>
            <w:tcW w:w="16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43332EC3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  <w:lang w:val="en-US" w:eastAsia="en-IN"/>
              </w:rPr>
            </w:pPr>
            <w:r w:rsidRPr="000D7009">
              <w:rPr>
                <w:color w:val="FFFFFF" w:themeColor="background1"/>
                <w:sz w:val="18"/>
                <w:szCs w:val="18"/>
                <w:lang w:val="en-US" w:eastAsia="en-IN"/>
              </w:rPr>
              <w:t xml:space="preserve">Mean reduction </w:t>
            </w:r>
            <w:r w:rsidRPr="000D7009">
              <w:rPr>
                <w:color w:val="FFFFFF" w:themeColor="background1"/>
                <w:sz w:val="18"/>
                <w:szCs w:val="18"/>
                <w:lang w:val="en-US" w:eastAsia="en-IN"/>
              </w:rPr>
              <w:br/>
              <w:t>(# studies)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1D95D99D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  <w:lang w:val="en-US" w:eastAsia="en-IN"/>
              </w:rPr>
            </w:pPr>
            <w:r w:rsidRPr="000D7009">
              <w:rPr>
                <w:color w:val="FFFFFF" w:themeColor="background1"/>
                <w:sz w:val="18"/>
                <w:szCs w:val="18"/>
                <w:lang w:val="en-US" w:eastAsia="en-IN"/>
              </w:rPr>
              <w:t xml:space="preserve">Mean values </w:t>
            </w:r>
            <w:r w:rsidRPr="000D7009">
              <w:rPr>
                <w:color w:val="FFFFFF" w:themeColor="background1"/>
                <w:sz w:val="18"/>
                <w:szCs w:val="18"/>
                <w:lang w:val="en-US" w:eastAsia="en-IN"/>
              </w:rPr>
              <w:br/>
              <w:t>(# studies)</w:t>
            </w:r>
          </w:p>
        </w:tc>
        <w:tc>
          <w:tcPr>
            <w:tcW w:w="1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18CA2FA8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  <w:lang w:val="en-US" w:eastAsia="en-IN"/>
              </w:rPr>
            </w:pPr>
            <w:r w:rsidRPr="000D7009">
              <w:rPr>
                <w:color w:val="FFFFFF" w:themeColor="background1"/>
                <w:sz w:val="18"/>
                <w:szCs w:val="18"/>
                <w:lang w:val="en-US" w:eastAsia="en-IN"/>
              </w:rPr>
              <w:t xml:space="preserve">Mean reduction </w:t>
            </w:r>
            <w:r w:rsidRPr="000D7009">
              <w:rPr>
                <w:color w:val="FFFFFF" w:themeColor="background1"/>
                <w:sz w:val="18"/>
                <w:szCs w:val="18"/>
                <w:lang w:val="en-US" w:eastAsia="en-IN"/>
              </w:rPr>
              <w:br/>
              <w:t>(# studies)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1F930EC8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  <w:lang w:val="en-US" w:eastAsia="en-IN"/>
              </w:rPr>
            </w:pPr>
            <w:r w:rsidRPr="000D7009">
              <w:rPr>
                <w:color w:val="FFFFFF" w:themeColor="background1"/>
                <w:sz w:val="18"/>
                <w:szCs w:val="18"/>
                <w:lang w:val="en-US" w:eastAsia="en-IN"/>
              </w:rPr>
              <w:t xml:space="preserve">Mean values </w:t>
            </w:r>
            <w:r w:rsidRPr="000D7009">
              <w:rPr>
                <w:color w:val="FFFFFF" w:themeColor="background1"/>
                <w:sz w:val="18"/>
                <w:szCs w:val="18"/>
                <w:lang w:val="en-US" w:eastAsia="en-IN"/>
              </w:rPr>
              <w:br/>
              <w:t>(# studies)</w:t>
            </w:r>
          </w:p>
        </w:tc>
        <w:tc>
          <w:tcPr>
            <w:tcW w:w="11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67AAE4D2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8"/>
                <w:lang w:val="en-US" w:eastAsia="en-IN"/>
              </w:rPr>
            </w:pPr>
            <w:r w:rsidRPr="000D7009">
              <w:rPr>
                <w:color w:val="FFFFFF" w:themeColor="background1"/>
                <w:sz w:val="18"/>
                <w:szCs w:val="18"/>
                <w:lang w:val="en-US" w:eastAsia="en-IN"/>
              </w:rPr>
              <w:t xml:space="preserve">Mean reduction </w:t>
            </w:r>
            <w:r w:rsidRPr="000D7009">
              <w:rPr>
                <w:color w:val="FFFFFF" w:themeColor="background1"/>
                <w:sz w:val="18"/>
                <w:szCs w:val="18"/>
                <w:lang w:val="en-US" w:eastAsia="en-IN"/>
              </w:rPr>
              <w:br/>
              <w:t>(# studies)</w:t>
            </w:r>
          </w:p>
        </w:tc>
      </w:tr>
      <w:tr w:rsidR="00851976" w:rsidRPr="000D7009" w14:paraId="5538A425" w14:textId="77777777" w:rsidTr="008519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8" w:type="dxa"/>
            <w:gridSpan w:val="12"/>
            <w:shd w:val="clear" w:color="auto" w:fill="808080" w:themeFill="background1" w:themeFillShade="80"/>
            <w:noWrap/>
          </w:tcPr>
          <w:p w14:paraId="3EF196F2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rPr>
                <w:color w:val="FFFFFF" w:themeColor="background1"/>
                <w:sz w:val="18"/>
                <w:szCs w:val="18"/>
                <w:lang w:val="en-US" w:eastAsia="en-IN"/>
              </w:rPr>
            </w:pPr>
            <w:r w:rsidRPr="000D7009">
              <w:rPr>
                <w:color w:val="FFFFFF" w:themeColor="background1"/>
                <w:sz w:val="18"/>
                <w:szCs w:val="18"/>
                <w:lang w:val="en-US" w:eastAsia="en-IN"/>
              </w:rPr>
              <w:t>All patients irrespective of prior treatment status</w:t>
            </w:r>
          </w:p>
        </w:tc>
      </w:tr>
      <w:tr w:rsidR="00851976" w:rsidRPr="000D7009" w14:paraId="04D18A50" w14:textId="77777777" w:rsidTr="008519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</w:tcPr>
          <w:p w14:paraId="78FDFE4C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OnabotulinumtoxinA</w:t>
            </w:r>
          </w:p>
        </w:tc>
        <w:tc>
          <w:tcPr>
            <w:tcW w:w="993" w:type="dxa"/>
            <w:noWrap/>
          </w:tcPr>
          <w:p w14:paraId="4311A82A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12.9-27.0</w:t>
            </w:r>
            <w:r w:rsidRPr="000D7009">
              <w:rPr>
                <w:color w:val="000000"/>
                <w:sz w:val="18"/>
                <w:szCs w:val="18"/>
                <w:vertAlign w:val="superscript"/>
                <w:lang w:val="en-US" w:eastAsia="en-IN"/>
              </w:rPr>
              <w:t xml:space="preserve">† </w:t>
            </w:r>
            <w:r w:rsidRPr="000D7009">
              <w:rPr>
                <w:color w:val="000000"/>
                <w:sz w:val="18"/>
                <w:szCs w:val="18"/>
                <w:lang w:val="en-US" w:eastAsia="en-IN"/>
              </w:rPr>
              <w:t>(N=33)</w:t>
            </w:r>
          </w:p>
        </w:tc>
        <w:tc>
          <w:tcPr>
            <w:tcW w:w="1134" w:type="dxa"/>
            <w:noWrap/>
          </w:tcPr>
          <w:p w14:paraId="176D2528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5.0</w:t>
            </w:r>
            <w:r w:rsidRPr="000D7009">
              <w:rPr>
                <w:color w:val="000000"/>
                <w:sz w:val="18"/>
                <w:szCs w:val="18"/>
                <w:vertAlign w:val="superscript"/>
                <w:lang w:val="en-US" w:eastAsia="en-IN"/>
              </w:rPr>
              <w:t>†</w:t>
            </w:r>
            <w:r w:rsidRPr="000D7009">
              <w:rPr>
                <w:color w:val="000000"/>
                <w:sz w:val="18"/>
                <w:szCs w:val="18"/>
                <w:lang w:val="en-US" w:eastAsia="en-IN"/>
              </w:rPr>
              <w:t>-23.3 (N=14)</w:t>
            </w:r>
          </w:p>
        </w:tc>
        <w:tc>
          <w:tcPr>
            <w:tcW w:w="1701" w:type="dxa"/>
            <w:noWrap/>
          </w:tcPr>
          <w:p w14:paraId="51373776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6.5-12.9 (N=4); Statistically significant (N=11)</w:t>
            </w:r>
          </w:p>
        </w:tc>
        <w:tc>
          <w:tcPr>
            <w:tcW w:w="992" w:type="dxa"/>
            <w:noWrap/>
          </w:tcPr>
          <w:p w14:paraId="4E579218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5.0</w:t>
            </w:r>
            <w:r w:rsidRPr="000D7009">
              <w:rPr>
                <w:color w:val="000000"/>
                <w:sz w:val="18"/>
                <w:szCs w:val="18"/>
                <w:vertAlign w:val="superscript"/>
                <w:lang w:val="en-US" w:eastAsia="en-IN"/>
              </w:rPr>
              <w:t>†</w:t>
            </w:r>
            <w:r w:rsidRPr="000D7009">
              <w:rPr>
                <w:color w:val="000000"/>
                <w:sz w:val="18"/>
                <w:szCs w:val="18"/>
                <w:lang w:val="en-US" w:eastAsia="en-IN"/>
              </w:rPr>
              <w:t>-19.6</w:t>
            </w:r>
            <w:r w:rsidRPr="000D7009">
              <w:rPr>
                <w:color w:val="000000"/>
                <w:sz w:val="18"/>
                <w:szCs w:val="18"/>
                <w:vertAlign w:val="superscript"/>
                <w:lang w:val="en-US" w:eastAsia="en-IN"/>
              </w:rPr>
              <w:t>††</w:t>
            </w:r>
            <w:r w:rsidRPr="000D7009">
              <w:rPr>
                <w:color w:val="000000"/>
                <w:sz w:val="18"/>
                <w:szCs w:val="18"/>
                <w:lang w:val="en-US" w:eastAsia="en-IN"/>
              </w:rPr>
              <w:t xml:space="preserve"> (N=19)</w:t>
            </w:r>
          </w:p>
        </w:tc>
        <w:tc>
          <w:tcPr>
            <w:tcW w:w="1843" w:type="dxa"/>
            <w:noWrap/>
          </w:tcPr>
          <w:p w14:paraId="108C6F99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2.0</w:t>
            </w:r>
            <w:r w:rsidRPr="000D7009">
              <w:rPr>
                <w:color w:val="000000"/>
                <w:sz w:val="18"/>
                <w:szCs w:val="18"/>
                <w:vertAlign w:val="superscript"/>
                <w:lang w:val="en-US" w:eastAsia="en-IN"/>
              </w:rPr>
              <w:t>†</w:t>
            </w:r>
            <w:r w:rsidRPr="000D7009">
              <w:rPr>
                <w:color w:val="000000"/>
                <w:sz w:val="18"/>
                <w:szCs w:val="18"/>
                <w:lang w:val="en-US" w:eastAsia="en-IN"/>
              </w:rPr>
              <w:t>-14.7 (N=5); Statistically significant (N=15)</w:t>
            </w:r>
          </w:p>
        </w:tc>
        <w:tc>
          <w:tcPr>
            <w:tcW w:w="992" w:type="dxa"/>
            <w:noWrap/>
          </w:tcPr>
          <w:p w14:paraId="76A201FE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4.3</w:t>
            </w:r>
            <w:r w:rsidRPr="000D7009">
              <w:rPr>
                <w:color w:val="000000"/>
                <w:sz w:val="18"/>
                <w:szCs w:val="18"/>
                <w:vertAlign w:val="superscript"/>
                <w:lang w:val="en-US" w:eastAsia="en-IN"/>
              </w:rPr>
              <w:t>$</w:t>
            </w:r>
            <w:r w:rsidRPr="000D7009">
              <w:rPr>
                <w:color w:val="000000"/>
                <w:sz w:val="18"/>
                <w:szCs w:val="18"/>
                <w:lang w:val="en-US" w:eastAsia="en-IN"/>
              </w:rPr>
              <w:t>-17.4 (N=17)</w:t>
            </w:r>
          </w:p>
        </w:tc>
        <w:tc>
          <w:tcPr>
            <w:tcW w:w="1617" w:type="dxa"/>
            <w:noWrap/>
          </w:tcPr>
          <w:p w14:paraId="40335D11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10.0</w:t>
            </w:r>
            <w:r w:rsidRPr="000D7009">
              <w:rPr>
                <w:color w:val="000000"/>
                <w:sz w:val="18"/>
                <w:szCs w:val="18"/>
                <w:vertAlign w:val="superscript"/>
                <w:lang w:val="en-US" w:eastAsia="en-IN"/>
              </w:rPr>
              <w:t>$</w:t>
            </w:r>
            <w:r w:rsidRPr="000D7009">
              <w:rPr>
                <w:color w:val="000000"/>
                <w:sz w:val="18"/>
                <w:szCs w:val="18"/>
                <w:lang w:val="en-US" w:eastAsia="en-IN"/>
              </w:rPr>
              <w:t>-11.7 (N=2); Statistically significant (N=11)</w:t>
            </w:r>
          </w:p>
        </w:tc>
        <w:tc>
          <w:tcPr>
            <w:tcW w:w="1020" w:type="dxa"/>
            <w:noWrap/>
          </w:tcPr>
          <w:p w14:paraId="0D862F51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1.1-15.3 (N=9)</w:t>
            </w:r>
          </w:p>
        </w:tc>
        <w:tc>
          <w:tcPr>
            <w:tcW w:w="1794" w:type="dxa"/>
            <w:noWrap/>
          </w:tcPr>
          <w:p w14:paraId="6FD1FD9B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10.7</w:t>
            </w:r>
            <w:r w:rsidRPr="000D7009">
              <w:rPr>
                <w:color w:val="000000"/>
                <w:sz w:val="18"/>
                <w:szCs w:val="18"/>
                <w:vertAlign w:val="superscript"/>
                <w:lang w:val="en-US" w:eastAsia="en-IN"/>
              </w:rPr>
              <w:t>#</w:t>
            </w:r>
            <w:r w:rsidRPr="000D7009">
              <w:rPr>
                <w:color w:val="000000"/>
                <w:sz w:val="18"/>
                <w:szCs w:val="18"/>
                <w:lang w:val="en-US" w:eastAsia="en-IN"/>
              </w:rPr>
              <w:t>-13.1</w:t>
            </w:r>
            <w:r w:rsidRPr="000D7009">
              <w:rPr>
                <w:sz w:val="18"/>
                <w:szCs w:val="18"/>
                <w:vertAlign w:val="superscript"/>
                <w:lang w:val="en-US"/>
              </w:rPr>
              <w:t>$$</w:t>
            </w:r>
            <w:r w:rsidRPr="000D7009">
              <w:rPr>
                <w:color w:val="000000"/>
                <w:sz w:val="18"/>
                <w:szCs w:val="18"/>
                <w:vertAlign w:val="superscript"/>
                <w:lang w:val="en-US" w:eastAsia="en-IN"/>
              </w:rPr>
              <w:t xml:space="preserve"> </w:t>
            </w:r>
            <w:r w:rsidRPr="000D7009">
              <w:rPr>
                <w:color w:val="000000"/>
                <w:sz w:val="18"/>
                <w:szCs w:val="18"/>
                <w:lang w:val="en-US" w:eastAsia="en-IN"/>
              </w:rPr>
              <w:t>(N=2); Statistically significant (N=5)</w:t>
            </w:r>
          </w:p>
        </w:tc>
        <w:tc>
          <w:tcPr>
            <w:tcW w:w="1020" w:type="dxa"/>
            <w:noWrap/>
          </w:tcPr>
          <w:p w14:paraId="65FB1293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6.1-7.7 (N=2)</w:t>
            </w:r>
          </w:p>
        </w:tc>
        <w:tc>
          <w:tcPr>
            <w:tcW w:w="1153" w:type="dxa"/>
            <w:noWrap/>
          </w:tcPr>
          <w:p w14:paraId="6C048790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Statistically significant (N=3)</w:t>
            </w:r>
          </w:p>
        </w:tc>
      </w:tr>
      <w:tr w:rsidR="00851976" w:rsidRPr="000D7009" w14:paraId="4CE93BA4" w14:textId="77777777" w:rsidTr="008519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</w:tcPr>
          <w:p w14:paraId="75B3E139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Erenumab</w:t>
            </w:r>
          </w:p>
        </w:tc>
        <w:tc>
          <w:tcPr>
            <w:tcW w:w="993" w:type="dxa"/>
            <w:noWrap/>
          </w:tcPr>
          <w:p w14:paraId="10D43076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14.2-24.1 (N=4)</w:t>
            </w:r>
          </w:p>
        </w:tc>
        <w:tc>
          <w:tcPr>
            <w:tcW w:w="1134" w:type="dxa"/>
            <w:noWrap/>
          </w:tcPr>
          <w:p w14:paraId="3753CFF2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7.1-16.6 (N=4)</w:t>
            </w:r>
          </w:p>
        </w:tc>
        <w:tc>
          <w:tcPr>
            <w:tcW w:w="1701" w:type="dxa"/>
            <w:noWrap/>
          </w:tcPr>
          <w:p w14:paraId="255D4FC8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14.5 (N=1); Statistically significant (N=1)</w:t>
            </w:r>
          </w:p>
        </w:tc>
        <w:tc>
          <w:tcPr>
            <w:tcW w:w="992" w:type="dxa"/>
            <w:noWrap/>
          </w:tcPr>
          <w:p w14:paraId="07CA6F78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18.4 (N=1)</w:t>
            </w:r>
          </w:p>
        </w:tc>
        <w:tc>
          <w:tcPr>
            <w:tcW w:w="1843" w:type="dxa"/>
            <w:noWrap/>
          </w:tcPr>
          <w:p w14:paraId="7C2310D4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6.8-7.4 (N=1); Statistically significant (N=1)</w:t>
            </w:r>
          </w:p>
        </w:tc>
        <w:tc>
          <w:tcPr>
            <w:tcW w:w="992" w:type="dxa"/>
            <w:noWrap/>
          </w:tcPr>
          <w:p w14:paraId="684984BB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NA</w:t>
            </w:r>
          </w:p>
        </w:tc>
        <w:tc>
          <w:tcPr>
            <w:tcW w:w="1617" w:type="dxa"/>
            <w:noWrap/>
          </w:tcPr>
          <w:p w14:paraId="6775F38A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NA</w:t>
            </w:r>
          </w:p>
        </w:tc>
        <w:tc>
          <w:tcPr>
            <w:tcW w:w="1020" w:type="dxa"/>
            <w:noWrap/>
          </w:tcPr>
          <w:p w14:paraId="330CEDC5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NA</w:t>
            </w:r>
          </w:p>
        </w:tc>
        <w:tc>
          <w:tcPr>
            <w:tcW w:w="1794" w:type="dxa"/>
            <w:noWrap/>
          </w:tcPr>
          <w:p w14:paraId="120A62FB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NA</w:t>
            </w:r>
          </w:p>
        </w:tc>
        <w:tc>
          <w:tcPr>
            <w:tcW w:w="1020" w:type="dxa"/>
            <w:noWrap/>
          </w:tcPr>
          <w:p w14:paraId="3383E471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NA</w:t>
            </w:r>
          </w:p>
        </w:tc>
        <w:tc>
          <w:tcPr>
            <w:tcW w:w="1153" w:type="dxa"/>
            <w:noWrap/>
          </w:tcPr>
          <w:p w14:paraId="65DF91CC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NA</w:t>
            </w:r>
          </w:p>
        </w:tc>
      </w:tr>
      <w:tr w:rsidR="00851976" w:rsidRPr="000D7009" w14:paraId="1097D273" w14:textId="77777777" w:rsidTr="008519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</w:tcPr>
          <w:p w14:paraId="2AA1D813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Topiramate</w:t>
            </w:r>
          </w:p>
        </w:tc>
        <w:tc>
          <w:tcPr>
            <w:tcW w:w="993" w:type="dxa"/>
            <w:noWrap/>
          </w:tcPr>
          <w:p w14:paraId="1DEB0E0C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23.1 (N=1)</w:t>
            </w:r>
          </w:p>
        </w:tc>
        <w:tc>
          <w:tcPr>
            <w:tcW w:w="1134" w:type="dxa"/>
            <w:noWrap/>
          </w:tcPr>
          <w:p w14:paraId="5D869E3A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14.9 (N=1)</w:t>
            </w:r>
          </w:p>
        </w:tc>
        <w:tc>
          <w:tcPr>
            <w:tcW w:w="1701" w:type="dxa"/>
            <w:noWrap/>
          </w:tcPr>
          <w:p w14:paraId="1070F5EF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Statistically significant (N=1)</w:t>
            </w:r>
          </w:p>
        </w:tc>
        <w:tc>
          <w:tcPr>
            <w:tcW w:w="992" w:type="dxa"/>
            <w:noWrap/>
          </w:tcPr>
          <w:p w14:paraId="589783A6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NA</w:t>
            </w:r>
          </w:p>
        </w:tc>
        <w:tc>
          <w:tcPr>
            <w:tcW w:w="1843" w:type="dxa"/>
            <w:noWrap/>
          </w:tcPr>
          <w:p w14:paraId="47A26F7D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NA</w:t>
            </w:r>
          </w:p>
        </w:tc>
        <w:tc>
          <w:tcPr>
            <w:tcW w:w="992" w:type="dxa"/>
            <w:noWrap/>
          </w:tcPr>
          <w:p w14:paraId="3D9BF5BD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NA</w:t>
            </w:r>
          </w:p>
        </w:tc>
        <w:tc>
          <w:tcPr>
            <w:tcW w:w="1617" w:type="dxa"/>
            <w:noWrap/>
          </w:tcPr>
          <w:p w14:paraId="232F19A5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NA</w:t>
            </w:r>
          </w:p>
        </w:tc>
        <w:tc>
          <w:tcPr>
            <w:tcW w:w="1020" w:type="dxa"/>
            <w:noWrap/>
          </w:tcPr>
          <w:p w14:paraId="60F79B71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NA</w:t>
            </w:r>
          </w:p>
        </w:tc>
        <w:tc>
          <w:tcPr>
            <w:tcW w:w="1794" w:type="dxa"/>
            <w:noWrap/>
          </w:tcPr>
          <w:p w14:paraId="1613295A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NA</w:t>
            </w:r>
          </w:p>
        </w:tc>
        <w:tc>
          <w:tcPr>
            <w:tcW w:w="1020" w:type="dxa"/>
            <w:noWrap/>
          </w:tcPr>
          <w:p w14:paraId="7826195D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NA</w:t>
            </w:r>
          </w:p>
        </w:tc>
        <w:tc>
          <w:tcPr>
            <w:tcW w:w="1153" w:type="dxa"/>
            <w:noWrap/>
          </w:tcPr>
          <w:p w14:paraId="68A80369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NA</w:t>
            </w:r>
          </w:p>
        </w:tc>
      </w:tr>
      <w:tr w:rsidR="00851976" w:rsidRPr="000D7009" w14:paraId="352C3C11" w14:textId="77777777" w:rsidTr="008519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8" w:type="dxa"/>
            <w:gridSpan w:val="12"/>
            <w:shd w:val="clear" w:color="auto" w:fill="808080" w:themeFill="background1" w:themeFillShade="80"/>
            <w:noWrap/>
            <w:hideMark/>
          </w:tcPr>
          <w:p w14:paraId="2B71508F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FFFFFF" w:themeColor="background1"/>
                <w:sz w:val="18"/>
                <w:szCs w:val="18"/>
                <w:lang w:val="en-US" w:eastAsia="en-IN"/>
              </w:rPr>
              <w:t>Previously treated patients</w:t>
            </w:r>
          </w:p>
        </w:tc>
      </w:tr>
      <w:tr w:rsidR="00851976" w:rsidRPr="000D7009" w14:paraId="732FA18F" w14:textId="77777777" w:rsidTr="008519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7D0921E7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OnabotulinumtoxinA</w:t>
            </w:r>
          </w:p>
        </w:tc>
        <w:tc>
          <w:tcPr>
            <w:tcW w:w="993" w:type="dxa"/>
            <w:noWrap/>
            <w:hideMark/>
          </w:tcPr>
          <w:p w14:paraId="626690EE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13.0-27.0</w:t>
            </w:r>
            <w:r w:rsidRPr="000D7009">
              <w:rPr>
                <w:color w:val="000000"/>
                <w:sz w:val="18"/>
                <w:szCs w:val="18"/>
                <w:vertAlign w:val="superscript"/>
                <w:lang w:val="en-US" w:eastAsia="en-IN"/>
              </w:rPr>
              <w:t>†</w:t>
            </w:r>
            <w:r w:rsidRPr="000D7009">
              <w:rPr>
                <w:color w:val="000000"/>
                <w:sz w:val="18"/>
                <w:szCs w:val="18"/>
                <w:lang w:val="en-US" w:eastAsia="en-IN"/>
              </w:rPr>
              <w:t xml:space="preserve"> (N=23)</w:t>
            </w:r>
          </w:p>
        </w:tc>
        <w:tc>
          <w:tcPr>
            <w:tcW w:w="1134" w:type="dxa"/>
            <w:noWrap/>
            <w:hideMark/>
          </w:tcPr>
          <w:p w14:paraId="13D2D79A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5.0</w:t>
            </w:r>
            <w:r w:rsidRPr="000D7009">
              <w:rPr>
                <w:color w:val="000000"/>
                <w:sz w:val="18"/>
                <w:szCs w:val="18"/>
                <w:vertAlign w:val="superscript"/>
                <w:lang w:val="en-US" w:eastAsia="en-IN"/>
              </w:rPr>
              <w:t>†</w:t>
            </w:r>
            <w:r w:rsidRPr="000D7009">
              <w:rPr>
                <w:color w:val="000000"/>
                <w:sz w:val="18"/>
                <w:szCs w:val="18"/>
                <w:lang w:val="en-US" w:eastAsia="en-IN"/>
              </w:rPr>
              <w:t>-23.3 (N=11)</w:t>
            </w:r>
          </w:p>
        </w:tc>
        <w:tc>
          <w:tcPr>
            <w:tcW w:w="1701" w:type="dxa"/>
            <w:noWrap/>
            <w:hideMark/>
          </w:tcPr>
          <w:p w14:paraId="1AA5D9F5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6.5-12.9 (N=4); Statistically significant (N=10)</w:t>
            </w:r>
          </w:p>
        </w:tc>
        <w:tc>
          <w:tcPr>
            <w:tcW w:w="992" w:type="dxa"/>
            <w:noWrap/>
            <w:hideMark/>
          </w:tcPr>
          <w:p w14:paraId="67A74985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3.9-19.1 (N=13)</w:t>
            </w:r>
          </w:p>
        </w:tc>
        <w:tc>
          <w:tcPr>
            <w:tcW w:w="1843" w:type="dxa"/>
            <w:noWrap/>
            <w:hideMark/>
          </w:tcPr>
          <w:p w14:paraId="17BC5207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2.0</w:t>
            </w:r>
            <w:r w:rsidRPr="000D7009">
              <w:rPr>
                <w:color w:val="000000"/>
                <w:sz w:val="18"/>
                <w:szCs w:val="18"/>
                <w:vertAlign w:val="superscript"/>
                <w:lang w:val="en-US" w:eastAsia="en-IN"/>
              </w:rPr>
              <w:t>†</w:t>
            </w:r>
            <w:r w:rsidRPr="000D7009">
              <w:rPr>
                <w:color w:val="000000"/>
                <w:sz w:val="18"/>
                <w:szCs w:val="18"/>
                <w:lang w:val="en-US" w:eastAsia="en-IN"/>
              </w:rPr>
              <w:t>-14.7 (N=6); Statistically significant (N=13)</w:t>
            </w:r>
          </w:p>
        </w:tc>
        <w:tc>
          <w:tcPr>
            <w:tcW w:w="992" w:type="dxa"/>
            <w:noWrap/>
            <w:hideMark/>
          </w:tcPr>
          <w:p w14:paraId="2EA3A0CC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5.4-17.4 (N=12)</w:t>
            </w:r>
          </w:p>
        </w:tc>
        <w:tc>
          <w:tcPr>
            <w:tcW w:w="1617" w:type="dxa"/>
            <w:noWrap/>
            <w:hideMark/>
          </w:tcPr>
          <w:p w14:paraId="565C8C2C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9.4-11.7 (N=2); Statistically significant (N=9)</w:t>
            </w:r>
          </w:p>
        </w:tc>
        <w:tc>
          <w:tcPr>
            <w:tcW w:w="1020" w:type="dxa"/>
            <w:noWrap/>
            <w:hideMark/>
          </w:tcPr>
          <w:p w14:paraId="377A5A90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3.8-15.3 (N=5)</w:t>
            </w:r>
          </w:p>
        </w:tc>
        <w:tc>
          <w:tcPr>
            <w:tcW w:w="1794" w:type="dxa"/>
            <w:noWrap/>
            <w:hideMark/>
          </w:tcPr>
          <w:p w14:paraId="6BF11356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13.1</w:t>
            </w:r>
            <w:r w:rsidRPr="000D7009">
              <w:rPr>
                <w:sz w:val="18"/>
                <w:szCs w:val="18"/>
                <w:vertAlign w:val="superscript"/>
                <w:lang w:val="en-US"/>
              </w:rPr>
              <w:t>$$</w:t>
            </w:r>
            <w:r w:rsidRPr="000D7009">
              <w:rPr>
                <w:color w:val="000000"/>
                <w:sz w:val="18"/>
                <w:szCs w:val="18"/>
                <w:lang w:val="en-US" w:eastAsia="en-IN"/>
              </w:rPr>
              <w:t xml:space="preserve"> (N=1); Statistically significant (N=5)</w:t>
            </w:r>
          </w:p>
        </w:tc>
        <w:tc>
          <w:tcPr>
            <w:tcW w:w="1020" w:type="dxa"/>
            <w:noWrap/>
            <w:hideMark/>
          </w:tcPr>
          <w:p w14:paraId="1A7FBFF5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6.1-6.3 (N=1)</w:t>
            </w:r>
          </w:p>
        </w:tc>
        <w:tc>
          <w:tcPr>
            <w:tcW w:w="1153" w:type="dxa"/>
            <w:noWrap/>
            <w:hideMark/>
          </w:tcPr>
          <w:p w14:paraId="31F3DB45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Statistically significant (N=3)</w:t>
            </w:r>
          </w:p>
        </w:tc>
      </w:tr>
      <w:tr w:rsidR="00851976" w:rsidRPr="000D7009" w14:paraId="1C2ECD17" w14:textId="77777777" w:rsidTr="008519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555CD55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Erenumab</w:t>
            </w:r>
          </w:p>
        </w:tc>
        <w:tc>
          <w:tcPr>
            <w:tcW w:w="993" w:type="dxa"/>
            <w:noWrap/>
            <w:hideMark/>
          </w:tcPr>
          <w:p w14:paraId="47B2FC63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14.2-24.1 (N=4)</w:t>
            </w:r>
          </w:p>
        </w:tc>
        <w:tc>
          <w:tcPr>
            <w:tcW w:w="1134" w:type="dxa"/>
            <w:noWrap/>
            <w:hideMark/>
          </w:tcPr>
          <w:p w14:paraId="388938E2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7.1-16.6 (N=3)</w:t>
            </w:r>
          </w:p>
        </w:tc>
        <w:tc>
          <w:tcPr>
            <w:tcW w:w="1701" w:type="dxa"/>
            <w:noWrap/>
            <w:hideMark/>
          </w:tcPr>
          <w:p w14:paraId="0358048E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14.5 (N=1); Statistically significant (N=1)</w:t>
            </w:r>
          </w:p>
        </w:tc>
        <w:tc>
          <w:tcPr>
            <w:tcW w:w="992" w:type="dxa"/>
            <w:noWrap/>
            <w:hideMark/>
          </w:tcPr>
          <w:p w14:paraId="62B375E1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18.4 (N=1)</w:t>
            </w:r>
          </w:p>
        </w:tc>
        <w:tc>
          <w:tcPr>
            <w:tcW w:w="1843" w:type="dxa"/>
            <w:noWrap/>
            <w:hideMark/>
          </w:tcPr>
          <w:p w14:paraId="19BE1EB8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6.8-7.4 (N=1); Statistically significant (N=1)</w:t>
            </w:r>
          </w:p>
        </w:tc>
        <w:tc>
          <w:tcPr>
            <w:tcW w:w="992" w:type="dxa"/>
            <w:noWrap/>
            <w:hideMark/>
          </w:tcPr>
          <w:p w14:paraId="2DAD347D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NA</w:t>
            </w:r>
          </w:p>
        </w:tc>
        <w:tc>
          <w:tcPr>
            <w:tcW w:w="1617" w:type="dxa"/>
            <w:noWrap/>
            <w:hideMark/>
          </w:tcPr>
          <w:p w14:paraId="68C3695D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NA</w:t>
            </w:r>
          </w:p>
        </w:tc>
        <w:tc>
          <w:tcPr>
            <w:tcW w:w="1020" w:type="dxa"/>
            <w:noWrap/>
            <w:hideMark/>
          </w:tcPr>
          <w:p w14:paraId="2BADF957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NA</w:t>
            </w:r>
          </w:p>
        </w:tc>
        <w:tc>
          <w:tcPr>
            <w:tcW w:w="1794" w:type="dxa"/>
            <w:noWrap/>
            <w:hideMark/>
          </w:tcPr>
          <w:p w14:paraId="4C434F4E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NA</w:t>
            </w:r>
          </w:p>
        </w:tc>
        <w:tc>
          <w:tcPr>
            <w:tcW w:w="1020" w:type="dxa"/>
            <w:noWrap/>
            <w:hideMark/>
          </w:tcPr>
          <w:p w14:paraId="4D462EDD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NA</w:t>
            </w:r>
          </w:p>
        </w:tc>
        <w:tc>
          <w:tcPr>
            <w:tcW w:w="1153" w:type="dxa"/>
            <w:noWrap/>
            <w:hideMark/>
          </w:tcPr>
          <w:p w14:paraId="1880B1B9" w14:textId="77777777" w:rsidR="00851976" w:rsidRPr="000D7009" w:rsidRDefault="00851976" w:rsidP="0080520F">
            <w:pPr>
              <w:pStyle w:val="Heading1"/>
              <w:spacing w:line="480" w:lineRule="auto"/>
              <w:contextualSpacing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 w:eastAsia="en-IN"/>
              </w:rPr>
            </w:pPr>
            <w:r w:rsidRPr="000D7009">
              <w:rPr>
                <w:color w:val="000000"/>
                <w:sz w:val="18"/>
                <w:szCs w:val="18"/>
                <w:lang w:val="en-US" w:eastAsia="en-IN"/>
              </w:rPr>
              <w:t>NA</w:t>
            </w:r>
          </w:p>
        </w:tc>
      </w:tr>
    </w:tbl>
    <w:p w14:paraId="3F992D48" w14:textId="77777777" w:rsidR="00955A7C" w:rsidRPr="00EA6229" w:rsidRDefault="00955A7C" w:rsidP="00955A7C">
      <w:pPr>
        <w:pStyle w:val="Heading1"/>
        <w:spacing w:line="480" w:lineRule="auto"/>
        <w:contextualSpacing/>
        <w:rPr>
          <w:b w:val="0"/>
          <w:bCs w:val="0"/>
        </w:rPr>
      </w:pPr>
      <w:r w:rsidRPr="00EA6229">
        <w:rPr>
          <w:b w:val="0"/>
          <w:bCs w:val="0"/>
          <w:lang w:val="en-US"/>
        </w:rPr>
        <w:lastRenderedPageBreak/>
        <w:t>N is the number of studies reporting data at the time point; NA: not available.</w:t>
      </w:r>
    </w:p>
    <w:p w14:paraId="726AFB7E" w14:textId="77777777" w:rsidR="00955A7C" w:rsidRPr="00EA6229" w:rsidRDefault="00955A7C" w:rsidP="00955A7C">
      <w:pPr>
        <w:pStyle w:val="Heading1"/>
        <w:spacing w:line="480" w:lineRule="auto"/>
        <w:contextualSpacing/>
        <w:rPr>
          <w:b w:val="0"/>
          <w:bCs w:val="0"/>
        </w:rPr>
      </w:pPr>
      <w:r w:rsidRPr="00EA6229">
        <w:rPr>
          <w:b w:val="0"/>
          <w:bCs w:val="0"/>
          <w:vertAlign w:val="superscript"/>
          <w:lang w:val="en-US"/>
        </w:rPr>
        <w:t>†</w:t>
      </w:r>
      <w:r w:rsidRPr="00EA6229">
        <w:rPr>
          <w:b w:val="0"/>
          <w:bCs w:val="0"/>
          <w:lang w:val="en-US"/>
        </w:rPr>
        <w:t xml:space="preserve">Median values were reported; </w:t>
      </w:r>
      <w:r w:rsidRPr="00EA6229">
        <w:rPr>
          <w:b w:val="0"/>
          <w:bCs w:val="0"/>
          <w:vertAlign w:val="superscript"/>
          <w:lang w:val="en-US"/>
        </w:rPr>
        <w:t>#</w:t>
      </w:r>
      <w:r w:rsidRPr="00EA6229">
        <w:rPr>
          <w:b w:val="0"/>
          <w:bCs w:val="0"/>
          <w:lang w:val="en-US"/>
        </w:rPr>
        <w:t xml:space="preserve">Value assessed at 27 months; </w:t>
      </w:r>
      <w:r w:rsidRPr="00EA6229">
        <w:rPr>
          <w:b w:val="0"/>
          <w:bCs w:val="0"/>
          <w:color w:val="000000"/>
          <w:vertAlign w:val="superscript"/>
          <w:lang w:val="en-US" w:eastAsia="en-IN"/>
        </w:rPr>
        <w:t>$</w:t>
      </w:r>
      <w:r w:rsidRPr="00EA6229">
        <w:rPr>
          <w:b w:val="0"/>
          <w:bCs w:val="0"/>
          <w:color w:val="000000"/>
          <w:lang w:val="en-US" w:eastAsia="en-IN"/>
        </w:rPr>
        <w:t xml:space="preserve">: </w:t>
      </w:r>
      <w:r w:rsidRPr="00EA6229">
        <w:rPr>
          <w:b w:val="0"/>
          <w:bCs w:val="0"/>
          <w:lang w:val="en-US"/>
        </w:rPr>
        <w:t>Value assessed at 15 months;</w:t>
      </w:r>
      <w:r w:rsidRPr="00EA6229">
        <w:rPr>
          <w:b w:val="0"/>
          <w:bCs w:val="0"/>
          <w:vertAlign w:val="superscript"/>
          <w:lang w:val="en-US"/>
        </w:rPr>
        <w:t xml:space="preserve"> $$</w:t>
      </w:r>
      <w:r w:rsidRPr="00EA6229">
        <w:rPr>
          <w:b w:val="0"/>
          <w:bCs w:val="0"/>
          <w:lang w:val="en-US"/>
        </w:rPr>
        <w:t>Value assessed at 21 months;</w:t>
      </w:r>
      <w:r w:rsidRPr="00EA6229">
        <w:rPr>
          <w:b w:val="0"/>
          <w:bCs w:val="0"/>
          <w:vertAlign w:val="superscript"/>
          <w:lang w:val="en-US"/>
        </w:rPr>
        <w:t xml:space="preserve"> ††</w:t>
      </w:r>
      <w:r w:rsidRPr="00EA6229">
        <w:rPr>
          <w:b w:val="0"/>
          <w:bCs w:val="0"/>
          <w:lang w:val="en-US"/>
        </w:rPr>
        <w:t>Value estimated using Digitizer.</w:t>
      </w:r>
    </w:p>
    <w:p w14:paraId="4A7EBEC0" w14:textId="77777777" w:rsidR="002621DE" w:rsidRDefault="002621DE" w:rsidP="00851976"/>
    <w:sectPr w:rsidR="002621DE" w:rsidSect="0085197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40C1A" w14:textId="77777777" w:rsidR="007306BE" w:rsidRDefault="007306BE" w:rsidP="00851976">
      <w:pPr>
        <w:spacing w:line="240" w:lineRule="auto"/>
      </w:pPr>
      <w:r>
        <w:separator/>
      </w:r>
    </w:p>
  </w:endnote>
  <w:endnote w:type="continuationSeparator" w:id="0">
    <w:p w14:paraId="02D9D8B2" w14:textId="77777777" w:rsidR="007306BE" w:rsidRDefault="007306BE" w:rsidP="008519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8ABF4" w14:textId="77777777" w:rsidR="007306BE" w:rsidRDefault="007306BE" w:rsidP="00851976">
      <w:pPr>
        <w:spacing w:line="240" w:lineRule="auto"/>
      </w:pPr>
      <w:r>
        <w:separator/>
      </w:r>
    </w:p>
  </w:footnote>
  <w:footnote w:type="continuationSeparator" w:id="0">
    <w:p w14:paraId="19493437" w14:textId="77777777" w:rsidR="007306BE" w:rsidRDefault="007306BE" w:rsidP="0085197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976"/>
    <w:rsid w:val="001B5A6C"/>
    <w:rsid w:val="002621DE"/>
    <w:rsid w:val="007306BE"/>
    <w:rsid w:val="00851976"/>
    <w:rsid w:val="00955A7C"/>
    <w:rsid w:val="009A1B3B"/>
    <w:rsid w:val="00CD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4032D"/>
  <w15:chartTrackingRefBased/>
  <w15:docId w15:val="{0AA45A3A-AECC-45C2-B947-B2099496E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976"/>
    <w:pPr>
      <w:spacing w:after="0" w:line="360" w:lineRule="auto"/>
    </w:pPr>
  </w:style>
  <w:style w:type="paragraph" w:styleId="Heading1">
    <w:name w:val="heading 1"/>
    <w:basedOn w:val="Normal"/>
    <w:next w:val="Normal"/>
    <w:link w:val="Heading1Char"/>
    <w:qFormat/>
    <w:rsid w:val="00851976"/>
    <w:pPr>
      <w:keepNext/>
      <w:keepLines/>
      <w:outlineLvl w:val="0"/>
    </w:pPr>
    <w:rPr>
      <w:rFonts w:eastAsiaTheme="majorEastAsia" w:cstheme="minorHAns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1976"/>
    <w:rPr>
      <w:rFonts w:eastAsiaTheme="majorEastAsia" w:cstheme="minorHAnsi"/>
      <w:b/>
      <w:bCs/>
    </w:rPr>
  </w:style>
  <w:style w:type="table" w:customStyle="1" w:styleId="GridTable4-Accent1110">
    <w:name w:val="Grid Table 4 - Accent 1110"/>
    <w:basedOn w:val="TableNormal"/>
    <w:uiPriority w:val="49"/>
    <w:rsid w:val="00851976"/>
    <w:pPr>
      <w:spacing w:after="0" w:line="240" w:lineRule="auto"/>
    </w:pPr>
    <w:rPr>
      <w:rFonts w:eastAsia="Times New Roman"/>
      <w:lang w:eastAsia="en-GB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Header">
    <w:name w:val="header"/>
    <w:basedOn w:val="Normal"/>
    <w:link w:val="HeaderChar"/>
    <w:uiPriority w:val="99"/>
    <w:unhideWhenUsed/>
    <w:rsid w:val="008519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1976"/>
  </w:style>
  <w:style w:type="paragraph" w:styleId="Footer">
    <w:name w:val="footer"/>
    <w:basedOn w:val="Normal"/>
    <w:link w:val="FooterChar"/>
    <w:uiPriority w:val="99"/>
    <w:unhideWhenUsed/>
    <w:rsid w:val="008519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1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McLaughlin</dc:creator>
  <cp:keywords/>
  <dc:description/>
  <cp:lastModifiedBy>OH-Edit-LZ</cp:lastModifiedBy>
  <cp:revision>3</cp:revision>
  <dcterms:created xsi:type="dcterms:W3CDTF">2022-10-31T13:36:00Z</dcterms:created>
  <dcterms:modified xsi:type="dcterms:W3CDTF">2022-11-01T13:23:00Z</dcterms:modified>
</cp:coreProperties>
</file>