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405DA" w14:textId="77777777" w:rsidR="005C1DEF" w:rsidRPr="000D7009" w:rsidRDefault="005C1DEF" w:rsidP="005C1DEF">
      <w:pPr>
        <w:pStyle w:val="Heading1"/>
        <w:spacing w:line="480" w:lineRule="auto"/>
        <w:contextualSpacing/>
        <w:rPr>
          <w:lang w:val="en-US"/>
        </w:rPr>
      </w:pPr>
      <w:bookmarkStart w:id="0" w:name="_Toc47722465"/>
      <w:bookmarkStart w:id="1" w:name="_Ref45707630"/>
      <w:r w:rsidRPr="000D7009">
        <w:rPr>
          <w:lang w:val="en-US"/>
        </w:rPr>
        <w:t xml:space="preserve">Supplementary </w:t>
      </w:r>
      <w:r>
        <w:rPr>
          <w:lang w:val="en-US"/>
        </w:rPr>
        <w:t>file</w:t>
      </w:r>
      <w:r w:rsidRPr="000D7009">
        <w:rPr>
          <w:lang w:val="en-US"/>
        </w:rPr>
        <w:t xml:space="preserve"> </w:t>
      </w:r>
      <w:r>
        <w:rPr>
          <w:lang w:val="en-US"/>
        </w:rPr>
        <w:t>S</w:t>
      </w:r>
      <w:r w:rsidRPr="000D7009">
        <w:rPr>
          <w:lang w:val="en-US"/>
        </w:rPr>
        <w:t>9: Mean concomitant acute medication use and mean reduction in concomitant acute medication use at different timepoints</w:t>
      </w:r>
    </w:p>
    <w:bookmarkEnd w:id="1"/>
    <w:p w14:paraId="5C434973" w14:textId="77777777" w:rsidR="00DC0D5C" w:rsidRDefault="00DC0D5C" w:rsidP="00DC0D5C">
      <w:pPr>
        <w:rPr>
          <w:b/>
          <w:bCs/>
          <w:lang w:val="en-US"/>
        </w:rPr>
      </w:pPr>
    </w:p>
    <w:p w14:paraId="78E12F98" w14:textId="00EE97D4" w:rsidR="005C1DEF" w:rsidRPr="00DC0D5C" w:rsidRDefault="005C1DEF" w:rsidP="00DC0D5C">
      <w:pPr>
        <w:rPr>
          <w:b/>
          <w:bCs/>
          <w:sz w:val="20"/>
          <w:szCs w:val="20"/>
          <w:lang w:eastAsia="en-GB"/>
        </w:rPr>
      </w:pPr>
      <w:r w:rsidRPr="00DC0D5C">
        <w:rPr>
          <w:b/>
          <w:bCs/>
          <w:lang w:val="en-US"/>
        </w:rPr>
        <w:t>Table S9(</w:t>
      </w:r>
      <w:proofErr w:type="spellStart"/>
      <w:r w:rsidRPr="00DC0D5C">
        <w:rPr>
          <w:b/>
          <w:bCs/>
          <w:lang w:val="en-US"/>
        </w:rPr>
        <w:t>i</w:t>
      </w:r>
      <w:proofErr w:type="spellEnd"/>
      <w:r w:rsidRPr="00DC0D5C">
        <w:rPr>
          <w:b/>
          <w:bCs/>
          <w:lang w:val="en-US"/>
        </w:rPr>
        <w:t xml:space="preserve">) </w:t>
      </w:r>
      <w:r w:rsidRPr="00DC0D5C">
        <w:rPr>
          <w:b/>
          <w:bCs/>
          <w:lang w:val="en-US" w:eastAsia="en-GB"/>
        </w:rPr>
        <w:t xml:space="preserve">Mean concomitant acute medication use and mean reduction in concomitant acute medication use at different time points </w:t>
      </w:r>
      <w:r w:rsidRPr="00DC0D5C">
        <w:rPr>
          <w:b/>
          <w:bCs/>
          <w:lang w:val="en-US"/>
        </w:rPr>
        <w:t>in chronic migraine patients</w:t>
      </w:r>
      <w:bookmarkEnd w:id="0"/>
    </w:p>
    <w:tbl>
      <w:tblPr>
        <w:tblW w:w="5225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898"/>
        <w:gridCol w:w="988"/>
        <w:gridCol w:w="901"/>
        <w:gridCol w:w="898"/>
        <w:gridCol w:w="1082"/>
        <w:gridCol w:w="901"/>
        <w:gridCol w:w="988"/>
        <w:gridCol w:w="988"/>
        <w:gridCol w:w="994"/>
        <w:gridCol w:w="898"/>
        <w:gridCol w:w="991"/>
        <w:gridCol w:w="898"/>
        <w:gridCol w:w="1084"/>
        <w:gridCol w:w="991"/>
        <w:gridCol w:w="1076"/>
      </w:tblGrid>
      <w:tr w:rsidR="005C1DEF" w:rsidRPr="003018D6" w14:paraId="73145928" w14:textId="77777777" w:rsidTr="0080520F">
        <w:trPr>
          <w:trHeight w:val="57"/>
          <w:tblHeader/>
        </w:trPr>
        <w:tc>
          <w:tcPr>
            <w:tcW w:w="308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</w:tcPr>
          <w:p w14:paraId="71EBCB48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lastRenderedPageBreak/>
              <w:t xml:space="preserve">Treatment </w:t>
            </w:r>
          </w:p>
        </w:tc>
        <w:tc>
          <w:tcPr>
            <w:tcW w:w="339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</w:tcPr>
          <w:p w14:paraId="7DE28D1A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>Acute medication intake</w:t>
            </w:r>
          </w:p>
        </w:tc>
        <w:tc>
          <w:tcPr>
            <w:tcW w:w="30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noWrap/>
          </w:tcPr>
          <w:p w14:paraId="774C19B3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>Baseline</w:t>
            </w:r>
          </w:p>
        </w:tc>
        <w:tc>
          <w:tcPr>
            <w:tcW w:w="67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noWrap/>
          </w:tcPr>
          <w:p w14:paraId="3D82E096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>1 month</w:t>
            </w:r>
          </w:p>
        </w:tc>
        <w:tc>
          <w:tcPr>
            <w:tcW w:w="64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noWrap/>
          </w:tcPr>
          <w:p w14:paraId="60EEBE5F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>3 months</w:t>
            </w:r>
          </w:p>
        </w:tc>
        <w:tc>
          <w:tcPr>
            <w:tcW w:w="68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noWrap/>
          </w:tcPr>
          <w:p w14:paraId="420A2139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>6 months</w:t>
            </w:r>
          </w:p>
        </w:tc>
        <w:tc>
          <w:tcPr>
            <w:tcW w:w="64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noWrap/>
          </w:tcPr>
          <w:p w14:paraId="19A951F7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>1 year</w:t>
            </w:r>
          </w:p>
        </w:tc>
        <w:tc>
          <w:tcPr>
            <w:tcW w:w="68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noWrap/>
          </w:tcPr>
          <w:p w14:paraId="0FBA246F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>2 years</w:t>
            </w:r>
          </w:p>
        </w:tc>
        <w:tc>
          <w:tcPr>
            <w:tcW w:w="71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</w:tcPr>
          <w:p w14:paraId="73147689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>≥3 years</w:t>
            </w:r>
          </w:p>
        </w:tc>
      </w:tr>
      <w:tr w:rsidR="005C1DEF" w:rsidRPr="003018D6" w14:paraId="2E17E727" w14:textId="77777777" w:rsidTr="0080520F">
        <w:trPr>
          <w:trHeight w:val="57"/>
          <w:tblHeader/>
        </w:trPr>
        <w:tc>
          <w:tcPr>
            <w:tcW w:w="308" w:type="pct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vAlign w:val="center"/>
            <w:hideMark/>
          </w:tcPr>
          <w:p w14:paraId="6EAD493E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</w:p>
        </w:tc>
        <w:tc>
          <w:tcPr>
            <w:tcW w:w="339" w:type="pct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vAlign w:val="center"/>
            <w:hideMark/>
          </w:tcPr>
          <w:p w14:paraId="08DFB727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</w:p>
        </w:tc>
        <w:tc>
          <w:tcPr>
            <w:tcW w:w="30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noWrap/>
            <w:hideMark/>
          </w:tcPr>
          <w:p w14:paraId="09820EBD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 xml:space="preserve">Mean values </w:t>
            </w: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br/>
              <w:t>(# studies)</w:t>
            </w:r>
          </w:p>
        </w:tc>
        <w:tc>
          <w:tcPr>
            <w:tcW w:w="30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noWrap/>
            <w:hideMark/>
          </w:tcPr>
          <w:p w14:paraId="5D7C2BA5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 xml:space="preserve">Mean values </w:t>
            </w: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br/>
              <w:t>(# studies)</w:t>
            </w:r>
          </w:p>
        </w:tc>
        <w:tc>
          <w:tcPr>
            <w:tcW w:w="3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noWrap/>
            <w:hideMark/>
          </w:tcPr>
          <w:p w14:paraId="7FA3419D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 xml:space="preserve">Mean reduction </w:t>
            </w: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br/>
              <w:t>(# studies)</w:t>
            </w:r>
          </w:p>
        </w:tc>
        <w:tc>
          <w:tcPr>
            <w:tcW w:w="30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noWrap/>
            <w:hideMark/>
          </w:tcPr>
          <w:p w14:paraId="35191AB9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 xml:space="preserve">Mean values </w:t>
            </w: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br/>
              <w:t>(# studies)</w:t>
            </w:r>
          </w:p>
        </w:tc>
        <w:tc>
          <w:tcPr>
            <w:tcW w:w="3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noWrap/>
            <w:hideMark/>
          </w:tcPr>
          <w:p w14:paraId="1F22FA42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 xml:space="preserve">Mean reduction </w:t>
            </w:r>
            <w:r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br/>
            </w: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>(# studies)</w:t>
            </w:r>
          </w:p>
        </w:tc>
        <w:tc>
          <w:tcPr>
            <w:tcW w:w="3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noWrap/>
            <w:hideMark/>
          </w:tcPr>
          <w:p w14:paraId="1BE781A8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 xml:space="preserve">Mean values </w:t>
            </w: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br/>
              <w:t>(# studies)</w:t>
            </w:r>
          </w:p>
        </w:tc>
        <w:tc>
          <w:tcPr>
            <w:tcW w:w="34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noWrap/>
            <w:hideMark/>
          </w:tcPr>
          <w:p w14:paraId="1B65CF0B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 xml:space="preserve">Mean reduction </w:t>
            </w: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br/>
              <w:t>(# studies)</w:t>
            </w:r>
          </w:p>
        </w:tc>
        <w:tc>
          <w:tcPr>
            <w:tcW w:w="30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noWrap/>
            <w:hideMark/>
          </w:tcPr>
          <w:p w14:paraId="2BC497A3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 xml:space="preserve">Mean </w:t>
            </w:r>
            <w:r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br/>
            </w: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 xml:space="preserve">values </w:t>
            </w: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br/>
              <w:t>(# studies)</w:t>
            </w:r>
          </w:p>
        </w:tc>
        <w:tc>
          <w:tcPr>
            <w:tcW w:w="34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noWrap/>
            <w:hideMark/>
          </w:tcPr>
          <w:p w14:paraId="2FFA1C5C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 xml:space="preserve">Mean reduction </w:t>
            </w: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br/>
              <w:t>(# studies)</w:t>
            </w:r>
          </w:p>
        </w:tc>
        <w:tc>
          <w:tcPr>
            <w:tcW w:w="30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noWrap/>
            <w:hideMark/>
          </w:tcPr>
          <w:p w14:paraId="291ECE97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 xml:space="preserve">Mean </w:t>
            </w:r>
            <w:r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br/>
            </w: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>values</w:t>
            </w: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br/>
              <w:t>(# studies)</w:t>
            </w:r>
          </w:p>
        </w:tc>
        <w:tc>
          <w:tcPr>
            <w:tcW w:w="3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noWrap/>
            <w:hideMark/>
          </w:tcPr>
          <w:p w14:paraId="1DE8302E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 xml:space="preserve">Mean reduction </w:t>
            </w: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br/>
              <w:t>(# studies)</w:t>
            </w:r>
          </w:p>
        </w:tc>
        <w:tc>
          <w:tcPr>
            <w:tcW w:w="34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hideMark/>
          </w:tcPr>
          <w:p w14:paraId="6F8D0676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 xml:space="preserve">Mean </w:t>
            </w:r>
            <w:r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br/>
            </w: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 xml:space="preserve">values </w:t>
            </w: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br/>
              <w:t>(# studies)</w:t>
            </w:r>
          </w:p>
        </w:tc>
        <w:tc>
          <w:tcPr>
            <w:tcW w:w="3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/>
            <w:hideMark/>
          </w:tcPr>
          <w:p w14:paraId="103DCE16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>Mean reduction</w:t>
            </w:r>
            <w:r w:rsidRPr="003018D6">
              <w:rPr>
                <w:rFonts w:ascii="Calibri" w:eastAsia="Times New Roman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br/>
              <w:t>(# studies)</w:t>
            </w:r>
          </w:p>
        </w:tc>
      </w:tr>
      <w:tr w:rsidR="005C1DEF" w:rsidRPr="003018D6" w14:paraId="64965E4A" w14:textId="77777777" w:rsidTr="0080520F">
        <w:trPr>
          <w:trHeight w:val="57"/>
        </w:trPr>
        <w:tc>
          <w:tcPr>
            <w:tcW w:w="5000" w:type="pct"/>
            <w:gridSpan w:val="15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808080" w:themeFill="background1" w:themeFillShade="80"/>
            <w:hideMark/>
          </w:tcPr>
          <w:p w14:paraId="660B8FBE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>All patients irrespective of prior treatment status</w:t>
            </w:r>
          </w:p>
        </w:tc>
      </w:tr>
      <w:tr w:rsidR="005C1DEF" w:rsidRPr="003018D6" w14:paraId="7EF19772" w14:textId="77777777" w:rsidTr="0080520F">
        <w:trPr>
          <w:trHeight w:val="57"/>
        </w:trPr>
        <w:tc>
          <w:tcPr>
            <w:tcW w:w="308" w:type="pct"/>
            <w:vMerge w:val="restar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77AC16CB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000000"/>
                <w:sz w:val="15"/>
                <w:szCs w:val="15"/>
                <w:lang w:val="en-US" w:eastAsia="en-IN"/>
              </w:rPr>
              <w:t>OnabotulinumtoxinA</w:t>
            </w: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hideMark/>
          </w:tcPr>
          <w:p w14:paraId="1FF368C0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Days/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br/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month</w:t>
            </w:r>
          </w:p>
        </w:tc>
        <w:tc>
          <w:tcPr>
            <w:tcW w:w="30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58066318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9.0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-21.0 (N=11)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0814654A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6.0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-12.0 (N=2)</w:t>
            </w:r>
          </w:p>
        </w:tc>
        <w:tc>
          <w:tcPr>
            <w:tcW w:w="37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117E8BFF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3.0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 xml:space="preserve"> (N=1); Statistically significant (N=2)</w:t>
            </w:r>
          </w:p>
        </w:tc>
        <w:tc>
          <w:tcPr>
            <w:tcW w:w="30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3ECD6D62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5.3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-17.4 (N=4)</w:t>
            </w: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69EA27D5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Statistically significant (N=3)</w:t>
            </w: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57071169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5.0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-15.0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 xml:space="preserve"> (N=7)</w:t>
            </w:r>
          </w:p>
        </w:tc>
        <w:tc>
          <w:tcPr>
            <w:tcW w:w="34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4533CCB9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2.0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-11.5 (N=2); Statistically significant (N=7)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6F41BE67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5.6-16.4 (N=7)</w:t>
            </w:r>
          </w:p>
        </w:tc>
        <w:tc>
          <w:tcPr>
            <w:tcW w:w="34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48327685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4.0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-12.7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 xml:space="preserve"> (N=2); Statistically significant (N=4)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52F9A4F5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3.7-5.3 (N=1)</w:t>
            </w:r>
          </w:p>
        </w:tc>
        <w:tc>
          <w:tcPr>
            <w:tcW w:w="37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4E3A2046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Statistically significant (N=1)</w:t>
            </w:r>
          </w:p>
        </w:tc>
        <w:tc>
          <w:tcPr>
            <w:tcW w:w="34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</w:tcPr>
          <w:p w14:paraId="26F4EC08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7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</w:tcPr>
          <w:p w14:paraId="1D0FB724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</w:tr>
      <w:tr w:rsidR="005C1DEF" w:rsidRPr="003018D6" w14:paraId="2DFD25B0" w14:textId="77777777" w:rsidTr="0080520F">
        <w:trPr>
          <w:trHeight w:val="57"/>
        </w:trPr>
        <w:tc>
          <w:tcPr>
            <w:tcW w:w="308" w:type="pct"/>
            <w:vMerge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  <w:hideMark/>
          </w:tcPr>
          <w:p w14:paraId="154BF989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hideMark/>
          </w:tcPr>
          <w:p w14:paraId="1EB0BFD5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Number of drugs</w:t>
            </w:r>
          </w:p>
        </w:tc>
        <w:tc>
          <w:tcPr>
            <w:tcW w:w="30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7DBC17A8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11.6-51.7 (N=11); Per day: 2.0 (N=1)</w:t>
            </w:r>
          </w:p>
          <w:p w14:paraId="33E47A99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Dosage: 40.1-48.4 (N=1)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5F400F14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4.1 (N=1)</w:t>
            </w:r>
          </w:p>
        </w:tc>
        <w:tc>
          <w:tcPr>
            <w:tcW w:w="37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378F67C1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Statistically significant (N=1)</w:t>
            </w:r>
          </w:p>
        </w:tc>
        <w:tc>
          <w:tcPr>
            <w:tcW w:w="30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138C29C3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5.0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-11.7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vertAlign w:val="superscript"/>
                <w:lang w:val="en-US" w:eastAsia="en-IN"/>
              </w:rPr>
              <w:t>*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 xml:space="preserve"> (N=3); Per day: 1.2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vertAlign w:val="superscript"/>
                <w:lang w:val="en-US" w:eastAsia="en-IN"/>
              </w:rPr>
              <w:t>*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 xml:space="preserve"> (N=1)</w:t>
            </w: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032ADEBB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Statistically significant (N=1)</w:t>
            </w: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1EAF6AF3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4.0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-17.9 (N=6); Per day: 1.0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vertAlign w:val="superscript"/>
                <w:lang w:val="en-US" w:eastAsia="en-IN"/>
              </w:rPr>
              <w:t>*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 xml:space="preserve"> (N=1)</w:t>
            </w:r>
          </w:p>
          <w:p w14:paraId="4AA6BCE7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Dosage: 11.9-14.5 (N=1)</w:t>
            </w:r>
          </w:p>
        </w:tc>
        <w:tc>
          <w:tcPr>
            <w:tcW w:w="34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79A9C57A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5.2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-6.0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 xml:space="preserve"> (N=2); Statistically significant (N=4)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0109D82E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5.5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-17.9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vertAlign w:val="superscript"/>
                <w:lang w:val="en-US" w:eastAsia="en-IN"/>
              </w:rPr>
              <w:t>$$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 xml:space="preserve"> (N=6); Per day: 0.7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vertAlign w:val="superscript"/>
                <w:lang w:val="en-US" w:eastAsia="en-IN"/>
              </w:rPr>
              <w:t>*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 xml:space="preserve"> (N=1); Dosage: 6.6-10.4 (N=1)</w:t>
            </w:r>
          </w:p>
        </w:tc>
        <w:tc>
          <w:tcPr>
            <w:tcW w:w="34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71B6FDC0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0.9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-11.6 (N=3); Statistically significant (N=5)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1431B2ED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Dosage: 5.1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vertAlign w:val="superscript"/>
                <w:lang w:val="en-US" w:eastAsia="en-IN"/>
              </w:rPr>
              <w:t>$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-7.4 (N=1); Per day: 0.48 (N=1)</w:t>
            </w:r>
          </w:p>
        </w:tc>
        <w:tc>
          <w:tcPr>
            <w:tcW w:w="37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51A9FCFF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Statistically significant (N=2)</w:t>
            </w:r>
          </w:p>
        </w:tc>
        <w:tc>
          <w:tcPr>
            <w:tcW w:w="34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hideMark/>
          </w:tcPr>
          <w:p w14:paraId="015BA6BF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hAnsi="Calibri" w:cs="Calibri"/>
                <w:sz w:val="15"/>
                <w:szCs w:val="15"/>
                <w:lang w:val="en-US" w:eastAsia="en-IN"/>
              </w:rPr>
              <w:t xml:space="preserve">8.0-11.2 (N=2); Per day: 0.49 (N=1); 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 xml:space="preserve">Dosage: </w:t>
            </w:r>
            <w:r w:rsidRPr="003018D6">
              <w:rPr>
                <w:rFonts w:ascii="Calibri" w:hAnsi="Calibri" w:cs="Calibri"/>
                <w:sz w:val="15"/>
                <w:szCs w:val="15"/>
                <w:lang w:val="en-US" w:eastAsia="en-IN"/>
              </w:rPr>
              <w:t>5.9-6.1 [N=1]</w:t>
            </w:r>
          </w:p>
        </w:tc>
        <w:tc>
          <w:tcPr>
            <w:tcW w:w="37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hideMark/>
          </w:tcPr>
          <w:p w14:paraId="34189447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hAnsi="Calibri" w:cs="Calibri"/>
                <w:sz w:val="15"/>
                <w:szCs w:val="15"/>
                <w:lang w:val="en-US" w:eastAsia="en-IN"/>
              </w:rPr>
              <w:t>Statistically significant (N=3)</w:t>
            </w:r>
          </w:p>
        </w:tc>
      </w:tr>
      <w:tr w:rsidR="005C1DEF" w:rsidRPr="003018D6" w14:paraId="7E9421E9" w14:textId="77777777" w:rsidTr="0080520F">
        <w:trPr>
          <w:trHeight w:val="57"/>
        </w:trPr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639B9143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000000"/>
                <w:sz w:val="15"/>
                <w:szCs w:val="15"/>
                <w:lang w:val="en-US" w:eastAsia="en-IN"/>
              </w:rPr>
              <w:t>Erenumab</w:t>
            </w: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hideMark/>
          </w:tcPr>
          <w:p w14:paraId="6220A200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Days/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br/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month</w:t>
            </w:r>
          </w:p>
        </w:tc>
        <w:tc>
          <w:tcPr>
            <w:tcW w:w="30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18F3B650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11.2-23.6 (N=2)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58A5EC82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9.9 (N=1)</w:t>
            </w:r>
          </w:p>
        </w:tc>
        <w:tc>
          <w:tcPr>
            <w:tcW w:w="37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706F2212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15.8 (N=1)</w:t>
            </w:r>
          </w:p>
        </w:tc>
        <w:tc>
          <w:tcPr>
            <w:tcW w:w="30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727B0D7D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7.0-7.1 (N=2)</w:t>
            </w: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75C16579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15.4 (N=1); Statistically significant (N=1)</w:t>
            </w: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175ED6E9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4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2C67572D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13882B79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4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69F8776D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7C0A92D2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7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3CAF76A7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4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hideMark/>
          </w:tcPr>
          <w:p w14:paraId="3267C1F4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7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hideMark/>
          </w:tcPr>
          <w:p w14:paraId="51888CF3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</w:tr>
      <w:tr w:rsidR="005C1DEF" w:rsidRPr="003018D6" w14:paraId="76D3D7F4" w14:textId="77777777" w:rsidTr="0080520F">
        <w:trPr>
          <w:trHeight w:val="57"/>
        </w:trPr>
        <w:tc>
          <w:tcPr>
            <w:tcW w:w="5000" w:type="pct"/>
            <w:gridSpan w:val="15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808080" w:themeFill="background1" w:themeFillShade="80"/>
            <w:hideMark/>
          </w:tcPr>
          <w:p w14:paraId="13E5ED78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FFFFFF" w:themeColor="background1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hAnsi="Calibri" w:cs="Calibri"/>
                <w:b w:val="0"/>
                <w:bCs w:val="0"/>
                <w:color w:val="FFFFFF" w:themeColor="background1"/>
                <w:sz w:val="15"/>
                <w:szCs w:val="15"/>
                <w:lang w:val="en-US" w:eastAsia="en-IN"/>
              </w:rPr>
              <w:t>Previously treated patients</w:t>
            </w:r>
          </w:p>
        </w:tc>
      </w:tr>
      <w:tr w:rsidR="005C1DEF" w:rsidRPr="003018D6" w14:paraId="42E70A03" w14:textId="77777777" w:rsidTr="0080520F">
        <w:trPr>
          <w:trHeight w:val="57"/>
        </w:trPr>
        <w:tc>
          <w:tcPr>
            <w:tcW w:w="308" w:type="pct"/>
            <w:vMerge w:val="restar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381090CB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000000"/>
                <w:sz w:val="15"/>
                <w:szCs w:val="15"/>
                <w:lang w:val="en-US" w:eastAsia="en-IN"/>
              </w:rPr>
              <w:lastRenderedPageBreak/>
              <w:t>OnabotulinumtoxinA</w:t>
            </w: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hideMark/>
          </w:tcPr>
          <w:p w14:paraId="6E8F9DF9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Days/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br/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month</w:t>
            </w:r>
          </w:p>
        </w:tc>
        <w:tc>
          <w:tcPr>
            <w:tcW w:w="30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16AC5EAF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9.0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-21.0 (N=9)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6DB9118D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6.0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-12.0 (N=2)</w:t>
            </w:r>
          </w:p>
        </w:tc>
        <w:tc>
          <w:tcPr>
            <w:tcW w:w="37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6FE32DFA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3.0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 xml:space="preserve"> (N=1); Statistically significant (N=2)</w:t>
            </w:r>
          </w:p>
        </w:tc>
        <w:tc>
          <w:tcPr>
            <w:tcW w:w="30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7967D56A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5.3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-17.4 (N=4)</w:t>
            </w: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1F733E9E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Statistically significant (N=3)</w:t>
            </w: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2335F7A9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5.0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-15.0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 xml:space="preserve"> (N=6)</w:t>
            </w:r>
          </w:p>
        </w:tc>
        <w:tc>
          <w:tcPr>
            <w:tcW w:w="34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686AD413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2.0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-11.5 (N=2); Statistically significant (N=6)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6556DA41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5.6-9.1 (N=5)</w:t>
            </w:r>
          </w:p>
        </w:tc>
        <w:tc>
          <w:tcPr>
            <w:tcW w:w="34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4FFFEB65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4.0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-12.7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 xml:space="preserve"> (N=2); Statistically significant (N=4)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27F65E3B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3.7 (N=1)</w:t>
            </w:r>
          </w:p>
        </w:tc>
        <w:tc>
          <w:tcPr>
            <w:tcW w:w="37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3189BD6C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Statistically significant (N=1)</w:t>
            </w:r>
          </w:p>
        </w:tc>
        <w:tc>
          <w:tcPr>
            <w:tcW w:w="34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</w:tcPr>
          <w:p w14:paraId="0C34B6B9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7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</w:tcPr>
          <w:p w14:paraId="5D528C8E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</w:tr>
      <w:tr w:rsidR="005C1DEF" w:rsidRPr="003018D6" w14:paraId="7A944BB5" w14:textId="77777777" w:rsidTr="0080520F">
        <w:trPr>
          <w:trHeight w:val="57"/>
        </w:trPr>
        <w:tc>
          <w:tcPr>
            <w:tcW w:w="308" w:type="pct"/>
            <w:vMerge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  <w:hideMark/>
          </w:tcPr>
          <w:p w14:paraId="3477FA8B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hideMark/>
          </w:tcPr>
          <w:p w14:paraId="79D37E16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Number of drugs</w:t>
            </w:r>
          </w:p>
        </w:tc>
        <w:tc>
          <w:tcPr>
            <w:tcW w:w="30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4198F8CB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16.0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-25.8 (N=7); per day: 2.0 (N=1)</w:t>
            </w:r>
          </w:p>
          <w:p w14:paraId="248D65AE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Dosage: 40.1-48.4 (N=1)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5F828732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7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2D8971D7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0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0CE1156F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5.0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-8.5 (N=2); per day: 1.2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vertAlign w:val="superscript"/>
                <w:lang w:val="en-US" w:eastAsia="en-IN"/>
              </w:rPr>
              <w:t>*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 xml:space="preserve"> (N=1)</w:t>
            </w: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31FFEC03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Statistically significant (N=1)</w:t>
            </w: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420DFAC5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4.0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-15.0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 xml:space="preserve"> (N=3); per day: 1.0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vertAlign w:val="superscript"/>
                <w:lang w:val="en-US" w:eastAsia="en-IN"/>
              </w:rPr>
              <w:t>*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 xml:space="preserve"> (N=1)</w:t>
            </w:r>
          </w:p>
          <w:p w14:paraId="2D5A1C94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Dosage: 11.9-14.5 [N=1]</w:t>
            </w:r>
          </w:p>
        </w:tc>
        <w:tc>
          <w:tcPr>
            <w:tcW w:w="34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75071867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5.2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-6.0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 xml:space="preserve"> (N=2); Statistically significant (N=3)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2C4021ED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5.5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-17.9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$$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 xml:space="preserve"> (N=5); per day: 0.7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vertAlign w:val="superscript"/>
                <w:lang w:val="en-US" w:eastAsia="en-IN"/>
              </w:rPr>
              <w:t>*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 xml:space="preserve"> (N=1)</w:t>
            </w:r>
          </w:p>
          <w:p w14:paraId="33625A57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Dosage: 6.6-10.4 (N=1)</w:t>
            </w:r>
          </w:p>
        </w:tc>
        <w:tc>
          <w:tcPr>
            <w:tcW w:w="34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5F307BE4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0.9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-6.5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vertAlign w:val="superscript"/>
                <w:lang w:val="en-US" w:eastAsia="en-IN"/>
              </w:rPr>
              <w:t>†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 xml:space="preserve"> (N=2); Statistically significant (N=5)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620DD42F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Dosage: 5.1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vertAlign w:val="superscript"/>
                <w:lang w:val="en-US" w:eastAsia="en-IN"/>
              </w:rPr>
              <w:t>$</w:t>
            </w: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>-7.4 (N=1);</w:t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 xml:space="preserve"> per day: 0.48 (N=1)</w:t>
            </w:r>
          </w:p>
        </w:tc>
        <w:tc>
          <w:tcPr>
            <w:tcW w:w="37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noWrap/>
            <w:hideMark/>
          </w:tcPr>
          <w:p w14:paraId="479200AA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Statistically significant (N=2)</w:t>
            </w:r>
          </w:p>
        </w:tc>
        <w:tc>
          <w:tcPr>
            <w:tcW w:w="34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hideMark/>
          </w:tcPr>
          <w:p w14:paraId="473061AF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hAnsi="Calibri" w:cs="Calibri"/>
                <w:color w:val="000000"/>
                <w:sz w:val="15"/>
                <w:szCs w:val="15"/>
                <w:lang w:val="en-US" w:eastAsia="en-IN"/>
              </w:rPr>
              <w:t>8.0-11.2 (N=2); per day: 0.49 (N=1)</w:t>
            </w:r>
          </w:p>
          <w:p w14:paraId="26204DF1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sz w:val="15"/>
                <w:szCs w:val="15"/>
                <w:lang w:val="en-US" w:eastAsia="en-IN"/>
              </w:rPr>
              <w:t xml:space="preserve">Dosage: </w:t>
            </w:r>
            <w:r w:rsidRPr="003018D6">
              <w:rPr>
                <w:rFonts w:ascii="Calibri" w:hAnsi="Calibri" w:cs="Calibri"/>
                <w:sz w:val="15"/>
                <w:szCs w:val="15"/>
                <w:lang w:val="en-US" w:eastAsia="en-IN"/>
              </w:rPr>
              <w:t>5.9-6.1 [N=1]</w:t>
            </w:r>
          </w:p>
        </w:tc>
        <w:tc>
          <w:tcPr>
            <w:tcW w:w="37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hideMark/>
          </w:tcPr>
          <w:p w14:paraId="405AE873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hAnsi="Calibri" w:cs="Calibri"/>
                <w:color w:val="000000"/>
                <w:sz w:val="15"/>
                <w:szCs w:val="15"/>
                <w:lang w:val="en-US" w:eastAsia="en-IN"/>
              </w:rPr>
              <w:t>Statistically significant (N=3)</w:t>
            </w:r>
          </w:p>
        </w:tc>
      </w:tr>
      <w:tr w:rsidR="005C1DEF" w:rsidRPr="003018D6" w14:paraId="642F454E" w14:textId="77777777" w:rsidTr="0080520F">
        <w:trPr>
          <w:trHeight w:val="57"/>
        </w:trPr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262946FB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b w:val="0"/>
                <w:bCs w:val="0"/>
                <w:color w:val="000000"/>
                <w:sz w:val="15"/>
                <w:szCs w:val="15"/>
                <w:lang w:val="en-US" w:eastAsia="en-IN"/>
              </w:rPr>
              <w:t>Erenumab</w:t>
            </w: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hideMark/>
          </w:tcPr>
          <w:p w14:paraId="1894D823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Days/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br/>
            </w: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month</w:t>
            </w:r>
          </w:p>
        </w:tc>
        <w:tc>
          <w:tcPr>
            <w:tcW w:w="30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21347F19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11.2-23.6 (N=2)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75FCA763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9.9 (N=1)</w:t>
            </w:r>
          </w:p>
        </w:tc>
        <w:tc>
          <w:tcPr>
            <w:tcW w:w="37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78AE81D7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15.8 (N=1)</w:t>
            </w:r>
          </w:p>
        </w:tc>
        <w:tc>
          <w:tcPr>
            <w:tcW w:w="30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59B7FF21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7.0-7.1 (N=2)</w:t>
            </w: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02C36FBB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15.4 (N=1); Statistically significant (N=1)</w:t>
            </w:r>
          </w:p>
        </w:tc>
        <w:tc>
          <w:tcPr>
            <w:tcW w:w="339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1EA20B23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4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49920C04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02E3DF2E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4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7AF5A67F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08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3D015E95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71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noWrap/>
            <w:hideMark/>
          </w:tcPr>
          <w:p w14:paraId="7896620D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4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hideMark/>
          </w:tcPr>
          <w:p w14:paraId="3C3C8A74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  <w:tc>
          <w:tcPr>
            <w:tcW w:w="370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DBE5F1"/>
            <w:hideMark/>
          </w:tcPr>
          <w:p w14:paraId="7998562F" w14:textId="77777777" w:rsidR="005C1DEF" w:rsidRPr="003018D6" w:rsidRDefault="005C1DEF" w:rsidP="0080520F">
            <w:pPr>
              <w:pStyle w:val="Heading1"/>
              <w:spacing w:line="480" w:lineRule="auto"/>
              <w:contextualSpacing/>
              <w:rPr>
                <w:rFonts w:ascii="Calibri" w:eastAsia="Times New Roman" w:hAnsi="Calibri" w:cs="Calibri"/>
                <w:color w:val="000000"/>
                <w:sz w:val="15"/>
                <w:szCs w:val="15"/>
                <w:lang w:val="en-US" w:eastAsia="en-IN"/>
              </w:rPr>
            </w:pPr>
            <w:r w:rsidRPr="003018D6">
              <w:rPr>
                <w:rFonts w:ascii="Calibri" w:hAnsi="Calibri" w:cs="Calibri"/>
                <w:color w:val="000000"/>
                <w:sz w:val="15"/>
                <w:szCs w:val="15"/>
                <w:lang w:val="en-US" w:eastAsia="en-IN"/>
              </w:rPr>
              <w:t>NA</w:t>
            </w:r>
          </w:p>
        </w:tc>
      </w:tr>
    </w:tbl>
    <w:p w14:paraId="0482A179" w14:textId="09B9B238" w:rsidR="005C1DEF" w:rsidRPr="003018D6" w:rsidRDefault="005C1DEF" w:rsidP="005C1DEF">
      <w:pPr>
        <w:pStyle w:val="Heading1"/>
        <w:spacing w:line="480" w:lineRule="auto"/>
        <w:contextualSpacing/>
        <w:rPr>
          <w:b w:val="0"/>
          <w:bCs w:val="0"/>
        </w:rPr>
      </w:pPr>
      <w:r w:rsidRPr="003018D6">
        <w:rPr>
          <w:b w:val="0"/>
          <w:bCs w:val="0"/>
          <w:lang w:val="en-US"/>
        </w:rPr>
        <w:t>NA: not available; N is the number of studies reporting data at the time point.</w:t>
      </w:r>
    </w:p>
    <w:p w14:paraId="22795429" w14:textId="77777777" w:rsidR="005C1DEF" w:rsidRPr="003018D6" w:rsidRDefault="005C1DEF" w:rsidP="005C1DEF">
      <w:pPr>
        <w:pStyle w:val="Heading1"/>
        <w:spacing w:line="480" w:lineRule="auto"/>
        <w:contextualSpacing/>
        <w:rPr>
          <w:b w:val="0"/>
          <w:bCs w:val="0"/>
        </w:rPr>
      </w:pPr>
      <w:r w:rsidRPr="003018D6">
        <w:rPr>
          <w:b w:val="0"/>
          <w:bCs w:val="0"/>
          <w:vertAlign w:val="superscript"/>
          <w:lang w:val="en-US"/>
        </w:rPr>
        <w:t>†</w:t>
      </w:r>
      <w:r w:rsidRPr="003018D6">
        <w:rPr>
          <w:b w:val="0"/>
          <w:bCs w:val="0"/>
          <w:lang w:val="en-US"/>
        </w:rPr>
        <w:t xml:space="preserve">Median values were reported; </w:t>
      </w:r>
      <w:r w:rsidRPr="003018D6">
        <w:rPr>
          <w:b w:val="0"/>
          <w:bCs w:val="0"/>
          <w:vertAlign w:val="superscript"/>
          <w:lang w:val="en-US"/>
        </w:rPr>
        <w:t>$$</w:t>
      </w:r>
      <w:r w:rsidRPr="003018D6">
        <w:rPr>
          <w:b w:val="0"/>
          <w:bCs w:val="0"/>
          <w:lang w:val="en-US"/>
        </w:rPr>
        <w:t>Value assessed at 9 months;</w:t>
      </w:r>
      <w:r w:rsidRPr="003018D6">
        <w:rPr>
          <w:b w:val="0"/>
          <w:bCs w:val="0"/>
          <w:vertAlign w:val="superscript"/>
          <w:lang w:val="en-US"/>
        </w:rPr>
        <w:t xml:space="preserve"> $</w:t>
      </w:r>
      <w:r w:rsidRPr="003018D6">
        <w:rPr>
          <w:b w:val="0"/>
          <w:bCs w:val="0"/>
          <w:lang w:val="en-US"/>
        </w:rPr>
        <w:t xml:space="preserve">Value assessed at 18 months; </w:t>
      </w:r>
      <w:r w:rsidRPr="003018D6">
        <w:rPr>
          <w:b w:val="0"/>
          <w:bCs w:val="0"/>
          <w:vertAlign w:val="superscript"/>
          <w:lang w:val="en-US"/>
        </w:rPr>
        <w:t>*</w:t>
      </w:r>
      <w:r w:rsidRPr="003018D6">
        <w:rPr>
          <w:b w:val="0"/>
          <w:bCs w:val="0"/>
          <w:lang w:val="en-US"/>
        </w:rPr>
        <w:t>Value estimated using Digitizer.</w:t>
      </w:r>
    </w:p>
    <w:p w14:paraId="239E5B06" w14:textId="77777777" w:rsidR="005C1DEF" w:rsidRPr="000D7009" w:rsidRDefault="005C1DEF" w:rsidP="005C1DEF">
      <w:pPr>
        <w:pStyle w:val="Heading1"/>
        <w:spacing w:line="480" w:lineRule="auto"/>
        <w:contextualSpacing/>
      </w:pPr>
      <w:r w:rsidRPr="003018D6">
        <w:rPr>
          <w:b w:val="0"/>
          <w:bCs w:val="0"/>
          <w:lang w:val="en-US"/>
        </w:rPr>
        <w:t>Note: Data for previously treated migraine patients were not available.</w:t>
      </w:r>
    </w:p>
    <w:p w14:paraId="0D16BC84" w14:textId="77777777" w:rsidR="005C1DEF" w:rsidRDefault="005C1DEF" w:rsidP="005C1DEF">
      <w:pPr>
        <w:pStyle w:val="Heading1"/>
        <w:spacing w:line="480" w:lineRule="auto"/>
        <w:contextualSpacing/>
        <w:sectPr w:rsidR="005C1DEF" w:rsidSect="003018D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C4AC46F" w14:textId="77777777" w:rsidR="005C1DEF" w:rsidRPr="000D7009" w:rsidRDefault="005C1DEF" w:rsidP="005C1DEF">
      <w:pPr>
        <w:pStyle w:val="Heading1"/>
        <w:spacing w:line="480" w:lineRule="auto"/>
        <w:contextualSpacing/>
      </w:pPr>
      <w:r w:rsidRPr="000D7009">
        <w:rPr>
          <w:lang w:val="en-US"/>
        </w:rPr>
        <w:lastRenderedPageBreak/>
        <w:t xml:space="preserve">Table S9(ii) Proportion of patients with reduction in </w:t>
      </w:r>
      <w:r w:rsidRPr="000D7009">
        <w:rPr>
          <w:rFonts w:eastAsia="MS Mincho" w:cs="Times New Roman"/>
          <w:lang w:val="en-US" w:eastAsia="en-GB"/>
        </w:rPr>
        <w:t>concomitant acute medication use at different time points in chronic migraine patients</w:t>
      </w:r>
    </w:p>
    <w:tbl>
      <w:tblPr>
        <w:tblStyle w:val="GridTable4-Accent111213"/>
        <w:tblW w:w="5000" w:type="pct"/>
        <w:tblLook w:val="04A0" w:firstRow="1" w:lastRow="0" w:firstColumn="1" w:lastColumn="0" w:noHBand="0" w:noVBand="1"/>
      </w:tblPr>
      <w:tblGrid>
        <w:gridCol w:w="967"/>
        <w:gridCol w:w="692"/>
        <w:gridCol w:w="1031"/>
        <w:gridCol w:w="1105"/>
        <w:gridCol w:w="1126"/>
        <w:gridCol w:w="599"/>
        <w:gridCol w:w="1104"/>
        <w:gridCol w:w="1104"/>
        <w:gridCol w:w="1288"/>
      </w:tblGrid>
      <w:tr w:rsidR="005C1DEF" w:rsidRPr="000D7009" w14:paraId="4D5D68E5" w14:textId="77777777" w:rsidTr="00805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pct"/>
            <w:vMerge w:val="restart"/>
            <w:hideMark/>
          </w:tcPr>
          <w:p w14:paraId="1B5E9DCF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0D7009">
              <w:rPr>
                <w:rFonts w:eastAsia="Times New Roman" w:cs="Calibri"/>
                <w:sz w:val="18"/>
                <w:szCs w:val="18"/>
                <w:lang w:val="en-US"/>
              </w:rPr>
              <w:t>Study name (country)</w:t>
            </w:r>
          </w:p>
        </w:tc>
        <w:tc>
          <w:tcPr>
            <w:tcW w:w="356" w:type="pct"/>
            <w:vMerge w:val="restart"/>
            <w:hideMark/>
          </w:tcPr>
          <w:p w14:paraId="17D8CC9E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0D7009">
              <w:rPr>
                <w:rFonts w:eastAsia="Times New Roman" w:cs="Calibri"/>
                <w:sz w:val="18"/>
                <w:szCs w:val="18"/>
                <w:lang w:val="en-US"/>
              </w:rPr>
              <w:t>Study design</w:t>
            </w:r>
          </w:p>
        </w:tc>
        <w:tc>
          <w:tcPr>
            <w:tcW w:w="602" w:type="pct"/>
            <w:vMerge w:val="restart"/>
            <w:hideMark/>
          </w:tcPr>
          <w:p w14:paraId="732E88A3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Prior treatment status</w:t>
            </w:r>
          </w:p>
        </w:tc>
        <w:tc>
          <w:tcPr>
            <w:tcW w:w="643" w:type="pct"/>
            <w:vMerge w:val="restart"/>
            <w:hideMark/>
          </w:tcPr>
          <w:p w14:paraId="5B3CBABE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Failed preventive treatment</w:t>
            </w:r>
          </w:p>
        </w:tc>
        <w:tc>
          <w:tcPr>
            <w:tcW w:w="442" w:type="pct"/>
            <w:vMerge w:val="restart"/>
            <w:hideMark/>
          </w:tcPr>
          <w:p w14:paraId="43D4E9A8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0D7009">
              <w:rPr>
                <w:rFonts w:eastAsia="Times New Roman" w:cs="Calibri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62" w:type="pct"/>
            <w:vMerge w:val="restart"/>
            <w:hideMark/>
          </w:tcPr>
          <w:p w14:paraId="5A14BBAE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0D7009">
              <w:rPr>
                <w:rFonts w:eastAsia="Times New Roman" w:cs="Calibri"/>
                <w:sz w:val="18"/>
                <w:szCs w:val="18"/>
                <w:lang w:val="en-US"/>
              </w:rPr>
              <w:t>N</w:t>
            </w:r>
          </w:p>
        </w:tc>
        <w:tc>
          <w:tcPr>
            <w:tcW w:w="2028" w:type="pct"/>
            <w:gridSpan w:val="3"/>
          </w:tcPr>
          <w:p w14:paraId="6870E065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8"/>
                <w:szCs w:val="18"/>
                <w:lang w:val="en-US"/>
              </w:rPr>
            </w:pPr>
            <w:r w:rsidRPr="000D7009">
              <w:rPr>
                <w:rFonts w:eastAsia="MS Mincho" w:cs="Calibri"/>
                <w:sz w:val="18"/>
                <w:szCs w:val="18"/>
                <w:lang w:val="en-US"/>
              </w:rPr>
              <w:t>Concomitant acute medication use</w:t>
            </w:r>
            <w:r w:rsidRPr="000D7009">
              <w:rPr>
                <w:rFonts w:eastAsia="Times New Roman" w:cs="Calibri"/>
                <w:sz w:val="18"/>
                <w:szCs w:val="18"/>
                <w:lang w:val="en-US"/>
              </w:rPr>
              <w:t>, n (%)</w:t>
            </w:r>
          </w:p>
        </w:tc>
      </w:tr>
      <w:tr w:rsidR="005C1DEF" w:rsidRPr="000D7009" w14:paraId="239BB4A2" w14:textId="77777777" w:rsidTr="0080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pct"/>
            <w:vMerge/>
            <w:hideMark/>
          </w:tcPr>
          <w:p w14:paraId="138DE9BE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rPr>
                <w:rFonts w:ascii="Calibri" w:hAnsi="Calibri" w:cs="Calibri"/>
                <w:color w:val="FFFFFF"/>
                <w:sz w:val="18"/>
                <w:szCs w:val="18"/>
                <w:lang w:val="en-US" w:bidi="en-US"/>
              </w:rPr>
            </w:pPr>
          </w:p>
        </w:tc>
        <w:tc>
          <w:tcPr>
            <w:tcW w:w="356" w:type="pct"/>
            <w:vMerge/>
            <w:hideMark/>
          </w:tcPr>
          <w:p w14:paraId="464CDB9D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FFFF"/>
                <w:sz w:val="18"/>
                <w:szCs w:val="18"/>
                <w:lang w:val="en-US" w:bidi="en-US"/>
              </w:rPr>
            </w:pPr>
          </w:p>
        </w:tc>
        <w:tc>
          <w:tcPr>
            <w:tcW w:w="602" w:type="pct"/>
            <w:vMerge/>
            <w:hideMark/>
          </w:tcPr>
          <w:p w14:paraId="0D91FBB7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FFFF"/>
                <w:sz w:val="18"/>
                <w:szCs w:val="18"/>
                <w:lang w:val="en-US" w:bidi="en-US"/>
              </w:rPr>
            </w:pPr>
          </w:p>
        </w:tc>
        <w:tc>
          <w:tcPr>
            <w:tcW w:w="643" w:type="pct"/>
            <w:vMerge/>
            <w:hideMark/>
          </w:tcPr>
          <w:p w14:paraId="3472619D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FFFF"/>
                <w:sz w:val="18"/>
                <w:szCs w:val="18"/>
                <w:lang w:val="en-US" w:bidi="en-US"/>
              </w:rPr>
            </w:pPr>
          </w:p>
        </w:tc>
        <w:tc>
          <w:tcPr>
            <w:tcW w:w="442" w:type="pct"/>
            <w:vMerge/>
            <w:hideMark/>
          </w:tcPr>
          <w:p w14:paraId="23179E7A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FFFF"/>
                <w:sz w:val="18"/>
                <w:szCs w:val="18"/>
                <w:lang w:val="en-US" w:bidi="en-US"/>
              </w:rPr>
            </w:pPr>
          </w:p>
        </w:tc>
        <w:tc>
          <w:tcPr>
            <w:tcW w:w="362" w:type="pct"/>
            <w:vMerge/>
            <w:hideMark/>
          </w:tcPr>
          <w:p w14:paraId="5C276B03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FFFF"/>
                <w:sz w:val="18"/>
                <w:szCs w:val="18"/>
                <w:lang w:val="en-US" w:bidi="en-US"/>
              </w:rPr>
            </w:pPr>
          </w:p>
        </w:tc>
        <w:tc>
          <w:tcPr>
            <w:tcW w:w="642" w:type="pct"/>
            <w:shd w:val="clear" w:color="auto" w:fill="5B9BD5" w:themeFill="accent1"/>
          </w:tcPr>
          <w:p w14:paraId="6F4130DF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FFFF"/>
                <w:sz w:val="18"/>
                <w:szCs w:val="18"/>
                <w:lang w:val="en-US"/>
              </w:rPr>
            </w:pPr>
            <w:r w:rsidRPr="000D7009">
              <w:rPr>
                <w:rFonts w:eastAsia="Times New Roman" w:cs="Calibri"/>
                <w:b w:val="0"/>
                <w:bCs w:val="0"/>
                <w:color w:val="FFFFFF"/>
                <w:sz w:val="18"/>
                <w:szCs w:val="18"/>
                <w:lang w:val="en-US"/>
              </w:rPr>
              <w:t>1 mo.</w:t>
            </w:r>
          </w:p>
        </w:tc>
        <w:tc>
          <w:tcPr>
            <w:tcW w:w="642" w:type="pct"/>
            <w:shd w:val="clear" w:color="auto" w:fill="5B9BD5" w:themeFill="accent1"/>
            <w:hideMark/>
          </w:tcPr>
          <w:p w14:paraId="32FCD299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FFFF"/>
                <w:sz w:val="18"/>
                <w:szCs w:val="18"/>
                <w:lang w:val="en-US"/>
              </w:rPr>
            </w:pPr>
            <w:r w:rsidRPr="000D7009">
              <w:rPr>
                <w:rFonts w:eastAsia="Times New Roman" w:cs="Calibri"/>
                <w:b w:val="0"/>
                <w:bCs w:val="0"/>
                <w:color w:val="FFFFFF"/>
                <w:sz w:val="18"/>
                <w:szCs w:val="18"/>
                <w:lang w:val="en-US"/>
              </w:rPr>
              <w:t>3 mo.</w:t>
            </w:r>
          </w:p>
        </w:tc>
        <w:tc>
          <w:tcPr>
            <w:tcW w:w="744" w:type="pct"/>
            <w:shd w:val="clear" w:color="auto" w:fill="5B9BD5" w:themeFill="accent1"/>
            <w:hideMark/>
          </w:tcPr>
          <w:p w14:paraId="28280D87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FFFF"/>
                <w:sz w:val="18"/>
                <w:szCs w:val="18"/>
                <w:lang w:val="en-US"/>
              </w:rPr>
            </w:pPr>
            <w:r w:rsidRPr="000D7009">
              <w:rPr>
                <w:rFonts w:eastAsia="Times New Roman" w:cs="Calibri"/>
                <w:b w:val="0"/>
                <w:bCs w:val="0"/>
                <w:color w:val="FFFFFF"/>
                <w:sz w:val="18"/>
                <w:szCs w:val="18"/>
                <w:lang w:val="en-US"/>
              </w:rPr>
              <w:t>6 mo.</w:t>
            </w:r>
          </w:p>
        </w:tc>
      </w:tr>
      <w:tr w:rsidR="005C1DEF" w:rsidRPr="000D7009" w14:paraId="2D15A82B" w14:textId="77777777" w:rsidTr="0080520F">
        <w:trPr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808080" w:themeFill="background1" w:themeFillShade="80"/>
          </w:tcPr>
          <w:p w14:paraId="276D745C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rPr>
                <w:rFonts w:eastAsia="OTNEJMScalaSansLF" w:cs="Calibri"/>
                <w:sz w:val="18"/>
                <w:szCs w:val="18"/>
                <w:lang w:val="en-US"/>
              </w:rPr>
            </w:pPr>
            <w:r w:rsidRPr="000D7009">
              <w:rPr>
                <w:rFonts w:eastAsia="OTNEJMScalaSansLF" w:cs="Calibri"/>
                <w:color w:val="FFFFFF" w:themeColor="background1"/>
                <w:sz w:val="18"/>
                <w:szCs w:val="18"/>
                <w:lang w:val="en-US"/>
              </w:rPr>
              <w:t>Chronic migraine patients</w:t>
            </w:r>
          </w:p>
        </w:tc>
      </w:tr>
      <w:tr w:rsidR="005C1DEF" w:rsidRPr="000D7009" w14:paraId="785DD684" w14:textId="77777777" w:rsidTr="0080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pct"/>
          </w:tcPr>
          <w:p w14:paraId="32E13CAF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Ahmed 2015a (HULL Migraine) (UK)</w:t>
            </w:r>
          </w:p>
        </w:tc>
        <w:tc>
          <w:tcPr>
            <w:tcW w:w="356" w:type="pct"/>
          </w:tcPr>
          <w:p w14:paraId="05E1CEDC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PCS</w:t>
            </w:r>
          </w:p>
        </w:tc>
        <w:tc>
          <w:tcPr>
            <w:tcW w:w="602" w:type="pct"/>
          </w:tcPr>
          <w:p w14:paraId="42C973C3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Previously treated</w:t>
            </w:r>
          </w:p>
        </w:tc>
        <w:tc>
          <w:tcPr>
            <w:tcW w:w="643" w:type="pct"/>
          </w:tcPr>
          <w:p w14:paraId="456ACF44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≥3</w:t>
            </w:r>
          </w:p>
        </w:tc>
        <w:tc>
          <w:tcPr>
            <w:tcW w:w="442" w:type="pct"/>
          </w:tcPr>
          <w:p w14:paraId="2D9E2BDC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OnabotA</w:t>
            </w:r>
          </w:p>
        </w:tc>
        <w:tc>
          <w:tcPr>
            <w:tcW w:w="362" w:type="pct"/>
          </w:tcPr>
          <w:p w14:paraId="28056DB1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243</w:t>
            </w:r>
          </w:p>
        </w:tc>
        <w:tc>
          <w:tcPr>
            <w:tcW w:w="642" w:type="pct"/>
          </w:tcPr>
          <w:p w14:paraId="734DDFD0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≥50% reduction: 87 (36.0)</w:t>
            </w:r>
          </w:p>
          <w:p w14:paraId="0D901777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≥75% reduction: 47 (19.0)</w:t>
            </w:r>
          </w:p>
        </w:tc>
        <w:tc>
          <w:tcPr>
            <w:tcW w:w="642" w:type="pct"/>
          </w:tcPr>
          <w:p w14:paraId="6BE0EF18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744" w:type="pct"/>
          </w:tcPr>
          <w:p w14:paraId="2F4154C5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-</w:t>
            </w:r>
          </w:p>
        </w:tc>
      </w:tr>
      <w:tr w:rsidR="005C1DEF" w:rsidRPr="000D7009" w14:paraId="6FE0DFC3" w14:textId="77777777" w:rsidTr="0080520F">
        <w:trPr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pct"/>
            <w:hideMark/>
          </w:tcPr>
          <w:p w14:paraId="42FB74B3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Pedraza 2015 (Spain)</w:t>
            </w:r>
          </w:p>
        </w:tc>
        <w:tc>
          <w:tcPr>
            <w:tcW w:w="356" w:type="pct"/>
          </w:tcPr>
          <w:p w14:paraId="43B8BC7C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PCS</w:t>
            </w:r>
          </w:p>
        </w:tc>
        <w:tc>
          <w:tcPr>
            <w:tcW w:w="602" w:type="pct"/>
          </w:tcPr>
          <w:p w14:paraId="2123C980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Previously treated</w:t>
            </w:r>
          </w:p>
        </w:tc>
        <w:tc>
          <w:tcPr>
            <w:tcW w:w="643" w:type="pct"/>
            <w:hideMark/>
          </w:tcPr>
          <w:p w14:paraId="74F5EEEA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≥</w:t>
            </w: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442" w:type="pct"/>
            <w:hideMark/>
          </w:tcPr>
          <w:p w14:paraId="19DB88C9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OnabotA</w:t>
            </w:r>
          </w:p>
        </w:tc>
        <w:tc>
          <w:tcPr>
            <w:tcW w:w="362" w:type="pct"/>
            <w:hideMark/>
          </w:tcPr>
          <w:p w14:paraId="161B5193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52</w:t>
            </w:r>
          </w:p>
        </w:tc>
        <w:tc>
          <w:tcPr>
            <w:tcW w:w="642" w:type="pct"/>
          </w:tcPr>
          <w:p w14:paraId="311543FA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642" w:type="pct"/>
            <w:hideMark/>
          </w:tcPr>
          <w:p w14:paraId="17DDA3EA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31 (59.6)</w:t>
            </w:r>
          </w:p>
        </w:tc>
        <w:tc>
          <w:tcPr>
            <w:tcW w:w="744" w:type="pct"/>
            <w:hideMark/>
          </w:tcPr>
          <w:p w14:paraId="2CE61689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28 (71.8) [N=39]</w:t>
            </w:r>
          </w:p>
          <w:p w14:paraId="11FB4709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TNEJMScalaSansLF" w:cs="Calibri"/>
                <w:sz w:val="18"/>
                <w:szCs w:val="18"/>
                <w:lang w:val="en-US"/>
              </w:rPr>
            </w:pPr>
          </w:p>
        </w:tc>
      </w:tr>
      <w:tr w:rsidR="005C1DEF" w:rsidRPr="000D7009" w14:paraId="4D2D7ED5" w14:textId="77777777" w:rsidTr="0080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pct"/>
          </w:tcPr>
          <w:p w14:paraId="20F51E39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Lee 2016 (Korea)</w:t>
            </w:r>
          </w:p>
        </w:tc>
        <w:tc>
          <w:tcPr>
            <w:tcW w:w="356" w:type="pct"/>
          </w:tcPr>
          <w:p w14:paraId="76953736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PCS</w:t>
            </w:r>
          </w:p>
        </w:tc>
        <w:tc>
          <w:tcPr>
            <w:tcW w:w="602" w:type="pct"/>
          </w:tcPr>
          <w:p w14:paraId="55740FE5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Previously treated</w:t>
            </w:r>
          </w:p>
        </w:tc>
        <w:tc>
          <w:tcPr>
            <w:tcW w:w="643" w:type="pct"/>
          </w:tcPr>
          <w:p w14:paraId="6092B901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NR</w:t>
            </w:r>
          </w:p>
        </w:tc>
        <w:tc>
          <w:tcPr>
            <w:tcW w:w="442" w:type="pct"/>
          </w:tcPr>
          <w:p w14:paraId="77D03C05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OnabotA</w:t>
            </w:r>
          </w:p>
        </w:tc>
        <w:tc>
          <w:tcPr>
            <w:tcW w:w="362" w:type="pct"/>
          </w:tcPr>
          <w:p w14:paraId="0A9B71CC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70</w:t>
            </w:r>
          </w:p>
        </w:tc>
        <w:tc>
          <w:tcPr>
            <w:tcW w:w="642" w:type="pct"/>
          </w:tcPr>
          <w:p w14:paraId="08695AD5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26 (37.1)</w:t>
            </w:r>
          </w:p>
        </w:tc>
        <w:tc>
          <w:tcPr>
            <w:tcW w:w="642" w:type="pct"/>
          </w:tcPr>
          <w:p w14:paraId="4CCE47F0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744" w:type="pct"/>
          </w:tcPr>
          <w:p w14:paraId="20AAA29F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-</w:t>
            </w:r>
          </w:p>
        </w:tc>
      </w:tr>
      <w:tr w:rsidR="005C1DEF" w:rsidRPr="000D7009" w14:paraId="6AFF6948" w14:textId="77777777" w:rsidTr="0080520F">
        <w:trPr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pct"/>
          </w:tcPr>
          <w:p w14:paraId="65679FBF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Gomez-Galvan 2016 (Spain)</w:t>
            </w:r>
          </w:p>
        </w:tc>
        <w:tc>
          <w:tcPr>
            <w:tcW w:w="356" w:type="pct"/>
          </w:tcPr>
          <w:p w14:paraId="53685194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PCS</w:t>
            </w:r>
          </w:p>
        </w:tc>
        <w:tc>
          <w:tcPr>
            <w:tcW w:w="602" w:type="pct"/>
          </w:tcPr>
          <w:p w14:paraId="640E89E2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643" w:type="pct"/>
          </w:tcPr>
          <w:p w14:paraId="1CCC8B41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NR</w:t>
            </w:r>
          </w:p>
        </w:tc>
        <w:tc>
          <w:tcPr>
            <w:tcW w:w="442" w:type="pct"/>
          </w:tcPr>
          <w:p w14:paraId="6E070285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sz w:val="18"/>
                <w:szCs w:val="18"/>
                <w:lang w:val="en-US"/>
              </w:rPr>
              <w:t>OnabotA</w:t>
            </w:r>
          </w:p>
        </w:tc>
        <w:tc>
          <w:tcPr>
            <w:tcW w:w="362" w:type="pct"/>
          </w:tcPr>
          <w:p w14:paraId="1DF89437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79</w:t>
            </w:r>
          </w:p>
        </w:tc>
        <w:tc>
          <w:tcPr>
            <w:tcW w:w="642" w:type="pct"/>
          </w:tcPr>
          <w:p w14:paraId="645ACB09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642" w:type="pct"/>
          </w:tcPr>
          <w:p w14:paraId="0A2BF5EF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744" w:type="pct"/>
          </w:tcPr>
          <w:p w14:paraId="5386873F" w14:textId="77777777" w:rsidR="005C1DEF" w:rsidRPr="000D7009" w:rsidRDefault="005C1DE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  <w:lang w:val="en-US"/>
              </w:rPr>
            </w:pPr>
            <w:r w:rsidRPr="000D7009">
              <w:rPr>
                <w:rFonts w:cs="Calibri"/>
                <w:bCs w:val="0"/>
                <w:sz w:val="18"/>
                <w:szCs w:val="18"/>
                <w:lang w:val="en-US"/>
              </w:rPr>
              <w:t>65 (82.3)</w:t>
            </w:r>
          </w:p>
        </w:tc>
      </w:tr>
    </w:tbl>
    <w:p w14:paraId="6376D07C" w14:textId="77777777" w:rsidR="005C1DEF" w:rsidRDefault="005C1DEF" w:rsidP="005C1DEF">
      <w:pPr>
        <w:pStyle w:val="Heading1"/>
        <w:spacing w:line="480" w:lineRule="auto"/>
        <w:contextualSpacing/>
        <w:rPr>
          <w:b w:val="0"/>
          <w:bCs w:val="0"/>
          <w:lang w:val="en-US"/>
        </w:rPr>
      </w:pPr>
      <w:r w:rsidRPr="003018D6">
        <w:rPr>
          <w:b w:val="0"/>
          <w:bCs w:val="0"/>
          <w:lang w:val="en-US"/>
        </w:rPr>
        <w:t>mo.: months; OnabotA: onabotulinumtoxinA; PCS: prospective cohort study.</w:t>
      </w:r>
    </w:p>
    <w:p w14:paraId="60292373" w14:textId="77777777" w:rsidR="002621DE" w:rsidRDefault="002621DE"/>
    <w:sectPr w:rsidR="002621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TNEJMScalaSansLF">
    <w:altName w:val="MS Gothic"/>
    <w:panose1 w:val="00000000000000000000"/>
    <w:charset w:val="80"/>
    <w:family w:val="swiss"/>
    <w:notTrueType/>
    <w:pitch w:val="default"/>
    <w:sig w:usb0="00000003" w:usb1="080F0000" w:usb2="00000010" w:usb3="00000000" w:csb0="0006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DEF"/>
    <w:rsid w:val="001B5A6C"/>
    <w:rsid w:val="002621DE"/>
    <w:rsid w:val="00577886"/>
    <w:rsid w:val="005C1DEF"/>
    <w:rsid w:val="009A1B3B"/>
    <w:rsid w:val="00DC0D5C"/>
    <w:rsid w:val="00FF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91EBF"/>
  <w15:chartTrackingRefBased/>
  <w15:docId w15:val="{B7884778-8416-4F02-8B00-4C68152E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DEF"/>
    <w:pPr>
      <w:spacing w:after="0" w:line="360" w:lineRule="auto"/>
    </w:pPr>
  </w:style>
  <w:style w:type="paragraph" w:styleId="Heading1">
    <w:name w:val="heading 1"/>
    <w:basedOn w:val="Normal"/>
    <w:next w:val="Normal"/>
    <w:link w:val="Heading1Char"/>
    <w:qFormat/>
    <w:rsid w:val="005C1DEF"/>
    <w:pPr>
      <w:keepNext/>
      <w:keepLines/>
      <w:outlineLvl w:val="0"/>
    </w:pPr>
    <w:rPr>
      <w:rFonts w:eastAsiaTheme="majorEastAsia" w:cstheme="min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1DEF"/>
    <w:rPr>
      <w:rFonts w:eastAsiaTheme="majorEastAsia" w:cstheme="minorHAnsi"/>
      <w:b/>
      <w:bCs/>
    </w:rPr>
  </w:style>
  <w:style w:type="table" w:customStyle="1" w:styleId="GridTable4-Accent111213">
    <w:name w:val="Grid Table 4 - Accent 111213"/>
    <w:basedOn w:val="TableNormal"/>
    <w:uiPriority w:val="49"/>
    <w:rsid w:val="005C1DEF"/>
    <w:pPr>
      <w:spacing w:after="0" w:line="240" w:lineRule="auto"/>
    </w:pPr>
    <w:rPr>
      <w:rFonts w:eastAsia="Times New Roman"/>
      <w:lang w:eastAsia="en-GB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McLaughlin</dc:creator>
  <cp:keywords/>
  <dc:description/>
  <cp:lastModifiedBy>OH-Edit-LZ</cp:lastModifiedBy>
  <cp:revision>4</cp:revision>
  <dcterms:created xsi:type="dcterms:W3CDTF">2022-10-31T13:37:00Z</dcterms:created>
  <dcterms:modified xsi:type="dcterms:W3CDTF">2022-11-01T13:26:00Z</dcterms:modified>
</cp:coreProperties>
</file>