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29A7F" w14:textId="79AEF7ED" w:rsidR="000A5786" w:rsidRPr="00BC183D" w:rsidRDefault="00BC183D">
      <w:pPr>
        <w:rPr>
          <w:lang w:val="en-US"/>
        </w:rPr>
      </w:pPr>
      <w:r w:rsidRPr="00BC183D">
        <w:rPr>
          <w:lang w:val="en-US"/>
        </w:rPr>
        <w:t>Online Resource 1 – description</w:t>
      </w:r>
    </w:p>
    <w:p w14:paraId="62CB9DE3" w14:textId="49C78C9D" w:rsidR="00BC183D" w:rsidRPr="00BC183D" w:rsidRDefault="00BC183D">
      <w:pPr>
        <w:rPr>
          <w:lang w:val="en-US"/>
        </w:rPr>
      </w:pPr>
      <w:r w:rsidRPr="00BC183D">
        <w:rPr>
          <w:color w:val="000000"/>
          <w:lang w:val="en-US"/>
        </w:rPr>
        <w:t>Results of i</w:t>
      </w:r>
      <w:r w:rsidRPr="00BC183D">
        <w:rPr>
          <w:color w:val="000000"/>
          <w:lang w:val="en-US"/>
        </w:rPr>
        <w:t>mmunofluorescen</w:t>
      </w:r>
      <w:r w:rsidRPr="00BC183D">
        <w:rPr>
          <w:color w:val="000000"/>
          <w:lang w:val="en-US"/>
        </w:rPr>
        <w:t>t examinations of basic axonemal markers</w:t>
      </w:r>
      <w:r w:rsidRPr="00BC183D">
        <w:rPr>
          <w:color w:val="000000"/>
          <w:lang w:val="en-US"/>
        </w:rPr>
        <w:t xml:space="preserve"> </w:t>
      </w:r>
      <w:r w:rsidRPr="00BC183D">
        <w:rPr>
          <w:color w:val="000000"/>
          <w:lang w:val="en-US"/>
        </w:rPr>
        <w:t>in</w:t>
      </w:r>
      <w:r w:rsidRPr="00BC183D">
        <w:rPr>
          <w:color w:val="000000"/>
          <w:lang w:val="en-US"/>
        </w:rPr>
        <w:t xml:space="preserve"> patients 1 and 2 and a healthy control using antibodies against acetylated α-tubulin to visualize cilia (green) and DNAH5 as a marker of ODA</w:t>
      </w:r>
      <w:r w:rsidRPr="00BC183D">
        <w:rPr>
          <w:color w:val="000000"/>
          <w:lang w:val="en-US"/>
        </w:rPr>
        <w:t>, DNALI1 as a marker of IDA, GAS8 as a marker of nexin-dynein regulatory complex, and RSPH9 as a marker of radial spokes</w:t>
      </w:r>
      <w:r w:rsidRPr="00BC183D">
        <w:rPr>
          <w:color w:val="000000"/>
          <w:lang w:val="en-US"/>
        </w:rPr>
        <w:t xml:space="preserve"> (</w:t>
      </w:r>
      <w:r w:rsidRPr="00BC183D">
        <w:rPr>
          <w:color w:val="000000"/>
          <w:lang w:val="en-US"/>
        </w:rPr>
        <w:t xml:space="preserve">all </w:t>
      </w:r>
      <w:r w:rsidRPr="00BC183D">
        <w:rPr>
          <w:color w:val="000000"/>
          <w:lang w:val="en-US"/>
        </w:rPr>
        <w:t xml:space="preserve">red); nuclei are marked by DAPI (blue); </w:t>
      </w:r>
      <w:r w:rsidRPr="00BC183D">
        <w:rPr>
          <w:color w:val="000000"/>
          <w:lang w:val="en-US"/>
        </w:rPr>
        <w:t>all basic axonemal markers were</w:t>
      </w:r>
      <w:r w:rsidRPr="00BC183D">
        <w:rPr>
          <w:color w:val="000000"/>
          <w:lang w:val="en-US"/>
        </w:rPr>
        <w:t xml:space="preserve"> positive in both patients. Bars = 10 µm.</w:t>
      </w:r>
    </w:p>
    <w:sectPr w:rsidR="00BC183D" w:rsidRPr="00BC1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D"/>
    <w:rsid w:val="000A5786"/>
    <w:rsid w:val="00462381"/>
    <w:rsid w:val="00B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99439"/>
  <w15:chartTrackingRefBased/>
  <w15:docId w15:val="{33635660-0FE1-47F1-85DA-D9AF76EE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413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Uhlik</dc:creator>
  <cp:keywords/>
  <dc:description/>
  <cp:lastModifiedBy>Uhlik</cp:lastModifiedBy>
  <cp:revision>2</cp:revision>
  <dcterms:created xsi:type="dcterms:W3CDTF">2025-12-19T15:37:00Z</dcterms:created>
  <dcterms:modified xsi:type="dcterms:W3CDTF">2025-12-19T15:43:00Z</dcterms:modified>
</cp:coreProperties>
</file>