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7274C" w14:textId="6BBDED0A" w:rsidR="00804BB0" w:rsidRDefault="00804BB0" w:rsidP="00CA4D90">
      <w:pPr>
        <w:rPr>
          <w:rFonts w:cs="Times New Roman"/>
        </w:rPr>
      </w:pPr>
      <w:r w:rsidRPr="00BF4B57">
        <w:rPr>
          <w:rFonts w:cs="Times New Roman"/>
          <w:b/>
          <w:bCs/>
        </w:rPr>
        <w:t>Appendix 1.</w:t>
      </w:r>
      <w:r w:rsidRPr="00BF4B57">
        <w:rPr>
          <w:rFonts w:cs="Times New Roman"/>
        </w:rPr>
        <w:t xml:space="preserve"> Substantive elements of Decent Work</w:t>
      </w:r>
      <w:r w:rsidR="00CA4D90">
        <w:rPr>
          <w:rFonts w:cs="Times New Roman"/>
        </w:rPr>
        <w:t>: Definitions and example indicators</w:t>
      </w:r>
      <w:r w:rsidRPr="00BF4B57">
        <w:rPr>
          <w:rFonts w:cs="Times New Roman"/>
        </w:rPr>
        <w:t xml:space="preserve"> (</w:t>
      </w:r>
      <w:r w:rsidR="00CA4D90">
        <w:rPr>
          <w:rFonts w:cs="Times New Roman"/>
        </w:rPr>
        <w:t xml:space="preserve">Adapted and </w:t>
      </w:r>
      <w:r w:rsidRPr="00BF4B57">
        <w:rPr>
          <w:rFonts w:cs="Times New Roman"/>
        </w:rPr>
        <w:t>expanded from ILO, 2013).</w:t>
      </w:r>
    </w:p>
    <w:p w14:paraId="4A2B62CE" w14:textId="77777777" w:rsidR="00CA4D90" w:rsidRPr="00BF4B57" w:rsidRDefault="00CA4D90" w:rsidP="00CA4D90">
      <w:pPr>
        <w:rPr>
          <w:rFonts w:cs="Times New Roman"/>
        </w:rPr>
      </w:pPr>
    </w:p>
    <w:tbl>
      <w:tblPr>
        <w:tblStyle w:val="TableGrid"/>
        <w:tblW w:w="0" w:type="auto"/>
        <w:jc w:val="center"/>
        <w:tblLook w:val="04A0" w:firstRow="1" w:lastRow="0" w:firstColumn="1" w:lastColumn="0" w:noHBand="0" w:noVBand="1"/>
      </w:tblPr>
      <w:tblGrid>
        <w:gridCol w:w="1663"/>
        <w:gridCol w:w="3295"/>
        <w:gridCol w:w="2196"/>
        <w:gridCol w:w="2196"/>
      </w:tblGrid>
      <w:tr w:rsidR="00CA5C01" w:rsidRPr="00BF4B57" w14:paraId="0E656861" w14:textId="5BA84E7A" w:rsidTr="00CA5C01">
        <w:trPr>
          <w:trHeight w:val="872"/>
          <w:jc w:val="center"/>
        </w:trPr>
        <w:tc>
          <w:tcPr>
            <w:tcW w:w="1663" w:type="dxa"/>
            <w:vAlign w:val="center"/>
          </w:tcPr>
          <w:p w14:paraId="780B618D" w14:textId="77777777" w:rsidR="00CA5C01" w:rsidRPr="00BF4B57" w:rsidRDefault="00CA5C01" w:rsidP="00CA5C01">
            <w:pPr>
              <w:spacing w:after="160" w:line="259" w:lineRule="auto"/>
              <w:rPr>
                <w:rFonts w:cs="Times New Roman"/>
                <w:b/>
                <w:bCs/>
              </w:rPr>
            </w:pPr>
            <w:r w:rsidRPr="00BF4B57">
              <w:rPr>
                <w:rFonts w:cs="Times New Roman"/>
                <w:b/>
                <w:bCs/>
              </w:rPr>
              <w:t>Substantive element of Decent Work</w:t>
            </w:r>
          </w:p>
        </w:tc>
        <w:tc>
          <w:tcPr>
            <w:tcW w:w="3295" w:type="dxa"/>
            <w:vAlign w:val="center"/>
          </w:tcPr>
          <w:p w14:paraId="67AA6158" w14:textId="77777777" w:rsidR="00CA5C01" w:rsidRPr="00BF4B57" w:rsidRDefault="00CA5C01" w:rsidP="00CA5C01">
            <w:pPr>
              <w:spacing w:after="160" w:line="259" w:lineRule="auto"/>
              <w:rPr>
                <w:rFonts w:cs="Times New Roman"/>
              </w:rPr>
            </w:pPr>
            <w:r w:rsidRPr="00BF4B57">
              <w:rPr>
                <w:rFonts w:cs="Times New Roman"/>
                <w:b/>
                <w:bCs/>
              </w:rPr>
              <w:t>Definition or key characteristics</w:t>
            </w:r>
          </w:p>
        </w:tc>
        <w:tc>
          <w:tcPr>
            <w:tcW w:w="2196" w:type="dxa"/>
            <w:vAlign w:val="center"/>
          </w:tcPr>
          <w:p w14:paraId="59F703C3" w14:textId="47E23182" w:rsidR="00CA5C01" w:rsidRPr="00CA5C01" w:rsidRDefault="00CA5C01" w:rsidP="00CA5C01">
            <w:pPr>
              <w:rPr>
                <w:rFonts w:cs="Times New Roman"/>
                <w:b/>
                <w:bCs/>
              </w:rPr>
            </w:pPr>
            <w:r w:rsidRPr="00CA5C01">
              <w:rPr>
                <w:b/>
                <w:bCs/>
              </w:rPr>
              <w:t xml:space="preserve">Main Statistical Indicators </w:t>
            </w:r>
          </w:p>
        </w:tc>
        <w:tc>
          <w:tcPr>
            <w:tcW w:w="2196" w:type="dxa"/>
            <w:vAlign w:val="center"/>
          </w:tcPr>
          <w:p w14:paraId="62D792D5" w14:textId="4B92242A" w:rsidR="00CA5C01" w:rsidRPr="00CA5C01" w:rsidRDefault="00CA5C01" w:rsidP="00CA5C01">
            <w:pPr>
              <w:rPr>
                <w:rFonts w:cs="Times New Roman"/>
                <w:b/>
                <w:bCs/>
              </w:rPr>
            </w:pPr>
            <w:r w:rsidRPr="00CA5C01">
              <w:rPr>
                <w:b/>
                <w:bCs/>
              </w:rPr>
              <w:t xml:space="preserve">Legal Indicators </w:t>
            </w:r>
          </w:p>
        </w:tc>
      </w:tr>
      <w:tr w:rsidR="00CA5C01" w:rsidRPr="00BF4B57" w14:paraId="13A2B07C" w14:textId="0328E088" w:rsidTr="00CA5C01">
        <w:trPr>
          <w:trHeight w:val="1232"/>
          <w:jc w:val="center"/>
        </w:trPr>
        <w:tc>
          <w:tcPr>
            <w:tcW w:w="1663" w:type="dxa"/>
          </w:tcPr>
          <w:p w14:paraId="63620AEE" w14:textId="77777777" w:rsidR="00CA5C01" w:rsidRPr="00BF4B57" w:rsidRDefault="00CA5C01" w:rsidP="00CA5C01">
            <w:pPr>
              <w:spacing w:after="160" w:line="259" w:lineRule="auto"/>
              <w:rPr>
                <w:rFonts w:cs="Times New Roman"/>
                <w:i/>
                <w:iCs/>
              </w:rPr>
            </w:pPr>
            <w:r w:rsidRPr="00BF4B57">
              <w:rPr>
                <w:rFonts w:cs="Times New Roman"/>
                <w:i/>
                <w:iCs/>
              </w:rPr>
              <w:t>(</w:t>
            </w:r>
            <w:proofErr w:type="spellStart"/>
            <w:r w:rsidRPr="00BF4B57">
              <w:rPr>
                <w:rFonts w:cs="Times New Roman"/>
                <w:i/>
                <w:iCs/>
              </w:rPr>
              <w:t>i</w:t>
            </w:r>
            <w:proofErr w:type="spellEnd"/>
            <w:r w:rsidRPr="00BF4B57">
              <w:rPr>
                <w:rFonts w:cs="Times New Roman"/>
                <w:i/>
                <w:iCs/>
              </w:rPr>
              <w:t>) Employment opportunities</w:t>
            </w:r>
          </w:p>
        </w:tc>
        <w:tc>
          <w:tcPr>
            <w:tcW w:w="3295" w:type="dxa"/>
          </w:tcPr>
          <w:p w14:paraId="434A476B" w14:textId="77777777" w:rsidR="00CA5C01" w:rsidRPr="00BF4B57" w:rsidRDefault="00CA5C01" w:rsidP="00CA5C01">
            <w:pPr>
              <w:spacing w:after="160" w:line="259" w:lineRule="auto"/>
              <w:rPr>
                <w:rFonts w:cs="Times New Roman"/>
              </w:rPr>
            </w:pPr>
            <w:r w:rsidRPr="00BF4B57">
              <w:rPr>
                <w:rFonts w:cs="Times New Roman"/>
              </w:rPr>
              <w:t xml:space="preserve">"Existence of employment opportunities for all those who are available for and seeking work" (Anker et al., 2003); Quantity of labor demand and supply; unemployment and proportion of people employed; quality of employment, </w:t>
            </w:r>
            <w:proofErr w:type="gramStart"/>
            <w:r w:rsidRPr="00BF4B57">
              <w:rPr>
                <w:rFonts w:cs="Times New Roman"/>
              </w:rPr>
              <w:t>informality</w:t>
            </w:r>
            <w:proofErr w:type="gramEnd"/>
            <w:r w:rsidRPr="00BF4B57">
              <w:rPr>
                <w:rFonts w:cs="Times New Roman"/>
              </w:rPr>
              <w:t xml:space="preserve"> and precariousness; total employment</w:t>
            </w:r>
          </w:p>
        </w:tc>
        <w:tc>
          <w:tcPr>
            <w:tcW w:w="2196" w:type="dxa"/>
          </w:tcPr>
          <w:p w14:paraId="79237D43" w14:textId="4082343A" w:rsidR="00CA5C01" w:rsidRPr="00BF4B57" w:rsidRDefault="00CA5C01" w:rsidP="00CA5C01">
            <w:pPr>
              <w:rPr>
                <w:rFonts w:cs="Times New Roman"/>
              </w:rPr>
            </w:pPr>
            <w:r w:rsidRPr="0036712A">
              <w:t>Employment-to-population ratio; Unemployment rate; Youth not in employment, education or training, 15-24 years; Informal employment rate</w:t>
            </w:r>
          </w:p>
        </w:tc>
        <w:tc>
          <w:tcPr>
            <w:tcW w:w="2196" w:type="dxa"/>
          </w:tcPr>
          <w:p w14:paraId="523A6B24" w14:textId="5E1A6E29" w:rsidR="00CA5C01" w:rsidRPr="00BF4B57" w:rsidRDefault="00CA5C01" w:rsidP="00CA5C01">
            <w:pPr>
              <w:rPr>
                <w:rFonts w:cs="Times New Roman"/>
              </w:rPr>
            </w:pPr>
            <w:r w:rsidRPr="0036712A">
              <w:t>Government commitment to full employment; unemployment insurance</w:t>
            </w:r>
          </w:p>
        </w:tc>
      </w:tr>
      <w:tr w:rsidR="00CA5C01" w:rsidRPr="00BF4B57" w14:paraId="7F1A67A7" w14:textId="262D2497" w:rsidTr="00CA5C01">
        <w:trPr>
          <w:trHeight w:val="1430"/>
          <w:jc w:val="center"/>
        </w:trPr>
        <w:tc>
          <w:tcPr>
            <w:tcW w:w="1663" w:type="dxa"/>
          </w:tcPr>
          <w:p w14:paraId="63594C01" w14:textId="77777777" w:rsidR="00CA5C01" w:rsidRPr="00BF4B57" w:rsidRDefault="00CA5C01" w:rsidP="00CA5C01">
            <w:pPr>
              <w:spacing w:after="160" w:line="259" w:lineRule="auto"/>
              <w:rPr>
                <w:rFonts w:cs="Times New Roman"/>
                <w:i/>
                <w:iCs/>
              </w:rPr>
            </w:pPr>
            <w:r w:rsidRPr="00BF4B57">
              <w:rPr>
                <w:rFonts w:cs="Times New Roman"/>
                <w:i/>
                <w:iCs/>
              </w:rPr>
              <w:t>(ii) Adequate earnings and productive work</w:t>
            </w:r>
          </w:p>
        </w:tc>
        <w:tc>
          <w:tcPr>
            <w:tcW w:w="3295" w:type="dxa"/>
          </w:tcPr>
          <w:p w14:paraId="73C59CB9" w14:textId="77777777" w:rsidR="00CA5C01" w:rsidRPr="00BF4B57" w:rsidRDefault="00CA5C01" w:rsidP="00CA5C01">
            <w:pPr>
              <w:spacing w:after="160" w:line="259" w:lineRule="auto"/>
              <w:rPr>
                <w:rFonts w:cs="Times New Roman"/>
              </w:rPr>
            </w:pPr>
            <w:r w:rsidRPr="00BF4B57">
              <w:rPr>
                <w:rFonts w:cs="Times New Roman"/>
              </w:rPr>
              <w:t xml:space="preserve">Decent work must ensure “a just share of the fruits of progress to all, and a minimum living wage to all employed and in need of such protection” (ILO, 2013). Productive work is that which yields “sufficient returns to </w:t>
            </w:r>
            <w:proofErr w:type="spellStart"/>
            <w:r w:rsidRPr="00BF4B57">
              <w:rPr>
                <w:rFonts w:cs="Times New Roman"/>
              </w:rPr>
              <w:t>labour</w:t>
            </w:r>
            <w:proofErr w:type="spellEnd"/>
            <w:r w:rsidRPr="00BF4B57">
              <w:rPr>
                <w:rFonts w:cs="Times New Roman"/>
              </w:rPr>
              <w:t xml:space="preserve"> to permit a worker and his/her dependents a level of consumption above the poverty line” (Ripley &amp; Hartrich, 2017).</w:t>
            </w:r>
          </w:p>
        </w:tc>
        <w:tc>
          <w:tcPr>
            <w:tcW w:w="2196" w:type="dxa"/>
          </w:tcPr>
          <w:p w14:paraId="70BAF1E5" w14:textId="3700F39C" w:rsidR="00CA5C01" w:rsidRPr="00BF4B57" w:rsidRDefault="00CA5C01" w:rsidP="00CA5C01">
            <w:pPr>
              <w:rPr>
                <w:rFonts w:cs="Times New Roman"/>
              </w:rPr>
            </w:pPr>
            <w:r w:rsidRPr="0036712A">
              <w:t>Working poverty rate; Employees with low pay rate (2/3 of median hourly earnings)</w:t>
            </w:r>
          </w:p>
        </w:tc>
        <w:tc>
          <w:tcPr>
            <w:tcW w:w="2196" w:type="dxa"/>
          </w:tcPr>
          <w:p w14:paraId="2CE17D8A" w14:textId="3A8E83E9" w:rsidR="00CA5C01" w:rsidRPr="00BF4B57" w:rsidRDefault="00CA5C01" w:rsidP="00CA5C01">
            <w:pPr>
              <w:rPr>
                <w:rFonts w:cs="Times New Roman"/>
              </w:rPr>
            </w:pPr>
            <w:r w:rsidRPr="0036712A">
              <w:t>Statutory minimum wage</w:t>
            </w:r>
          </w:p>
        </w:tc>
      </w:tr>
      <w:tr w:rsidR="00CA5C01" w:rsidRPr="00BF4B57" w14:paraId="43B0EE7F" w14:textId="6199D1F3" w:rsidTr="00CA5C01">
        <w:trPr>
          <w:trHeight w:val="1340"/>
          <w:jc w:val="center"/>
        </w:trPr>
        <w:tc>
          <w:tcPr>
            <w:tcW w:w="1663" w:type="dxa"/>
          </w:tcPr>
          <w:p w14:paraId="33077B03" w14:textId="77777777" w:rsidR="00CA5C01" w:rsidRPr="00BF4B57" w:rsidRDefault="00CA5C01" w:rsidP="00CA5C01">
            <w:pPr>
              <w:spacing w:after="160" w:line="259" w:lineRule="auto"/>
              <w:rPr>
                <w:rFonts w:cs="Times New Roman"/>
                <w:i/>
                <w:iCs/>
              </w:rPr>
            </w:pPr>
            <w:r w:rsidRPr="00BF4B57">
              <w:rPr>
                <w:rFonts w:cs="Times New Roman"/>
                <w:i/>
                <w:iCs/>
              </w:rPr>
              <w:t>(iii) Decent working time</w:t>
            </w:r>
          </w:p>
        </w:tc>
        <w:tc>
          <w:tcPr>
            <w:tcW w:w="3295" w:type="dxa"/>
          </w:tcPr>
          <w:p w14:paraId="4106F9FB" w14:textId="77777777" w:rsidR="00CA5C01" w:rsidRPr="00BF4B57" w:rsidRDefault="00CA5C01" w:rsidP="00CA5C01">
            <w:pPr>
              <w:spacing w:after="160" w:line="259" w:lineRule="auto"/>
              <w:rPr>
                <w:rFonts w:cs="Times New Roman"/>
              </w:rPr>
            </w:pPr>
            <w:r w:rsidRPr="00BF4B57">
              <w:rPr>
                <w:rFonts w:cs="Times New Roman"/>
              </w:rPr>
              <w:t>“Excessive hours and atypical hours are often detrimental to physical and mental health, and they impede balance between work and family life. Excessive hours are also frequently a signal of inadequate hourly pay. Short hours often indicate inadequate employment opportunities” (Anker et al., 2003).</w:t>
            </w:r>
          </w:p>
        </w:tc>
        <w:tc>
          <w:tcPr>
            <w:tcW w:w="2196" w:type="dxa"/>
          </w:tcPr>
          <w:p w14:paraId="573D380E" w14:textId="08674C21" w:rsidR="00CA5C01" w:rsidRPr="00BF4B57" w:rsidRDefault="00CA5C01" w:rsidP="00CA5C01">
            <w:pPr>
              <w:rPr>
                <w:rFonts w:cs="Times New Roman"/>
              </w:rPr>
            </w:pPr>
            <w:r w:rsidRPr="0036712A">
              <w:t>Employment in excessive working time (more than 48 hours per week)</w:t>
            </w:r>
          </w:p>
        </w:tc>
        <w:tc>
          <w:tcPr>
            <w:tcW w:w="2196" w:type="dxa"/>
          </w:tcPr>
          <w:p w14:paraId="651847AB" w14:textId="7DE0303A" w:rsidR="00CA5C01" w:rsidRPr="00BF4B57" w:rsidRDefault="00CA5C01" w:rsidP="00CA5C01">
            <w:pPr>
              <w:rPr>
                <w:rFonts w:cs="Times New Roman"/>
              </w:rPr>
            </w:pPr>
            <w:r w:rsidRPr="0036712A">
              <w:t>Maximum hours of work; paid annual leave</w:t>
            </w:r>
          </w:p>
        </w:tc>
      </w:tr>
      <w:tr w:rsidR="00CA5C01" w:rsidRPr="00BF4B57" w14:paraId="1ECEDE90" w14:textId="6F8256A4" w:rsidTr="00CA5C01">
        <w:trPr>
          <w:trHeight w:val="1430"/>
          <w:jc w:val="center"/>
        </w:trPr>
        <w:tc>
          <w:tcPr>
            <w:tcW w:w="1663" w:type="dxa"/>
          </w:tcPr>
          <w:p w14:paraId="75BA4F95" w14:textId="77777777" w:rsidR="00CA5C01" w:rsidRPr="00BF4B57" w:rsidRDefault="00CA5C01" w:rsidP="00CA5C01">
            <w:pPr>
              <w:spacing w:after="160" w:line="259" w:lineRule="auto"/>
              <w:rPr>
                <w:rFonts w:cs="Times New Roman"/>
                <w:i/>
                <w:iCs/>
              </w:rPr>
            </w:pPr>
            <w:r w:rsidRPr="00BF4B57">
              <w:rPr>
                <w:rFonts w:cs="Times New Roman"/>
                <w:i/>
                <w:iCs/>
              </w:rPr>
              <w:t>(iv) Combining work, family, and personal life</w:t>
            </w:r>
          </w:p>
        </w:tc>
        <w:tc>
          <w:tcPr>
            <w:tcW w:w="3295" w:type="dxa"/>
          </w:tcPr>
          <w:p w14:paraId="078BF1FB" w14:textId="77777777" w:rsidR="00CA5C01" w:rsidRPr="00BF4B57" w:rsidRDefault="00CA5C01" w:rsidP="00CA5C01">
            <w:pPr>
              <w:spacing w:after="160" w:line="259" w:lineRule="auto"/>
              <w:contextualSpacing/>
              <w:rPr>
                <w:rFonts w:cs="Times New Roman"/>
              </w:rPr>
            </w:pPr>
            <w:r w:rsidRPr="00BF4B57">
              <w:rPr>
                <w:rFonts w:cs="Times New Roman"/>
              </w:rPr>
              <w:t xml:space="preserve">Work-life balance. Paid family leave, financial benefits, day-to-day </w:t>
            </w:r>
            <w:proofErr w:type="gramStart"/>
            <w:r w:rsidRPr="00BF4B57">
              <w:rPr>
                <w:rFonts w:cs="Times New Roman"/>
              </w:rPr>
              <w:t>accommodations</w:t>
            </w:r>
            <w:proofErr w:type="gramEnd"/>
            <w:r w:rsidRPr="00BF4B57">
              <w:rPr>
                <w:rFonts w:cs="Times New Roman"/>
              </w:rPr>
              <w:t xml:space="preserve">. Gender dimension: women often have “responsibility for family care and household work” (Anker et al. 2003). "Family responsibilities </w:t>
            </w:r>
            <w:r w:rsidRPr="00BF4B57">
              <w:rPr>
                <w:rFonts w:cs="Times New Roman"/>
              </w:rPr>
              <w:lastRenderedPageBreak/>
              <w:t xml:space="preserve">shall not, as such, constitute a valid reason for termination of employment" (ILO Workers with Family Responsibilities Convention, 1981, No. 156). </w:t>
            </w:r>
          </w:p>
        </w:tc>
        <w:tc>
          <w:tcPr>
            <w:tcW w:w="2196" w:type="dxa"/>
          </w:tcPr>
          <w:p w14:paraId="22BC4335" w14:textId="1CA721A6" w:rsidR="00CA5C01" w:rsidRPr="00BF4B57" w:rsidRDefault="00CA5C01" w:rsidP="00CA5C01">
            <w:pPr>
              <w:contextualSpacing/>
              <w:rPr>
                <w:rFonts w:cs="Times New Roman"/>
              </w:rPr>
            </w:pPr>
            <w:r w:rsidRPr="0036712A">
              <w:lastRenderedPageBreak/>
              <w:t xml:space="preserve">No main indicator; Vary according to regional pilots, e.g., </w:t>
            </w:r>
            <w:proofErr w:type="gramStart"/>
            <w:r w:rsidRPr="0036712A">
              <w:t>child care</w:t>
            </w:r>
            <w:proofErr w:type="gramEnd"/>
            <w:r w:rsidRPr="0036712A">
              <w:t xml:space="preserve"> leave coverage, female labor force participation rate, commute times </w:t>
            </w:r>
            <w:r w:rsidRPr="0036712A">
              <w:lastRenderedPageBreak/>
              <w:t>between work and home</w:t>
            </w:r>
          </w:p>
        </w:tc>
        <w:tc>
          <w:tcPr>
            <w:tcW w:w="2196" w:type="dxa"/>
          </w:tcPr>
          <w:p w14:paraId="7642C484" w14:textId="52C2AB74" w:rsidR="00CA5C01" w:rsidRPr="00BF4B57" w:rsidRDefault="00CA5C01" w:rsidP="00CA5C01">
            <w:pPr>
              <w:contextualSpacing/>
              <w:rPr>
                <w:rFonts w:cs="Times New Roman"/>
              </w:rPr>
            </w:pPr>
            <w:r w:rsidRPr="0036712A">
              <w:lastRenderedPageBreak/>
              <w:t>Maternity leave, parental leave</w:t>
            </w:r>
          </w:p>
        </w:tc>
      </w:tr>
      <w:tr w:rsidR="00CA5C01" w:rsidRPr="00BF4B57" w14:paraId="3390689A" w14:textId="7A79EE5E" w:rsidTr="00CA5C01">
        <w:trPr>
          <w:trHeight w:val="3410"/>
          <w:jc w:val="center"/>
        </w:trPr>
        <w:tc>
          <w:tcPr>
            <w:tcW w:w="1663" w:type="dxa"/>
          </w:tcPr>
          <w:p w14:paraId="013CEC85" w14:textId="77777777" w:rsidR="00CA5C01" w:rsidRPr="00BF4B57" w:rsidRDefault="00CA5C01" w:rsidP="00CA5C01">
            <w:pPr>
              <w:spacing w:after="160" w:line="259" w:lineRule="auto"/>
              <w:rPr>
                <w:rFonts w:cs="Times New Roman"/>
                <w:i/>
                <w:iCs/>
              </w:rPr>
            </w:pPr>
            <w:r w:rsidRPr="00BF4B57">
              <w:rPr>
                <w:rFonts w:cs="Times New Roman"/>
                <w:i/>
                <w:iCs/>
              </w:rPr>
              <w:t>(v) Work that should be abolished (child labor, forced labor)</w:t>
            </w:r>
          </w:p>
        </w:tc>
        <w:tc>
          <w:tcPr>
            <w:tcW w:w="3295" w:type="dxa"/>
          </w:tcPr>
          <w:p w14:paraId="194A5242" w14:textId="77777777" w:rsidR="00CA5C01" w:rsidRPr="00BF4B57" w:rsidRDefault="00CA5C01" w:rsidP="00CA5C01">
            <w:pPr>
              <w:spacing w:after="160" w:line="259" w:lineRule="auto"/>
              <w:rPr>
                <w:rFonts w:cs="Times New Roman"/>
              </w:rPr>
            </w:pPr>
            <w:r w:rsidRPr="00BF4B57">
              <w:rPr>
                <w:rFonts w:cs="Times New Roman"/>
              </w:rPr>
              <w:t>(1) Forced labor is defined as “all work or service which is extracted from any person under the menace of any penalty and for which the said person has not offered him or herself voluntarily” (ILO, 2013)</w:t>
            </w:r>
          </w:p>
          <w:p w14:paraId="53425A56" w14:textId="77777777" w:rsidR="00CA5C01" w:rsidRPr="00BF4B57" w:rsidRDefault="00CA5C01" w:rsidP="00CA5C01">
            <w:pPr>
              <w:spacing w:after="160" w:line="259" w:lineRule="auto"/>
              <w:rPr>
                <w:rFonts w:cs="Times New Roman"/>
              </w:rPr>
            </w:pPr>
            <w:r w:rsidRPr="00BF4B57">
              <w:rPr>
                <w:rFonts w:cs="Times New Roman"/>
              </w:rPr>
              <w:t xml:space="preserve">(2) "Children are considered to be in child </w:t>
            </w:r>
            <w:proofErr w:type="spellStart"/>
            <w:r w:rsidRPr="00BF4B57">
              <w:rPr>
                <w:rFonts w:cs="Times New Roman"/>
              </w:rPr>
              <w:t>labour</w:t>
            </w:r>
            <w:proofErr w:type="spellEnd"/>
            <w:r w:rsidRPr="00BF4B57">
              <w:rPr>
                <w:rFonts w:cs="Times New Roman"/>
              </w:rPr>
              <w:t xml:space="preserve"> if they are (</w:t>
            </w:r>
            <w:proofErr w:type="spellStart"/>
            <w:r w:rsidRPr="00BF4B57">
              <w:rPr>
                <w:rFonts w:cs="Times New Roman"/>
              </w:rPr>
              <w:t>i</w:t>
            </w:r>
            <w:proofErr w:type="spellEnd"/>
            <w:r w:rsidRPr="00BF4B57">
              <w:rPr>
                <w:rFonts w:cs="Times New Roman"/>
              </w:rPr>
              <w:t>) below the age of 12 and working; (ii) aged 12 to14 years and usually working more than 14 hours per week; (iii) aged 12 to14 years, usually working 14 hours or less per week (permitted light work), but stated s/he was working in a designated hazardous industry and/or occupation or worked under hazardous conditions; (iv) aged 15 to17 years and usually working more than 42 hours per week; and (v) aged 15 to 17 years and usually working less than or 42 hours per week (normal work), but stated s/he was working in a designated hazardous industry and/or occupation." (ILO, 2013)</w:t>
            </w:r>
          </w:p>
        </w:tc>
        <w:tc>
          <w:tcPr>
            <w:tcW w:w="2196" w:type="dxa"/>
          </w:tcPr>
          <w:p w14:paraId="4780AA78" w14:textId="11386C4B" w:rsidR="00CA5C01" w:rsidRPr="00BF4B57" w:rsidRDefault="00CA5C01" w:rsidP="00CA5C01">
            <w:pPr>
              <w:rPr>
                <w:rFonts w:cs="Times New Roman"/>
              </w:rPr>
            </w:pPr>
            <w:r w:rsidRPr="0036712A">
              <w:t xml:space="preserve">Child labor rate, </w:t>
            </w:r>
            <w:proofErr w:type="gramStart"/>
            <w:r w:rsidRPr="0036712A">
              <w:t>Forced</w:t>
            </w:r>
            <w:proofErr w:type="gramEnd"/>
            <w:r w:rsidRPr="0036712A">
              <w:t xml:space="preserve"> labor rate (additional or supporting indicator)</w:t>
            </w:r>
          </w:p>
        </w:tc>
        <w:tc>
          <w:tcPr>
            <w:tcW w:w="2196" w:type="dxa"/>
          </w:tcPr>
          <w:p w14:paraId="32BA7413" w14:textId="3C9F22FB" w:rsidR="00CA5C01" w:rsidRPr="00BF4B57" w:rsidRDefault="00CA5C01" w:rsidP="00CA5C01">
            <w:pPr>
              <w:rPr>
                <w:rFonts w:cs="Times New Roman"/>
              </w:rPr>
            </w:pPr>
            <w:r w:rsidRPr="0036712A">
              <w:t>Forced labor, child labor (including public policies to combat them)</w:t>
            </w:r>
          </w:p>
        </w:tc>
      </w:tr>
      <w:tr w:rsidR="00CA5C01" w:rsidRPr="00BF4B57" w14:paraId="12F0EA6B" w14:textId="3603D458" w:rsidTr="00CA5C01">
        <w:trPr>
          <w:trHeight w:val="1610"/>
          <w:jc w:val="center"/>
        </w:trPr>
        <w:tc>
          <w:tcPr>
            <w:tcW w:w="1663" w:type="dxa"/>
          </w:tcPr>
          <w:p w14:paraId="4609A586" w14:textId="77777777" w:rsidR="00CA5C01" w:rsidRPr="00BF4B57" w:rsidRDefault="00CA5C01" w:rsidP="00CA5C01">
            <w:pPr>
              <w:spacing w:after="160" w:line="259" w:lineRule="auto"/>
              <w:rPr>
                <w:rFonts w:cs="Times New Roman"/>
                <w:i/>
                <w:iCs/>
              </w:rPr>
            </w:pPr>
            <w:r w:rsidRPr="00BF4B57">
              <w:rPr>
                <w:rFonts w:cs="Times New Roman"/>
                <w:i/>
                <w:iCs/>
              </w:rPr>
              <w:t>(vi) Stability and security of work</w:t>
            </w:r>
          </w:p>
        </w:tc>
        <w:tc>
          <w:tcPr>
            <w:tcW w:w="3295" w:type="dxa"/>
          </w:tcPr>
          <w:p w14:paraId="7B1FEDC0" w14:textId="77777777" w:rsidR="00CA5C01" w:rsidRPr="00BF4B57" w:rsidRDefault="00CA5C01" w:rsidP="00CA5C01">
            <w:pPr>
              <w:spacing w:after="160" w:line="259" w:lineRule="auto"/>
              <w:rPr>
                <w:rFonts w:cs="Times New Roman"/>
              </w:rPr>
            </w:pPr>
            <w:r w:rsidRPr="00BF4B57">
              <w:rPr>
                <w:rFonts w:cs="Times New Roman"/>
              </w:rPr>
              <w:t xml:space="preserve">Permanence of employment; relative job security. “For an employee, job security can be defined as the probability that the current employment relationship will not be terminated at the employer’s initiative within a certain period (one year, for example). For a self-employed worker, job (work) security can be defined as the probability that the worker will not be forced to end his or her work within a certain period for reasons connected with </w:t>
            </w:r>
            <w:r w:rsidRPr="00BF4B57">
              <w:rPr>
                <w:rFonts w:cs="Times New Roman"/>
              </w:rPr>
              <w:lastRenderedPageBreak/>
              <w:t>work, such as loss of markets or disruption in supplies (as distinct from reasons connected with personal circumstances).” (Anker et al., 2003)</w:t>
            </w:r>
          </w:p>
        </w:tc>
        <w:tc>
          <w:tcPr>
            <w:tcW w:w="2196" w:type="dxa"/>
          </w:tcPr>
          <w:p w14:paraId="00ACEC8B" w14:textId="400DD7B1" w:rsidR="00CA5C01" w:rsidRPr="00BF4B57" w:rsidRDefault="00CA5C01" w:rsidP="00CA5C01">
            <w:pPr>
              <w:rPr>
                <w:rFonts w:cs="Times New Roman"/>
              </w:rPr>
            </w:pPr>
            <w:r w:rsidRPr="0036712A">
              <w:lastRenderedPageBreak/>
              <w:t>Precarious employment rate</w:t>
            </w:r>
          </w:p>
        </w:tc>
        <w:tc>
          <w:tcPr>
            <w:tcW w:w="2196" w:type="dxa"/>
          </w:tcPr>
          <w:p w14:paraId="4BF60CD5" w14:textId="6E187957" w:rsidR="00CA5C01" w:rsidRPr="00BF4B57" w:rsidRDefault="00CA5C01" w:rsidP="00CA5C01">
            <w:pPr>
              <w:rPr>
                <w:rFonts w:cs="Times New Roman"/>
              </w:rPr>
            </w:pPr>
            <w:r w:rsidRPr="0036712A">
              <w:t>Conditions for termination of employment in national legislation</w:t>
            </w:r>
          </w:p>
        </w:tc>
      </w:tr>
      <w:tr w:rsidR="00CA5C01" w:rsidRPr="00BF4B57" w14:paraId="0EC82564" w14:textId="3957318E" w:rsidTr="00CA5C01">
        <w:trPr>
          <w:trHeight w:val="1448"/>
          <w:jc w:val="center"/>
        </w:trPr>
        <w:tc>
          <w:tcPr>
            <w:tcW w:w="1663" w:type="dxa"/>
          </w:tcPr>
          <w:p w14:paraId="3F5DD487" w14:textId="77777777" w:rsidR="00CA5C01" w:rsidRPr="00BF4B57" w:rsidRDefault="00CA5C01" w:rsidP="00CA5C01">
            <w:pPr>
              <w:spacing w:after="160" w:line="259" w:lineRule="auto"/>
              <w:rPr>
                <w:rFonts w:cs="Times New Roman"/>
                <w:i/>
                <w:iCs/>
              </w:rPr>
            </w:pPr>
            <w:r w:rsidRPr="00BF4B57">
              <w:rPr>
                <w:rFonts w:cs="Times New Roman"/>
                <w:i/>
                <w:iCs/>
              </w:rPr>
              <w:t>(vii) Equal opportunity and treatment in employment</w:t>
            </w:r>
          </w:p>
        </w:tc>
        <w:tc>
          <w:tcPr>
            <w:tcW w:w="3295" w:type="dxa"/>
          </w:tcPr>
          <w:p w14:paraId="0DAF07BA" w14:textId="77777777" w:rsidR="00CA5C01" w:rsidRPr="00BF4B57" w:rsidRDefault="00CA5C01" w:rsidP="00CA5C01">
            <w:pPr>
              <w:spacing w:after="160" w:line="259" w:lineRule="auto"/>
              <w:rPr>
                <w:rFonts w:cs="Times New Roman"/>
              </w:rPr>
            </w:pPr>
            <w:r w:rsidRPr="00BF4B57">
              <w:rPr>
                <w:rFonts w:cs="Times New Roman"/>
              </w:rPr>
              <w:t xml:space="preserve">“The 2008 ILO Declaration on Social Justice for a Fair Globalization indicates that gender equality and non-discrimination must be considered to be cross-cutting issues in the strategic objectives of decent work.” (ILO, 2013). Focus on gender, but meaningful in a broader sense (e.g., ILO Convention No. 111: “race, </w:t>
            </w:r>
            <w:proofErr w:type="spellStart"/>
            <w:r w:rsidRPr="00BF4B57">
              <w:rPr>
                <w:rFonts w:cs="Times New Roman"/>
              </w:rPr>
              <w:t>colour</w:t>
            </w:r>
            <w:proofErr w:type="spellEnd"/>
            <w:r w:rsidRPr="00BF4B57">
              <w:rPr>
                <w:rFonts w:cs="Times New Roman"/>
              </w:rPr>
              <w:t>, sex, religion, political opinion, national extraction or social origin”)</w:t>
            </w:r>
          </w:p>
        </w:tc>
        <w:tc>
          <w:tcPr>
            <w:tcW w:w="2196" w:type="dxa"/>
          </w:tcPr>
          <w:p w14:paraId="361DDC9F" w14:textId="3BF3E8DB" w:rsidR="00CA5C01" w:rsidRPr="00BF4B57" w:rsidRDefault="00CA5C01" w:rsidP="00CA5C01">
            <w:pPr>
              <w:rPr>
                <w:rFonts w:cs="Times New Roman"/>
              </w:rPr>
            </w:pPr>
            <w:r w:rsidRPr="0036712A">
              <w:t>Occupational segregation by sex; Female share of employment in senior and middle management</w:t>
            </w:r>
          </w:p>
        </w:tc>
        <w:tc>
          <w:tcPr>
            <w:tcW w:w="2196" w:type="dxa"/>
          </w:tcPr>
          <w:p w14:paraId="6114D6D2" w14:textId="1738E2EB" w:rsidR="00CA5C01" w:rsidRPr="00BF4B57" w:rsidRDefault="00CA5C01" w:rsidP="00CA5C01">
            <w:pPr>
              <w:rPr>
                <w:rFonts w:cs="Times New Roman"/>
              </w:rPr>
            </w:pPr>
            <w:r w:rsidRPr="0036712A">
              <w:t>Equal opportunity and treatment; equal remuneration of men and women for work of equal value</w:t>
            </w:r>
          </w:p>
        </w:tc>
      </w:tr>
      <w:tr w:rsidR="00CA5C01" w:rsidRPr="00BF4B57" w14:paraId="0EA9E5B5" w14:textId="77822601" w:rsidTr="00CA5C01">
        <w:trPr>
          <w:trHeight w:val="899"/>
          <w:jc w:val="center"/>
        </w:trPr>
        <w:tc>
          <w:tcPr>
            <w:tcW w:w="1663" w:type="dxa"/>
          </w:tcPr>
          <w:p w14:paraId="2F4F375C" w14:textId="77777777" w:rsidR="00CA5C01" w:rsidRPr="00BF4B57" w:rsidRDefault="00CA5C01" w:rsidP="00CA5C01">
            <w:pPr>
              <w:spacing w:after="160" w:line="259" w:lineRule="auto"/>
              <w:rPr>
                <w:rFonts w:cs="Times New Roman"/>
                <w:i/>
                <w:iCs/>
              </w:rPr>
            </w:pPr>
            <w:r w:rsidRPr="00BF4B57">
              <w:rPr>
                <w:rFonts w:cs="Times New Roman"/>
                <w:i/>
                <w:iCs/>
              </w:rPr>
              <w:t xml:space="preserve">(viii) Safe work environment </w:t>
            </w:r>
          </w:p>
        </w:tc>
        <w:tc>
          <w:tcPr>
            <w:tcW w:w="3295" w:type="dxa"/>
          </w:tcPr>
          <w:p w14:paraId="0D0B8996" w14:textId="77777777" w:rsidR="00CA5C01" w:rsidRPr="00BF4B57" w:rsidRDefault="00CA5C01" w:rsidP="00CA5C01">
            <w:pPr>
              <w:spacing w:after="160" w:line="259" w:lineRule="auto"/>
              <w:rPr>
                <w:rFonts w:cs="Times New Roman"/>
              </w:rPr>
            </w:pPr>
            <w:r w:rsidRPr="00BF4B57">
              <w:rPr>
                <w:rFonts w:cs="Times New Roman"/>
              </w:rPr>
              <w:t>Occupational safety and health (</w:t>
            </w:r>
            <w:proofErr w:type="gramStart"/>
            <w:r w:rsidRPr="00BF4B57">
              <w:rPr>
                <w:rFonts w:cs="Times New Roman"/>
              </w:rPr>
              <w:t>OHS</w:t>
            </w:r>
            <w:proofErr w:type="gramEnd"/>
            <w:r w:rsidRPr="00BF4B57">
              <w:rPr>
                <w:rFonts w:cs="Times New Roman"/>
              </w:rPr>
              <w:t>). "Safety and health at work are about conditions that preserve and promote the physical and psychological integrity of workers." (Anker et al. 2003); ILO Conventions No. 155, No. 121</w:t>
            </w:r>
          </w:p>
        </w:tc>
        <w:tc>
          <w:tcPr>
            <w:tcW w:w="2196" w:type="dxa"/>
          </w:tcPr>
          <w:p w14:paraId="1717B02C" w14:textId="7C65FE2D" w:rsidR="00CA5C01" w:rsidRPr="00BF4B57" w:rsidRDefault="00CA5C01" w:rsidP="00CA5C01">
            <w:pPr>
              <w:rPr>
                <w:rFonts w:cs="Times New Roman"/>
              </w:rPr>
            </w:pPr>
            <w:r w:rsidRPr="0036712A">
              <w:t>Occupational injury frequency rate (fatal; non-fatal as additional)</w:t>
            </w:r>
          </w:p>
        </w:tc>
        <w:tc>
          <w:tcPr>
            <w:tcW w:w="2196" w:type="dxa"/>
          </w:tcPr>
          <w:p w14:paraId="56F8EDE5" w14:textId="6FD4F603" w:rsidR="00CA5C01" w:rsidRPr="00BF4B57" w:rsidRDefault="00CA5C01" w:rsidP="00CA5C01">
            <w:pPr>
              <w:rPr>
                <w:rFonts w:cs="Times New Roman"/>
              </w:rPr>
            </w:pPr>
            <w:r w:rsidRPr="0036712A">
              <w:t>Employment injury benefits; Occupational Safety and Health (OSH) labor inspection</w:t>
            </w:r>
          </w:p>
        </w:tc>
      </w:tr>
      <w:tr w:rsidR="00CA5C01" w:rsidRPr="00BF4B57" w14:paraId="7FF5468D" w14:textId="26CB5C02" w:rsidTr="00CA5C01">
        <w:trPr>
          <w:trHeight w:val="1961"/>
          <w:jc w:val="center"/>
        </w:trPr>
        <w:tc>
          <w:tcPr>
            <w:tcW w:w="1663" w:type="dxa"/>
          </w:tcPr>
          <w:p w14:paraId="26DE1CA8" w14:textId="77777777" w:rsidR="00CA5C01" w:rsidRPr="00BF4B57" w:rsidRDefault="00CA5C01" w:rsidP="00CA5C01">
            <w:pPr>
              <w:spacing w:after="160" w:line="259" w:lineRule="auto"/>
              <w:rPr>
                <w:rFonts w:cs="Times New Roman"/>
                <w:i/>
                <w:iCs/>
              </w:rPr>
            </w:pPr>
            <w:r w:rsidRPr="00BF4B57">
              <w:rPr>
                <w:rFonts w:cs="Times New Roman"/>
                <w:i/>
                <w:iCs/>
              </w:rPr>
              <w:t>(ix) Social security</w:t>
            </w:r>
          </w:p>
        </w:tc>
        <w:tc>
          <w:tcPr>
            <w:tcW w:w="3295" w:type="dxa"/>
          </w:tcPr>
          <w:p w14:paraId="31FE32F2" w14:textId="77777777" w:rsidR="00CA5C01" w:rsidRPr="00BF4B57" w:rsidRDefault="00CA5C01" w:rsidP="00CA5C01">
            <w:pPr>
              <w:spacing w:after="160" w:line="259" w:lineRule="auto"/>
              <w:rPr>
                <w:rFonts w:cs="Times New Roman"/>
              </w:rPr>
            </w:pPr>
            <w:r w:rsidRPr="00BF4B57">
              <w:rPr>
                <w:rFonts w:cs="Times New Roman"/>
              </w:rPr>
              <w:t xml:space="preserve">"Social security covers all measures that provide benefits, whether in cash or in kind, to secure protection, inter alia, from (a) lack of work-related income (or insufficient income) caused by sickness, disability, maternity, employment injury, unemployment, old age, or death of a family member; (b) lack of access or unaffordable access to health care; (c) insufficient family support, particularly for children and adult </w:t>
            </w:r>
            <w:proofErr w:type="spellStart"/>
            <w:r w:rsidRPr="00BF4B57">
              <w:rPr>
                <w:rFonts w:cs="Times New Roman"/>
              </w:rPr>
              <w:t>dependants</w:t>
            </w:r>
            <w:proofErr w:type="spellEnd"/>
            <w:r w:rsidRPr="00BF4B57">
              <w:rPr>
                <w:rFonts w:cs="Times New Roman"/>
              </w:rPr>
              <w:t>; and (d) general poverty and social exclusion." (ILO, 2013)</w:t>
            </w:r>
          </w:p>
        </w:tc>
        <w:tc>
          <w:tcPr>
            <w:tcW w:w="2196" w:type="dxa"/>
          </w:tcPr>
          <w:p w14:paraId="3DDD0341" w14:textId="57EEC00F" w:rsidR="00CA5C01" w:rsidRPr="00BF4B57" w:rsidRDefault="00CA5C01" w:rsidP="00CA5C01">
            <w:pPr>
              <w:rPr>
                <w:rFonts w:cs="Times New Roman"/>
              </w:rPr>
            </w:pPr>
            <w:r w:rsidRPr="0036712A">
              <w:t>Share of population above the statutory pensionable age (or aged 65 or above) benefiting from an old-age pension; Public social security expenditure (% GDP)</w:t>
            </w:r>
          </w:p>
        </w:tc>
        <w:tc>
          <w:tcPr>
            <w:tcW w:w="2196" w:type="dxa"/>
          </w:tcPr>
          <w:p w14:paraId="62958F31" w14:textId="7D4AD9BC" w:rsidR="00CA5C01" w:rsidRPr="00BF4B57" w:rsidRDefault="00CA5C01" w:rsidP="00CA5C01">
            <w:pPr>
              <w:rPr>
                <w:rFonts w:cs="Times New Roman"/>
              </w:rPr>
            </w:pPr>
            <w:r w:rsidRPr="0036712A">
              <w:t>Old-age social security or pension benefits; income replacement for incapacity to work</w:t>
            </w:r>
          </w:p>
        </w:tc>
      </w:tr>
      <w:tr w:rsidR="00CA5C01" w:rsidRPr="00BF4B57" w14:paraId="715A26F0" w14:textId="1EA33C2B" w:rsidTr="00CA5C01">
        <w:trPr>
          <w:trHeight w:val="1160"/>
          <w:jc w:val="center"/>
        </w:trPr>
        <w:tc>
          <w:tcPr>
            <w:tcW w:w="1663" w:type="dxa"/>
          </w:tcPr>
          <w:p w14:paraId="7FA08ADA" w14:textId="77777777" w:rsidR="00CA5C01" w:rsidRPr="00BF4B57" w:rsidRDefault="00CA5C01" w:rsidP="00CA5C01">
            <w:pPr>
              <w:spacing w:after="160" w:line="259" w:lineRule="auto"/>
              <w:rPr>
                <w:rFonts w:cs="Times New Roman"/>
                <w:i/>
                <w:iCs/>
              </w:rPr>
            </w:pPr>
            <w:r w:rsidRPr="00BF4B57">
              <w:rPr>
                <w:rFonts w:cs="Times New Roman"/>
                <w:i/>
                <w:iCs/>
              </w:rPr>
              <w:lastRenderedPageBreak/>
              <w:t xml:space="preserve">(x) Social dialogue, </w:t>
            </w:r>
            <w:proofErr w:type="gramStart"/>
            <w:r w:rsidRPr="00BF4B57">
              <w:rPr>
                <w:rFonts w:cs="Times New Roman"/>
                <w:i/>
                <w:iCs/>
              </w:rPr>
              <w:t>employers'</w:t>
            </w:r>
            <w:proofErr w:type="gramEnd"/>
            <w:r w:rsidRPr="00BF4B57">
              <w:rPr>
                <w:rFonts w:cs="Times New Roman"/>
                <w:i/>
                <w:iCs/>
              </w:rPr>
              <w:t xml:space="preserve"> and workers' representation</w:t>
            </w:r>
          </w:p>
        </w:tc>
        <w:tc>
          <w:tcPr>
            <w:tcW w:w="3295" w:type="dxa"/>
          </w:tcPr>
          <w:p w14:paraId="4CFBC24F" w14:textId="77777777" w:rsidR="00CA5C01" w:rsidRPr="00BF4B57" w:rsidRDefault="00CA5C01" w:rsidP="00CA5C01">
            <w:pPr>
              <w:spacing w:after="160" w:line="259" w:lineRule="auto"/>
              <w:rPr>
                <w:rFonts w:cs="Times New Roman"/>
              </w:rPr>
            </w:pPr>
            <w:r w:rsidRPr="00BF4B57">
              <w:rPr>
                <w:rFonts w:cs="Times New Roman"/>
              </w:rPr>
              <w:t>Refers to "the extent to which workers can express themselves on work-related matters and participate in determining their working conditions" (Anker et al. 2003); freedom of association, collective bargaining, participation in decision-making</w:t>
            </w:r>
          </w:p>
        </w:tc>
        <w:tc>
          <w:tcPr>
            <w:tcW w:w="2196" w:type="dxa"/>
          </w:tcPr>
          <w:p w14:paraId="463C6F2C" w14:textId="3B8FFCC7" w:rsidR="00CA5C01" w:rsidRPr="00BF4B57" w:rsidRDefault="00CA5C01" w:rsidP="00CA5C01">
            <w:pPr>
              <w:rPr>
                <w:rFonts w:cs="Times New Roman"/>
              </w:rPr>
            </w:pPr>
            <w:r w:rsidRPr="0036712A">
              <w:t xml:space="preserve">Trade union density rate; employers’ organization density rate, collective bargaining coverage rate </w:t>
            </w:r>
          </w:p>
        </w:tc>
        <w:tc>
          <w:tcPr>
            <w:tcW w:w="2196" w:type="dxa"/>
          </w:tcPr>
          <w:p w14:paraId="774810A3" w14:textId="1DE14552" w:rsidR="00CA5C01" w:rsidRPr="00BF4B57" w:rsidRDefault="00CA5C01" w:rsidP="00CA5C01">
            <w:pPr>
              <w:rPr>
                <w:rFonts w:cs="Times New Roman"/>
              </w:rPr>
            </w:pPr>
            <w:r w:rsidRPr="0036712A">
              <w:t>Freedom of association and the right to organize, collective bargaining right; tripartite consultations</w:t>
            </w:r>
          </w:p>
        </w:tc>
      </w:tr>
      <w:tr w:rsidR="00CA5C01" w:rsidRPr="00BF4B57" w14:paraId="67A0964D" w14:textId="22B3474F" w:rsidTr="00CA5C01">
        <w:trPr>
          <w:trHeight w:val="1160"/>
          <w:jc w:val="center"/>
        </w:trPr>
        <w:tc>
          <w:tcPr>
            <w:tcW w:w="1663" w:type="dxa"/>
          </w:tcPr>
          <w:p w14:paraId="2A94C804" w14:textId="77777777" w:rsidR="00CA5C01" w:rsidRPr="00BF4B57" w:rsidRDefault="00CA5C01" w:rsidP="00CA5C01">
            <w:pPr>
              <w:spacing w:after="160" w:line="259" w:lineRule="auto"/>
              <w:rPr>
                <w:rFonts w:cs="Times New Roman"/>
                <w:i/>
                <w:iCs/>
              </w:rPr>
            </w:pPr>
            <w:r w:rsidRPr="00BF4B57">
              <w:rPr>
                <w:rFonts w:cs="Times New Roman"/>
                <w:i/>
                <w:iCs/>
              </w:rPr>
              <w:t>Economic and social context of decent work</w:t>
            </w:r>
          </w:p>
        </w:tc>
        <w:tc>
          <w:tcPr>
            <w:tcW w:w="3295" w:type="dxa"/>
          </w:tcPr>
          <w:p w14:paraId="28C9FAA0" w14:textId="77777777" w:rsidR="00CA5C01" w:rsidRPr="00BF4B57" w:rsidRDefault="00CA5C01" w:rsidP="00CA5C01">
            <w:pPr>
              <w:spacing w:after="160" w:line="259" w:lineRule="auto"/>
              <w:rPr>
                <w:rFonts w:cs="Times New Roman"/>
              </w:rPr>
            </w:pPr>
            <w:r w:rsidRPr="00BF4B57">
              <w:rPr>
                <w:rFonts w:cs="Times New Roman"/>
              </w:rPr>
              <w:t>“(</w:t>
            </w:r>
            <w:proofErr w:type="spellStart"/>
            <w:r w:rsidRPr="00BF4B57">
              <w:rPr>
                <w:rFonts w:cs="Times New Roman"/>
              </w:rPr>
              <w:t>i</w:t>
            </w:r>
            <w:proofErr w:type="spellEnd"/>
            <w:r w:rsidRPr="00BF4B57">
              <w:rPr>
                <w:rFonts w:cs="Times New Roman"/>
              </w:rPr>
              <w:t>) socio-economic context, which conditions the sustainability of decent work; (ii) socio-economic performance, which might be affected by the achievement of decent work; and (iii) aspects of employment composition that are needed to compile some decent work indicators” (Anker et al., 2003)</w:t>
            </w:r>
          </w:p>
        </w:tc>
        <w:tc>
          <w:tcPr>
            <w:tcW w:w="2196" w:type="dxa"/>
          </w:tcPr>
          <w:p w14:paraId="668B79CA" w14:textId="662D2B43" w:rsidR="00CA5C01" w:rsidRPr="00BF4B57" w:rsidRDefault="00CA5C01" w:rsidP="00CA5C01">
            <w:pPr>
              <w:rPr>
                <w:rFonts w:cs="Times New Roman"/>
              </w:rPr>
            </w:pPr>
            <w:r w:rsidRPr="0036712A">
              <w:t>Several contextual indicators, e.g., children not in school, labor productivity (GDP per employed person, level, growth rate), income inequality, inflation rate, etc.</w:t>
            </w:r>
          </w:p>
        </w:tc>
        <w:tc>
          <w:tcPr>
            <w:tcW w:w="2196" w:type="dxa"/>
          </w:tcPr>
          <w:p w14:paraId="52C3728C" w14:textId="6DE18653" w:rsidR="00CA5C01" w:rsidRPr="00BF4B57" w:rsidRDefault="00CA5C01" w:rsidP="00CA5C01">
            <w:pPr>
              <w:rPr>
                <w:rFonts w:cs="Times New Roman"/>
              </w:rPr>
            </w:pPr>
            <w:r w:rsidRPr="0036712A">
              <w:t xml:space="preserve">Labor administration (i.e., "public administration activities in the field of national </w:t>
            </w:r>
            <w:proofErr w:type="spellStart"/>
            <w:r w:rsidRPr="0036712A">
              <w:t>labour</w:t>
            </w:r>
            <w:proofErr w:type="spellEnd"/>
            <w:r w:rsidRPr="0036712A">
              <w:t xml:space="preserve"> policy,” ILO, 2013)</w:t>
            </w:r>
          </w:p>
        </w:tc>
      </w:tr>
    </w:tbl>
    <w:p w14:paraId="16B3016F" w14:textId="77777777" w:rsidR="00804BB0" w:rsidRPr="00BF4B57" w:rsidRDefault="00804BB0" w:rsidP="00BF4B57">
      <w:pPr>
        <w:rPr>
          <w:rFonts w:cs="Times New Roman"/>
        </w:rPr>
      </w:pPr>
    </w:p>
    <w:p w14:paraId="69AD6F9A" w14:textId="55A6A76E" w:rsidR="00733F01" w:rsidRPr="00165A3F" w:rsidRDefault="00804BB0" w:rsidP="00165A3F">
      <w:pPr>
        <w:jc w:val="center"/>
        <w:rPr>
          <w:b/>
          <w:bCs/>
          <w:sz w:val="20"/>
          <w:szCs w:val="20"/>
        </w:rPr>
      </w:pPr>
      <w:r w:rsidRPr="00165A3F">
        <w:rPr>
          <w:b/>
          <w:bCs/>
          <w:sz w:val="20"/>
          <w:szCs w:val="20"/>
        </w:rPr>
        <w:t>References</w:t>
      </w:r>
    </w:p>
    <w:p w14:paraId="3F10650A" w14:textId="77777777" w:rsidR="00804BB0" w:rsidRPr="00165A3F" w:rsidRDefault="00804BB0" w:rsidP="00BF4B57">
      <w:pPr>
        <w:rPr>
          <w:sz w:val="20"/>
          <w:szCs w:val="20"/>
        </w:rPr>
      </w:pPr>
      <w:r w:rsidRPr="00165A3F">
        <w:rPr>
          <w:sz w:val="20"/>
          <w:szCs w:val="20"/>
        </w:rPr>
        <w:t xml:space="preserve">Anker, R., Chernyshev, I., Egger, P., Mehran, F., &amp; Ritter, J. A. (2003). Measuring decent work with statistical indicators. </w:t>
      </w:r>
      <w:r w:rsidRPr="00165A3F">
        <w:rPr>
          <w:i/>
          <w:iCs/>
          <w:sz w:val="20"/>
          <w:szCs w:val="20"/>
        </w:rPr>
        <w:t xml:space="preserve">International </w:t>
      </w:r>
      <w:proofErr w:type="spellStart"/>
      <w:r w:rsidRPr="00165A3F">
        <w:rPr>
          <w:i/>
          <w:iCs/>
          <w:sz w:val="20"/>
          <w:szCs w:val="20"/>
        </w:rPr>
        <w:t>Labour</w:t>
      </w:r>
      <w:proofErr w:type="spellEnd"/>
      <w:r w:rsidRPr="00165A3F">
        <w:rPr>
          <w:i/>
          <w:iCs/>
          <w:sz w:val="20"/>
          <w:szCs w:val="20"/>
        </w:rPr>
        <w:t xml:space="preserve"> Review</w:t>
      </w:r>
      <w:r w:rsidRPr="00165A3F">
        <w:rPr>
          <w:sz w:val="20"/>
          <w:szCs w:val="20"/>
        </w:rPr>
        <w:t xml:space="preserve">, </w:t>
      </w:r>
      <w:r w:rsidRPr="00165A3F">
        <w:rPr>
          <w:i/>
          <w:iCs/>
          <w:sz w:val="20"/>
          <w:szCs w:val="20"/>
        </w:rPr>
        <w:t>142</w:t>
      </w:r>
      <w:r w:rsidRPr="00165A3F">
        <w:rPr>
          <w:sz w:val="20"/>
          <w:szCs w:val="20"/>
        </w:rPr>
        <w:t xml:space="preserve">(2), 147–178. </w:t>
      </w:r>
      <w:hyperlink r:id="rId4" w:history="1">
        <w:r w:rsidRPr="00165A3F">
          <w:rPr>
            <w:rStyle w:val="Hyperlink"/>
            <w:sz w:val="20"/>
            <w:szCs w:val="20"/>
          </w:rPr>
          <w:t>https://doi.org/10.1111/j.1564-913X.2003.tb00257.x</w:t>
        </w:r>
      </w:hyperlink>
    </w:p>
    <w:p w14:paraId="52FE5D42" w14:textId="77777777" w:rsidR="00804BB0" w:rsidRPr="00165A3F" w:rsidRDefault="00804BB0" w:rsidP="00BF4B57">
      <w:pPr>
        <w:rPr>
          <w:sz w:val="20"/>
          <w:szCs w:val="20"/>
        </w:rPr>
      </w:pPr>
      <w:r w:rsidRPr="00165A3F">
        <w:rPr>
          <w:sz w:val="20"/>
          <w:szCs w:val="20"/>
        </w:rPr>
        <w:t xml:space="preserve">ILO. (2013). </w:t>
      </w:r>
      <w:r w:rsidRPr="00165A3F">
        <w:rPr>
          <w:i/>
          <w:iCs/>
          <w:sz w:val="20"/>
          <w:szCs w:val="20"/>
        </w:rPr>
        <w:t>Decent Work Indicators: Guidelines for producers and users of statistical and legal framework indicators</w:t>
      </w:r>
      <w:r w:rsidRPr="00165A3F">
        <w:rPr>
          <w:sz w:val="20"/>
          <w:szCs w:val="20"/>
        </w:rPr>
        <w:t xml:space="preserve"> (2nd Edition). International </w:t>
      </w:r>
      <w:proofErr w:type="spellStart"/>
      <w:r w:rsidRPr="00165A3F">
        <w:rPr>
          <w:sz w:val="20"/>
          <w:szCs w:val="20"/>
        </w:rPr>
        <w:t>Labour</w:t>
      </w:r>
      <w:proofErr w:type="spellEnd"/>
      <w:r w:rsidRPr="00165A3F">
        <w:rPr>
          <w:sz w:val="20"/>
          <w:szCs w:val="20"/>
        </w:rPr>
        <w:t xml:space="preserve"> Organization. </w:t>
      </w:r>
      <w:hyperlink r:id="rId5" w:history="1">
        <w:r w:rsidRPr="00165A3F">
          <w:rPr>
            <w:rStyle w:val="Hyperlink"/>
            <w:sz w:val="20"/>
            <w:szCs w:val="20"/>
          </w:rPr>
          <w:t>https://www.ilo.org/stat/Publications/WCMS_223121/lang--</w:t>
        </w:r>
        <w:proofErr w:type="spellStart"/>
        <w:r w:rsidRPr="00165A3F">
          <w:rPr>
            <w:rStyle w:val="Hyperlink"/>
            <w:sz w:val="20"/>
            <w:szCs w:val="20"/>
          </w:rPr>
          <w:t>en</w:t>
        </w:r>
        <w:proofErr w:type="spellEnd"/>
        <w:r w:rsidRPr="00165A3F">
          <w:rPr>
            <w:rStyle w:val="Hyperlink"/>
            <w:sz w:val="20"/>
            <w:szCs w:val="20"/>
          </w:rPr>
          <w:t>/index.htm</w:t>
        </w:r>
      </w:hyperlink>
    </w:p>
    <w:p w14:paraId="23E59B77" w14:textId="7571FE40" w:rsidR="00804BB0" w:rsidRPr="00BF4B57" w:rsidRDefault="00804BB0" w:rsidP="00BF4B57">
      <w:r w:rsidRPr="00165A3F">
        <w:rPr>
          <w:sz w:val="20"/>
          <w:szCs w:val="20"/>
        </w:rPr>
        <w:t xml:space="preserve">Ripley, M., &amp; Hartrich, S. (2017). </w:t>
      </w:r>
      <w:r w:rsidRPr="00165A3F">
        <w:rPr>
          <w:i/>
          <w:iCs/>
          <w:sz w:val="20"/>
          <w:szCs w:val="20"/>
        </w:rPr>
        <w:t>Measuring Productive Employment: A “How To” Note</w:t>
      </w:r>
      <w:r w:rsidRPr="00165A3F">
        <w:rPr>
          <w:sz w:val="20"/>
          <w:szCs w:val="20"/>
        </w:rPr>
        <w:t xml:space="preserve">. International </w:t>
      </w:r>
      <w:proofErr w:type="spellStart"/>
      <w:r w:rsidRPr="00165A3F">
        <w:rPr>
          <w:sz w:val="20"/>
          <w:szCs w:val="20"/>
        </w:rPr>
        <w:t>Labour</w:t>
      </w:r>
      <w:proofErr w:type="spellEnd"/>
      <w:r w:rsidRPr="00165A3F">
        <w:rPr>
          <w:sz w:val="20"/>
          <w:szCs w:val="20"/>
        </w:rPr>
        <w:t xml:space="preserve"> Organization. </w:t>
      </w:r>
      <w:hyperlink r:id="rId6" w:history="1">
        <w:r w:rsidRPr="00165A3F">
          <w:rPr>
            <w:rStyle w:val="Hyperlink"/>
            <w:sz w:val="20"/>
            <w:szCs w:val="20"/>
          </w:rPr>
          <w:t>https://www.ilo.org/wcmsp5/groups/public/---</w:t>
        </w:r>
        <w:proofErr w:type="spellStart"/>
        <w:r w:rsidRPr="00165A3F">
          <w:rPr>
            <w:rStyle w:val="Hyperlink"/>
            <w:sz w:val="20"/>
            <w:szCs w:val="20"/>
          </w:rPr>
          <w:t>ed_emp</w:t>
        </w:r>
        <w:proofErr w:type="spellEnd"/>
        <w:r w:rsidRPr="00165A3F">
          <w:rPr>
            <w:rStyle w:val="Hyperlink"/>
            <w:sz w:val="20"/>
            <w:szCs w:val="20"/>
          </w:rPr>
          <w:t>/documents/publication/wcms_565180.pdf</w:t>
        </w:r>
      </w:hyperlink>
    </w:p>
    <w:sectPr w:rsidR="00804BB0" w:rsidRPr="00BF4B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BB0"/>
    <w:rsid w:val="00165A3F"/>
    <w:rsid w:val="00243DE7"/>
    <w:rsid w:val="005752D5"/>
    <w:rsid w:val="005A2568"/>
    <w:rsid w:val="00733F01"/>
    <w:rsid w:val="00804BB0"/>
    <w:rsid w:val="008F6844"/>
    <w:rsid w:val="00BF4B57"/>
    <w:rsid w:val="00C6550E"/>
    <w:rsid w:val="00CA4D90"/>
    <w:rsid w:val="00CA5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2AC18"/>
  <w15:chartTrackingRefBased/>
  <w15:docId w15:val="{2B5AF628-FA3A-4451-BC8B-6430723D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BB0"/>
    <w:rPr>
      <w:rFonts w:ascii="Times New Roman" w:hAnsi="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4B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4BB0"/>
    <w:rPr>
      <w:color w:val="0563C1" w:themeColor="hyperlink"/>
      <w:u w:val="single"/>
    </w:rPr>
  </w:style>
  <w:style w:type="character" w:styleId="UnresolvedMention">
    <w:name w:val="Unresolved Mention"/>
    <w:basedOn w:val="DefaultParagraphFont"/>
    <w:uiPriority w:val="99"/>
    <w:semiHidden/>
    <w:unhideWhenUsed/>
    <w:rsid w:val="00804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034015">
      <w:bodyDiv w:val="1"/>
      <w:marLeft w:val="0"/>
      <w:marRight w:val="0"/>
      <w:marTop w:val="0"/>
      <w:marBottom w:val="0"/>
      <w:divBdr>
        <w:top w:val="none" w:sz="0" w:space="0" w:color="auto"/>
        <w:left w:val="none" w:sz="0" w:space="0" w:color="auto"/>
        <w:bottom w:val="none" w:sz="0" w:space="0" w:color="auto"/>
        <w:right w:val="none" w:sz="0" w:space="0" w:color="auto"/>
      </w:divBdr>
      <w:divsChild>
        <w:div w:id="60951590">
          <w:marLeft w:val="480"/>
          <w:marRight w:val="0"/>
          <w:marTop w:val="0"/>
          <w:marBottom w:val="0"/>
          <w:divBdr>
            <w:top w:val="none" w:sz="0" w:space="0" w:color="auto"/>
            <w:left w:val="none" w:sz="0" w:space="0" w:color="auto"/>
            <w:bottom w:val="none" w:sz="0" w:space="0" w:color="auto"/>
            <w:right w:val="none" w:sz="0" w:space="0" w:color="auto"/>
          </w:divBdr>
          <w:divsChild>
            <w:div w:id="48096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55835">
      <w:bodyDiv w:val="1"/>
      <w:marLeft w:val="0"/>
      <w:marRight w:val="0"/>
      <w:marTop w:val="0"/>
      <w:marBottom w:val="0"/>
      <w:divBdr>
        <w:top w:val="none" w:sz="0" w:space="0" w:color="auto"/>
        <w:left w:val="none" w:sz="0" w:space="0" w:color="auto"/>
        <w:bottom w:val="none" w:sz="0" w:space="0" w:color="auto"/>
        <w:right w:val="none" w:sz="0" w:space="0" w:color="auto"/>
      </w:divBdr>
      <w:divsChild>
        <w:div w:id="366566204">
          <w:marLeft w:val="480"/>
          <w:marRight w:val="0"/>
          <w:marTop w:val="0"/>
          <w:marBottom w:val="0"/>
          <w:divBdr>
            <w:top w:val="none" w:sz="0" w:space="0" w:color="auto"/>
            <w:left w:val="none" w:sz="0" w:space="0" w:color="auto"/>
            <w:bottom w:val="none" w:sz="0" w:space="0" w:color="auto"/>
            <w:right w:val="none" w:sz="0" w:space="0" w:color="auto"/>
          </w:divBdr>
          <w:divsChild>
            <w:div w:id="20283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44360">
      <w:bodyDiv w:val="1"/>
      <w:marLeft w:val="0"/>
      <w:marRight w:val="0"/>
      <w:marTop w:val="0"/>
      <w:marBottom w:val="0"/>
      <w:divBdr>
        <w:top w:val="none" w:sz="0" w:space="0" w:color="auto"/>
        <w:left w:val="none" w:sz="0" w:space="0" w:color="auto"/>
        <w:bottom w:val="none" w:sz="0" w:space="0" w:color="auto"/>
        <w:right w:val="none" w:sz="0" w:space="0" w:color="auto"/>
      </w:divBdr>
      <w:divsChild>
        <w:div w:id="2045053645">
          <w:marLeft w:val="480"/>
          <w:marRight w:val="0"/>
          <w:marTop w:val="0"/>
          <w:marBottom w:val="0"/>
          <w:divBdr>
            <w:top w:val="none" w:sz="0" w:space="0" w:color="auto"/>
            <w:left w:val="none" w:sz="0" w:space="0" w:color="auto"/>
            <w:bottom w:val="none" w:sz="0" w:space="0" w:color="auto"/>
            <w:right w:val="none" w:sz="0" w:space="0" w:color="auto"/>
          </w:divBdr>
          <w:divsChild>
            <w:div w:id="126827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92325">
      <w:bodyDiv w:val="1"/>
      <w:marLeft w:val="0"/>
      <w:marRight w:val="0"/>
      <w:marTop w:val="0"/>
      <w:marBottom w:val="0"/>
      <w:divBdr>
        <w:top w:val="none" w:sz="0" w:space="0" w:color="auto"/>
        <w:left w:val="none" w:sz="0" w:space="0" w:color="auto"/>
        <w:bottom w:val="none" w:sz="0" w:space="0" w:color="auto"/>
        <w:right w:val="none" w:sz="0" w:space="0" w:color="auto"/>
      </w:divBdr>
      <w:divsChild>
        <w:div w:id="718937860">
          <w:marLeft w:val="480"/>
          <w:marRight w:val="0"/>
          <w:marTop w:val="0"/>
          <w:marBottom w:val="0"/>
          <w:divBdr>
            <w:top w:val="none" w:sz="0" w:space="0" w:color="auto"/>
            <w:left w:val="none" w:sz="0" w:space="0" w:color="auto"/>
            <w:bottom w:val="none" w:sz="0" w:space="0" w:color="auto"/>
            <w:right w:val="none" w:sz="0" w:space="0" w:color="auto"/>
          </w:divBdr>
          <w:divsChild>
            <w:div w:id="211774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lo.org/wcmsp5/groups/public/---ed_emp/documents/publication/wcms_565180.pdf" TargetMode="External"/><Relationship Id="rId5" Type="http://schemas.openxmlformats.org/officeDocument/2006/relationships/hyperlink" Target="https://www.ilo.org/stat/Publications/WCMS_223121/lang--en/index.htm" TargetMode="External"/><Relationship Id="rId4" Type="http://schemas.openxmlformats.org/officeDocument/2006/relationships/hyperlink" Target="https://doi.org/10.1111/j.1564-913X.2003.tb00257.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838</TotalTime>
  <Pages>4</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Garcia Lozano</dc:creator>
  <cp:keywords/>
  <dc:description/>
  <cp:lastModifiedBy>Alejandro Garcia Lozano</cp:lastModifiedBy>
  <cp:revision>6</cp:revision>
  <dcterms:created xsi:type="dcterms:W3CDTF">2023-10-12T15:03:00Z</dcterms:created>
  <dcterms:modified xsi:type="dcterms:W3CDTF">2024-04-26T15:11:00Z</dcterms:modified>
</cp:coreProperties>
</file>