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D59A9" w:rsidP="001D59A9" w:rsidRDefault="001D59A9" w14:paraId="01C9A46F" w14:textId="77777777">
      <w:pPr>
        <w:pStyle w:val="Kop2"/>
        <w:rPr>
          <w:lang w:val="en-US"/>
        </w:rPr>
      </w:pPr>
      <w:r>
        <w:rPr>
          <w:lang w:val="en-US"/>
        </w:rPr>
        <w:t>Supplementary materials</w:t>
      </w:r>
    </w:p>
    <w:p w:rsidRPr="00DC5AE6" w:rsidR="001D59A9" w:rsidP="001D59A9" w:rsidRDefault="001D59A9" w14:paraId="2FB5F6EA" w14:textId="77777777">
      <w:pPr>
        <w:pStyle w:val="Titel"/>
        <w:jc w:val="both"/>
        <w:rPr>
          <w:b/>
          <w:bCs/>
          <w:sz w:val="40"/>
          <w:szCs w:val="40"/>
          <w:lang w:val="en-US"/>
        </w:rPr>
      </w:pPr>
      <w:r w:rsidRPr="00DC5AE6">
        <w:rPr>
          <w:b/>
          <w:bCs/>
          <w:sz w:val="40"/>
          <w:szCs w:val="40"/>
          <w:lang w:val="en-US"/>
        </w:rPr>
        <w:t>Cost effectiveness of empagliflozin in patients with chronic heart failure irrespective of left-ventricle ejection fraction in the Netherlands</w:t>
      </w:r>
    </w:p>
    <w:p w:rsidRPr="00DC5AE6" w:rsidR="001D59A9" w:rsidP="001D59A9" w:rsidRDefault="001D59A9" w14:paraId="72CE3883" w14:textId="0C68835F">
      <w:pPr>
        <w:rPr>
          <w:lang w:val="en-US"/>
        </w:rPr>
      </w:pPr>
      <w:r w:rsidRPr="2447C4B3" w:rsidR="001D59A9">
        <w:rPr>
          <w:lang w:val="en-US"/>
        </w:rPr>
        <w:t xml:space="preserve">Journal: </w:t>
      </w:r>
      <w:r w:rsidRPr="2447C4B3" w:rsidR="7D2F9478">
        <w:rPr>
          <w:rFonts w:ascii="Aptos" w:hAnsi="Aptos" w:eastAsia="Aptos" w:cs="Aptos"/>
          <w:noProof w:val="0"/>
          <w:sz w:val="22"/>
          <w:szCs w:val="22"/>
          <w:lang w:val="en-US"/>
        </w:rPr>
        <w:t>American Journal of Cardiovascular Drugs</w:t>
      </w:r>
    </w:p>
    <w:p w:rsidRPr="00711E3E" w:rsidR="001D59A9" w:rsidP="001D59A9" w:rsidRDefault="001D59A9" w14:paraId="6C5AF1B3" w14:textId="77777777">
      <w:pPr>
        <w:rPr>
          <w:rStyle w:val="spellingerrorsuperscript"/>
          <w:rFonts w:cstheme="minorHAnsi"/>
          <w:lang w:val="en-US"/>
        </w:rPr>
      </w:pPr>
      <w:r w:rsidRPr="00711E3E">
        <w:rPr>
          <w:rStyle w:val="normaltextrun"/>
          <w:rFonts w:cstheme="minorHAnsi"/>
          <w:lang w:val="en-US"/>
        </w:rPr>
        <w:t>Bart P.H. Slob</w:t>
      </w:r>
      <w:r w:rsidRPr="00711E3E">
        <w:rPr>
          <w:rStyle w:val="normaltextrun"/>
          <w:rFonts w:cstheme="minorHAnsi"/>
          <w:vertAlign w:val="superscript"/>
          <w:lang w:val="en-US"/>
        </w:rPr>
        <w:t xml:space="preserve">1,2 </w:t>
      </w:r>
      <w:r w:rsidRPr="00711E3E">
        <w:rPr>
          <w:rFonts w:cstheme="minorHAnsi"/>
          <w:lang w:val="en-US"/>
        </w:rPr>
        <w:t>(</w:t>
      </w:r>
      <w:r>
        <w:fldChar w:fldCharType="begin"/>
      </w:r>
      <w:r w:rsidRPr="003C2EC8">
        <w:rPr>
          <w:lang w:val="en-US"/>
        </w:rPr>
        <w:instrText>HYPERLINK "https://orcid.org/0009-0008-9125-0190"</w:instrText>
      </w:r>
      <w:r>
        <w:fldChar w:fldCharType="separate"/>
      </w:r>
      <w:r w:rsidRPr="00711E3E">
        <w:rPr>
          <w:rStyle w:val="Hyperlink"/>
          <w:rFonts w:cstheme="minorHAnsi"/>
          <w:lang w:val="en-US"/>
        </w:rPr>
        <w:t>0009-0008-9125-0190</w:t>
      </w:r>
      <w:r>
        <w:rPr>
          <w:rStyle w:val="Hyperlink"/>
          <w:rFonts w:cstheme="minorHAnsi"/>
          <w:lang w:val="en-US"/>
        </w:rPr>
        <w:fldChar w:fldCharType="end"/>
      </w:r>
      <w:r w:rsidRPr="00711E3E">
        <w:rPr>
          <w:rFonts w:cstheme="minorHAnsi"/>
          <w:lang w:val="en-US"/>
        </w:rPr>
        <w:t>)</w:t>
      </w:r>
      <w:r w:rsidRPr="00711E3E">
        <w:rPr>
          <w:rStyle w:val="normaltextrun"/>
          <w:rFonts w:cstheme="minorHAnsi"/>
          <w:lang w:val="en-US"/>
        </w:rPr>
        <w:t>, Maarten J. Postma</w:t>
      </w:r>
      <w:r w:rsidRPr="00711E3E">
        <w:rPr>
          <w:rStyle w:val="spellingerrorsuperscript"/>
          <w:rFonts w:cstheme="minorHAnsi"/>
          <w:vertAlign w:val="superscript"/>
          <w:lang w:val="en-US"/>
        </w:rPr>
        <w:t xml:space="preserve">1,2,3 </w:t>
      </w:r>
      <w:r w:rsidRPr="00711E3E">
        <w:rPr>
          <w:rFonts w:cstheme="minorHAnsi"/>
          <w:lang w:val="en-US"/>
        </w:rPr>
        <w:t>(</w:t>
      </w:r>
      <w:r>
        <w:fldChar w:fldCharType="begin"/>
      </w:r>
      <w:r w:rsidRPr="003C2EC8">
        <w:rPr>
          <w:lang w:val="en-US"/>
        </w:rPr>
        <w:instrText>HYPERLINK "https://orcid.org/0000-0002-6306-3653"</w:instrText>
      </w:r>
      <w:r>
        <w:fldChar w:fldCharType="separate"/>
      </w:r>
      <w:r w:rsidRPr="00711E3E">
        <w:rPr>
          <w:rStyle w:val="Hyperlink"/>
          <w:rFonts w:cstheme="minorHAnsi"/>
          <w:lang w:val="en-US"/>
        </w:rPr>
        <w:t>0000-0002-6306-3653</w:t>
      </w:r>
      <w:r>
        <w:rPr>
          <w:rStyle w:val="Hyperlink"/>
          <w:rFonts w:cstheme="minorHAnsi"/>
          <w:lang w:val="en-US"/>
        </w:rPr>
        <w:fldChar w:fldCharType="end"/>
      </w:r>
      <w:r w:rsidRPr="00711E3E">
        <w:rPr>
          <w:rFonts w:cstheme="minorHAnsi"/>
          <w:lang w:val="en-US"/>
        </w:rPr>
        <w:t>)</w:t>
      </w:r>
      <w:r w:rsidRPr="00711E3E">
        <w:rPr>
          <w:rStyle w:val="spellingerrorsuperscript"/>
          <w:rFonts w:cstheme="minorHAnsi"/>
          <w:lang w:val="en-US"/>
        </w:rPr>
        <w:t>, Maaike Weersma</w:t>
      </w:r>
      <w:r w:rsidRPr="00711E3E">
        <w:rPr>
          <w:rStyle w:val="spellingerrorsuperscript"/>
          <w:rFonts w:cstheme="minorHAnsi"/>
          <w:vertAlign w:val="superscript"/>
          <w:lang w:val="en-US"/>
        </w:rPr>
        <w:t>4</w:t>
      </w:r>
      <w:r w:rsidRPr="00711E3E">
        <w:rPr>
          <w:rStyle w:val="spellingerrorsuperscript"/>
          <w:rFonts w:cstheme="minorHAnsi"/>
          <w:lang w:val="en-US"/>
        </w:rPr>
        <w:t>, Hans-Peter Brunner-La Rocca</w:t>
      </w:r>
      <w:r w:rsidRPr="00711E3E">
        <w:rPr>
          <w:rStyle w:val="spellingerrorsuperscript"/>
          <w:rFonts w:cstheme="minorHAnsi"/>
          <w:vertAlign w:val="superscript"/>
          <w:lang w:val="en-US"/>
        </w:rPr>
        <w:t>5</w:t>
      </w:r>
      <w:r w:rsidRPr="00711E3E">
        <w:rPr>
          <w:rStyle w:val="spellingerrorsuperscript"/>
          <w:rFonts w:cstheme="minorHAnsi"/>
          <w:lang w:val="en-US"/>
        </w:rPr>
        <w:t xml:space="preserve"> (0000-0002-4356-8566), Lisa A. de Jong</w:t>
      </w:r>
      <w:r w:rsidRPr="00711E3E">
        <w:rPr>
          <w:rStyle w:val="spellingerrorsuperscript"/>
          <w:rFonts w:cstheme="minorHAnsi"/>
          <w:vertAlign w:val="superscript"/>
          <w:lang w:val="en-US"/>
        </w:rPr>
        <w:t xml:space="preserve">1,2 </w:t>
      </w:r>
      <w:r w:rsidRPr="00711E3E">
        <w:rPr>
          <w:rFonts w:cstheme="minorHAnsi"/>
          <w:lang w:val="en-US"/>
        </w:rPr>
        <w:t>(</w:t>
      </w:r>
      <w:r>
        <w:fldChar w:fldCharType="begin"/>
      </w:r>
      <w:r w:rsidRPr="003C2EC8">
        <w:rPr>
          <w:lang w:val="en-US"/>
        </w:rPr>
        <w:instrText>HYPERLINK "https://orcid.org/0000-0001-8814-0670"</w:instrText>
      </w:r>
      <w:r>
        <w:fldChar w:fldCharType="separate"/>
      </w:r>
      <w:r w:rsidRPr="00711E3E">
        <w:rPr>
          <w:rStyle w:val="Hyperlink"/>
          <w:rFonts w:cstheme="minorHAnsi"/>
          <w:lang w:val="en-US"/>
        </w:rPr>
        <w:t>0000-0001-8814-0670</w:t>
      </w:r>
      <w:r>
        <w:rPr>
          <w:rStyle w:val="Hyperlink"/>
          <w:rFonts w:cstheme="minorHAnsi"/>
          <w:lang w:val="en-US"/>
        </w:rPr>
        <w:fldChar w:fldCharType="end"/>
      </w:r>
      <w:r w:rsidRPr="00711E3E">
        <w:rPr>
          <w:rFonts w:cstheme="minorHAnsi"/>
          <w:lang w:val="en-US"/>
        </w:rPr>
        <w:t>)</w:t>
      </w:r>
      <w:r w:rsidRPr="00711E3E">
        <w:rPr>
          <w:rStyle w:val="spellingerrorsuperscript"/>
          <w:rFonts w:cstheme="minorHAnsi"/>
          <w:lang w:val="en-US"/>
        </w:rPr>
        <w:t xml:space="preserve">, Cornelis </w:t>
      </w:r>
      <w:r w:rsidRPr="00711E3E">
        <w:rPr>
          <w:rStyle w:val="normaltextrun"/>
          <w:rFonts w:cstheme="minorHAnsi"/>
          <w:lang w:val="en-US"/>
        </w:rPr>
        <w:t>Boersma</w:t>
      </w:r>
      <w:r w:rsidRPr="00711E3E">
        <w:rPr>
          <w:rStyle w:val="spellingerrorsuperscript"/>
          <w:rFonts w:cstheme="minorHAnsi"/>
          <w:vertAlign w:val="superscript"/>
          <w:lang w:val="en-US"/>
        </w:rPr>
        <w:t xml:space="preserve">1,2,6 </w:t>
      </w:r>
      <w:r w:rsidRPr="00711E3E">
        <w:rPr>
          <w:rFonts w:cstheme="minorHAnsi"/>
          <w:lang w:val="en-US"/>
        </w:rPr>
        <w:t>(</w:t>
      </w:r>
      <w:r>
        <w:fldChar w:fldCharType="begin"/>
      </w:r>
      <w:r w:rsidRPr="003C2EC8">
        <w:rPr>
          <w:lang w:val="en-US"/>
        </w:rPr>
        <w:instrText>HYPERLINK "https://orcid.org/0000-0002-1190-2638"</w:instrText>
      </w:r>
      <w:r>
        <w:fldChar w:fldCharType="separate"/>
      </w:r>
      <w:r w:rsidRPr="00711E3E">
        <w:rPr>
          <w:rStyle w:val="Hyperlink"/>
          <w:rFonts w:cstheme="minorHAnsi"/>
          <w:lang w:val="en-US"/>
        </w:rPr>
        <w:t>0000-0002-1190-2638</w:t>
      </w:r>
      <w:r>
        <w:rPr>
          <w:rStyle w:val="Hyperlink"/>
          <w:rFonts w:cstheme="minorHAnsi"/>
          <w:lang w:val="en-US"/>
        </w:rPr>
        <w:fldChar w:fldCharType="end"/>
      </w:r>
      <w:r w:rsidRPr="00711E3E">
        <w:rPr>
          <w:rFonts w:cstheme="minorHAnsi"/>
          <w:lang w:val="en-US"/>
        </w:rPr>
        <w:t>)</w:t>
      </w:r>
    </w:p>
    <w:p w:rsidRPr="00711E3E" w:rsidR="001D59A9" w:rsidP="001D59A9" w:rsidRDefault="001D59A9" w14:paraId="77F74075" w14:textId="77777777">
      <w:pPr>
        <w:jc w:val="both"/>
        <w:rPr>
          <w:rStyle w:val="spellingerrorsuperscript"/>
          <w:rFonts w:cstheme="minorHAnsi"/>
          <w:vertAlign w:val="superscript"/>
          <w:lang w:val="en-US"/>
        </w:rPr>
      </w:pPr>
    </w:p>
    <w:p w:rsidRPr="00110855" w:rsidR="001D59A9" w:rsidP="001D59A9" w:rsidRDefault="001D59A9" w14:paraId="6370C003" w14:textId="77777777">
      <w:pPr>
        <w:jc w:val="both"/>
        <w:rPr>
          <w:rStyle w:val="normaltextrun"/>
          <w:rFonts w:cstheme="minorHAnsi"/>
          <w:lang w:val="en-US"/>
        </w:rPr>
      </w:pPr>
      <w:r w:rsidRPr="00110855">
        <w:rPr>
          <w:rStyle w:val="normaltextrun"/>
          <w:rFonts w:cstheme="minorHAnsi"/>
          <w:vertAlign w:val="superscript"/>
          <w:lang w:val="en-US"/>
        </w:rPr>
        <w:t>1</w:t>
      </w:r>
      <w:r w:rsidRPr="00110855">
        <w:rPr>
          <w:rStyle w:val="normaltextrun"/>
          <w:rFonts w:cstheme="minorHAnsi"/>
          <w:lang w:val="en-US"/>
        </w:rPr>
        <w:t>Health-Ecore B.V., Zeist, The Netherlands</w:t>
      </w:r>
    </w:p>
    <w:p w:rsidRPr="00110855" w:rsidR="001D59A9" w:rsidP="001D59A9" w:rsidRDefault="001D59A9" w14:paraId="77832880" w14:textId="77777777">
      <w:pPr>
        <w:jc w:val="both"/>
        <w:rPr>
          <w:rStyle w:val="normaltextrun"/>
          <w:rFonts w:cstheme="minorHAnsi"/>
          <w:lang w:val="en-US"/>
        </w:rPr>
      </w:pPr>
      <w:r w:rsidRPr="00110855">
        <w:rPr>
          <w:rStyle w:val="spellingerrorsuperscript"/>
          <w:rFonts w:cstheme="minorHAnsi"/>
          <w:vertAlign w:val="superscript"/>
          <w:lang w:val="en-US"/>
        </w:rPr>
        <w:t>2</w:t>
      </w:r>
      <w:r w:rsidRPr="00110855">
        <w:rPr>
          <w:rStyle w:val="normaltextrun"/>
          <w:rFonts w:cstheme="minorHAnsi"/>
          <w:lang w:val="en-US"/>
        </w:rPr>
        <w:t>Department of Health Sciences, Global Health Unit, University Medical Center Groningen, University of Groningen, 9713 GZ Groningen, The Netherlands</w:t>
      </w:r>
    </w:p>
    <w:p w:rsidRPr="00110855" w:rsidR="001D59A9" w:rsidP="001D59A9" w:rsidRDefault="001D59A9" w14:paraId="7DB5A88A" w14:textId="77777777">
      <w:pPr>
        <w:jc w:val="both"/>
        <w:rPr>
          <w:rStyle w:val="normaltextrun"/>
          <w:rFonts w:cstheme="minorHAnsi"/>
          <w:lang w:val="en-US"/>
        </w:rPr>
      </w:pPr>
      <w:r w:rsidRPr="00110855">
        <w:rPr>
          <w:rStyle w:val="normaltextrun"/>
          <w:rFonts w:cstheme="minorHAnsi"/>
          <w:vertAlign w:val="superscript"/>
          <w:lang w:val="en-US"/>
        </w:rPr>
        <w:t>3</w:t>
      </w:r>
      <w:r w:rsidRPr="00110855">
        <w:rPr>
          <w:rStyle w:val="normaltextrun"/>
          <w:rFonts w:cstheme="minorHAnsi"/>
          <w:lang w:val="en-US"/>
        </w:rPr>
        <w:t xml:space="preserve">Department of Economics, Econometrics &amp; Finance, Faculty of Economics &amp; Business, University of Groningen, 9747 AE Groningen, The Netherlands </w:t>
      </w:r>
    </w:p>
    <w:p w:rsidRPr="00110855" w:rsidR="001D59A9" w:rsidP="001D59A9" w:rsidRDefault="001D59A9" w14:paraId="3D0FA1A8" w14:textId="77777777">
      <w:pPr>
        <w:jc w:val="both"/>
        <w:rPr>
          <w:rStyle w:val="normaltextrun"/>
          <w:rFonts w:cstheme="minorHAnsi"/>
        </w:rPr>
      </w:pPr>
      <w:r w:rsidRPr="00110855">
        <w:rPr>
          <w:rStyle w:val="normaltextrun"/>
          <w:rFonts w:cstheme="minorHAnsi"/>
          <w:vertAlign w:val="superscript"/>
        </w:rPr>
        <w:t>4</w:t>
      </w:r>
      <w:r w:rsidRPr="00110855">
        <w:rPr>
          <w:rStyle w:val="normaltextrun"/>
          <w:rFonts w:cstheme="minorHAnsi"/>
        </w:rPr>
        <w:t xml:space="preserve">Boehringer </w:t>
      </w:r>
      <w:proofErr w:type="spellStart"/>
      <w:r w:rsidRPr="00110855">
        <w:rPr>
          <w:rStyle w:val="normaltextrun"/>
          <w:rFonts w:cstheme="minorHAnsi"/>
        </w:rPr>
        <w:t>Ingelheim</w:t>
      </w:r>
      <w:proofErr w:type="spellEnd"/>
      <w:r w:rsidRPr="00110855">
        <w:rPr>
          <w:rStyle w:val="normaltextrun"/>
          <w:rFonts w:cstheme="minorHAnsi"/>
        </w:rPr>
        <w:t xml:space="preserve"> bv. Amsterdam, The Netherlands</w:t>
      </w:r>
    </w:p>
    <w:p w:rsidRPr="00110855" w:rsidR="001D59A9" w:rsidP="001D59A9" w:rsidRDefault="001D59A9" w14:paraId="1BB976AF" w14:textId="77777777">
      <w:pPr>
        <w:jc w:val="both"/>
        <w:rPr>
          <w:rStyle w:val="normaltextrun"/>
          <w:rFonts w:cstheme="minorHAnsi"/>
          <w:lang w:val="en-US"/>
        </w:rPr>
      </w:pPr>
      <w:r w:rsidRPr="00110855">
        <w:rPr>
          <w:rStyle w:val="normaltextrun"/>
          <w:rFonts w:cstheme="minorHAnsi"/>
          <w:vertAlign w:val="superscript"/>
          <w:lang w:val="en-US"/>
        </w:rPr>
        <w:t>5</w:t>
      </w:r>
      <w:r w:rsidRPr="00110855">
        <w:rPr>
          <w:rStyle w:val="normaltextrun"/>
          <w:rFonts w:cstheme="minorHAnsi"/>
          <w:lang w:val="en-US"/>
        </w:rPr>
        <w:t>Department of Cardiology, Maastricht University Medical Center, School of Cardiovascular Diseases (CARIM), Maastricht, The Netherlands</w:t>
      </w:r>
    </w:p>
    <w:p w:rsidRPr="00110855" w:rsidR="001D59A9" w:rsidP="001D59A9" w:rsidRDefault="001D59A9" w14:paraId="350AEA72" w14:textId="77777777">
      <w:pPr>
        <w:jc w:val="both"/>
        <w:rPr>
          <w:rStyle w:val="normaltextrun"/>
          <w:rFonts w:cstheme="minorHAnsi"/>
          <w:lang w:val="en-US"/>
        </w:rPr>
      </w:pPr>
      <w:r w:rsidRPr="00110855">
        <w:rPr>
          <w:rStyle w:val="normaltextrun"/>
          <w:rFonts w:cstheme="minorHAnsi"/>
          <w:vertAlign w:val="superscript"/>
          <w:lang w:val="en-US"/>
        </w:rPr>
        <w:t>6</w:t>
      </w:r>
      <w:r w:rsidRPr="00110855">
        <w:rPr>
          <w:rStyle w:val="normaltextrun"/>
          <w:rFonts w:cstheme="minorHAnsi"/>
          <w:lang w:val="en-US"/>
        </w:rPr>
        <w:t>Department of Management Sciences, Open Universiteit, Heerlen, the Netherlands</w:t>
      </w:r>
    </w:p>
    <w:p w:rsidRPr="00110855" w:rsidR="001D59A9" w:rsidP="001D59A9" w:rsidRDefault="001D59A9" w14:paraId="7ED0ED34" w14:textId="77777777">
      <w:pPr>
        <w:jc w:val="both"/>
        <w:rPr>
          <w:lang w:val="en-US"/>
        </w:rPr>
      </w:pPr>
    </w:p>
    <w:p w:rsidRPr="00110855" w:rsidR="001D59A9" w:rsidP="001D59A9" w:rsidRDefault="001D59A9" w14:paraId="3028E345" w14:textId="77777777">
      <w:pPr>
        <w:jc w:val="both"/>
        <w:rPr>
          <w:lang w:val="en-US"/>
        </w:rPr>
      </w:pPr>
      <w:r w:rsidRPr="00110855">
        <w:rPr>
          <w:lang w:val="en-US"/>
        </w:rPr>
        <w:t xml:space="preserve">Correspondence author: Bart P.H. Slob, </w:t>
      </w:r>
      <w:r>
        <w:fldChar w:fldCharType="begin"/>
      </w:r>
      <w:r w:rsidRPr="003C2EC8">
        <w:rPr>
          <w:lang w:val="en-US"/>
        </w:rPr>
        <w:instrText>HYPERLINK "mailto:Bartslob@health-ecore.com"</w:instrText>
      </w:r>
      <w:r>
        <w:fldChar w:fldCharType="separate"/>
      </w:r>
      <w:r w:rsidRPr="00110855">
        <w:rPr>
          <w:rStyle w:val="Hyperlink"/>
          <w:lang w:val="en-US"/>
        </w:rPr>
        <w:t>Bartslob@health-ecore.com</w:t>
      </w:r>
      <w:r>
        <w:rPr>
          <w:rStyle w:val="Hyperlink"/>
          <w:lang w:val="en-US"/>
        </w:rPr>
        <w:fldChar w:fldCharType="end"/>
      </w:r>
      <w:r w:rsidRPr="00110855">
        <w:rPr>
          <w:lang w:val="en-US"/>
        </w:rPr>
        <w:t xml:space="preserve"> </w:t>
      </w:r>
    </w:p>
    <w:p w:rsidR="001D59A9" w:rsidRDefault="001D59A9" w14:paraId="27EC5C8B" w14:textId="34ACFDD7">
      <w:pPr>
        <w:rPr>
          <w:lang w:val="en-US"/>
        </w:rPr>
      </w:pPr>
      <w:r>
        <w:rPr>
          <w:lang w:val="en-US"/>
        </w:rPr>
        <w:br w:type="page"/>
      </w:r>
    </w:p>
    <w:p w:rsidRPr="001D59A9" w:rsidR="001D59A9" w:rsidP="001D59A9" w:rsidRDefault="001D59A9" w14:paraId="587C3A70" w14:textId="77777777">
      <w:pPr>
        <w:pStyle w:val="Kop3"/>
        <w:rPr>
          <w:b/>
          <w:bCs/>
          <w:lang w:val="en-US"/>
        </w:rPr>
      </w:pPr>
      <w:bookmarkStart w:name="_Ref167453534" w:id="0"/>
      <w:r w:rsidRPr="001D59A9">
        <w:rPr>
          <w:b/>
          <w:bCs/>
          <w:lang w:val="en-US"/>
        </w:rPr>
        <w:lastRenderedPageBreak/>
        <w:t>Input parameters</w:t>
      </w:r>
      <w:bookmarkEnd w:id="0"/>
    </w:p>
    <w:p w:rsidRPr="009A18C8" w:rsidR="001D59A9" w:rsidP="001D59A9" w:rsidRDefault="001D59A9" w14:paraId="30DAC011" w14:textId="224B8418">
      <w:pPr>
        <w:pStyle w:val="Bijschrift"/>
        <w:keepNext/>
        <w:rPr>
          <w:b/>
          <w:bCs/>
          <w:i w:val="0"/>
          <w:iCs w:val="0"/>
          <w:color w:val="auto"/>
          <w:lang w:val="en-US"/>
        </w:rPr>
      </w:pPr>
      <w:bookmarkStart w:name="_Ref159509363" w:id="1"/>
      <w:r w:rsidRPr="009A18C8">
        <w:rPr>
          <w:b/>
          <w:bCs/>
          <w:i w:val="0"/>
          <w:iCs w:val="0"/>
          <w:color w:val="auto"/>
          <w:lang w:val="en-US"/>
        </w:rPr>
        <w:t>Table S</w:t>
      </w:r>
      <w:r w:rsidRPr="009A18C8">
        <w:rPr>
          <w:b/>
          <w:bCs/>
          <w:i w:val="0"/>
          <w:iCs w:val="0"/>
          <w:color w:val="auto"/>
          <w:lang w:val="en-US"/>
        </w:rPr>
        <w:fldChar w:fldCharType="begin"/>
      </w:r>
      <w:r w:rsidRPr="009A18C8">
        <w:rPr>
          <w:b/>
          <w:bCs/>
          <w:i w:val="0"/>
          <w:iCs w:val="0"/>
          <w:color w:val="auto"/>
          <w:lang w:val="en-US"/>
        </w:rPr>
        <w:instrText xml:space="preserve"> SEQ Table \* ARABIC </w:instrText>
      </w:r>
      <w:r w:rsidRPr="009A18C8">
        <w:rPr>
          <w:b/>
          <w:bCs/>
          <w:i w:val="0"/>
          <w:iCs w:val="0"/>
          <w:color w:val="auto"/>
          <w:lang w:val="en-US"/>
        </w:rPr>
        <w:fldChar w:fldCharType="separate"/>
      </w:r>
      <w:r w:rsidR="003C2EC8">
        <w:rPr>
          <w:b/>
          <w:bCs/>
          <w:i w:val="0"/>
          <w:iCs w:val="0"/>
          <w:noProof/>
          <w:color w:val="auto"/>
          <w:lang w:val="en-US"/>
        </w:rPr>
        <w:t>1</w:t>
      </w:r>
      <w:r w:rsidRPr="009A18C8">
        <w:rPr>
          <w:b/>
          <w:bCs/>
          <w:i w:val="0"/>
          <w:iCs w:val="0"/>
          <w:color w:val="auto"/>
          <w:lang w:val="en-US"/>
        </w:rPr>
        <w:fldChar w:fldCharType="end"/>
      </w:r>
      <w:bookmarkEnd w:id="1"/>
      <w:r w:rsidRPr="009A18C8">
        <w:rPr>
          <w:b/>
          <w:bCs/>
          <w:i w:val="0"/>
          <w:iCs w:val="0"/>
          <w:color w:val="auto"/>
          <w:lang w:val="en-US"/>
        </w:rPr>
        <w:t xml:space="preserve">. Input parameters for </w:t>
      </w:r>
      <w:proofErr w:type="spellStart"/>
      <w:r w:rsidRPr="009A18C8">
        <w:rPr>
          <w:b/>
          <w:bCs/>
          <w:i w:val="0"/>
          <w:iCs w:val="0"/>
          <w:color w:val="auto"/>
          <w:lang w:val="en-US"/>
        </w:rPr>
        <w:t>HFrEF</w:t>
      </w:r>
      <w:proofErr w:type="spellEnd"/>
      <w:r w:rsidRPr="009A18C8">
        <w:rPr>
          <w:b/>
          <w:bCs/>
          <w:i w:val="0"/>
          <w:iCs w:val="0"/>
          <w:color w:val="auto"/>
          <w:lang w:val="en-US"/>
        </w:rPr>
        <w:t xml:space="preserve"> and </w:t>
      </w:r>
      <w:proofErr w:type="spellStart"/>
      <w:r w:rsidRPr="009A18C8">
        <w:rPr>
          <w:b/>
          <w:bCs/>
          <w:i w:val="0"/>
          <w:iCs w:val="0"/>
          <w:color w:val="auto"/>
          <w:lang w:val="en-US"/>
        </w:rPr>
        <w:t>HFmrEF</w:t>
      </w:r>
      <w:proofErr w:type="spellEnd"/>
      <w:r w:rsidRPr="009A18C8">
        <w:rPr>
          <w:b/>
          <w:bCs/>
          <w:i w:val="0"/>
          <w:iCs w:val="0"/>
          <w:color w:val="auto"/>
          <w:lang w:val="en-US"/>
        </w:rPr>
        <w:t>/</w:t>
      </w:r>
      <w:proofErr w:type="spellStart"/>
      <w:r w:rsidRPr="009A18C8">
        <w:rPr>
          <w:b/>
          <w:bCs/>
          <w:i w:val="0"/>
          <w:iCs w:val="0"/>
          <w:color w:val="auto"/>
          <w:lang w:val="en-US"/>
        </w:rPr>
        <w:t>HFpEF</w:t>
      </w:r>
      <w:proofErr w:type="spellEnd"/>
      <w:r w:rsidRPr="009A18C8">
        <w:rPr>
          <w:b/>
          <w:bCs/>
          <w:i w:val="0"/>
          <w:iCs w:val="0"/>
          <w:color w:val="auto"/>
          <w:lang w:val="en-US"/>
        </w:rPr>
        <w:t>.</w:t>
      </w:r>
    </w:p>
    <w:tbl>
      <w:tblPr>
        <w:tblW w:w="8804" w:type="dxa"/>
        <w:tblCellMar>
          <w:left w:w="70" w:type="dxa"/>
          <w:right w:w="70" w:type="dxa"/>
        </w:tblCellMar>
        <w:tblLook w:val="04A0" w:firstRow="1" w:lastRow="0" w:firstColumn="1" w:lastColumn="0" w:noHBand="0" w:noVBand="1"/>
      </w:tblPr>
      <w:tblGrid>
        <w:gridCol w:w="3541"/>
        <w:gridCol w:w="1289"/>
        <w:gridCol w:w="1382"/>
        <w:gridCol w:w="2682"/>
      </w:tblGrid>
      <w:tr w:rsidRPr="001A3193" w:rsidR="001D59A9" w:rsidTr="00654ECF" w14:paraId="3CAE7994" w14:textId="77777777">
        <w:trPr>
          <w:trHeight w:val="238"/>
        </w:trPr>
        <w:tc>
          <w:tcPr>
            <w:tcW w:w="354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53071CCC"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Parameter</w:t>
            </w:r>
          </w:p>
        </w:tc>
        <w:tc>
          <w:tcPr>
            <w:tcW w:w="1289" w:type="dxa"/>
            <w:tcBorders>
              <w:top w:val="single" w:color="auto" w:sz="4" w:space="0"/>
              <w:left w:val="nil"/>
              <w:bottom w:val="single" w:color="auto" w:sz="4" w:space="0"/>
              <w:right w:val="single" w:color="auto" w:sz="4" w:space="0"/>
            </w:tcBorders>
            <w:shd w:val="clear" w:color="auto" w:fill="auto"/>
            <w:noWrap/>
            <w:vAlign w:val="bottom"/>
            <w:hideMark/>
          </w:tcPr>
          <w:p w:rsidRPr="001A3193" w:rsidR="001D59A9" w:rsidP="00654ECF" w:rsidRDefault="001D59A9" w14:paraId="52E8A908" w14:textId="77777777">
            <w:pPr>
              <w:spacing w:after="0" w:line="240" w:lineRule="auto"/>
              <w:jc w:val="center"/>
              <w:rPr>
                <w:rFonts w:ascii="Calibri" w:hAnsi="Calibri" w:eastAsia="Times New Roman" w:cs="Calibri"/>
                <w:b/>
                <w:bCs/>
                <w:sz w:val="20"/>
                <w:szCs w:val="20"/>
                <w:lang w:val="en-US" w:eastAsia="nl-NL"/>
              </w:rPr>
            </w:pPr>
            <w:proofErr w:type="spellStart"/>
            <w:r w:rsidRPr="001A3193">
              <w:rPr>
                <w:rFonts w:ascii="Calibri" w:hAnsi="Calibri" w:eastAsia="Times New Roman" w:cs="Calibri"/>
                <w:b/>
                <w:bCs/>
                <w:sz w:val="20"/>
                <w:szCs w:val="20"/>
                <w:lang w:val="en-US" w:eastAsia="nl-NL"/>
              </w:rPr>
              <w:t>HFrEF</w:t>
            </w:r>
            <w:proofErr w:type="spellEnd"/>
          </w:p>
        </w:tc>
        <w:tc>
          <w:tcPr>
            <w:tcW w:w="1292" w:type="dxa"/>
            <w:tcBorders>
              <w:top w:val="single" w:color="auto" w:sz="4" w:space="0"/>
              <w:left w:val="nil"/>
              <w:bottom w:val="single" w:color="auto" w:sz="4" w:space="0"/>
              <w:right w:val="single" w:color="auto" w:sz="4" w:space="0"/>
            </w:tcBorders>
            <w:shd w:val="clear" w:color="auto" w:fill="auto"/>
            <w:noWrap/>
            <w:vAlign w:val="bottom"/>
            <w:hideMark/>
          </w:tcPr>
          <w:p w:rsidRPr="001A3193" w:rsidR="001D59A9" w:rsidP="00654ECF" w:rsidRDefault="001D59A9" w14:paraId="42A97977" w14:textId="77777777">
            <w:pPr>
              <w:spacing w:after="0" w:line="240" w:lineRule="auto"/>
              <w:jc w:val="center"/>
              <w:rPr>
                <w:rFonts w:ascii="Calibri" w:hAnsi="Calibri" w:eastAsia="Times New Roman" w:cs="Calibri"/>
                <w:b/>
                <w:bCs/>
                <w:sz w:val="20"/>
                <w:szCs w:val="20"/>
                <w:lang w:val="en-US" w:eastAsia="nl-NL"/>
              </w:rPr>
            </w:pPr>
            <w:proofErr w:type="spellStart"/>
            <w:r w:rsidRPr="001A3193">
              <w:rPr>
                <w:rFonts w:ascii="Calibri" w:hAnsi="Calibri" w:eastAsia="Times New Roman" w:cs="Calibri"/>
                <w:b/>
                <w:bCs/>
                <w:sz w:val="20"/>
                <w:szCs w:val="20"/>
                <w:lang w:val="en-US" w:eastAsia="nl-NL"/>
              </w:rPr>
              <w:t>HFmrEF</w:t>
            </w:r>
            <w:proofErr w:type="spellEnd"/>
            <w:r w:rsidRPr="001A3193">
              <w:rPr>
                <w:rFonts w:ascii="Calibri" w:hAnsi="Calibri" w:eastAsia="Times New Roman" w:cs="Calibri"/>
                <w:b/>
                <w:bCs/>
                <w:sz w:val="20"/>
                <w:szCs w:val="20"/>
                <w:lang w:val="en-US" w:eastAsia="nl-NL"/>
              </w:rPr>
              <w:t>/</w:t>
            </w:r>
            <w:proofErr w:type="spellStart"/>
            <w:r w:rsidRPr="001A3193">
              <w:rPr>
                <w:rFonts w:ascii="Calibri" w:hAnsi="Calibri" w:eastAsia="Times New Roman" w:cs="Calibri"/>
                <w:b/>
                <w:bCs/>
                <w:sz w:val="20"/>
                <w:szCs w:val="20"/>
                <w:lang w:val="en-US" w:eastAsia="nl-NL"/>
              </w:rPr>
              <w:t>HFpEF</w:t>
            </w:r>
            <w:proofErr w:type="spellEnd"/>
          </w:p>
        </w:tc>
        <w:tc>
          <w:tcPr>
            <w:tcW w:w="2682" w:type="dxa"/>
            <w:tcBorders>
              <w:top w:val="single" w:color="auto" w:sz="4" w:space="0"/>
              <w:left w:val="nil"/>
              <w:bottom w:val="single" w:color="auto" w:sz="4" w:space="0"/>
              <w:right w:val="single" w:color="auto" w:sz="4" w:space="0"/>
            </w:tcBorders>
            <w:shd w:val="clear" w:color="auto" w:fill="auto"/>
            <w:noWrap/>
            <w:vAlign w:val="bottom"/>
            <w:hideMark/>
          </w:tcPr>
          <w:p w:rsidRPr="001A3193" w:rsidR="001D59A9" w:rsidP="00654ECF" w:rsidRDefault="001D59A9" w14:paraId="7AA590BC" w14:textId="77777777">
            <w:pPr>
              <w:spacing w:after="0" w:line="240" w:lineRule="auto"/>
              <w:jc w:val="center"/>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Source</w:t>
            </w:r>
          </w:p>
        </w:tc>
      </w:tr>
      <w:tr w:rsidRPr="001A3193" w:rsidR="001D59A9" w:rsidTr="00654ECF" w14:paraId="45BF0627"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0C7AF138"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Age</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384ABA3"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66.8</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3B97230"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71.9</w:t>
            </w:r>
          </w:p>
        </w:tc>
        <w:tc>
          <w:tcPr>
            <w:tcW w:w="2682" w:type="dxa"/>
            <w:vMerge w:val="restart"/>
            <w:tcBorders>
              <w:top w:val="nil"/>
              <w:left w:val="single" w:color="auto" w:sz="4" w:space="0"/>
              <w:bottom w:val="single" w:color="auto" w:sz="4" w:space="0"/>
              <w:right w:val="single" w:color="auto" w:sz="4" w:space="0"/>
            </w:tcBorders>
            <w:shd w:val="clear" w:color="auto" w:fill="auto"/>
            <w:vAlign w:val="center"/>
            <w:hideMark/>
          </w:tcPr>
          <w:p w:rsidRPr="001A3193" w:rsidR="001D59A9" w:rsidP="00654ECF" w:rsidRDefault="001D59A9" w14:paraId="2C5EA3CF"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{"citationID":"XGRDzUBp","properties":{"formattedCitation":"[1]","plainCitation":"[1]","noteIndex":0},"citationItems":[{"id":554,"uris":["http://zotero.org/users/13138555/items/NFIP9DWW"],"itemData":{"id":554,"type":"article-journal","container-title":"New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{"citationID":"HwsIugyF","properties":{"formattedCitation":"[2]","plainCitation":"[2]","noteIndex":0},"citationItems":[{"id":322,"uris":["http://zotero.org/users/13138555/items/73TDI6RW"],"itemData":{"id":322,"type":"article-journal","container-title":"New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538F4C19"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4C5BEAB9"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Age &gt;= 65</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D488BE7"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62%</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32C0ECF"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80%</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2C40F8A3"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1F59291A"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3B672E7A"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Sex: Male</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06EDE88"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76%</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85BC393"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55%</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336AB2C6"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719FAF47"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3A8A95C0"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NYHA Class</w:t>
            </w:r>
          </w:p>
        </w:tc>
      </w:tr>
      <w:tr w:rsidRPr="001A3193" w:rsidR="001D59A9" w:rsidTr="00654ECF" w14:paraId="4C58159D"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16143068"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 xml:space="preserve">NYHA II </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F91B1C4"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75%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35D7795"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81%</w:t>
            </w:r>
          </w:p>
        </w:tc>
        <w:tc>
          <w:tcPr>
            <w:tcW w:w="2682" w:type="dxa"/>
            <w:vMerge w:val="restart"/>
            <w:tcBorders>
              <w:top w:val="nil"/>
              <w:left w:val="single" w:color="auto" w:sz="4" w:space="0"/>
              <w:bottom w:val="single" w:color="auto" w:sz="4" w:space="0"/>
              <w:right w:val="single" w:color="auto" w:sz="4" w:space="0"/>
            </w:tcBorders>
            <w:shd w:val="clear" w:color="auto" w:fill="auto"/>
            <w:vAlign w:val="center"/>
            <w:hideMark/>
          </w:tcPr>
          <w:p w:rsidRPr="001A3193" w:rsidR="001D59A9" w:rsidP="00654ECF" w:rsidRDefault="001D59A9" w14:paraId="23C15EA1"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{"citationID":"V4nUVeJJ","properties":{"formattedCitation":"[1]","plainCitation":"[1]","noteIndex":0},"citationItems":[{"id":554,"uris":["http://zotero.org/users/13138555/items/NFIP9DWW"],"itemData":{"id":554,"type":"article-journal","container-title":"New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{"citationID":"Ce97Qz7m","properties":{"formattedCitation":"[2]","plainCitation":"[2]","noteIndex":0},"citationItems":[{"id":322,"uris":["http://zotero.org/users/13138555/items/73TDI6RW"],"itemData":{"id":322,"type":"article-journal","container-title":"New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1EA8418A"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A41FAAE"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03ACC77"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24%</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AC2B03E"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18%</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49F03183"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785BBF72"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37E70188"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IV</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432934D"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349C319"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0.3%</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0FCE4C8F"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2775EB95"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72CC6CC6"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Treatment use at baseline</w:t>
            </w:r>
          </w:p>
        </w:tc>
      </w:tr>
      <w:tr w:rsidRPr="001A3193" w:rsidR="001D59A9" w:rsidTr="00654ECF" w14:paraId="6E19B18B"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71DB6C26" w14:textId="77777777">
            <w:pPr>
              <w:spacing w:after="0" w:line="240" w:lineRule="auto"/>
              <w:ind w:firstLine="400" w:firstLineChars="200"/>
              <w:rPr>
                <w:rFonts w:ascii="Calibri" w:hAnsi="Calibri" w:eastAsia="Times New Roman" w:cs="Calibri"/>
                <w:sz w:val="20"/>
                <w:szCs w:val="20"/>
                <w:lang w:val="en-US" w:eastAsia="nl-NL"/>
              </w:rPr>
            </w:pPr>
            <w:proofErr w:type="spellStart"/>
            <w:r w:rsidRPr="001A3193">
              <w:rPr>
                <w:rFonts w:ascii="Calibri" w:hAnsi="Calibri" w:eastAsia="Times New Roman" w:cs="Calibri"/>
                <w:sz w:val="20"/>
                <w:szCs w:val="20"/>
                <w:lang w:val="en-US" w:eastAsia="nl-NL"/>
              </w:rPr>
              <w:t>ACEi</w:t>
            </w:r>
            <w:proofErr w:type="spellEnd"/>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9D0D06A"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24%</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AD8277C"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40%</w:t>
            </w:r>
          </w:p>
        </w:tc>
        <w:tc>
          <w:tcPr>
            <w:tcW w:w="2682" w:type="dxa"/>
            <w:vMerge w:val="restart"/>
            <w:tcBorders>
              <w:top w:val="nil"/>
              <w:left w:val="single" w:color="auto" w:sz="4" w:space="0"/>
              <w:bottom w:val="single" w:color="auto" w:sz="4" w:space="0"/>
              <w:right w:val="single" w:color="auto" w:sz="4" w:space="0"/>
            </w:tcBorders>
            <w:shd w:val="clear" w:color="auto" w:fill="auto"/>
            <w:vAlign w:val="center"/>
            <w:hideMark/>
          </w:tcPr>
          <w:p w:rsidRPr="001A3193" w:rsidR="001D59A9" w:rsidP="00654ECF" w:rsidRDefault="001D59A9" w14:paraId="416F83A2"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{"citationID":"ki9eQb0G","properties":{"formattedCitation":"[1]","plainCitation":"[1]","noteIndex":0},"citationItems":[{"id":554,"uris":["http://zotero.org/users/13138555/items/NFIP9DWW"],"itemData":{"id":554,"type":"article-journal","container-title":"New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{"citationID":"zTaVAYUh","properties":{"formattedCitation":"[2]","plainCitation":"[2]","noteIndex":0},"citationItems":[{"id":322,"uris":["http://zotero.org/users/13138555/items/73TDI6RW"],"itemData":{"id":322,"type":"article-journal","container-title":"New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48A35148"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ABD1D93"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ARB</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42488CF"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24%</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8A1696E"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39%</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23568119"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6E5E831C"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3C720FA6"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ARNi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ECF1AA2"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20%</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A3DB60E"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2%</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5C7E2501"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2609B8FD"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3AD8AAA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MRA</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517AEA6"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71%</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893D1F3"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37%</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79EA213A"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6842C22B"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5E0A92C2"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BB</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6ACF5F1"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95%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463F3BF"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86%</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498AAE05"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57FE8860"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41FC8FB"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IVA</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26E2B76"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7.0%</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7862562"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1.2%</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00550070"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498370A4" w14:textId="77777777">
        <w:trPr>
          <w:trHeight w:val="238"/>
        </w:trPr>
        <w:tc>
          <w:tcPr>
            <w:tcW w:w="6122" w:type="dxa"/>
            <w:gridSpan w:val="3"/>
            <w:tcBorders>
              <w:top w:val="single" w:color="auto" w:sz="4" w:space="0"/>
              <w:left w:val="single" w:color="auto" w:sz="4" w:space="0"/>
              <w:bottom w:val="single" w:color="auto" w:sz="4" w:space="0"/>
              <w:right w:val="nil"/>
            </w:tcBorders>
            <w:shd w:val="clear" w:color="auto" w:fill="auto"/>
            <w:noWrap/>
            <w:vAlign w:val="bottom"/>
            <w:hideMark/>
          </w:tcPr>
          <w:p w:rsidRPr="001A3193" w:rsidR="001D59A9" w:rsidP="00654ECF" w:rsidRDefault="001D59A9" w14:paraId="5AC2B3DA"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Utilities</w:t>
            </w:r>
          </w:p>
        </w:tc>
        <w:tc>
          <w:tcPr>
            <w:tcW w:w="2682"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7A7A8669" w14:textId="77777777">
            <w:pPr>
              <w:spacing w:after="0" w:line="240" w:lineRule="auto"/>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w:t>
            </w:r>
          </w:p>
        </w:tc>
      </w:tr>
      <w:tr w:rsidRPr="001A3193" w:rsidR="001D59A9" w:rsidTr="00654ECF" w14:paraId="17CB90E9"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52851F3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80B6070"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0.8080</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77F9243"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0.784</w:t>
            </w:r>
          </w:p>
        </w:tc>
        <w:tc>
          <w:tcPr>
            <w:tcW w:w="2682" w:type="dxa"/>
            <w:vMerge w:val="restart"/>
            <w:tcBorders>
              <w:top w:val="nil"/>
              <w:left w:val="single" w:color="auto" w:sz="4" w:space="0"/>
              <w:bottom w:val="single" w:color="auto" w:sz="4" w:space="0"/>
              <w:right w:val="single" w:color="auto" w:sz="4" w:space="0"/>
            </w:tcBorders>
            <w:shd w:val="clear" w:color="auto" w:fill="auto"/>
            <w:vAlign w:val="center"/>
            <w:hideMark/>
          </w:tcPr>
          <w:p w:rsidRPr="001A3193" w:rsidR="001D59A9" w:rsidP="00654ECF" w:rsidRDefault="001D59A9" w14:paraId="041AEB8F"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{"citationID":"UX3GrcCq","properties":{"formattedCitation":"[1]","plainCitation":"[1]","noteIndex":0},"citationItems":[{"id":554,"uris":["http://zotero.org/users/13138555/items/NFIP9DWW"],"itemData":{"id":554,"type":"article-journal","container-title":"New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{"citationID":"gxyBcv9y","properties":{"formattedCitation":"[2]","plainCitation":"[2]","noteIndex":0},"citationItems":[{"id":322,"uris":["http://zotero.org/users/13138555/items/73TDI6RW"],"itemData":{"id":322,"type":"article-journal","container-title":"New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7452AF17"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77830AD1"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942DB66"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0.7739</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4E7D26A"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0.7519</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1C7FF7D0"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6F4BA92C"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2313FEF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III/IV</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1291C13"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0.6981</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126F6A5"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0.6826</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3ED0E771"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2DDAF89A"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44A5F5FE" w14:textId="77777777">
            <w:pPr>
              <w:spacing w:after="0" w:line="240" w:lineRule="auto"/>
              <w:rPr>
                <w:rFonts w:ascii="Calibri" w:hAnsi="Calibri" w:eastAsia="Times New Roman" w:cs="Calibri"/>
                <w:b/>
                <w:bCs/>
                <w:sz w:val="20"/>
                <w:szCs w:val="20"/>
                <w:lang w:val="en-US" w:eastAsia="nl-NL"/>
              </w:rPr>
            </w:pPr>
            <w:proofErr w:type="spellStart"/>
            <w:r w:rsidRPr="001A3193">
              <w:rPr>
                <w:rFonts w:ascii="Calibri" w:hAnsi="Calibri" w:eastAsia="Times New Roman" w:cs="Calibri"/>
                <w:b/>
                <w:bCs/>
                <w:sz w:val="20"/>
                <w:szCs w:val="20"/>
                <w:lang w:val="en-US" w:eastAsia="nl-NL"/>
              </w:rPr>
              <w:t>Disutilities</w:t>
            </w:r>
            <w:proofErr w:type="spellEnd"/>
          </w:p>
        </w:tc>
      </w:tr>
      <w:tr w:rsidRPr="001A3193" w:rsidR="001D59A9" w:rsidTr="00654ECF" w14:paraId="284DF603"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447FF1EE"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HF hospitalization</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B7103F6"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-0.231</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9B1DFAA"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-0.390</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77DE5ACA"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{"citationID":"EpfVqlVk","properties":{"formattedCitation":"[1]","plainCitation":"[1]","noteIndex":0},"citationItems":[{"id":554,"uris":["http://zotero.org/users/13138555/items/NFIP9DWW"],"itemData":{"id":554,"type":"article-journal","container-title":"New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{"citationID":"jxDBdaaf","properties":{"formattedCitation":"[2]","plainCitation":"[2]","noteIndex":0},"citationItems":[{"id":322,"uris":["http://zotero.org/users/13138555/items/73TDI6RW"],"itemData":{"id":322,"type":"article-journal","container-title":"New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6A2E8493"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51E3AA0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 xml:space="preserve">UTI </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5FEBFB0"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-0.025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90C810E"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-0.037</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2FBFBFD1"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Sullivan et al. 2016</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{"citationID":"AYPUIq0S","properties":{"formattedCitation":"[3]","plainCitation":"[3]","noteIndex":0},"citationItems":[{"id":571,"uris":["http://zotero.org/users/13138555/items/927S57GG"],"itemData":{"id":571,"type":"article-journal","abstract":"BACKGROUND: A single-source catalogue of nationally representative EuroQol five-dimensional questionnaire (EQ-5D) scores for chronic conditions in the United States and the United Kingdom from the Medical Expenditure Panel Survey (MEPS) has been published and has been used extensively for public health and cost-effectiveness modeling.\nOBJECTIVES: To estimate EQ-5D scores for diabetes-related chronic conditions that are consistent with the previous catalogue.\nMETHODS: The MEPS is a nationally representative survey of the US civilian population. EQ-5D-3L questionnaire responses were mapped from short-form 12 health survey responses in 2000 to 2011 MEPS data using multinomial logistic regression. Country-specific tariffs were applied to the mapped EQ-5D responses for the United Kingdom, the United States, France, and Spain. EQ-5D scores were regressed on diabetes-related comorbidities controlling for sociodemographic characteristics, body mass index, and comorbidity using robust (median) regression. Methods were consistent with the previously published catalogue of EQ-5D scores for the United States.\nRESULTS: There were 20,705 individuals with diabetes and a valid mapped EQ-5D score in the 2000 to 2011 MEPS data. Unadjusted mapped EQ-5D scores for individuals with diabetes varied by country-specific tariff from 0.70 (France) to 0.79 (United States). Regression results reflecting marginal disutility estimates for EQ-5D scores are provided for 17 diabetes-related comorbidities and body mass index categories for US, UK, French, and Spanish tariffs.\nCONCLUSIONS: The estimates provided in this research may be useful for analysts attempting to model the impact of diabetes and diabetes-related comorbid conditions on utility. They are derived from a single-source, nationally representative population and augment the existing \"off-the-shelf\" catalogue of EQ-5D scores for chronic conditions.","container-title":"Value in Health: The Journal of the International Society for Pharmacoeconomics and Outcomes Research","DOI":"10.1016/j.jval.2016.05.018","ISSN":"1524-4733","issue":"8","journalAbbreviation":"Value Health","language":"eng","note":"PMID: 27987626","page":"1002-1008","source":"PubMed","title":"EQ-5D Scores for Diabetes-Related Comorbidities","volume":"19","author":[{"family":"Sullivan","given":"Patrick W."},{"family":"Ghushchyan","given":"Vahram H."}],"issued":{"date-parts":[["2016",12]]}}}],"schema":"https://github.com/citation-style-language/schema/raw/master/csl-citation.json"}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[3]</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{"citationID":"WWVufDzA","properties":{"formattedCitation":"[2]","plainCitation":"[2]","noteIndex":0},"citationItems":[{"id":322,"uris":["http://zotero.org/users/13138555/items/73TDI6RW"],"itemData":{"id":322,"type":"article-journal","container-title":"New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3232852F"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15A0D87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GMI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69D17A2"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-0.038</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3A089DA"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-0.038</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20D54E88" w14:textId="77777777">
            <w:pPr>
              <w:spacing w:after="0" w:line="240" w:lineRule="auto"/>
              <w:jc w:val="center"/>
              <w:rPr>
                <w:rFonts w:ascii="Calibri" w:hAnsi="Calibri" w:eastAsia="Times New Roman" w:cs="Calibri"/>
                <w:color w:val="000000"/>
                <w:sz w:val="20"/>
                <w:szCs w:val="20"/>
                <w:lang w:eastAsia="nl-NL"/>
              </w:rPr>
            </w:pPr>
            <w:r w:rsidRPr="001A3193">
              <w:rPr>
                <w:rFonts w:ascii="Calibri" w:hAnsi="Calibri" w:eastAsia="Times New Roman" w:cs="Calibri"/>
                <w:color w:val="000000" w:themeColor="text1"/>
                <w:sz w:val="20"/>
                <w:szCs w:val="20"/>
                <w:lang w:eastAsia="nl-NL"/>
              </w:rPr>
              <w:t>Sullivan et al. 2016</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eastAsia="nl-NL"/>
              </w:rPr>
              <w:instrText xml:space="preserve"> ADDIN ZOTERO_ITEM CSL_CITATION {"citationID":"PeTdClrd","properties":{"formattedCitation":"[3]","plainCitation":"[3]","noteIndex":0},"citationItems":[{"id":571,"uris":["http://zotero.org/users/13138555/items/927S57GG"],"itemData":{"id":571,"type":"article-journal","abstract":"BACKGROUND: A single-source catalogue of nationally representative EuroQol five-dimensional questionnaire (EQ-5D) scores for chronic conditions in the United States and the United Kingdom from the Medical Expenditure Panel Survey (MEPS) has been published and has been used extensively for public health and cost-effectiveness modeling.\nOBJECTIVES: To estimate EQ-5D scores for diabetes-related chronic conditions that are consistent with the previous catalogue.\nMETHODS: The MEPS is a nationally representative survey of the US civilian population. EQ-5D-3L questionnaire responses were mapped from short-form 12 health survey responses in 2000 to 2011 MEPS data using multinomial logistic regression. Country-specific tariffs were applied to the mapped EQ-5D responses for the United Kingdom, the United States, France, and Spain. EQ-5D scores were regressed on diabetes-related comorbidities controlling for sociodemographic characteristics, body mass index, and comorbidity using robust (median) regression. Methods were consistent with the previously published catalogue of EQ-5D scores for the United States.\nRESULTS: There were 20,705 individuals with diabetes and a valid mapped EQ-5D score in the 2000 to 2011 MEPS data. Unadjusted mapped EQ-5D scores for individuals with diabetes varied by country-specific tariff from 0.70 (France) to 0.79 (United States). Regression results reflecting marginal disutility estimates for EQ-5D scores are provided for 17 diabetes-related comorbidities and body mass index categories for US, UK, French, and Spanish tariffs.\nCONCLUSIONS: The estimates provided in this research may be useful for analysts attempting to model the impact of diabetes and diabetes-related comorbid conditions on utility. They are derived from a single-source, nationally representative population and augment the existing \"off-the-shelf\" catalogue of EQ-5D scores for chronic conditions.","container-title":"Value in Health: The Journal of the International Society for Pharmacoeconomics and Outcomes Research","DOI":"10.1016/j.jval.2016.05.018","ISSN":"1524-4733","issue":"8","journalAbbreviation":"Value Health","language":"eng","note":"PMID: 27987626","page":"1002-1008","source":"PubMed","title":"EQ-5D Scores for Diabetes-Related Comorbidities","volume":"19","author":[{"family":"Sullivan","given":"Patrick W."},{"family":"Ghushchyan","given":"Vahram H."}],"issued":{"date-parts":[["2016",12]]}}}],"schema":"https://github.com/citation-style-language/schema/raw/master/csl-citation.json"}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[3]</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28589C65"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572C2461"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Acute renal failure</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37C81F1"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-0.038</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A91D92F"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-0.014</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7845C9B8"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Sullivan et al. 2016</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{"citationID":"v3PR8w3b","properties":{"formattedCitation":"[3]","plainCitation":"[3]","noteIndex":0},"citationItems":[{"id":571,"uris":["http://zotero.org/users/13138555/items/927S57GG"],"itemData":{"id":571,"type":"article-journal","abstract":"BACKGROUND: A single-source catalogue of nationally representative EuroQol five-dimensional questionnaire (EQ-5D) scores for chronic conditions in the United States and the United Kingdom from the Medical Expenditure Panel Survey (MEPS) has been published and has been used extensively for public health and cost-effectiveness modeling.\nOBJECTIVES: To estimate EQ-5D scores for diabetes-related chronic conditions that are consistent with the previous catalogue.\nMETHODS: The MEPS is a nationally representative survey of the US civilian population. EQ-5D-3L questionnaire responses were mapped from short-form 12 health survey responses in 2000 to 2011 MEPS data using multinomial logistic regression. Country-specific tariffs were applied to the mapped EQ-5D responses for the United Kingdom, the United States, France, and Spain. EQ-5D scores were regressed on diabetes-related comorbidities controlling for sociodemographic characteristics, body mass index, and comorbidity using robust (median) regression. Methods were consistent with the previously published catalogue of EQ-5D scores for the United States.\nRESULTS: There were 20,705 individuals with diabetes and a valid mapped EQ-5D score in the 2000 to 2011 MEPS data. Unadjusted mapped EQ-5D scores for individuals with diabetes varied by country-specific tariff from 0.70 (France) to 0.79 (United States). Regression results reflecting marginal disutility estimates for EQ-5D scores are provided for 17 diabetes-related comorbidities and body mass index categories for US, UK, French, and Spanish tariffs.\nCONCLUSIONS: The estimates provided in this research may be useful for analysts attempting to model the impact of diabetes and diabetes-related comorbid conditions on utility. They are derived from a single-source, nationally representative population and augment the existing \"off-the-shelf\" catalogue of EQ-5D scores for chronic conditions.","container-title":"Value in Health: The Journal of the International Society for Pharmacoeconomics and Outcomes Research","DOI":"10.1016/j.jval.2016.05.018","ISSN":"1524-4733","issue":"8","journalAbbreviation":"Value Health","language":"eng","note":"PMID: 27987626","page":"1002-1008","source":"PubMed","title":"EQ-5D Scores for Diabetes-Related Comorbidities","volume":"19","author":[{"family":"Sullivan","given":"Patrick W."},{"family":"Ghushchyan","given":"Vahram H."}],"issued":{"date-parts":[["2016",12]]}}}],"schema":"https://github.com/citation-style-language/schema/raw/master/csl-citation.json"}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[3]</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{"citationID":"ApvNLjn3","properties":{"formattedCitation":"[2]","plainCitation":"[2]","noteIndex":0},"citationItems":[{"id":322,"uris":["http://zotero.org/users/13138555/items/73TDI6RW"],"itemData":{"id":322,"type":"article-journal","container-title":"New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18FD880F"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A748E9A"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Hepatic injury</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48FA7D4"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-0.022</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626297C"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-0.056</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61126019"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{"citationID":"1ObDZsaw","properties":{"formattedCitation":"[1]","plainCitation":"[1]","noteIndex":0},"citationItems":[{"id":554,"uris":["http://zotero.org/users/13138555/items/NFIP9DWW"],"itemData":{"id":554,"type":"article-journal","container-title":"New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{"citationID":"gdOti54k","properties":{"formattedCitation":"[2]","plainCitation":"[2]","noteIndex":0},"citationItems":[{"id":322,"uris":["http://zotero.org/users/13138555/items/73TDI6RW"],"itemData":{"id":322,"type":"article-journal","container-title":"New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61F0C254"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51596D48"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Volume depletion</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EC24815"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-0.029</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E54412B"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-0.031</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7154EC0E"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EMPEROR-Reduced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{"citationID":"1kz0nglk","properties":{"formattedCitation":"[1]","plainCitation":"[1]","noteIndex":0},"citationItems":[{"id":554,"uris":["http://zotero.org/users/13138555/items/NFIP9DWW"],"itemData":{"id":554,"type":"article-journal","container-title":"New England Journal of Medicine","DOI":"10.1056/NEJMoa2022190","ISSN":"0028-4793","issue":"15","note":"publisher: Massachusetts Medical Society\n_eprint: https://doi.org/10.1056/NEJMoa2022190\nPMID: 32865377","page":"1413-1424","source":"Taylor and Francis+NEJM","title":"Cardiovascular and Renal Outcomes with Empagliflozin in Heart Failure","volume":"383","author":[{"family":"Packer","given":"Milton"},{"family":"Anker","given":"Stefan D."},{"family":"Butler","given":"Javed"},{"family":"Filippatos","given":"Gerasimos"},{"family":"Pocock","given":"Stuart J."},{"family":"Carson","given":"Peter"},{"family":"Januzzi","given":"James"},{"family":"Verma","given":"Subodh"},{"family":"Tsutsui","given":"Hiroyuki"},{"family":"Brueckmann","given":"Martina"},{"family":"Jamal","given":"Waheed"},{"family":"Kimura","given":"Karen"},{"family":"Schnee","given":"Janet"},{"family":"Zeller","given":"Cordula"},{"family":"Cotton","given":"Daniel"},{"family":"Bocchi","given":"Edimar"},{"family":"Böhm","given":"Michael"},{"family":"Choi","given":"Dong-Ju"},{"family":"Chopra","given":"Vijay"},{"family":"Chuquiure","given":"Eduardo"},{"family":"Giannetti","given":"Nadia"},{"family":"Janssens","given":"Stefan"},{"family":"Zhang","given":"Jian"},{"family":"Gonzalez Juanatey","given":"Jose R."},{"family":"Kaul","given":"Sanjay"},{"family":"Brunner-La Rocca","given":"Hans-Peter"},{"family":"Merkely","given":"Bela"},{"family":"Nicholls","given":"Stephen J."},{"family":"Perrone","given":"Sergio"},{"family":"Pina","given":"Ileana"},{"family":"Ponikowski","given":"Piotr"},{"family":"Sattar","given":"Naveed"},{"family":"Senni","given":"Michele"},{"family":"Seronde","given":"Marie-France"},{"family":"Spinar","given":"Jindrich"},{"family":"Squire","given":"Iain"},{"family":"Taddei","given":"Stefano"},{"family":"Wanner","given":"Christoph"},{"family":"Zannad","given":"Faiez"}],"issued":{"date-parts":[["2020",10,8]]}}}],"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{"citationID":"bL8O5JXm","properties":{"formattedCitation":"[2]","plainCitation":"[2]","noteIndex":0},"citationItems":[{"id":322,"uris":["http://zotero.org/users/13138555/items/73TDI6RW"],"itemData":{"id":322,"type":"article-journal","container-title":"New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04FE25B5"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C5C0A6C"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Hypotension</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208BF62"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-0.027</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4A2C6AD"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-0.027</w:t>
            </w:r>
          </w:p>
        </w:tc>
        <w:tc>
          <w:tcPr>
            <w:tcW w:w="2682" w:type="dxa"/>
            <w:vMerge w:val="restart"/>
            <w:tcBorders>
              <w:top w:val="nil"/>
              <w:left w:val="nil"/>
              <w:right w:val="single" w:color="auto" w:sz="4" w:space="0"/>
            </w:tcBorders>
            <w:shd w:val="clear" w:color="auto" w:fill="auto"/>
            <w:vAlign w:val="bottom"/>
            <w:hideMark/>
          </w:tcPr>
          <w:p w:rsidRPr="001A3193" w:rsidR="001D59A9" w:rsidP="00654ECF" w:rsidRDefault="001D59A9" w14:paraId="33ACBDE7" w14:textId="77777777">
            <w:pPr>
              <w:spacing w:after="0" w:line="360" w:lineRule="auto"/>
              <w:jc w:val="center"/>
              <w:rPr>
                <w:rFonts w:ascii="Calibri" w:hAnsi="Calibri" w:eastAsia="Times New Roman" w:cs="Calibri"/>
                <w:color w:val="000000"/>
                <w:sz w:val="20"/>
                <w:szCs w:val="20"/>
                <w:lang w:val="en-US" w:eastAsia="nl-NL"/>
              </w:rPr>
            </w:pPr>
            <w:proofErr w:type="spellStart"/>
            <w:r w:rsidRPr="001A3193">
              <w:rPr>
                <w:rFonts w:ascii="Calibri" w:hAnsi="Calibri" w:eastAsia="Times New Roman" w:cs="Calibri"/>
                <w:color w:val="000000" w:themeColor="text1"/>
                <w:sz w:val="20"/>
                <w:szCs w:val="20"/>
                <w:lang w:val="en-US" w:eastAsia="nl-NL"/>
              </w:rPr>
              <w:t>Peasgood</w:t>
            </w:r>
            <w:proofErr w:type="spellEnd"/>
            <w:r w:rsidRPr="001A3193">
              <w:rPr>
                <w:rFonts w:ascii="Calibri" w:hAnsi="Calibri" w:eastAsia="Times New Roman" w:cs="Calibri"/>
                <w:color w:val="000000" w:themeColor="text1"/>
                <w:sz w:val="20"/>
                <w:szCs w:val="20"/>
                <w:lang w:val="en-US" w:eastAsia="nl-NL"/>
              </w:rPr>
              <w:t xml:space="preserve"> et al. 2016</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{"citationID":"dPUkqpDr","properties":{"formattedCitation":"[4]","plainCitation":"[4]","noteIndex":0},"citationItems":[{"id":578,"uris":["http://zotero.org/users/13138555/items/NINIIYRH"],"itemData":{"id":578,"type":"article-journal","abstract":"INTRODUCTION: This study estimates health-related quality of life (HRQoL) or utility decrements associated with type 1 diabetes mellitus (T1DM) using data from a UK research program on the Dose Adjustment For Normal Eating (DAFNE) education program.\nMETHODS: A wide range of data was collected from 2341 individuals who undertook a DAFNE course in 2009-2012, at baseline and for 2 subsequent years. We use fixed- and random-effects linear models to generate utility estimates for T1DM using different instruments: EQ-5D, SF-6D, and EQ-VAS. We show models with and without controls for HbA1c and depression, which may be endogenous (if, for example, there is reverse causality in operation).\nRESULTS: We find strong evidence of an unobserved individual effect, suggesting the superiority of the fixed-effects model. Depression shows the greatest decrement across all the models in the preferred fixed-effects model. The fixed-effects EQ-5D model also finds a significant decrement from retinopathy, body mass index, and HbA1c (%). Estimating a decrement using the fixed-effects model is not possible for some conditions where there are few new cases. In the random-effects model, diabetic foot disease shows substantial utility decrements, yet these are not significant in the fixed-effects models.\nCONCLUSION: Utility decrements have been calculated for a wide variety of health states in T1DM that can be used in economic analyses. However, despite the large data set, the low incidence of several complications leads to uncertainty in calculating the utility weights. Depression and diabetic foot disease result in a substantial loss in HRQoL for patients with T1DM. HbA1c (%) appears to have an independent negative impact on HRQoL, although concerns remain regarding the potential endogeneity of this variable.","container-title":"Medical Decision Making: An International Journal of the Society for Medical Decision Making","DOI":"10.1177/0272989X16658660","ISSN":"1552-681X","issue":"8","journalAbbreviation":"Med Decis Making","language":"eng","note":"PMID: 27553209\nPMCID: PMC5046160","page":"1020-1033","source":"PubMed","title":"The Impact of Diabetes-Related Complications on Preference-Based Measures of Health-Related Quality of Life in Adults with Type I Diabetes","volume":"36","author":[{"family":"Peasgood","given":"Tessa"},{"family":"Brennan","given":"Alan"},{"family":"Mansell","given":"Peter"},{"family":"Elliott","given":"Jackie"},{"family":"Basarir","given":"Hasan"},{"family":"Kruger","given":"Jen"}],"issued":{"date-parts":[["2016",11]]}}}],"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[4]</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4CE8006E"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24F93B9D"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Hypoglycemic event</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870CBFB"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-0.002</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A4E1CC5"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-0.002</w:t>
            </w:r>
          </w:p>
        </w:tc>
        <w:tc>
          <w:tcPr>
            <w:tcW w:w="2682" w:type="dxa"/>
            <w:vMerge/>
            <w:tcBorders>
              <w:left w:val="nil"/>
              <w:bottom w:val="single" w:color="auto" w:sz="4" w:space="0"/>
              <w:right w:val="single" w:color="auto" w:sz="4" w:space="0"/>
            </w:tcBorders>
            <w:shd w:val="clear" w:color="auto" w:fill="auto"/>
            <w:vAlign w:val="bottom"/>
            <w:hideMark/>
          </w:tcPr>
          <w:p w:rsidRPr="001A3193" w:rsidR="001D59A9" w:rsidP="00654ECF" w:rsidRDefault="001D59A9" w14:paraId="51B2A16F" w14:textId="77777777">
            <w:pPr>
              <w:spacing w:after="0" w:line="240" w:lineRule="auto"/>
              <w:jc w:val="center"/>
              <w:rPr>
                <w:rFonts w:ascii="Calibri" w:hAnsi="Calibri" w:eastAsia="Times New Roman" w:cs="Calibri"/>
                <w:color w:val="000000"/>
                <w:sz w:val="20"/>
                <w:szCs w:val="20"/>
                <w:lang w:val="en-US" w:eastAsia="nl-NL"/>
              </w:rPr>
            </w:pPr>
          </w:p>
        </w:tc>
      </w:tr>
      <w:tr w:rsidRPr="003C2EC8" w:rsidR="001D59A9" w:rsidTr="00654ECF" w14:paraId="3AF38677"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7B656562"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Bone fracture</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BEF503E"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-0.068</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6E64D3E"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-0.0165</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6C2DFA98"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Sullivan et al. 2016</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{"citationID":"LJnN4W33","properties":{"formattedCitation":"[3]","plainCitation":"[3]","noteIndex":0},"citationItems":[{"id":571,"uris":["http://zotero.org/users/13138555/items/927S57GG"],"itemData":{"id":571,"type":"article-journal","abstract":"BACKGROUND: A single-source catalogue of nationally representative EuroQol five-dimensional questionnaire (EQ-5D) scores for chronic conditions in the United States and the United Kingdom from the Medical Expenditure Panel Survey (MEPS) has been published and has been used extensively for public health and cost-effectiveness modeling.\nOBJECTIVES: To estimate EQ-5D scores for diabetes-related chronic conditions that are consistent with the previous catalogue.\nMETHODS: The MEPS is a nationally representative survey of the US civilian population. EQ-5D-3L questionnaire responses were mapped from short-form 12 health survey responses in 2000 to 2011 MEPS data using multinomial logistic regression. Country-specific tariffs were applied to the mapped EQ-5D responses for the United Kingdom, the United States, France, and Spain. EQ-5D scores were regressed on diabetes-related comorbidities controlling for sociodemographic characteristics, body mass index, and comorbidity using robust (median) regression. Methods were consistent with the previously published catalogue of EQ-5D scores for the United States.\nRESULTS: There were 20,705 individuals with diabetes and a valid mapped EQ-5D score in the 2000 to 2011 MEPS data. Unadjusted mapped EQ-5D scores for individuals with diabetes varied by country-specific tariff from 0.70 (France) to 0.79 (United States). Regression results reflecting marginal disutility estimates for EQ-5D scores are provided for 17 diabetes-related comorbidities and body mass index categories for US, UK, French, and Spanish tariffs.\nCONCLUSIONS: The estimates provided in this research may be useful for analysts attempting to model the impact of diabetes and diabetes-related comorbid conditions on utility. They are derived from a single-source, nationally representative population and augment the existing \"off-the-shelf\" catalogue of EQ-5D scores for chronic conditions.","container-title":"Value in Health: The Journal of the International Society for Pharmacoeconomics and Outcomes Research","DOI":"10.1016/j.jval.2016.05.018","ISSN":"1524-4733","issue":"8","journalAbbreviation":"Value Health","language":"eng","note":"PMID: 27987626","page":"1002-1008","source":"PubMed","title":"EQ-5D Scores for Diabetes-Related Comorbidities","volume":"19","author":[{"family":"Sullivan","given":"Patrick W."},{"family":"Ghushchyan","given":"Vahram H."}],"issued":{"date-parts":[["2016",12]]}}}],"schema":"https://github.com/citation-style-language/schema/raw/master/csl-citation.json"}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[3]</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val="en-US" w:eastAsia="nl-NL"/>
              </w:rPr>
              <w:t>; EMPEROR-Preserved</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{"citationID":"VAlU57QU","properties":{"formattedCitation":"[2]","plainCitation":"[2]","noteIndex":0},"citationItems":[{"id":322,"uris":["http://zotero.org/users/13138555/items/73TDI6RW"],"itemData":{"id":322,"type":"article-journal","container-title":"New England Journal of Medicine","DOI":"10.1056/NEJMoa2107038","ISSN":"0028-4793","issue":"16","note":"publisher: Massachusetts Medical Society\n_eprint: https://doi.org/10.1056/NEJMoa2107038\nPMID: 34449189","page":"1451-1461","source":"Taylor and Francis+NEJM","title":"Empagliflozin in Heart Failure with a Preserved Ejection Fraction","volume":"385","author":[{"family":"Anker","given":"Stefan D."},{"family":"Butler","given":"Javed"},{"family":"Filippatos","given":"Gerasimos"},{"family":"Ferreira","given":"João P."},{"family":"Bocchi","given":"Edimar"},{"family":"Böhm","given":"Michael"},{"family":"Brunner–La Rocca","given":"Hans-Peter"},{"family":"Choi","given":"Dong-Ju"},{"family":"Chopra","given":"Vijay"},{"family":"Chuquiure-Valenzuela","given":"Eduardo"},{"family":"Giannetti","given":"Nadia"},{"family":"Gomez-Mesa","given":"Juan Esteban"},{"family":"Janssens","given":"Stefan"},{"family":"Januzzi","given":"James L."},{"family":"Gonzalez-Juanatey","given":"Jose R."},{"family":"Merkely","given":"Bela"},{"family":"Nicholls","given":"Stephen J."},{"family":"Perrone","given":"Sergio V."},{"family":"Piña","given":"Ileana L."},{"family":"Ponikowski","given":"Piotr"},{"family":"Senni","given":"Michele"},{"family":"Sim","given":"David"},{"family":"Spinar","given":"Jindrich"},{"family":"Squire","given":"Iain"},{"family":"Taddei","given":"Stefano"},{"family":"Tsutsui","given":"Hiroyuki"},{"family":"Verma","given":"Subodh"},{"family":"Vinereanu","given":"Dragos"},{"family":"Zhang","given":"Jian"},{"family":"Carson","given":"Peter"},{"family":"Lam","given":"Carolyn Su Ping"},{"family":"Marx","given":"Nikolaus"},{"family":"Zeller","given":"Cordula"},{"family":"Sattar","given":"Naveed"},{"family":"Jamal","given":"Waheed"},{"family":"Schnaidt","given":"Sven"},{"family":"Schnee","given":"Janet M."},{"family":"Brueckmann","given":"Martina"},{"family":"Pocock","given":"Stuart J."},{"family":"Zannad","given":"Faiez"},{"family":"Packer","given":"Milton"}],"issued":{"date-parts":[["2021",10,14]]}}}],"schema":"https://github.com/citation-style-language/schema/raw/master/csl-citation.json"}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lang w:val="en-US"/>
              </w:rPr>
              <w:t>[2]</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0F5FD814"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2B7A56C7"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Drug costs (per month)</w:t>
            </w:r>
          </w:p>
        </w:tc>
      </w:tr>
      <w:tr w:rsidRPr="003C2EC8" w:rsidR="001D59A9" w:rsidTr="00654ECF" w14:paraId="25EFB208"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AF12B30"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Empagliflozin + SoC</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112CBEB"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€ 89.09</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925DD67" w14:textId="77777777">
            <w:pPr>
              <w:spacing w:after="0" w:line="240" w:lineRule="auto"/>
              <w:jc w:val="center"/>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€ 58.90</w:t>
            </w:r>
          </w:p>
        </w:tc>
        <w:tc>
          <w:tcPr>
            <w:tcW w:w="2682" w:type="dxa"/>
            <w:vMerge w:val="restart"/>
            <w:tcBorders>
              <w:top w:val="nil"/>
              <w:left w:val="single" w:color="auto" w:sz="4" w:space="0"/>
              <w:bottom w:val="single" w:color="auto" w:sz="4" w:space="0"/>
              <w:right w:val="single" w:color="auto" w:sz="4" w:space="0"/>
            </w:tcBorders>
            <w:shd w:val="clear" w:color="auto" w:fill="auto"/>
            <w:vAlign w:val="center"/>
            <w:hideMark/>
          </w:tcPr>
          <w:p w:rsidRPr="001A3193" w:rsidR="001D59A9" w:rsidP="00654ECF" w:rsidRDefault="001D59A9" w14:paraId="0CAB6288"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List prices; Z-Index</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{"citationID":"RCrTDEAB","properties":{"formattedCitation":"[5]","plainCitation":"[5]","noteIndex":0},"citationItems":[{"id":795,"uris":["http://zotero.org/users/13138555/items/HXFCDMWG"],"itemData":{"id":795,"type":"webpage","title":"G-Standaard — Z-Index","URL":"https://www.z-index.nl/g-standaard","accessed":{"date-parts":[["2024",3,1]]}}}],"schema":"https://github.com/citation-style-language/schema/raw/master/csl-citation.json"}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lang w:val="en-US"/>
              </w:rPr>
              <w:t>[5]</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0F583832"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778DA05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SoC</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F4D15BB"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sz w:val="20"/>
                <w:szCs w:val="20"/>
                <w:lang w:val="en-US" w:eastAsia="nl-NL"/>
              </w:rPr>
              <w:t>€ 46.56</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B475E9C"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sz w:val="20"/>
                <w:szCs w:val="20"/>
                <w:lang w:val="en-US" w:eastAsia="nl-NL"/>
              </w:rPr>
              <w:t>€ 16.40</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1C053894" w14:textId="77777777">
            <w:pPr>
              <w:spacing w:after="0" w:line="240" w:lineRule="auto"/>
              <w:rPr>
                <w:rFonts w:ascii="Calibri" w:hAnsi="Calibri" w:eastAsia="Times New Roman" w:cs="Calibri"/>
                <w:color w:val="000000"/>
                <w:sz w:val="20"/>
                <w:szCs w:val="20"/>
                <w:lang w:val="en-US" w:eastAsia="nl-NL"/>
              </w:rPr>
            </w:pPr>
          </w:p>
        </w:tc>
      </w:tr>
      <w:tr w:rsidRPr="003C2EC8" w:rsidR="001D59A9" w:rsidTr="00654ECF" w14:paraId="67C47A15"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46709301"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Clinical event costs</w:t>
            </w:r>
          </w:p>
        </w:tc>
      </w:tr>
      <w:tr w:rsidRPr="001A3193" w:rsidR="001D59A9" w:rsidTr="00654ECF" w14:paraId="3641F676"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778C66F8"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 xml:space="preserve">HF hospitalization </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0573526"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€ 5,075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C9ED2CB"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€ 5,075</w:t>
            </w:r>
          </w:p>
        </w:tc>
        <w:tc>
          <w:tcPr>
            <w:tcW w:w="268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4095D02" w14:textId="77777777">
            <w:pPr>
              <w:spacing w:after="0" w:line="240" w:lineRule="auto"/>
              <w:jc w:val="center"/>
              <w:rPr>
                <w:rFonts w:ascii="Calibri" w:hAnsi="Calibri" w:eastAsia="Times New Roman" w:cs="Calibri"/>
                <w:color w:val="000000"/>
                <w:sz w:val="20"/>
                <w:szCs w:val="20"/>
                <w:lang w:val="en-US" w:eastAsia="nl-NL"/>
              </w:rPr>
            </w:pPr>
            <w:proofErr w:type="spellStart"/>
            <w:r w:rsidRPr="001A3193">
              <w:rPr>
                <w:rFonts w:ascii="Calibri" w:hAnsi="Calibri" w:eastAsia="Times New Roman" w:cs="Calibri"/>
                <w:color w:val="000000" w:themeColor="text1"/>
                <w:sz w:val="20"/>
                <w:szCs w:val="20"/>
                <w:lang w:val="en-US" w:eastAsia="nl-NL"/>
              </w:rPr>
              <w:t>Zorginsituut</w:t>
            </w:r>
            <w:proofErr w:type="spellEnd"/>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{"citationID":"85yOuJ6W","properties":{"formattedCitation":"[6]","plainCitation":"[6]","noteIndex":0},"citationItems":[{"id":2422,"uris":["http://zotero.org/users/13138555/items/KYEQD5CV"],"itemData":{"id":2422,"type":"webpage","abstract":"Zorginstituut Nederland heeft beoordeeld of de indicatie voor het middel dapagliflozine (Forxiga®) kan worden uitgebreid. Dapagliflozine (Forxiga®)  is al opgenomen in het Geneesmiddelenvergoedingssysteem met als vergoedingsvoorwaarde (bijlage 2) dat het middel wordt gebruikt bij de behandeling van een specifieke groep patiënten met diabetes mellitus type 2. De fabrikant vraagt nu om vergoeding van het middel voor de behandeling van volwassenen met symptomatisch chronisch hartfalen met verminderde ejectiefractie. Het Zorginstituut adviseert de bijlage 2-voorwaarden uit te breiden en de gevraagde indicatie daarin op te nemen.","genre":"rapport","language":"nl-NL","license":"CC0 1.0 Universal","note":"Last Modified: 2022-04-08T10:28\npublisher: Ministerie van Volksgezondheid, Welzijn en Sport","title":"Dutch reimbursement dossier of dapagliflozin for the treatment of heart failure","URL":"https://www.zorginstituutnederland.nl/publicaties/adviezen/2021/05/12/gvs-advies-uitbreiding-bijlage-2-voorwaarden-voor-dapagliflozine-forxiga","author":[{"family":"Zorginstituut Nederland","given":"Welzijn en Sport"}],"accessed":{"date-parts":[["2024",4,22]]},"issued":{"date-parts":[["2021",5,12]]}}}],"schema":"https://github.com/citation-style-language/schema/raw/master/csl-citation.json"}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[6]</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2EA345A3"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1B98D374"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CV-death</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0F4C0A9"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€ 3,175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8900416"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€ 3,175</w:t>
            </w:r>
          </w:p>
        </w:tc>
        <w:tc>
          <w:tcPr>
            <w:tcW w:w="268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7F9A107" w14:textId="77777777">
            <w:pPr>
              <w:spacing w:after="0" w:line="240" w:lineRule="auto"/>
              <w:jc w:val="center"/>
              <w:rPr>
                <w:rFonts w:ascii="Calibri" w:hAnsi="Calibri" w:eastAsia="Times New Roman" w:cs="Calibri"/>
                <w:color w:val="000000"/>
                <w:sz w:val="20"/>
                <w:szCs w:val="20"/>
                <w:lang w:eastAsia="nl-NL"/>
              </w:rPr>
            </w:pPr>
            <w:proofErr w:type="spellStart"/>
            <w:r w:rsidRPr="001A3193">
              <w:rPr>
                <w:rFonts w:ascii="Calibri" w:hAnsi="Calibri" w:eastAsia="Times New Roman" w:cs="Calibri"/>
                <w:color w:val="000000" w:themeColor="text1"/>
                <w:sz w:val="20"/>
                <w:szCs w:val="20"/>
                <w:lang w:eastAsia="nl-NL"/>
              </w:rPr>
              <w:t>Soekhlal</w:t>
            </w:r>
            <w:proofErr w:type="spellEnd"/>
            <w:r w:rsidRPr="001A3193">
              <w:rPr>
                <w:rFonts w:ascii="Calibri" w:hAnsi="Calibri" w:eastAsia="Times New Roman" w:cs="Calibri"/>
                <w:color w:val="000000" w:themeColor="text1"/>
                <w:sz w:val="20"/>
                <w:szCs w:val="20"/>
                <w:lang w:eastAsia="nl-NL"/>
              </w:rPr>
              <w:t xml:space="preserve"> et al. 2013</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eastAsia="nl-NL"/>
              </w:rPr>
              <w:instrText xml:space="preserve"> ADDIN ZOTERO_ITEM CSL_CITATION {"citationID":"CXYrYaxY","properties":{"formattedCitation":"[7]","plainCitation":"[7]","noteIndex":0},"citationItems":[{"id":337,"uris":["http://zotero.org/users/13138555/items/BYKRLLWJ"],"itemData":{"id":337,"type":"article-journal","abstract":"Background\nThis study aimed to calculate the treatment costs of acute myocardial infarction (AMI) in the Netherlands for 2012. Also, the degree of association between treatment costs of AMI and some patient and hospital characteristics was examined.\n\nMethods\nFor this retrospective cost analysis, patients were drawn from the database of the Diagnosis Treatment Combination (Diagnose Behandeling Combinatie, DBC) casemix system, which contains data on the resource use of all hospitalisations in the Netherlands. All costs were based on Euro 2012 cost data.\n\nResults\nThe analysis was based on data of 25,657 patients. Mean treatment costs were estimated at € 5021, with significant cost increases for patients with percutaneous coronary intervention (PCI) treatment. ST-segment elevation myocardial infarction (STEMI) patients receiving thrombolysis incurred the lowest (€ 4286), while non-STEMI patients receiving PCI the highest costs (€ 6060). Length of stay and hospital type were strong predictors of treatment costs.\n\nConclusions\nThis study is the most extensive cost assessment of the treatment costs of AMI in the Netherlands thus far. Our results may be used as input for health-economic models and economic evaluations to support the decision making of registration, reimbursement and pricing of interventions in healthcare.","container-title":"Netherlands Heart Journal","DOI":"10.1007/s12471-013-0386-y","ISSN":"1568-5888","issue":"5","journalAbbreviation":"Neth Heart J","note":"PMID: 23456884\nPMCID: PMC3636331","page":"230-235","source":"PubMed Central","title":"Treatment costs of acute myocardial infarction in the Netherlands","volume":"21","author":[{"family":"Soekhlal","given":"R. R."},{"family":"Burgers","given":"L. T."},{"family":"Redekop","given":"W. K."},{"family":"Tan","given":"S. S."}],"issued":{"date-parts":[["2013",5]]}}}],"schema":"https://github.com/citation-style-language/schema/raw/master/csl-citation.json"}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[7]</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2168B83A"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48B34B9E"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Disease management costs (per month)</w:t>
            </w:r>
          </w:p>
        </w:tc>
      </w:tr>
      <w:tr w:rsidRPr="001A3193" w:rsidR="001D59A9" w:rsidTr="00654ECF" w14:paraId="14B647D9"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49705C04"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686E236"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€ 28.61</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FA12CE0"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€ 28.61</w:t>
            </w:r>
          </w:p>
        </w:tc>
        <w:tc>
          <w:tcPr>
            <w:tcW w:w="2682" w:type="dxa"/>
            <w:vMerge w:val="restart"/>
            <w:tcBorders>
              <w:top w:val="nil"/>
              <w:left w:val="single" w:color="auto" w:sz="4" w:space="0"/>
              <w:bottom w:val="single" w:color="auto" w:sz="4" w:space="0"/>
              <w:right w:val="single" w:color="auto" w:sz="4" w:space="0"/>
            </w:tcBorders>
            <w:shd w:val="clear" w:color="auto" w:fill="auto"/>
            <w:vAlign w:val="center"/>
            <w:hideMark/>
          </w:tcPr>
          <w:p w:rsidRPr="001A3193" w:rsidR="001D59A9" w:rsidP="00654ECF" w:rsidRDefault="001D59A9" w14:paraId="55435F92" w14:textId="77777777">
            <w:pPr>
              <w:spacing w:after="0" w:line="240" w:lineRule="auto"/>
              <w:jc w:val="center"/>
              <w:rPr>
                <w:rFonts w:ascii="Calibri" w:hAnsi="Calibri" w:eastAsia="Times New Roman" w:cs="Calibri"/>
                <w:color w:val="000000"/>
                <w:sz w:val="20"/>
                <w:szCs w:val="20"/>
                <w:lang w:eastAsia="nl-NL"/>
              </w:rPr>
            </w:pPr>
            <w:proofErr w:type="spellStart"/>
            <w:r w:rsidRPr="001A3193">
              <w:rPr>
                <w:rFonts w:ascii="Calibri" w:hAnsi="Calibri" w:eastAsia="Times New Roman" w:cs="Calibri"/>
                <w:color w:val="000000" w:themeColor="text1"/>
                <w:sz w:val="20"/>
                <w:szCs w:val="20"/>
                <w:lang w:eastAsia="nl-NL"/>
              </w:rPr>
              <w:t>Grustam</w:t>
            </w:r>
            <w:proofErr w:type="spellEnd"/>
            <w:r w:rsidRPr="001A3193">
              <w:rPr>
                <w:rFonts w:ascii="Calibri" w:hAnsi="Calibri" w:eastAsia="Times New Roman" w:cs="Calibri"/>
                <w:color w:val="000000" w:themeColor="text1"/>
                <w:sz w:val="20"/>
                <w:szCs w:val="20"/>
                <w:lang w:eastAsia="nl-NL"/>
              </w:rPr>
              <w:t xml:space="preserve"> et al. 2018</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eastAsia="nl-NL"/>
              </w:rPr>
              <w:instrText xml:space="preserve"> ADDIN ZOTERO_ITEM CSL_CITATION {"citationID":"rKYldUmx","properties":{"formattedCitation":"[8]","plainCitation":"[8]","noteIndex":0},"citationItems":[{"id":340,"uris":["http://zotero.org/users/13138555/items/JRGQJL99"],"itemData":{"id":340,"type":"article-journal","container-title":"Value in Health","DOI":"10.1016/j.jval.2017.11.011","ISSN":"10983015","issue":"7","journalAbbreviation":"Value in Health","language":"en","page":"772-782","source":"DOI.org (Crossref)","title":"Cost-Effectiveness Analysis in Telehealth: A Comparison between Home Telemonitoring, Nurse Telephone Support, and Usual Care in Chronic Heart Failure Management","title-short":"Cost-Effectiveness Analysis in Telehealth","volume":"21","author":[{"family":"Grustam","given":"Andrija S."},{"family":"Severens","given":"Johan L."},{"family":"De Massari","given":"Daniele"},{"family":"Buyukkaramikli","given":"Nasuh"},{"family":"Koymans","given":"Ron"},{"family":"Vrijhoef","given":"Hubertus J.M."}],"issued":{"date-parts":[["2018",7]]}}}],"schema":"https://github.com/citation-style-language/schema/raw/master/csl-citation.json"}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[8]</w:t>
            </w:r>
            <w:r w:rsidRPr="001A3193">
              <w:rPr>
                <w:rFonts w:ascii="Calibri" w:hAnsi="Calibri" w:eastAsia="Times New Roman" w:cs="Calibri"/>
                <w:color w:val="000000" w:themeColor="text1"/>
                <w:sz w:val="20"/>
                <w:szCs w:val="20"/>
                <w:lang w:val="en-US" w:eastAsia="nl-NL"/>
              </w:rPr>
              <w:fldChar w:fldCharType="end"/>
            </w:r>
            <w:r w:rsidRPr="001A3193">
              <w:rPr>
                <w:rFonts w:ascii="Calibri" w:hAnsi="Calibri" w:eastAsia="Times New Roman" w:cs="Calibri"/>
                <w:color w:val="000000" w:themeColor="text1"/>
                <w:sz w:val="20"/>
                <w:szCs w:val="20"/>
                <w:lang w:eastAsia="nl-NL"/>
              </w:rPr>
              <w:t xml:space="preserve">; </w:t>
            </w:r>
          </w:p>
        </w:tc>
      </w:tr>
      <w:tr w:rsidRPr="001A3193" w:rsidR="001D59A9" w:rsidTr="00654ECF" w14:paraId="2C961CBC"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2FEF0136"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7F0E42FD"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€ 18.41</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12CE3F6"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€ 18.41</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12323E8B"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45793D18"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15D921A8"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III/IV</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5ECD6D7"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€ 60.64</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9FAC169"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€ 60.64</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13DAA1AE" w14:textId="77777777">
            <w:pPr>
              <w:spacing w:after="0" w:line="240" w:lineRule="auto"/>
              <w:rPr>
                <w:rFonts w:ascii="Calibri" w:hAnsi="Calibri" w:eastAsia="Times New Roman" w:cs="Calibri"/>
                <w:color w:val="000000"/>
                <w:sz w:val="20"/>
                <w:szCs w:val="20"/>
                <w:lang w:val="en-US" w:eastAsia="nl-NL"/>
              </w:rPr>
            </w:pPr>
          </w:p>
        </w:tc>
      </w:tr>
      <w:tr w:rsidRPr="003C2EC8" w:rsidR="001D59A9" w:rsidTr="00654ECF" w14:paraId="711F3BAE"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572993FD"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AE management costs (per event)</w:t>
            </w:r>
          </w:p>
        </w:tc>
      </w:tr>
      <w:tr w:rsidRPr="001A3193" w:rsidR="001D59A9" w:rsidTr="00654ECF" w14:paraId="3362999D"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hideMark/>
          </w:tcPr>
          <w:p w:rsidRPr="001A3193" w:rsidR="001D59A9" w:rsidP="00654ECF" w:rsidRDefault="001D59A9" w14:paraId="56417C31"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cs="Calibri"/>
                <w:sz w:val="20"/>
                <w:szCs w:val="20"/>
                <w:lang w:val="en-US"/>
              </w:rPr>
              <w:t>UTI</w:t>
            </w:r>
          </w:p>
        </w:tc>
        <w:tc>
          <w:tcPr>
            <w:tcW w:w="1289"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294658EA"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€ 28</w:t>
            </w:r>
          </w:p>
        </w:tc>
        <w:tc>
          <w:tcPr>
            <w:tcW w:w="1292"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0ACDDF2E"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€ 28</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16F796D8" w14:textId="77777777">
            <w:pPr>
              <w:spacing w:after="0" w:line="240" w:lineRule="auto"/>
              <w:jc w:val="center"/>
              <w:rPr>
                <w:rFonts w:ascii="Calibri" w:hAnsi="Calibri" w:eastAsia="Times New Roman" w:cs="Calibri"/>
                <w:color w:val="000000"/>
                <w:sz w:val="20"/>
                <w:szCs w:val="20"/>
                <w:lang w:eastAsia="nl-NL"/>
              </w:rPr>
            </w:pPr>
            <w:r w:rsidRPr="001A3193">
              <w:rPr>
                <w:rFonts w:ascii="Calibri" w:hAnsi="Calibri" w:eastAsia="Times New Roman" w:cs="Calibri"/>
                <w:color w:val="000000" w:themeColor="text1"/>
                <w:sz w:val="20"/>
                <w:szCs w:val="20"/>
                <w:lang w:eastAsia="nl-NL"/>
              </w:rPr>
              <w:t>Bosmans et al. 2017</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eastAsia="nl-NL"/>
              </w:rPr>
              <w:instrText xml:space="preserve"> ADDIN ZOTERO_ITEM CSL_CITATION {"citationID":"MKFzXFUL","properties":{"formattedCitation":"[9]","plainCitation":"[9]","noteIndex":0},"citationItems":[{"id":350,"uris":["http://zotero.org/users/13138555/items/P2LNRMWG"],"itemData":{"id":350,"type":"article-journal","abstract":"Background\nUncomplicated Urinary Tract Infections (UTIs) are common in primary care resulting in substantial costs. Since antimicrobial resistance against antibiotics for UTIs is rising, accurate diagnosis is needed in settings with low rates of multidrug-resistant bacteria.\n\nObjective\nTo compare the cost-effectiveness of different strategies to diagnose UTIs in women who contacted their general practitioner (GP) with painful and/or frequent micturition between 2006 and 2008 in and around Amsterdam, The Netherlands.\n\nMethods\nThis is a model-based cost-effectiveness analysis using data from 196 women who underwent four tests: history, urine stick, sediment, dipslide, and the gold standard, a urine culture. Decision trees were constructed reflecting 15 diagnostic strategies comprising different parallel and sequential combinations of the four tests. Using the decision trees, for each strategy the costs and the proportion of women with a correct positive or negative diagnosis were estimated. Probabilistic sensitivity analysis was used to estimate uncertainty surrounding costs and effects. Uncertainty was presented using cost-effectiveness planes and acceptability curves.\n\nResults\nMost sequential testing strategies resulted in higher proportions of correctly classified women and lower costs than parallel testing strategies. For different willingness to pay thresholds, the most cost-effective strategies were: 1) performing a dipstick after a positive history for thresholds below €10 per additional correctly classified patient, 2) performing both a history and dipstick for thresholds between €10 and €17 per additional correctly classified patient, 3) performing a dipstick if history was negative, followed by a sediment if the dipstick was negative for thresholds between €17 and €118 per additional correctly classified patient, 4) performing a dipstick if history was negative, followed by a dipslide if the dipstick was negative for thresholds above €118 per additional correctly classified patient.\n\nConclusion\nDepending on decision makers’ willingness to pay for one additional correctly classified woman, the strategy consisting of performing a history and dipstick simultaneously (ceiling ratios between €10 and €17) or performing a sediment if history and subsequent dipstick are negative (ceiling ratios between €17 and €118) are the most cost-effective strategies to diagnose a UTI.","container-title":"PLoS ONE","DOI":"10.1371/journal.pone.0188818","ISSN":"1932-6203","issue":"11","journalAbbreviation":"PLoS One","note":"PMID: 29186185\nPMCID: PMC5706710","page":"e0188818","source":"PubMed Central","title":"Cost-effectiveness of different strategies for diagnosis of uncomplicated urinary tract infections in women presenting in primary care","volume":"12","author":[{"family":"Bosmans","given":"Judith E."},{"family":"Coupé","given":"Veerle M. H."},{"family":"Knottnerus","given":"Bart J."},{"family":"Geerlings","given":"Suzanne E."},{"family":"Moll van Charante","given":"Eric P."},{"family":"Riet","given":"Gerben","non-dropping-particle":"ter"}],"issued":{"date-parts":[["2017",11,29]]}}}],"schema":"https://github.com/citation-style-language/schema/raw/master/csl-citation.json"}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[9]</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1554A6FA"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hideMark/>
          </w:tcPr>
          <w:p w:rsidRPr="001A3193" w:rsidR="001D59A9" w:rsidP="00654ECF" w:rsidRDefault="001D59A9" w14:paraId="68ABD7E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cs="Calibri"/>
                <w:sz w:val="20"/>
                <w:szCs w:val="20"/>
                <w:lang w:val="en-US"/>
              </w:rPr>
              <w:t>GMI</w:t>
            </w:r>
          </w:p>
        </w:tc>
        <w:tc>
          <w:tcPr>
            <w:tcW w:w="1289"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238697C7"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€ 41</w:t>
            </w:r>
          </w:p>
        </w:tc>
        <w:tc>
          <w:tcPr>
            <w:tcW w:w="1292"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7D79857B"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€ 41</w:t>
            </w:r>
          </w:p>
        </w:tc>
        <w:tc>
          <w:tcPr>
            <w:tcW w:w="2682" w:type="dxa"/>
            <w:tcBorders>
              <w:top w:val="nil"/>
              <w:left w:val="nil"/>
              <w:bottom w:val="single" w:color="auto" w:sz="4" w:space="0"/>
              <w:right w:val="single" w:color="auto" w:sz="4" w:space="0"/>
            </w:tcBorders>
            <w:shd w:val="clear" w:color="auto" w:fill="auto"/>
            <w:vAlign w:val="bottom"/>
            <w:hideMark/>
          </w:tcPr>
          <w:p w:rsidRPr="003C2EC8" w:rsidR="001D59A9" w:rsidP="00654ECF" w:rsidRDefault="001D59A9" w14:paraId="3A02B7DF" w14:textId="12B8049A">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Assumed one GP visit</w:t>
            </w:r>
            <w:r w:rsidRPr="001A3193">
              <w:rPr>
                <w:rFonts w:ascii="Calibri" w:hAnsi="Calibri" w:eastAsia="Times New Roman" w:cs="Calibri"/>
                <w:color w:val="000000" w:themeColor="text1"/>
                <w:sz w:val="20"/>
                <w:szCs w:val="20"/>
                <w:lang w:val="en-US" w:eastAsia="nl-NL"/>
              </w:rPr>
              <w:fldChar w:fldCharType="begin"/>
            </w:r>
            <w:r>
              <w:rPr>
                <w:rFonts w:ascii="Calibri" w:hAnsi="Calibri" w:eastAsia="Times New Roman" w:cs="Calibri"/>
                <w:color w:val="000000" w:themeColor="text1"/>
                <w:sz w:val="20"/>
                <w:szCs w:val="20"/>
                <w:lang w:val="en-US" w:eastAsia="nl-NL"/>
              </w:rPr>
              <w:instrText xml:space="preserve"> ADDIN ZOTERO_ITEM CSL_CITATION {"citationID":"f35V3jao","properties":{"formattedCitation":"[10,11]","plainCitation":"[10,11]","noteIndex":0},"citationItems":[{"id":650,"uris":["http://zotero.org/users/13138555/items/ZECWSWVC"],"itemData":{"id":650,"type":"article-journal","abstract":"Objectives\nDutch health economic guidelines include a costing manual, which describes preferred research methodology for costing studies and reference prices to ensure high quality studies and comparability between study outcomes. This paper describes the most important revisions of the costing manual compared to the previous version.\n\nMethods\nAn online survey was sent out to potential users of the costing manual to identify topics for improvement. The costing manual was aligned with contemporary health economic guidelines. All methodology sections and parameter values needed for costing studies, particularly reference prices, were updated. An expert panel of health economists was consulted several times during the review process. The revised manual was reviewed by two members of the expert panel and by reviewers of the Dutch Health Care Institute.\n\nResults\nThe majority of survey respondents was satisfied with content and usability of the existing costing manual. Respondents recommended updating reference prices and adding some particular commonly needed reference prices. Costs categories were adjusted to the international standard: 1) costs within the health care sector; 2) patient and family costs; and 3) costs in other sectors. Reference prices were updated to reflect 2014 values. The methodology chapter was rewritten to match the requirements of the costing manual and preferences of the users. Reference prices for nursing days of specific wards, for diagnostic procedures and nurse practitioners were added.\n\nConclusions\nThe usability of the costing manual was increased and parameter values were updated. The costing manual became integrated in the new health economic guidelines.","container-title":"PLoS ONE","DOI":"10.1371/journal.pone.0187477","ISSN":"1932-6203","issue":"11","journalAbbreviation":"PLoS One","note":"PMID: 29121647\nPMCID: PMC5679627","page":"e0187477","source":"PubMed Central","title":"Update of the Dutch manual for costing studies in health care","volume":"12","author":[{"family":"Kanters","given":"Tim A."},{"family":"Bouwmans","given":"Clazien A. M."},{"family":"Linden","given":"Naomi","non-dropping-particle":"van der"},{"family":"Tan","given":"Siok Swan"},{"family":"Hakkaart-van Roijen","given":"Leona"}],"issued":{"date-parts":[["2017",11,9]]}}},{"id":312,"uris":["http://zotero.org/users/13138555/items/7P5ZQ8AX"],"itemData":{"id":312,"type":"webpage","abstract":"Steeds vaker worden afwegingen gemaakt over wat doelmatige zorg is en welke zorg vergoed zou moeten worden vanuit het basispakket. Deze afweging kan pas goed gemaakt worden als de gegevens waarop ze wordt gebaseerd aan een standaard voldoet. Daarom is deze richtlijn voor economische evaluaties tot stand gekomen. De richtlijnen bevat de volgende verdiepingsmodules:    Onzekerheid en Value of Information;  Kwaliteit van Leven;  Budget Impact Analyse; en  Kostenhandleiding.","genre":"publicatie","language":"nl-NL","license":"CC0 1.0 Universal","note":"Last Modified: 2023-08-31T11:57\npublisher: Ministerie van Volksgezondheid, Welzijn en Sport","title":"Guideline manual for perfoming economic evaluations in healthcare (2016) (Richtlijn voor het uitvoeren van economische evaluaties in de gezondheidszorg)","URL":"https://www.zorginstituutnederland.nl/publicaties/publicatie/2016/02/29/richtlijn-voor-het-uitvoeren-van-economische-evaluaties-in-de-gezondheidszorg","author":[{"family":"Zorginstituut Nederland","given":""}],"accessed":{"date-parts":[["2023",12,1]]},"issued":{"date-parts":[["2016",2,29]]}}}],"schema":"https://github.com/citation-style-language/schema/raw/master/csl-citation.json"}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3C2EC8">
              <w:rPr>
                <w:rFonts w:ascii="Calibri" w:hAnsi="Calibri" w:cs="Calibri"/>
                <w:sz w:val="20"/>
                <w:lang w:val="en-US"/>
              </w:rPr>
              <w:t>[10,11]</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23894EC8"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hideMark/>
          </w:tcPr>
          <w:p w:rsidRPr="003C2EC8" w:rsidR="001D59A9" w:rsidP="00654ECF" w:rsidRDefault="001D59A9" w14:paraId="6B968ACD" w14:textId="77777777">
            <w:pPr>
              <w:spacing w:after="0" w:line="240" w:lineRule="auto"/>
              <w:ind w:firstLine="400" w:firstLineChars="200"/>
              <w:rPr>
                <w:rFonts w:ascii="Calibri" w:hAnsi="Calibri" w:eastAsia="Times New Roman" w:cs="Calibri"/>
                <w:sz w:val="20"/>
                <w:szCs w:val="20"/>
                <w:lang w:val="en-US" w:eastAsia="nl-NL"/>
              </w:rPr>
            </w:pPr>
            <w:r w:rsidRPr="003C2EC8">
              <w:rPr>
                <w:rFonts w:ascii="Calibri" w:hAnsi="Calibri" w:cs="Calibri"/>
                <w:sz w:val="20"/>
                <w:szCs w:val="20"/>
                <w:lang w:val="en-US"/>
              </w:rPr>
              <w:t>Acute renal failure</w:t>
            </w:r>
          </w:p>
        </w:tc>
        <w:tc>
          <w:tcPr>
            <w:tcW w:w="1289" w:type="dxa"/>
            <w:tcBorders>
              <w:top w:val="nil"/>
              <w:left w:val="nil"/>
              <w:bottom w:val="single" w:color="auto" w:sz="4" w:space="0"/>
              <w:right w:val="single" w:color="auto" w:sz="4" w:space="0"/>
            </w:tcBorders>
            <w:shd w:val="clear" w:color="auto" w:fill="auto"/>
            <w:noWrap/>
            <w:hideMark/>
          </w:tcPr>
          <w:p w:rsidRPr="003C2EC8" w:rsidR="001D59A9" w:rsidP="00654ECF" w:rsidRDefault="001D59A9" w14:paraId="0957CD57"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cs="Calibri"/>
                <w:sz w:val="20"/>
                <w:szCs w:val="20"/>
                <w:lang w:val="en-US"/>
              </w:rPr>
              <w:t>€ 2,201</w:t>
            </w:r>
          </w:p>
        </w:tc>
        <w:tc>
          <w:tcPr>
            <w:tcW w:w="1292" w:type="dxa"/>
            <w:tcBorders>
              <w:top w:val="nil"/>
              <w:left w:val="nil"/>
              <w:bottom w:val="single" w:color="auto" w:sz="4" w:space="0"/>
              <w:right w:val="single" w:color="auto" w:sz="4" w:space="0"/>
            </w:tcBorders>
            <w:shd w:val="clear" w:color="auto" w:fill="auto"/>
            <w:noWrap/>
            <w:hideMark/>
          </w:tcPr>
          <w:p w:rsidRPr="003C2EC8" w:rsidR="001D59A9" w:rsidP="00654ECF" w:rsidRDefault="001D59A9" w14:paraId="086D479E"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cs="Calibri"/>
                <w:sz w:val="20"/>
                <w:szCs w:val="20"/>
                <w:lang w:val="en-US"/>
              </w:rPr>
              <w:t>€ 2,201</w:t>
            </w:r>
          </w:p>
        </w:tc>
        <w:tc>
          <w:tcPr>
            <w:tcW w:w="2682" w:type="dxa"/>
            <w:tcBorders>
              <w:top w:val="nil"/>
              <w:left w:val="nil"/>
              <w:bottom w:val="single" w:color="auto" w:sz="4" w:space="0"/>
              <w:right w:val="single" w:color="auto" w:sz="4" w:space="0"/>
            </w:tcBorders>
            <w:shd w:val="clear" w:color="auto" w:fill="auto"/>
            <w:vAlign w:val="bottom"/>
            <w:hideMark/>
          </w:tcPr>
          <w:p w:rsidRPr="003C2EC8" w:rsidR="001D59A9" w:rsidP="00654ECF" w:rsidRDefault="001D59A9" w14:paraId="63613709"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eastAsia="Times New Roman" w:cs="Calibri"/>
                <w:color w:val="000000" w:themeColor="text1"/>
                <w:sz w:val="20"/>
                <w:szCs w:val="20"/>
                <w:lang w:val="en-US" w:eastAsia="nl-NL"/>
              </w:rPr>
              <w:t>OpenDisData DBC code 0313-323</w:t>
            </w:r>
            <w:r w:rsidRPr="001A3193">
              <w:rPr>
                <w:rFonts w:ascii="Calibri" w:hAnsi="Calibri" w:eastAsia="Times New Roman" w:cs="Calibri"/>
                <w:color w:val="000000" w:themeColor="text1"/>
                <w:sz w:val="20"/>
                <w:szCs w:val="20"/>
                <w:lang w:val="en-US" w:eastAsia="nl-NL"/>
              </w:rPr>
              <w:fldChar w:fldCharType="begin"/>
            </w:r>
            <w:r w:rsidRPr="003C2EC8">
              <w:rPr>
                <w:rFonts w:ascii="Calibri" w:hAnsi="Calibri" w:eastAsia="Times New Roman" w:cs="Calibri"/>
                <w:color w:val="000000" w:themeColor="text1"/>
                <w:sz w:val="20"/>
                <w:szCs w:val="20"/>
                <w:lang w:val="en-US" w:eastAsia="nl-NL"/>
              </w:rPr>
              <w:instrText xml:space="preserve"> ADDIN ZOTERO_ITEM CSL_CITATION {"citationID":"5gc7NRZe","properties":{"formattedCitation":"[12]","plainCitation":"[12]","noteIndex":0},"citationItems":[{"id":763,"uris":["http://zotero.org/users/13138555/items/SRMHHDV7"],"itemData":{"id":763,"type":"webpage","title":"DIS open data","URL":"https://www.opendisdata.nl/","author":[{"family":"Nederlandse Zorgautoriteit (NZa)","given":""}],"accessed":{"date-parts":[["2024",2,26]]}}}],"schema":"https://github.com/citation-style-language/schema/raw/master/csl-citation.json"}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3C2EC8">
              <w:rPr>
                <w:rFonts w:ascii="Calibri" w:hAnsi="Calibri" w:cs="Calibri"/>
                <w:sz w:val="20"/>
                <w:lang w:val="en-US"/>
              </w:rPr>
              <w:t>[12]</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426A2823"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hideMark/>
          </w:tcPr>
          <w:p w:rsidRPr="003C2EC8" w:rsidR="001D59A9" w:rsidP="00654ECF" w:rsidRDefault="001D59A9" w14:paraId="65A00175" w14:textId="77777777">
            <w:pPr>
              <w:spacing w:after="0" w:line="240" w:lineRule="auto"/>
              <w:ind w:firstLine="400" w:firstLineChars="200"/>
              <w:rPr>
                <w:rFonts w:ascii="Calibri" w:hAnsi="Calibri" w:eastAsia="Times New Roman" w:cs="Calibri"/>
                <w:sz w:val="20"/>
                <w:szCs w:val="20"/>
                <w:lang w:val="en-US" w:eastAsia="nl-NL"/>
              </w:rPr>
            </w:pPr>
            <w:r w:rsidRPr="003C2EC8">
              <w:rPr>
                <w:rFonts w:ascii="Calibri" w:hAnsi="Calibri" w:cs="Calibri"/>
                <w:sz w:val="20"/>
                <w:szCs w:val="20"/>
                <w:lang w:val="en-US"/>
              </w:rPr>
              <w:lastRenderedPageBreak/>
              <w:t>Hepatic injury</w:t>
            </w:r>
          </w:p>
        </w:tc>
        <w:tc>
          <w:tcPr>
            <w:tcW w:w="1289" w:type="dxa"/>
            <w:tcBorders>
              <w:top w:val="nil"/>
              <w:left w:val="nil"/>
              <w:bottom w:val="single" w:color="auto" w:sz="4" w:space="0"/>
              <w:right w:val="single" w:color="auto" w:sz="4" w:space="0"/>
            </w:tcBorders>
            <w:shd w:val="clear" w:color="auto" w:fill="auto"/>
            <w:noWrap/>
            <w:hideMark/>
          </w:tcPr>
          <w:p w:rsidRPr="003C2EC8" w:rsidR="001D59A9" w:rsidP="00654ECF" w:rsidRDefault="001D59A9" w14:paraId="4664C530"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cs="Calibri"/>
                <w:sz w:val="20"/>
                <w:szCs w:val="20"/>
                <w:lang w:val="en-US"/>
              </w:rPr>
              <w:t>€ 2,886</w:t>
            </w:r>
          </w:p>
        </w:tc>
        <w:tc>
          <w:tcPr>
            <w:tcW w:w="1292" w:type="dxa"/>
            <w:tcBorders>
              <w:top w:val="nil"/>
              <w:left w:val="nil"/>
              <w:bottom w:val="single" w:color="auto" w:sz="4" w:space="0"/>
              <w:right w:val="single" w:color="auto" w:sz="4" w:space="0"/>
            </w:tcBorders>
            <w:shd w:val="clear" w:color="auto" w:fill="auto"/>
            <w:noWrap/>
            <w:hideMark/>
          </w:tcPr>
          <w:p w:rsidRPr="003C2EC8" w:rsidR="001D59A9" w:rsidP="00654ECF" w:rsidRDefault="001D59A9" w14:paraId="22ED9A8E"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cs="Calibri"/>
                <w:sz w:val="20"/>
                <w:szCs w:val="20"/>
                <w:lang w:val="en-US"/>
              </w:rPr>
              <w:t>€ 2,886</w:t>
            </w:r>
          </w:p>
        </w:tc>
        <w:tc>
          <w:tcPr>
            <w:tcW w:w="2682" w:type="dxa"/>
            <w:tcBorders>
              <w:top w:val="nil"/>
              <w:left w:val="nil"/>
              <w:bottom w:val="single" w:color="auto" w:sz="4" w:space="0"/>
              <w:right w:val="single" w:color="auto" w:sz="4" w:space="0"/>
            </w:tcBorders>
            <w:shd w:val="clear" w:color="auto" w:fill="auto"/>
            <w:vAlign w:val="bottom"/>
            <w:hideMark/>
          </w:tcPr>
          <w:p w:rsidRPr="003C2EC8" w:rsidR="001D59A9" w:rsidP="00654ECF" w:rsidRDefault="001D59A9" w14:paraId="104F0471"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eastAsia="Times New Roman" w:cs="Calibri"/>
                <w:color w:val="000000" w:themeColor="text1"/>
                <w:sz w:val="20"/>
                <w:szCs w:val="20"/>
                <w:lang w:val="en-US" w:eastAsia="nl-NL"/>
              </w:rPr>
              <w:t>OpenDisData DBC code 0318-718</w:t>
            </w:r>
            <w:r w:rsidRPr="001A3193">
              <w:rPr>
                <w:rFonts w:ascii="Calibri" w:hAnsi="Calibri" w:eastAsia="Times New Roman" w:cs="Calibri"/>
                <w:color w:val="000000" w:themeColor="text1"/>
                <w:sz w:val="20"/>
                <w:szCs w:val="20"/>
                <w:lang w:val="en-US" w:eastAsia="nl-NL"/>
              </w:rPr>
              <w:fldChar w:fldCharType="begin"/>
            </w:r>
            <w:r w:rsidRPr="003C2EC8">
              <w:rPr>
                <w:rFonts w:ascii="Calibri" w:hAnsi="Calibri" w:eastAsia="Times New Roman" w:cs="Calibri"/>
                <w:color w:val="000000" w:themeColor="text1"/>
                <w:sz w:val="20"/>
                <w:szCs w:val="20"/>
                <w:lang w:val="en-US" w:eastAsia="nl-NL"/>
              </w:rPr>
              <w:instrText xml:space="preserve"> ADDIN ZOTERO_ITEM CSL_CITATION {"citationID":"d3jh9mcU","properties":{"formattedCitation":"[12]","plainCitation":"[12]","noteIndex":0},"citationItems":[{"id":763,"uris":["http://zotero.org/users/13138555/items/SRMHHDV7"],"itemData":{"id":763,"type":"webpage","title":"DIS open data","URL":"https://www.opendisdata.nl/","author":[{"family":"Nederlandse Zorgautoriteit (NZa)","given":""}],"accessed":{"date-parts":[["2024",2,26]]}}}],"schema":"https://github.com/citation-style-language/schema/raw/master/csl-citation.json"}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3C2EC8">
              <w:rPr>
                <w:rFonts w:ascii="Calibri" w:hAnsi="Calibri" w:cs="Calibri"/>
                <w:sz w:val="20"/>
                <w:lang w:val="en-US"/>
              </w:rPr>
              <w:t>[12]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4EC23EF2"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hideMark/>
          </w:tcPr>
          <w:p w:rsidRPr="003C2EC8" w:rsidR="001D59A9" w:rsidP="00654ECF" w:rsidRDefault="001D59A9" w14:paraId="7D928C52" w14:textId="77777777">
            <w:pPr>
              <w:spacing w:after="0" w:line="240" w:lineRule="auto"/>
              <w:ind w:firstLine="400" w:firstLineChars="200"/>
              <w:rPr>
                <w:rFonts w:ascii="Calibri" w:hAnsi="Calibri" w:eastAsia="Times New Roman" w:cs="Calibri"/>
                <w:sz w:val="20"/>
                <w:szCs w:val="20"/>
                <w:lang w:val="en-US" w:eastAsia="nl-NL"/>
              </w:rPr>
            </w:pPr>
            <w:r w:rsidRPr="003C2EC8">
              <w:rPr>
                <w:rFonts w:ascii="Calibri" w:hAnsi="Calibri" w:cs="Calibri"/>
                <w:sz w:val="20"/>
                <w:szCs w:val="20"/>
                <w:lang w:val="en-US"/>
              </w:rPr>
              <w:t>Volume depletion</w:t>
            </w:r>
          </w:p>
        </w:tc>
        <w:tc>
          <w:tcPr>
            <w:tcW w:w="1289" w:type="dxa"/>
            <w:tcBorders>
              <w:top w:val="nil"/>
              <w:left w:val="nil"/>
              <w:bottom w:val="single" w:color="auto" w:sz="4" w:space="0"/>
              <w:right w:val="single" w:color="auto" w:sz="4" w:space="0"/>
            </w:tcBorders>
            <w:shd w:val="clear" w:color="auto" w:fill="auto"/>
            <w:noWrap/>
            <w:hideMark/>
          </w:tcPr>
          <w:p w:rsidRPr="003C2EC8" w:rsidR="001D59A9" w:rsidP="00654ECF" w:rsidRDefault="001D59A9" w14:paraId="7A1E1C2C"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cs="Calibri"/>
                <w:sz w:val="20"/>
                <w:szCs w:val="20"/>
                <w:lang w:val="en-US"/>
              </w:rPr>
              <w:t>€ 255</w:t>
            </w:r>
          </w:p>
        </w:tc>
        <w:tc>
          <w:tcPr>
            <w:tcW w:w="1292" w:type="dxa"/>
            <w:tcBorders>
              <w:top w:val="nil"/>
              <w:left w:val="nil"/>
              <w:bottom w:val="single" w:color="auto" w:sz="4" w:space="0"/>
              <w:right w:val="single" w:color="auto" w:sz="4" w:space="0"/>
            </w:tcBorders>
            <w:shd w:val="clear" w:color="auto" w:fill="auto"/>
            <w:noWrap/>
            <w:hideMark/>
          </w:tcPr>
          <w:p w:rsidRPr="003C2EC8" w:rsidR="001D59A9" w:rsidP="00654ECF" w:rsidRDefault="001D59A9" w14:paraId="702BC3E2" w14:textId="77777777">
            <w:pPr>
              <w:spacing w:after="0" w:line="240" w:lineRule="auto"/>
              <w:jc w:val="center"/>
              <w:rPr>
                <w:rFonts w:ascii="Calibri" w:hAnsi="Calibri" w:eastAsia="Times New Roman" w:cs="Calibri"/>
                <w:color w:val="000000"/>
                <w:sz w:val="20"/>
                <w:szCs w:val="20"/>
                <w:lang w:val="en-US" w:eastAsia="nl-NL"/>
              </w:rPr>
            </w:pPr>
            <w:r w:rsidRPr="003C2EC8">
              <w:rPr>
                <w:rFonts w:ascii="Calibri" w:hAnsi="Calibri" w:cs="Calibri"/>
                <w:sz w:val="20"/>
                <w:szCs w:val="20"/>
                <w:lang w:val="en-US"/>
              </w:rPr>
              <w:t>€ 255</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5A06B7B3" w14:textId="2922933B">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themeColor="text1"/>
                <w:sz w:val="20"/>
                <w:szCs w:val="20"/>
                <w:lang w:val="en-US" w:eastAsia="nl-NL"/>
              </w:rPr>
              <w:t>Dutch costing manual</w:t>
            </w:r>
            <w:r w:rsidRPr="001A3193">
              <w:rPr>
                <w:rFonts w:ascii="Calibri" w:hAnsi="Calibri" w:eastAsia="Times New Roman" w:cs="Calibri"/>
                <w:color w:val="000000" w:themeColor="text1"/>
                <w:sz w:val="20"/>
                <w:szCs w:val="20"/>
                <w:lang w:val="en-US" w:eastAsia="nl-NL"/>
              </w:rPr>
              <w:fldChar w:fldCharType="begin"/>
            </w:r>
            <w:r>
              <w:rPr>
                <w:rFonts w:ascii="Calibri" w:hAnsi="Calibri" w:eastAsia="Times New Roman" w:cs="Calibri"/>
                <w:color w:val="000000" w:themeColor="text1"/>
                <w:sz w:val="20"/>
                <w:szCs w:val="20"/>
                <w:lang w:val="en-US" w:eastAsia="nl-NL"/>
              </w:rPr>
              <w:instrText xml:space="preserve"> ADDIN ZOTERO_ITEM CSL_CITATION {"citationID":"stkbjIrl","properties":{"formattedCitation":"[10,11]","plainCitation":"[10,11]","noteIndex":0},"citationItems":[{"id":650,"uris":["http://zotero.org/users/13138555/items/ZECWSWVC"],"itemData":{"id":650,"type":"article-journal","abstract":"Objectives\nDutch health economic guidelines include a costing manual, which describes preferred research methodology for costing studies and reference prices to ensure high quality studies and comparability between study outcomes. This paper describes the most important revisions of the costing manual compared to the previous version.\n\nMethods\nAn online survey was sent out to potential users of the costing manual to identify topics for improvement. The costing manual was aligned with contemporary health economic guidelines. All methodology sections and parameter values needed for costing studies, particularly reference prices, were updated. An expert panel of health economists was consulted several times during the review process. The revised manual was reviewed by two members of the expert panel and by reviewers of the Dutch Health Care Institute.\n\nResults\nThe majority of survey respondents was satisfied with content and usability of the existing costing manual. Respondents recommended updating reference prices and adding some particular commonly needed reference prices. Costs categories were adjusted to the international standard: 1) costs within the health care sector; 2) patient and family costs; and 3) costs in other sectors. Reference prices were updated to reflect 2014 values. The methodology chapter was rewritten to match the requirements of the costing manual and preferences of the users. Reference prices for nursing days of specific wards, for diagnostic procedures and nurse practitioners were added.\n\nConclusions\nThe usability of the costing manual was increased and parameter values were updated. The costing manual became integrated in the new health economic guidelines.","container-title":"PLoS ONE","DOI":"10.1371/journal.pone.0187477","ISSN":"1932-6203","issue":"11","journalAbbreviation":"PLoS One","note":"PMID: 29121647\nPMCID: PMC5679627","page":"e0187477","source":"PubMed Central","title":"Update of the Dutch manual for costing studies in health care","volume":"12","author":[{"family":"Kanters","given":"Tim A."},{"family":"Bouwmans","given":"Clazien A. M."},{"family":"Linden","given":"Naomi","non-dropping-particle":"van der"},{"family":"Tan","given":"Siok Swan"},{"family":"Hakkaart-van Roijen","given":"Leona"}],"issued":{"date-parts":[["2017",11,9]]}}},{"id":312,"uris":["http://zotero.org/users/13138555/items/7P5ZQ8AX"],"itemData":{"id":312,"type":"webpage","abstract":"Steeds vaker worden afwegingen gemaakt over wat doelmatige zorg is en welke zorg vergoed zou moeten worden vanuit het basispakket. Deze afweging kan pas goed gemaakt worden als de gegevens waarop ze wordt gebaseerd aan een standaard voldoet. Daarom is deze richtlijn voor economische evaluaties tot stand gekomen. De richtlijnen bevat de volgende verdiepingsmodules:    Onzekerheid en Value of Information;  Kwaliteit van Leven;  Budget Impact Analyse; en  Kostenhandleiding.","genre":"publicatie","language":"nl-NL","license":"CC0 1.0 Universal","note":"Last Modified: 2023-08-31T11:57\npublisher: Ministerie van Volksgezondheid, Welzijn en Sport","title":"Guideline manual for perfoming economic evaluations in healthcare (2016) (Richtlijn voor het uitvoeren van economische evaluaties in de gezondheidszorg)","URL":"https://www.zorginstituutnederland.nl/publicaties/publicatie/2016/02/29/richtlijn-voor-het-uitvoeren-van-economische-evaluaties-in-de-gezondheidszorg","author":[{"family":"Zorginstituut Nederland","given":""}],"accessed":{"date-parts":[["2023",12,1]]},"issued":{"date-parts":[["2016",2,29]]}}}],"schema":"https://github.com/citation-style-language/schema/raw/master/csl-citation.json"}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D59A9">
              <w:rPr>
                <w:rFonts w:ascii="Calibri" w:hAnsi="Calibri" w:cs="Calibri"/>
                <w:sz w:val="20"/>
              </w:rPr>
              <w:t>[10,11]</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6E4E64B6"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hideMark/>
          </w:tcPr>
          <w:p w:rsidRPr="001A3193" w:rsidR="001D59A9" w:rsidP="00654ECF" w:rsidRDefault="001D59A9" w14:paraId="0CF5997E"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cs="Calibri"/>
                <w:sz w:val="20"/>
                <w:szCs w:val="20"/>
                <w:lang w:val="en-US"/>
              </w:rPr>
              <w:t>Hypotension</w:t>
            </w:r>
          </w:p>
        </w:tc>
        <w:tc>
          <w:tcPr>
            <w:tcW w:w="1289"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450E2681"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€ 397</w:t>
            </w:r>
          </w:p>
        </w:tc>
        <w:tc>
          <w:tcPr>
            <w:tcW w:w="1292"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4AE7F163"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€ 397</w:t>
            </w:r>
          </w:p>
        </w:tc>
        <w:tc>
          <w:tcPr>
            <w:tcW w:w="2682" w:type="dxa"/>
            <w:tcBorders>
              <w:top w:val="nil"/>
              <w:left w:val="nil"/>
              <w:bottom w:val="single" w:color="auto" w:sz="4" w:space="0"/>
              <w:right w:val="single" w:color="auto" w:sz="4" w:space="0"/>
            </w:tcBorders>
            <w:shd w:val="clear" w:color="auto" w:fill="auto"/>
            <w:vAlign w:val="bottom"/>
          </w:tcPr>
          <w:p w:rsidRPr="001A3193" w:rsidR="001D59A9" w:rsidP="00654ECF" w:rsidRDefault="001D59A9" w14:paraId="3F244A97" w14:textId="77777777">
            <w:pPr>
              <w:spacing w:after="0" w:line="240" w:lineRule="auto"/>
              <w:jc w:val="center"/>
              <w:rPr>
                <w:rFonts w:ascii="Calibri" w:hAnsi="Calibri" w:eastAsia="Times New Roman" w:cs="Calibri"/>
                <w:color w:val="000000"/>
                <w:sz w:val="20"/>
                <w:szCs w:val="20"/>
                <w:lang w:val="en-US" w:eastAsia="nl-NL"/>
              </w:rPr>
            </w:pPr>
            <w:proofErr w:type="spellStart"/>
            <w:r w:rsidRPr="001A3193">
              <w:rPr>
                <w:rFonts w:ascii="Calibri" w:hAnsi="Calibri" w:eastAsia="Times New Roman" w:cs="Calibri"/>
                <w:color w:val="000000" w:themeColor="text1"/>
                <w:sz w:val="20"/>
                <w:szCs w:val="20"/>
                <w:lang w:val="en-US" w:eastAsia="nl-NL"/>
              </w:rPr>
              <w:t>OpenDisData</w:t>
            </w:r>
            <w:proofErr w:type="spellEnd"/>
            <w:r w:rsidRPr="001A3193">
              <w:rPr>
                <w:rFonts w:ascii="Calibri" w:hAnsi="Calibri" w:eastAsia="Times New Roman" w:cs="Calibri"/>
                <w:color w:val="000000" w:themeColor="text1"/>
                <w:sz w:val="20"/>
                <w:szCs w:val="20"/>
                <w:lang w:val="en-US" w:eastAsia="nl-NL"/>
              </w:rPr>
              <w:t xml:space="preserve"> DBC code 0320-609</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{"citationID":"GLOmEim1","properties":{"formattedCitation":"[12]","plainCitation":"[12]","noteIndex":0},"citationItems":[{"id":763,"uris":["http://zotero.org/users/13138555/items/SRMHHDV7"],"itemData":{"id":763,"type":"webpage","title":"DIS open data","URL":"https://www.opendisdata.nl/","author":[{"family":"Nederlandse Zorgautoriteit (NZa)","given":""}],"accessed":{"date-parts":[["2024",2,26]]}}}],"schema":"https://github.com/citation-style-language/schema/raw/master/csl-citation.json"}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0100C4FD" w14:textId="77777777">
        <w:trPr>
          <w:trHeight w:val="478"/>
        </w:trPr>
        <w:tc>
          <w:tcPr>
            <w:tcW w:w="3541" w:type="dxa"/>
            <w:tcBorders>
              <w:top w:val="nil"/>
              <w:left w:val="single" w:color="auto" w:sz="4" w:space="0"/>
              <w:bottom w:val="single" w:color="auto" w:sz="4" w:space="0"/>
              <w:right w:val="single" w:color="auto" w:sz="4" w:space="0"/>
            </w:tcBorders>
            <w:shd w:val="clear" w:color="auto" w:fill="auto"/>
            <w:noWrap/>
            <w:hideMark/>
          </w:tcPr>
          <w:p w:rsidRPr="001A3193" w:rsidR="001D59A9" w:rsidP="00654ECF" w:rsidRDefault="001D59A9" w14:paraId="507A7C7F"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cs="Calibri"/>
                <w:sz w:val="20"/>
                <w:szCs w:val="20"/>
                <w:lang w:val="en-US"/>
              </w:rPr>
              <w:t>Hypoglycemic event</w:t>
            </w:r>
          </w:p>
        </w:tc>
        <w:tc>
          <w:tcPr>
            <w:tcW w:w="1289"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06070103"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€ 414</w:t>
            </w:r>
          </w:p>
        </w:tc>
        <w:tc>
          <w:tcPr>
            <w:tcW w:w="1292"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55BE80A4"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€ 414</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085A0865" w14:textId="77777777">
            <w:pPr>
              <w:spacing w:after="0" w:line="240" w:lineRule="auto"/>
              <w:jc w:val="center"/>
              <w:rPr>
                <w:rFonts w:ascii="Calibri" w:hAnsi="Calibri" w:eastAsia="Times New Roman" w:cs="Calibri"/>
                <w:color w:val="000000"/>
                <w:sz w:val="20"/>
                <w:szCs w:val="20"/>
                <w:lang w:val="en-US" w:eastAsia="nl-NL"/>
              </w:rPr>
            </w:pPr>
            <w:proofErr w:type="spellStart"/>
            <w:r w:rsidRPr="001A3193">
              <w:rPr>
                <w:rFonts w:ascii="Calibri" w:hAnsi="Calibri" w:eastAsia="Times New Roman" w:cs="Calibri"/>
                <w:color w:val="000000" w:themeColor="text1"/>
                <w:sz w:val="20"/>
                <w:szCs w:val="20"/>
                <w:lang w:val="en-US" w:eastAsia="nl-NL"/>
              </w:rPr>
              <w:t>OpenDisData</w:t>
            </w:r>
            <w:proofErr w:type="spellEnd"/>
            <w:r w:rsidRPr="001A3193">
              <w:rPr>
                <w:rFonts w:ascii="Calibri" w:hAnsi="Calibri" w:eastAsia="Times New Roman" w:cs="Calibri"/>
                <w:color w:val="000000" w:themeColor="text1"/>
                <w:sz w:val="20"/>
                <w:szCs w:val="20"/>
                <w:lang w:val="en-US" w:eastAsia="nl-NL"/>
              </w:rPr>
              <w:t xml:space="preserve"> DBC code 0313-299</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{"citationID":"z6TPV7EC","properties":{"formattedCitation":"[12]","plainCitation":"[12]","noteIndex":0},"citationItems":[{"id":763,"uris":["http://zotero.org/users/13138555/items/SRMHHDV7"],"itemData":{"id":763,"type":"webpage","title":"DIS open data","URL":"https://www.opendisdata.nl/","author":[{"family":"Nederlandse Zorgautoriteit (NZa)","given":""}],"accessed":{"date-parts":[["2024",2,26]]}}}],"schema":"https://github.com/citation-style-language/schema/raw/master/csl-citation.json"}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[12]</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5E7FDD7A"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hideMark/>
          </w:tcPr>
          <w:p w:rsidRPr="001A3193" w:rsidR="001D59A9" w:rsidP="00654ECF" w:rsidRDefault="001D59A9" w14:paraId="1591DD87"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cs="Calibri"/>
                <w:sz w:val="20"/>
                <w:szCs w:val="20"/>
                <w:lang w:val="en-US"/>
              </w:rPr>
              <w:t>Bone fracture</w:t>
            </w:r>
          </w:p>
        </w:tc>
        <w:tc>
          <w:tcPr>
            <w:tcW w:w="1289"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17EC3FB1"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€ 3,178</w:t>
            </w:r>
          </w:p>
        </w:tc>
        <w:tc>
          <w:tcPr>
            <w:tcW w:w="1292" w:type="dxa"/>
            <w:tcBorders>
              <w:top w:val="nil"/>
              <w:left w:val="nil"/>
              <w:bottom w:val="single" w:color="auto" w:sz="4" w:space="0"/>
              <w:right w:val="single" w:color="auto" w:sz="4" w:space="0"/>
            </w:tcBorders>
            <w:shd w:val="clear" w:color="auto" w:fill="auto"/>
            <w:noWrap/>
            <w:hideMark/>
          </w:tcPr>
          <w:p w:rsidRPr="001A3193" w:rsidR="001D59A9" w:rsidP="00654ECF" w:rsidRDefault="001D59A9" w14:paraId="5D541864"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cs="Calibri"/>
                <w:sz w:val="20"/>
                <w:szCs w:val="20"/>
                <w:lang w:val="en-US"/>
              </w:rPr>
              <w:t>€ 3,178</w:t>
            </w:r>
          </w:p>
        </w:tc>
        <w:tc>
          <w:tcPr>
            <w:tcW w:w="2682" w:type="dxa"/>
            <w:tcBorders>
              <w:top w:val="nil"/>
              <w:left w:val="nil"/>
              <w:bottom w:val="single" w:color="auto" w:sz="4" w:space="0"/>
              <w:right w:val="single" w:color="auto" w:sz="4" w:space="0"/>
            </w:tcBorders>
            <w:shd w:val="clear" w:color="auto" w:fill="auto"/>
            <w:vAlign w:val="bottom"/>
            <w:hideMark/>
          </w:tcPr>
          <w:p w:rsidRPr="001A3193" w:rsidR="001D59A9" w:rsidP="00654ECF" w:rsidRDefault="001D59A9" w14:paraId="7E38A787" w14:textId="77777777">
            <w:pPr>
              <w:spacing w:after="0" w:line="240" w:lineRule="auto"/>
              <w:jc w:val="center"/>
              <w:rPr>
                <w:rFonts w:ascii="Calibri" w:hAnsi="Calibri" w:eastAsia="Times New Roman" w:cs="Calibri"/>
                <w:color w:val="000000"/>
                <w:sz w:val="20"/>
                <w:szCs w:val="20"/>
                <w:lang w:eastAsia="nl-NL"/>
              </w:rPr>
            </w:pPr>
            <w:proofErr w:type="spellStart"/>
            <w:r w:rsidRPr="001A3193">
              <w:rPr>
                <w:rFonts w:ascii="Calibri" w:hAnsi="Calibri" w:eastAsia="Times New Roman" w:cs="Calibri"/>
                <w:color w:val="000000" w:themeColor="text1"/>
                <w:sz w:val="20"/>
                <w:szCs w:val="20"/>
                <w:lang w:eastAsia="nl-NL"/>
              </w:rPr>
              <w:t>Kanters</w:t>
            </w:r>
            <w:proofErr w:type="spellEnd"/>
            <w:r w:rsidRPr="001A3193">
              <w:rPr>
                <w:rFonts w:ascii="Calibri" w:hAnsi="Calibri" w:eastAsia="Times New Roman" w:cs="Calibri"/>
                <w:color w:val="000000" w:themeColor="text1"/>
                <w:sz w:val="20"/>
                <w:szCs w:val="20"/>
                <w:lang w:eastAsia="nl-NL"/>
              </w:rPr>
              <w:t xml:space="preserve"> et al.  2020</w:t>
            </w:r>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eastAsia="nl-NL"/>
              </w:rPr>
              <w:instrText xml:space="preserve"> ADDIN ZOTERO_ITEM CSL_CITATION {"citationID":"jg9mGcPv","properties":{"formattedCitation":"[13]","plainCitation":"[13]","noteIndex":0},"citationItems":[{"id":343,"uris":["http://zotero.org/users/13138555/items/MVJHQLHT"],"itemData":{"id":343,"type":"article-journal","abstract":"Patients with hip fractures experience reduced health-related quality of life and have a reduced life expectancy. Patients' utilization of healthcare leads to costs to society. The results of the study can be used in future economic evaluations of treatments for hip fractures.\nPURPOSE: Hip fractures are associated with high mortality, reduced quality of life, and increased healthcare utilization, leading to an economic burden to society. The purpose of this study is to determine the burden of illness of hip fractures in elderly Dutch patients for specific time periods after surgery.\nMETHODS: Patients with a hip fracture above the age of 65 were included in the study. In the 1-year period after surgery, patients were asked to complete a set of questionnaires pre-injury (retrospectively), and 1 week, 1 month, 3 months, 6 months and 12 months after surgery. The set of questionnaires included the Euroqol 5D (EQ-5D-3L), the iMTA Medical Consumption Questionnaire (iMCQ) and iMTA Productivity Cost Questionnaire (iPCQ). Health-related quality of life was calculated using Dutch tariffs. Costs were calculated using the methodology described in the Dutch costing manual.\nRESULTS: Approximately 20% of patients with a hip fracture died within 1 year. Health-related quality of life was significantly reduced compared to pre-injury values, and patients did not recover to their pre-injury values within 1 year. Total costs in the first year after injury were €27,573, of which 10% were due to costs of the procedure (€2706). Total follow-up costs (€24,876) were predominantly consisting of healthcare costs. Monthly costs decreased over time.\nCONCLUSIONS: Hip fractures lead to a burden to patients, resulting from mortality and health-related quality of life reductions, and to society, due to (healthcare) costs. The results of this study can be used in future economic evaluations.","container-title":"Archives of Osteoporosis","DOI":"10.1007/s11657-019-0678-y","ISSN":"1862-3514","issue":"1","journalAbbreviation":"Arch Osteoporos","language":"eng","note":"PMID: 31897865\nPMCID: PMC6940317","page":"11","source":"PubMed","title":"Burden of illness of hip fractures in elderly Dutch patients","volume":"15","author":[{"family":"Kanters","given":"T. A."},{"family":"Ree","given":"C. L. P.","non-dropping-particle":"van de"},{"family":"Jongh","given":"M. a. C.","non-dropping-particle":"de"},{"family":"Gosens","given":"T."},{"family":"Hakkaart-van Roijen","given":"L."}],"issued":{"date-parts":[["2020",1,3]]}}}],"schema":"https://github.com/citation-style-language/schema/raw/master/csl-citation.json"}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[13]</w:t>
            </w:r>
            <w:r w:rsidRPr="001A3193">
              <w:rPr>
                <w:rFonts w:ascii="Calibri" w:hAnsi="Calibri" w:eastAsia="Times New Roman" w:cs="Calibri"/>
                <w:color w:val="000000" w:themeColor="text1"/>
                <w:sz w:val="20"/>
                <w:szCs w:val="20"/>
                <w:lang w:val="en-US" w:eastAsia="nl-NL"/>
              </w:rPr>
              <w:fldChar w:fldCharType="end"/>
            </w:r>
          </w:p>
        </w:tc>
      </w:tr>
      <w:tr w:rsidRPr="003C2EC8" w:rsidR="001D59A9" w:rsidTr="00654ECF" w14:paraId="131531E0" w14:textId="77777777">
        <w:trPr>
          <w:trHeight w:val="238"/>
        </w:trPr>
        <w:tc>
          <w:tcPr>
            <w:tcW w:w="8804" w:type="dxa"/>
            <w:gridSpan w:val="4"/>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1A3193" w:rsidR="001D59A9" w:rsidP="00654ECF" w:rsidRDefault="001D59A9" w14:paraId="6A607FD6" w14:textId="77777777">
            <w:pPr>
              <w:spacing w:after="0" w:line="240" w:lineRule="auto"/>
              <w:rPr>
                <w:rFonts w:ascii="Calibri" w:hAnsi="Calibri" w:eastAsia="Times New Roman" w:cs="Calibri"/>
                <w:b/>
                <w:bCs/>
                <w:sz w:val="20"/>
                <w:szCs w:val="20"/>
                <w:lang w:val="en-US" w:eastAsia="nl-NL"/>
              </w:rPr>
            </w:pPr>
            <w:r w:rsidRPr="001A3193">
              <w:rPr>
                <w:rFonts w:ascii="Calibri" w:hAnsi="Calibri" w:eastAsia="Times New Roman" w:cs="Calibri"/>
                <w:b/>
                <w:bCs/>
                <w:sz w:val="20"/>
                <w:szCs w:val="20"/>
                <w:lang w:val="en-US" w:eastAsia="nl-NL"/>
              </w:rPr>
              <w:t>Informal care costs (per month)</w:t>
            </w:r>
          </w:p>
        </w:tc>
      </w:tr>
      <w:tr w:rsidRPr="001A3193" w:rsidR="001D59A9" w:rsidTr="00654ECF" w14:paraId="70FAF9E1"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2F271EE4"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HF hospitalization</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AD8D35E"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€ 553</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3B317C04"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€ 553</w:t>
            </w:r>
          </w:p>
        </w:tc>
        <w:tc>
          <w:tcPr>
            <w:tcW w:w="2682"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1A3193" w:rsidR="001D59A9" w:rsidP="00654ECF" w:rsidRDefault="001D59A9" w14:paraId="746F6823" w14:textId="77777777">
            <w:pPr>
              <w:spacing w:after="0" w:line="240" w:lineRule="auto"/>
              <w:jc w:val="center"/>
              <w:rPr>
                <w:rFonts w:ascii="Calibri" w:hAnsi="Calibri" w:eastAsia="Times New Roman" w:cs="Calibri"/>
                <w:color w:val="000000"/>
                <w:sz w:val="20"/>
                <w:szCs w:val="20"/>
                <w:lang w:val="en-US" w:eastAsia="nl-NL"/>
              </w:rPr>
            </w:pPr>
            <w:proofErr w:type="spellStart"/>
            <w:r w:rsidRPr="001A3193">
              <w:rPr>
                <w:rFonts w:ascii="Calibri" w:hAnsi="Calibri" w:eastAsia="Times New Roman" w:cs="Calibri"/>
                <w:color w:val="000000" w:themeColor="text1"/>
                <w:sz w:val="20"/>
                <w:szCs w:val="20"/>
                <w:lang w:val="en-US" w:eastAsia="nl-NL"/>
              </w:rPr>
              <w:t>Zorginstituut</w:t>
            </w:r>
            <w:proofErr w:type="spellEnd"/>
            <w:r w:rsidRPr="001A3193">
              <w:rPr>
                <w:rFonts w:ascii="Calibri" w:hAnsi="Calibri" w:eastAsia="Times New Roman" w:cs="Calibri"/>
                <w:color w:val="000000" w:themeColor="text1"/>
                <w:sz w:val="20"/>
                <w:szCs w:val="20"/>
                <w:lang w:val="en-US" w:eastAsia="nl-NL"/>
              </w:rPr>
              <w:fldChar w:fldCharType="begin"/>
            </w:r>
            <w:r w:rsidRPr="001A3193">
              <w:rPr>
                <w:rFonts w:ascii="Calibri" w:hAnsi="Calibri" w:eastAsia="Times New Roman" w:cs="Calibri"/>
                <w:color w:val="000000" w:themeColor="text1"/>
                <w:sz w:val="20"/>
                <w:szCs w:val="20"/>
                <w:lang w:val="en-US" w:eastAsia="nl-NL"/>
              </w:rPr>
              <w:instrText xml:space="preserve"> ADDIN ZOTERO_ITEM CSL_CITATION {"citationID":"EslPg1eo","properties":{"formattedCitation":"[6]","plainCitation":"[6]","noteIndex":0},"citationItems":[{"id":2422,"uris":["http://zotero.org/users/13138555/items/KYEQD5CV"],"itemData":{"id":2422,"type":"webpage","abstract":"Zorginstituut Nederland heeft beoordeeld of de indicatie voor het middel dapagliflozine (Forxiga®) kan worden uitgebreid. Dapagliflozine (Forxiga®)  is al opgenomen in het Geneesmiddelenvergoedingssysteem met als vergoedingsvoorwaarde (bijlage 2) dat het middel wordt gebruikt bij de behandeling van een specifieke groep patiënten met diabetes mellitus type 2. De fabrikant vraagt nu om vergoeding van het middel voor de behandeling van volwassenen met symptomatisch chronisch hartfalen met verminderde ejectiefractie. Het Zorginstituut adviseert de bijlage 2-voorwaarden uit te breiden en de gevraagde indicatie daarin op te nemen.","genre":"rapport","language":"nl-NL","license":"CC0 1.0 Universal","note":"Last Modified: 2022-04-08T10:28\npublisher: Ministerie van Volksgezondheid, Welzijn en Sport","title":"Dutch reimbursement dossier of dapagliflozin for the treatment of heart failure","URL":"https://www.zorginstituutnederland.nl/publicaties/adviezen/2021/05/12/gvs-advies-uitbreiding-bijlage-2-voorwaarden-voor-dapagliflozine-forxiga","author":[{"family":"Zorginstituut Nederland","given":"Welzijn en Sport"}],"accessed":{"date-parts":[["2024",4,22]]},"issued":{"date-parts":[["2021",5,12]]}}}],"schema":"https://github.com/citation-style-language/schema/raw/master/csl-citation.json"} </w:instrText>
            </w:r>
            <w:r w:rsidRPr="001A3193">
              <w:rPr>
                <w:rFonts w:ascii="Calibri" w:hAnsi="Calibri" w:eastAsia="Times New Roman" w:cs="Calibri"/>
                <w:color w:val="000000" w:themeColor="text1"/>
                <w:sz w:val="20"/>
                <w:szCs w:val="20"/>
                <w:lang w:val="en-US" w:eastAsia="nl-NL"/>
              </w:rPr>
              <w:fldChar w:fldCharType="separate"/>
            </w:r>
            <w:r w:rsidRPr="001A3193">
              <w:rPr>
                <w:rFonts w:ascii="Calibri" w:hAnsi="Calibri" w:cs="Calibri"/>
                <w:sz w:val="20"/>
              </w:rPr>
              <w:t>[6]</w:t>
            </w:r>
            <w:r w:rsidRPr="001A3193">
              <w:rPr>
                <w:rFonts w:ascii="Calibri" w:hAnsi="Calibri" w:eastAsia="Times New Roman" w:cs="Calibri"/>
                <w:color w:val="000000" w:themeColor="text1"/>
                <w:sz w:val="20"/>
                <w:szCs w:val="20"/>
                <w:lang w:val="en-US" w:eastAsia="nl-NL"/>
              </w:rPr>
              <w:fldChar w:fldCharType="end"/>
            </w:r>
          </w:p>
        </w:tc>
      </w:tr>
      <w:tr w:rsidRPr="001A3193" w:rsidR="001D59A9" w:rsidTr="00654ECF" w14:paraId="01FB9E6B"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67510D9E"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B84615B"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€ 155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1097BCAC"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€ 155</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282DD971"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697B219A"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2CF92499"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6CFDBE20"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€ 155</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D73B979"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€ 155</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3B9F4DDE"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4B73C819"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33C4F6A0"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III</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26361E43"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€ 432</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0533A46B"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€ 432</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29375991" w14:textId="77777777">
            <w:pPr>
              <w:spacing w:after="0" w:line="240" w:lineRule="auto"/>
              <w:rPr>
                <w:rFonts w:ascii="Calibri" w:hAnsi="Calibri" w:eastAsia="Times New Roman" w:cs="Calibri"/>
                <w:color w:val="000000"/>
                <w:sz w:val="20"/>
                <w:szCs w:val="20"/>
                <w:lang w:val="en-US" w:eastAsia="nl-NL"/>
              </w:rPr>
            </w:pPr>
          </w:p>
        </w:tc>
      </w:tr>
      <w:tr w:rsidRPr="001A3193" w:rsidR="001D59A9" w:rsidTr="00654ECF" w14:paraId="70B783EF" w14:textId="77777777">
        <w:trPr>
          <w:trHeight w:val="238"/>
        </w:trPr>
        <w:tc>
          <w:tcPr>
            <w:tcW w:w="3541" w:type="dxa"/>
            <w:tcBorders>
              <w:top w:val="nil"/>
              <w:left w:val="single" w:color="auto" w:sz="4" w:space="0"/>
              <w:bottom w:val="single" w:color="auto" w:sz="4" w:space="0"/>
              <w:right w:val="single" w:color="auto" w:sz="4" w:space="0"/>
            </w:tcBorders>
            <w:shd w:val="clear" w:color="auto" w:fill="auto"/>
            <w:noWrap/>
            <w:vAlign w:val="bottom"/>
            <w:hideMark/>
          </w:tcPr>
          <w:p w:rsidRPr="001A3193" w:rsidR="001D59A9" w:rsidP="00654ECF" w:rsidRDefault="001D59A9" w14:paraId="33D0384E" w14:textId="77777777">
            <w:pPr>
              <w:spacing w:after="0" w:line="240" w:lineRule="auto"/>
              <w:ind w:firstLine="400" w:firstLineChars="200"/>
              <w:rPr>
                <w:rFonts w:ascii="Calibri" w:hAnsi="Calibri" w:eastAsia="Times New Roman" w:cs="Calibri"/>
                <w:sz w:val="20"/>
                <w:szCs w:val="20"/>
                <w:lang w:val="en-US" w:eastAsia="nl-NL"/>
              </w:rPr>
            </w:pPr>
            <w:r w:rsidRPr="001A3193">
              <w:rPr>
                <w:rFonts w:ascii="Calibri" w:hAnsi="Calibri" w:eastAsia="Times New Roman" w:cs="Calibri"/>
                <w:sz w:val="20"/>
                <w:szCs w:val="20"/>
                <w:lang w:val="en-US" w:eastAsia="nl-NL"/>
              </w:rPr>
              <w:t>NYHA IV</w:t>
            </w:r>
          </w:p>
        </w:tc>
        <w:tc>
          <w:tcPr>
            <w:tcW w:w="1289"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560CDE47"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€ 777</w:t>
            </w:r>
          </w:p>
        </w:tc>
        <w:tc>
          <w:tcPr>
            <w:tcW w:w="1292" w:type="dxa"/>
            <w:tcBorders>
              <w:top w:val="nil"/>
              <w:left w:val="nil"/>
              <w:bottom w:val="single" w:color="auto" w:sz="4" w:space="0"/>
              <w:right w:val="single" w:color="auto" w:sz="4" w:space="0"/>
            </w:tcBorders>
            <w:shd w:val="clear" w:color="auto" w:fill="auto"/>
            <w:noWrap/>
            <w:vAlign w:val="bottom"/>
            <w:hideMark/>
          </w:tcPr>
          <w:p w:rsidRPr="001A3193" w:rsidR="001D59A9" w:rsidP="00654ECF" w:rsidRDefault="001D59A9" w14:paraId="46B830BF" w14:textId="77777777">
            <w:pPr>
              <w:spacing w:after="0" w:line="240" w:lineRule="auto"/>
              <w:jc w:val="center"/>
              <w:rPr>
                <w:rFonts w:ascii="Calibri" w:hAnsi="Calibri" w:eastAsia="Times New Roman" w:cs="Calibri"/>
                <w:color w:val="000000"/>
                <w:sz w:val="20"/>
                <w:szCs w:val="20"/>
                <w:lang w:val="en-US" w:eastAsia="nl-NL"/>
              </w:rPr>
            </w:pPr>
            <w:r w:rsidRPr="001A3193">
              <w:rPr>
                <w:rFonts w:ascii="Calibri" w:hAnsi="Calibri" w:eastAsia="Times New Roman" w:cs="Calibri"/>
                <w:color w:val="000000"/>
                <w:sz w:val="20"/>
                <w:szCs w:val="20"/>
                <w:lang w:val="en-US" w:eastAsia="nl-NL"/>
              </w:rPr>
              <w:t>€ 777</w:t>
            </w:r>
          </w:p>
        </w:tc>
        <w:tc>
          <w:tcPr>
            <w:tcW w:w="2682" w:type="dxa"/>
            <w:vMerge/>
            <w:tcBorders>
              <w:top w:val="nil"/>
              <w:left w:val="single" w:color="auto" w:sz="4" w:space="0"/>
              <w:bottom w:val="single" w:color="auto" w:sz="4" w:space="0"/>
              <w:right w:val="single" w:color="auto" w:sz="4" w:space="0"/>
            </w:tcBorders>
            <w:vAlign w:val="center"/>
            <w:hideMark/>
          </w:tcPr>
          <w:p w:rsidRPr="001A3193" w:rsidR="001D59A9" w:rsidP="00654ECF" w:rsidRDefault="001D59A9" w14:paraId="2332D8E5" w14:textId="77777777">
            <w:pPr>
              <w:spacing w:after="0" w:line="240" w:lineRule="auto"/>
              <w:rPr>
                <w:rFonts w:ascii="Calibri" w:hAnsi="Calibri" w:eastAsia="Times New Roman" w:cs="Calibri"/>
                <w:color w:val="000000"/>
                <w:sz w:val="20"/>
                <w:szCs w:val="20"/>
                <w:lang w:val="en-US" w:eastAsia="nl-NL"/>
              </w:rPr>
            </w:pPr>
          </w:p>
        </w:tc>
      </w:tr>
    </w:tbl>
    <w:p w:rsidRPr="009A18C8" w:rsidR="001D59A9" w:rsidP="001D59A9" w:rsidRDefault="001D59A9" w14:paraId="4B4D513F" w14:textId="77777777">
      <w:pPr>
        <w:jc w:val="both"/>
        <w:rPr>
          <w:sz w:val="16"/>
          <w:szCs w:val="16"/>
          <w:lang w:val="en-US"/>
        </w:rPr>
      </w:pPr>
      <w:r w:rsidRPr="009A18C8">
        <w:rPr>
          <w:sz w:val="18"/>
          <w:szCs w:val="18"/>
          <w:lang w:val="en-US"/>
        </w:rPr>
        <w:t xml:space="preserve">Abbreviations: </w:t>
      </w:r>
      <w:proofErr w:type="spellStart"/>
      <w:r w:rsidRPr="009A18C8">
        <w:rPr>
          <w:sz w:val="18"/>
          <w:szCs w:val="18"/>
          <w:lang w:val="en-US"/>
        </w:rPr>
        <w:t>ACEi</w:t>
      </w:r>
      <w:proofErr w:type="spellEnd"/>
      <w:r w:rsidRPr="009A18C8">
        <w:rPr>
          <w:sz w:val="18"/>
          <w:szCs w:val="18"/>
          <w:lang w:val="en-US"/>
        </w:rPr>
        <w:t xml:space="preserve"> = angiotensin-converting enzyme inhibitor, ARB = angiotensin receptor blocker, ARNi = angiotensin receptor-neprilysin inhibitor, GMI = genital mycotic infection, SoC = standard of care, GP = general practitioner, HF hospitalization = hospitalization due to heart failure, </w:t>
      </w:r>
      <w:proofErr w:type="spellStart"/>
      <w:r w:rsidRPr="009A18C8">
        <w:rPr>
          <w:sz w:val="18"/>
          <w:szCs w:val="18"/>
          <w:lang w:val="en-US"/>
        </w:rPr>
        <w:t>HFmrEF</w:t>
      </w:r>
      <w:proofErr w:type="spellEnd"/>
      <w:r w:rsidRPr="009A18C8">
        <w:rPr>
          <w:sz w:val="18"/>
          <w:szCs w:val="18"/>
          <w:lang w:val="en-US"/>
        </w:rPr>
        <w:t xml:space="preserve"> = heart failure with mildly reduced ejection fraction</w:t>
      </w:r>
      <w:r>
        <w:rPr>
          <w:sz w:val="18"/>
          <w:szCs w:val="18"/>
          <w:lang w:val="en-US"/>
        </w:rPr>
        <w:t xml:space="preserve">, </w:t>
      </w:r>
      <w:proofErr w:type="spellStart"/>
      <w:r w:rsidRPr="009A18C8">
        <w:rPr>
          <w:sz w:val="18"/>
          <w:szCs w:val="18"/>
          <w:lang w:val="en-US"/>
        </w:rPr>
        <w:t>HFpEF</w:t>
      </w:r>
      <w:proofErr w:type="spellEnd"/>
      <w:r w:rsidRPr="009A18C8">
        <w:rPr>
          <w:sz w:val="18"/>
          <w:szCs w:val="18"/>
          <w:lang w:val="en-US"/>
        </w:rPr>
        <w:t xml:space="preserve"> = heart failure with preserved ejection fraction, </w:t>
      </w:r>
      <w:proofErr w:type="spellStart"/>
      <w:r w:rsidRPr="009A18C8">
        <w:rPr>
          <w:sz w:val="18"/>
          <w:szCs w:val="18"/>
          <w:lang w:val="en-US"/>
        </w:rPr>
        <w:t>HFrEF</w:t>
      </w:r>
      <w:proofErr w:type="spellEnd"/>
      <w:r w:rsidRPr="009A18C8">
        <w:rPr>
          <w:sz w:val="18"/>
          <w:szCs w:val="18"/>
          <w:lang w:val="en-US"/>
        </w:rPr>
        <w:t xml:space="preserve"> = heart failure with reduced ejection fraction, MRA = mineralocorticoid receptor antagonist,</w:t>
      </w:r>
      <w:r>
        <w:rPr>
          <w:sz w:val="18"/>
          <w:szCs w:val="18"/>
          <w:lang w:val="en-US"/>
        </w:rPr>
        <w:t xml:space="preserve"> </w:t>
      </w:r>
      <w:r w:rsidRPr="009A18C8">
        <w:rPr>
          <w:sz w:val="18"/>
          <w:szCs w:val="18"/>
          <w:lang w:val="en-US"/>
        </w:rPr>
        <w:t>NYHA = New York Heart Association, SE = standard error, UTI = urinary tract infection.</w:t>
      </w:r>
      <w:r w:rsidRPr="009A18C8">
        <w:rPr>
          <w:sz w:val="16"/>
          <w:szCs w:val="16"/>
          <w:lang w:val="en-US"/>
        </w:rPr>
        <w:t xml:space="preserve"> </w:t>
      </w:r>
    </w:p>
    <w:p w:rsidR="001D59A9" w:rsidRDefault="001D59A9" w14:paraId="6B92ED3B" w14:textId="5D61E823">
      <w:pPr>
        <w:rPr>
          <w:lang w:val="en-US"/>
        </w:rPr>
      </w:pPr>
      <w:r>
        <w:rPr>
          <w:lang w:val="en-US"/>
        </w:rPr>
        <w:br w:type="page"/>
      </w:r>
    </w:p>
    <w:p w:rsidRPr="001D59A9" w:rsidR="00313CE8" w:rsidP="001D59A9" w:rsidRDefault="001D59A9" w14:paraId="10135D2F" w14:textId="12B12F04">
      <w:pPr>
        <w:pStyle w:val="Kop3"/>
        <w:rPr>
          <w:b/>
          <w:bCs/>
          <w:lang w:val="en-US"/>
        </w:rPr>
      </w:pPr>
      <w:r w:rsidRPr="001D59A9">
        <w:rPr>
          <w:b/>
          <w:bCs/>
          <w:lang w:val="en-US"/>
        </w:rPr>
        <w:lastRenderedPageBreak/>
        <w:t>References</w:t>
      </w:r>
    </w:p>
    <w:p w:rsidRPr="001D59A9" w:rsidR="001D59A9" w:rsidP="001D59A9" w:rsidRDefault="001D59A9" w14:paraId="41B28C3B" w14:textId="77777777">
      <w:pPr>
        <w:pStyle w:val="Bibliografie"/>
        <w:rPr>
          <w:rFonts w:ascii="Aptos" w:hAnsi="Aptos"/>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1D59A9">
        <w:rPr>
          <w:rFonts w:ascii="Aptos" w:hAnsi="Aptos"/>
          <w:lang w:val="en-US"/>
        </w:rPr>
        <w:t xml:space="preserve">1. Packer M, Anker SD, Butler J, Filippatos G, Pocock SJ, Carson P, et al. Cardiovascular and Renal Outcomes with Empagliflozin in Heart Failure. N Engl J Med. 2020;383:1413–24. </w:t>
      </w:r>
    </w:p>
    <w:p w:rsidRPr="001D59A9" w:rsidR="001D59A9" w:rsidP="001D59A9" w:rsidRDefault="001D59A9" w14:paraId="79BA7943" w14:textId="77777777">
      <w:pPr>
        <w:pStyle w:val="Bibliografie"/>
        <w:rPr>
          <w:rFonts w:ascii="Aptos" w:hAnsi="Aptos"/>
          <w:lang w:val="en-US"/>
        </w:rPr>
      </w:pPr>
      <w:r w:rsidRPr="001D59A9">
        <w:rPr>
          <w:rFonts w:ascii="Aptos" w:hAnsi="Aptos"/>
          <w:lang w:val="en-US"/>
        </w:rPr>
        <w:t xml:space="preserve">2. Anker SD, Butler J, Filippatos G, Ferreira JP, Bocchi E, Böhm M, et al. Empagliflozin in Heart Failure with a Preserved Ejection Fraction. N Engl J Med. 2021;385:1451–61. </w:t>
      </w:r>
    </w:p>
    <w:p w:rsidRPr="001D59A9" w:rsidR="001D59A9" w:rsidP="001D59A9" w:rsidRDefault="001D59A9" w14:paraId="01CB0AA3" w14:textId="77777777">
      <w:pPr>
        <w:pStyle w:val="Bibliografie"/>
        <w:rPr>
          <w:rFonts w:ascii="Aptos" w:hAnsi="Aptos"/>
          <w:lang w:val="en-US"/>
        </w:rPr>
      </w:pPr>
      <w:r w:rsidRPr="001D59A9">
        <w:rPr>
          <w:rFonts w:ascii="Aptos" w:hAnsi="Aptos"/>
          <w:lang w:val="en-US"/>
        </w:rPr>
        <w:t xml:space="preserve">3. Sullivan PW, Ghushchyan VH. EQ-5D Scores for Diabetes-Related Comorbidities. Value Health J Int Soc Pharmacoeconomics Outcomes Res. 2016;19:1002–8. </w:t>
      </w:r>
    </w:p>
    <w:p w:rsidRPr="001D59A9" w:rsidR="001D59A9" w:rsidP="001D59A9" w:rsidRDefault="001D59A9" w14:paraId="6563B61A" w14:textId="77777777">
      <w:pPr>
        <w:pStyle w:val="Bibliografie"/>
        <w:rPr>
          <w:rFonts w:ascii="Aptos" w:hAnsi="Aptos"/>
          <w:lang w:val="en-US"/>
        </w:rPr>
      </w:pPr>
      <w:r w:rsidRPr="001D59A9">
        <w:rPr>
          <w:rFonts w:ascii="Aptos" w:hAnsi="Aptos"/>
          <w:lang w:val="en-US"/>
        </w:rPr>
        <w:t xml:space="preserve">4. Peasgood T, Brennan A, Mansell P, Elliott J, Basarir H, Kruger J. The Impact of Diabetes-Related Complications on Preference-Based Measures of Health-Related Quality of Life in Adults with Type I Diabetes. Med Decis Mak Int J Soc Med Decis Mak. 2016;36:1020–33. </w:t>
      </w:r>
    </w:p>
    <w:p w:rsidRPr="001D59A9" w:rsidR="001D59A9" w:rsidP="001D59A9" w:rsidRDefault="001D59A9" w14:paraId="3D4DE7B4" w14:textId="77777777">
      <w:pPr>
        <w:pStyle w:val="Bibliografie"/>
        <w:rPr>
          <w:rFonts w:ascii="Aptos" w:hAnsi="Aptos"/>
          <w:lang w:val="en-US"/>
        </w:rPr>
      </w:pPr>
      <w:r w:rsidRPr="001D59A9">
        <w:rPr>
          <w:rFonts w:ascii="Aptos" w:hAnsi="Aptos"/>
          <w:lang w:val="en-US"/>
        </w:rPr>
        <w:t>5. G-Standaard — Z-Index [Internet]. [cited 2024 Mar 1]. Available from: https://www.z-index.nl/g-standaard</w:t>
      </w:r>
    </w:p>
    <w:p w:rsidRPr="001D59A9" w:rsidR="001D59A9" w:rsidP="001D59A9" w:rsidRDefault="001D59A9" w14:paraId="70BEB037" w14:textId="77777777">
      <w:pPr>
        <w:pStyle w:val="Bibliografie"/>
        <w:rPr>
          <w:rFonts w:ascii="Aptos" w:hAnsi="Aptos"/>
        </w:rPr>
      </w:pPr>
      <w:r w:rsidRPr="001D59A9">
        <w:rPr>
          <w:rFonts w:ascii="Aptos" w:hAnsi="Aptos"/>
          <w:lang w:val="en-US"/>
        </w:rPr>
        <w:t xml:space="preserve">6. Zorginstituut Nederland W en S. Dutch reimbursement dossier of dapagliflozin for the treatment of heart failure [Internet]. </w:t>
      </w:r>
      <w:r w:rsidRPr="001D59A9">
        <w:rPr>
          <w:rFonts w:ascii="Aptos" w:hAnsi="Aptos"/>
        </w:rPr>
        <w:t>Ministerie van Volksgezondheid, Welzijn en Sport; 2021 [cited 2024 Apr 22]. Available from: https://www.zorginstituutnederland.nl/publicaties/adviezen/2021/05/12/gvs-advies-uitbreiding-bijlage-2-voorwaarden-voor-dapagliflozine-forxiga</w:t>
      </w:r>
    </w:p>
    <w:p w:rsidRPr="001D59A9" w:rsidR="001D59A9" w:rsidP="001D59A9" w:rsidRDefault="001D59A9" w14:paraId="5E7B274A" w14:textId="77777777">
      <w:pPr>
        <w:pStyle w:val="Bibliografie"/>
        <w:rPr>
          <w:rFonts w:ascii="Aptos" w:hAnsi="Aptos"/>
          <w:lang w:val="en-US"/>
        </w:rPr>
      </w:pPr>
      <w:r w:rsidRPr="001D59A9">
        <w:rPr>
          <w:rFonts w:ascii="Aptos" w:hAnsi="Aptos"/>
        </w:rPr>
        <w:t xml:space="preserve">7. Soekhlal RR, Burgers LT, Redekop WK, Tan SS. </w:t>
      </w:r>
      <w:r w:rsidRPr="001D59A9">
        <w:rPr>
          <w:rFonts w:ascii="Aptos" w:hAnsi="Aptos"/>
          <w:lang w:val="en-US"/>
        </w:rPr>
        <w:t xml:space="preserve">Treatment costs of acute myocardial infarction in the Netherlands. Neth Heart J. 2013;21:230–5. </w:t>
      </w:r>
    </w:p>
    <w:p w:rsidRPr="001D59A9" w:rsidR="001D59A9" w:rsidP="001D59A9" w:rsidRDefault="001D59A9" w14:paraId="359F1EB8" w14:textId="77777777">
      <w:pPr>
        <w:pStyle w:val="Bibliografie"/>
        <w:rPr>
          <w:rFonts w:ascii="Aptos" w:hAnsi="Aptos"/>
          <w:lang w:val="en-US"/>
        </w:rPr>
      </w:pPr>
      <w:r w:rsidRPr="001D59A9">
        <w:rPr>
          <w:rFonts w:ascii="Aptos" w:hAnsi="Aptos"/>
          <w:lang w:val="en-US"/>
        </w:rPr>
        <w:t xml:space="preserve">8. Grustam AS, Severens JL, De Massari D, Buyukkaramikli N, Koymans R, Vrijhoef HJM. Cost-Effectiveness Analysis in Telehealth: A Comparison between Home Telemonitoring, Nurse Telephone Support, and Usual Care in Chronic Heart Failure Management. Value Health. 2018;21:772–82. </w:t>
      </w:r>
    </w:p>
    <w:p w:rsidRPr="001D59A9" w:rsidR="001D59A9" w:rsidP="001D59A9" w:rsidRDefault="001D59A9" w14:paraId="346A54B5" w14:textId="77777777">
      <w:pPr>
        <w:pStyle w:val="Bibliografie"/>
        <w:rPr>
          <w:rFonts w:ascii="Aptos" w:hAnsi="Aptos"/>
          <w:lang w:val="en-US"/>
        </w:rPr>
      </w:pPr>
      <w:r w:rsidRPr="001D59A9">
        <w:rPr>
          <w:rFonts w:ascii="Aptos" w:hAnsi="Aptos"/>
          <w:lang w:val="en-US"/>
        </w:rPr>
        <w:t xml:space="preserve">9. Bosmans JE, Coupé VMH, Knottnerus BJ, Geerlings SE, Moll van Charante EP, ter Riet G. Cost-effectiveness of different strategies for diagnosis of uncomplicated urinary tract infections in women presenting in primary care. PLoS ONE. 2017;12:e0188818. </w:t>
      </w:r>
    </w:p>
    <w:p w:rsidRPr="001D59A9" w:rsidR="001D59A9" w:rsidP="001D59A9" w:rsidRDefault="001D59A9" w14:paraId="6E4071C0" w14:textId="77777777">
      <w:pPr>
        <w:pStyle w:val="Bibliografie"/>
        <w:rPr>
          <w:rFonts w:ascii="Aptos" w:hAnsi="Aptos"/>
        </w:rPr>
      </w:pPr>
      <w:r w:rsidRPr="001D59A9">
        <w:rPr>
          <w:rFonts w:ascii="Aptos" w:hAnsi="Aptos"/>
          <w:lang w:val="en-US"/>
        </w:rPr>
        <w:t xml:space="preserve">10. Kanters TA, Bouwmans CAM, van der Linden N, Tan SS, Hakkaart-van Roijen L. Update of the Dutch manual for costing studies in health care. </w:t>
      </w:r>
      <w:r w:rsidRPr="001D59A9">
        <w:rPr>
          <w:rFonts w:ascii="Aptos" w:hAnsi="Aptos"/>
        </w:rPr>
        <w:t xml:space="preserve">PLoS ONE. 2017;12:e0187477. </w:t>
      </w:r>
    </w:p>
    <w:p w:rsidRPr="001D59A9" w:rsidR="001D59A9" w:rsidP="001D59A9" w:rsidRDefault="001D59A9" w14:paraId="3958D653" w14:textId="77777777">
      <w:pPr>
        <w:pStyle w:val="Bibliografie"/>
        <w:rPr>
          <w:rFonts w:ascii="Aptos" w:hAnsi="Aptos"/>
        </w:rPr>
      </w:pPr>
      <w:r w:rsidRPr="001D59A9">
        <w:rPr>
          <w:rFonts w:ascii="Aptos" w:hAnsi="Aptos"/>
        </w:rPr>
        <w:t>11. Zorginstituut Nederland. Guideline manual for perfoming economic evaluations in healthcare (2016) (Richtlijn voor het uitvoeren van economische evaluaties in de gezondheidszorg) [Internet]. Ministerie van Volksgezondheid, Welzijn en Sport; 2016 [cited 2023 Dec 1]. Available from: https://www.zorginstituutnederland.nl/publicaties/publicatie/2016/02/29/richtlijn-voor-het-uitvoeren-van-economische-evaluaties-in-de-gezondheidszorg</w:t>
      </w:r>
    </w:p>
    <w:p w:rsidRPr="001D59A9" w:rsidR="001D59A9" w:rsidP="001D59A9" w:rsidRDefault="001D59A9" w14:paraId="2023067F" w14:textId="77777777">
      <w:pPr>
        <w:pStyle w:val="Bibliografie"/>
        <w:rPr>
          <w:rFonts w:ascii="Aptos" w:hAnsi="Aptos"/>
          <w:lang w:val="en-US"/>
        </w:rPr>
      </w:pPr>
      <w:r w:rsidRPr="001D59A9">
        <w:rPr>
          <w:rFonts w:ascii="Aptos" w:hAnsi="Aptos"/>
        </w:rPr>
        <w:t xml:space="preserve">12. Nederlandse Zorgautoriteit (NZa). DIS open data [Internet]. </w:t>
      </w:r>
      <w:r w:rsidRPr="001D59A9">
        <w:rPr>
          <w:rFonts w:ascii="Aptos" w:hAnsi="Aptos"/>
          <w:lang w:val="en-US"/>
        </w:rPr>
        <w:t>[cited 2024 Feb 26]. Available from: https://www.opendisdata.nl/</w:t>
      </w:r>
    </w:p>
    <w:p w:rsidRPr="001D59A9" w:rsidR="001D59A9" w:rsidP="001D59A9" w:rsidRDefault="001D59A9" w14:paraId="7ABCEF87" w14:textId="77777777">
      <w:pPr>
        <w:pStyle w:val="Bibliografie"/>
        <w:rPr>
          <w:rFonts w:ascii="Aptos" w:hAnsi="Aptos"/>
        </w:rPr>
      </w:pPr>
      <w:r w:rsidRPr="001D59A9">
        <w:rPr>
          <w:rFonts w:ascii="Aptos" w:hAnsi="Aptos"/>
        </w:rPr>
        <w:t xml:space="preserve">13. Kanters TA, van de Ree CLP, de Jongh M a. C, Gosens T, Hakkaart-van Roijen L. Burden of illness of hip fractures in elderly Dutch patients. Arch Osteoporos. 2020;15:11. </w:t>
      </w:r>
    </w:p>
    <w:p w:rsidRPr="001D59A9" w:rsidR="001D59A9" w:rsidRDefault="001D59A9" w14:paraId="74FE8C10" w14:textId="3F57138E">
      <w:pPr>
        <w:rPr>
          <w:lang w:val="en-US"/>
        </w:rPr>
      </w:pPr>
      <w:r>
        <w:rPr>
          <w:lang w:val="en-US"/>
        </w:rPr>
        <w:fldChar w:fldCharType="end"/>
      </w:r>
    </w:p>
    <w:sectPr w:rsidRPr="001D59A9" w:rsidR="001D59A9">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D59A9"/>
    <w:rsid w:val="001A5866"/>
    <w:rsid w:val="001D59A9"/>
    <w:rsid w:val="00313CE8"/>
    <w:rsid w:val="003A4C00"/>
    <w:rsid w:val="003C2EC8"/>
    <w:rsid w:val="004150BE"/>
    <w:rsid w:val="008C4A40"/>
    <w:rsid w:val="00C3399D"/>
    <w:rsid w:val="00FF596F"/>
    <w:rsid w:val="2447C4B3"/>
    <w:rsid w:val="7D2F9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FD27"/>
  <w15:chartTrackingRefBased/>
  <w15:docId w15:val="{CCE78333-5892-4FCD-BBF3-CA532B2B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D59A9"/>
    <w:rPr>
      <w:kern w:val="0"/>
    </w:rPr>
  </w:style>
  <w:style w:type="paragraph" w:styleId="Kop1">
    <w:name w:val="heading 1"/>
    <w:basedOn w:val="Standaard"/>
    <w:next w:val="Standaard"/>
    <w:link w:val="Kop1Char"/>
    <w:uiPriority w:val="9"/>
    <w:qFormat/>
    <w:rsid w:val="001D59A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unhideWhenUsed/>
    <w:qFormat/>
    <w:rsid w:val="001D59A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unhideWhenUsed/>
    <w:qFormat/>
    <w:rsid w:val="001D59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59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59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59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59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59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59A9"/>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D59A9"/>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rsid w:val="001D59A9"/>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rsid w:val="001D59A9"/>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1D59A9"/>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D59A9"/>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D59A9"/>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D59A9"/>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D59A9"/>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D59A9"/>
    <w:rPr>
      <w:rFonts w:eastAsiaTheme="majorEastAsia" w:cstheme="majorBidi"/>
      <w:color w:val="272727" w:themeColor="text1" w:themeTint="D8"/>
    </w:rPr>
  </w:style>
  <w:style w:type="paragraph" w:styleId="Titel">
    <w:name w:val="Title"/>
    <w:basedOn w:val="Standaard"/>
    <w:next w:val="Standaard"/>
    <w:link w:val="TitelChar"/>
    <w:uiPriority w:val="10"/>
    <w:qFormat/>
    <w:rsid w:val="001D59A9"/>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1D59A9"/>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D59A9"/>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1D59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59A9"/>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1D59A9"/>
    <w:rPr>
      <w:i/>
      <w:iCs/>
      <w:color w:val="404040" w:themeColor="text1" w:themeTint="BF"/>
    </w:rPr>
  </w:style>
  <w:style w:type="paragraph" w:styleId="Lijstalinea">
    <w:name w:val="List Paragraph"/>
    <w:basedOn w:val="Standaard"/>
    <w:uiPriority w:val="34"/>
    <w:qFormat/>
    <w:rsid w:val="001D59A9"/>
    <w:pPr>
      <w:ind w:left="720"/>
      <w:contextualSpacing/>
    </w:pPr>
  </w:style>
  <w:style w:type="character" w:styleId="Intensievebenadrukking">
    <w:name w:val="Intense Emphasis"/>
    <w:basedOn w:val="Standaardalinea-lettertype"/>
    <w:uiPriority w:val="21"/>
    <w:qFormat/>
    <w:rsid w:val="001D59A9"/>
    <w:rPr>
      <w:i/>
      <w:iCs/>
      <w:color w:val="0F4761" w:themeColor="accent1" w:themeShade="BF"/>
    </w:rPr>
  </w:style>
  <w:style w:type="paragraph" w:styleId="Duidelijkcitaat">
    <w:name w:val="Intense Quote"/>
    <w:basedOn w:val="Standaard"/>
    <w:next w:val="Standaard"/>
    <w:link w:val="DuidelijkcitaatChar"/>
    <w:uiPriority w:val="30"/>
    <w:qFormat/>
    <w:rsid w:val="001D59A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1D59A9"/>
    <w:rPr>
      <w:i/>
      <w:iCs/>
      <w:color w:val="0F4761" w:themeColor="accent1" w:themeShade="BF"/>
    </w:rPr>
  </w:style>
  <w:style w:type="character" w:styleId="Intensieveverwijzing">
    <w:name w:val="Intense Reference"/>
    <w:basedOn w:val="Standaardalinea-lettertype"/>
    <w:uiPriority w:val="32"/>
    <w:qFormat/>
    <w:rsid w:val="001D59A9"/>
    <w:rPr>
      <w:b/>
      <w:bCs/>
      <w:smallCaps/>
      <w:color w:val="0F4761" w:themeColor="accent1" w:themeShade="BF"/>
      <w:spacing w:val="5"/>
    </w:rPr>
  </w:style>
  <w:style w:type="character" w:styleId="normaltextrun" w:customStyle="1">
    <w:name w:val="normaltextrun"/>
    <w:basedOn w:val="Standaardalinea-lettertype"/>
    <w:rsid w:val="001D59A9"/>
  </w:style>
  <w:style w:type="character" w:styleId="spellingerrorsuperscript" w:customStyle="1">
    <w:name w:val="spellingerrorsuperscript"/>
    <w:basedOn w:val="Standaardalinea-lettertype"/>
    <w:rsid w:val="001D59A9"/>
  </w:style>
  <w:style w:type="character" w:styleId="Hyperlink">
    <w:name w:val="Hyperlink"/>
    <w:basedOn w:val="Standaardalinea-lettertype"/>
    <w:uiPriority w:val="99"/>
    <w:unhideWhenUsed/>
    <w:rsid w:val="001D59A9"/>
    <w:rPr>
      <w:color w:val="467886" w:themeColor="hyperlink"/>
      <w:u w:val="single"/>
    </w:rPr>
  </w:style>
  <w:style w:type="paragraph" w:styleId="Bijschrift">
    <w:name w:val="caption"/>
    <w:basedOn w:val="Standaard"/>
    <w:next w:val="Standaard"/>
    <w:uiPriority w:val="35"/>
    <w:unhideWhenUsed/>
    <w:qFormat/>
    <w:rsid w:val="001D59A9"/>
    <w:pPr>
      <w:spacing w:after="200" w:line="240" w:lineRule="auto"/>
    </w:pPr>
    <w:rPr>
      <w:i/>
      <w:iCs/>
      <w:color w:val="0E2841" w:themeColor="text2"/>
      <w:sz w:val="18"/>
      <w:szCs w:val="18"/>
    </w:rPr>
  </w:style>
  <w:style w:type="paragraph" w:styleId="Bibliografie">
    <w:name w:val="Bibliography"/>
    <w:basedOn w:val="Standaard"/>
    <w:next w:val="Standaard"/>
    <w:uiPriority w:val="37"/>
    <w:unhideWhenUsed/>
    <w:rsid w:val="001D59A9"/>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n xmlns="4b90eb12-748f-46a1-b14c-8fe047d00780" xsi:nil="true"/>
    <datum xmlns="4b90eb12-748f-46a1-b14c-8fe047d00780" xsi:nil="true"/>
    <lcf76f155ced4ddcb4097134ff3c332f xmlns="4b90eb12-748f-46a1-b14c-8fe047d00780">
      <Terms xmlns="http://schemas.microsoft.com/office/infopath/2007/PartnerControls"/>
    </lcf76f155ced4ddcb4097134ff3c332f>
    <TaxCatchAll xmlns="d14025ad-3073-4bb0-94b8-b095ff5b9b83" xsi:nil="true"/>
    <Source xmlns="4b90eb12-748f-46a1-b14c-8fe047d00780">
      <Url xsi:nil="true"/>
      <Description xsi:nil="true"/>
    </Sour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159EB2B7AA114E95BD7BCC5A9DE9F3" ma:contentTypeVersion="21" ma:contentTypeDescription="Een nieuw document maken." ma:contentTypeScope="" ma:versionID="cc02960c4980843a79d710bddafba588">
  <xsd:schema xmlns:xsd="http://www.w3.org/2001/XMLSchema" xmlns:xs="http://www.w3.org/2001/XMLSchema" xmlns:p="http://schemas.microsoft.com/office/2006/metadata/properties" xmlns:ns2="d14025ad-3073-4bb0-94b8-b095ff5b9b83" xmlns:ns3="4b90eb12-748f-46a1-b14c-8fe047d00780" targetNamespace="http://schemas.microsoft.com/office/2006/metadata/properties" ma:root="true" ma:fieldsID="f228a8f5b1a823c03aa66f301ad6e3c3" ns2:_="" ns3:_="">
    <xsd:import namespace="d14025ad-3073-4bb0-94b8-b095ff5b9b83"/>
    <xsd:import namespace="4b90eb12-748f-46a1-b14c-8fe047d007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Van" minOccurs="0"/>
                <xsd:element ref="ns3:datum" minOccurs="0"/>
                <xsd:element ref="ns3:MediaServiceLocation" minOccurs="0"/>
                <xsd:element ref="ns3:MediaServiceObjectDetectorVersions" minOccurs="0"/>
                <xsd:element ref="ns3:MediaServiceSearchProperties" minOccurs="0"/>
                <xsd:element ref="ns3: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025ad-3073-4bb0-94b8-b095ff5b9b8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4069c6b-c037-4f4a-8dcb-45bb0192c574}" ma:internalName="TaxCatchAll" ma:showField="CatchAllData" ma:web="d14025ad-3073-4bb0-94b8-b095ff5b9b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90eb12-748f-46a1-b14c-8fe047d007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60d135d-5b1f-4483-a4fc-9a4b0da2247d" ma:termSetId="09814cd3-568e-fe90-9814-8d621ff8fb84" ma:anchorId="fba54fb3-c3e1-fe81-a776-ca4b69148c4d" ma:open="true" ma:isKeyword="false">
      <xsd:complexType>
        <xsd:sequence>
          <xsd:element ref="pc:Terms" minOccurs="0" maxOccurs="1"/>
        </xsd:sequence>
      </xsd:complexType>
    </xsd:element>
    <xsd:element name="Van" ma:index="23" nillable="true" ma:displayName="Van" ma:format="Dropdown" ma:internalName="Van">
      <xsd:simpleType>
        <xsd:restriction base="dms:Text">
          <xsd:maxLength value="255"/>
        </xsd:restriction>
      </xsd:simpleType>
    </xsd:element>
    <xsd:element name="datum" ma:index="24" nillable="true" ma:displayName="datum" ma:format="Dropdown" ma:internalName="datum">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ource" ma:index="28" nillable="true" ma:displayName="Source" ma:format="Hyperlink" ma:internalName="Sourc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91223-6855-4017-9805-0BD5E22A2445}">
  <ds:schemaRefs>
    <ds:schemaRef ds:uri="http://schemas.microsoft.com/office/2006/documentManagement/types"/>
    <ds:schemaRef ds:uri="http://purl.org/dc/elements/1.1/"/>
    <ds:schemaRef ds:uri="http://purl.org/dc/dcmitype/"/>
    <ds:schemaRef ds:uri="http://purl.org/dc/terms/"/>
    <ds:schemaRef ds:uri="4b90eb12-748f-46a1-b14c-8fe047d00780"/>
    <ds:schemaRef ds:uri="http://schemas.microsoft.com/office/2006/metadata/properties"/>
    <ds:schemaRef ds:uri="http://www.w3.org/XML/1998/namespace"/>
    <ds:schemaRef ds:uri="d14025ad-3073-4bb0-94b8-b095ff5b9b83"/>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8A90618-37C0-4EB3-8AC3-6D1DCE0BBB18}">
  <ds:schemaRefs>
    <ds:schemaRef ds:uri="http://schemas.microsoft.com/sharepoint/v3/contenttype/forms"/>
  </ds:schemaRefs>
</ds:datastoreItem>
</file>

<file path=customXml/itemProps3.xml><?xml version="1.0" encoding="utf-8"?>
<ds:datastoreItem xmlns:ds="http://schemas.openxmlformats.org/officeDocument/2006/customXml" ds:itemID="{F5473552-AA2B-4E99-A168-4EC19AF28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025ad-3073-4bb0-94b8-b095ff5b9b83"/>
    <ds:schemaRef ds:uri="4b90eb12-748f-46a1-b14c-8fe047d00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Bart Slob | Health-Ecore</dc:creator>
  <keywords/>
  <dc:description/>
  <lastModifiedBy>Bart Slob | Health-Ecore</lastModifiedBy>
  <revision>3</revision>
  <lastPrinted>2024-10-21T13:32:00.0000000Z</lastPrinted>
  <dcterms:created xsi:type="dcterms:W3CDTF">2024-10-21T10:13:00.0000000Z</dcterms:created>
  <dcterms:modified xsi:type="dcterms:W3CDTF">2025-05-14T08:08:34.3710594Z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id="c1dtSbBJ"/&gt;&lt;style id="http://www.zotero.org/styles/pharmacoeconomics"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ContentTypeId">
    <vt:lpwstr>0x010100FF159EB2B7AA114E95BD7BCC5A9DE9F3</vt:lpwstr>
  </property>
  <property fmtid="{D5CDD505-2E9C-101B-9397-08002B2CF9AE}" pid="5" name="MediaServiceImageTags">
    <vt:lpwstr/>
  </property>
</Properties>
</file>