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EAB8" w14:textId="03CBA827" w:rsidR="00D05911" w:rsidRPr="00D05911" w:rsidRDefault="00D05911" w:rsidP="00D05911">
      <w:pPr>
        <w:jc w:val="both"/>
        <w:rPr>
          <w:rFonts w:ascii="Arial" w:hAnsi="Arial" w:cs="Arial"/>
        </w:rPr>
      </w:pPr>
      <w:r w:rsidRPr="00D05911">
        <w:rPr>
          <w:rFonts w:ascii="Arial" w:hAnsi="Arial" w:cs="Arial"/>
          <w:b/>
          <w:bCs/>
        </w:rPr>
        <w:t>Title:</w:t>
      </w:r>
      <w:r w:rsidRPr="00D05911">
        <w:rPr>
          <w:rFonts w:ascii="Arial" w:hAnsi="Arial" w:cs="Arial"/>
        </w:rPr>
        <w:t> </w:t>
      </w:r>
      <w:r w:rsidRPr="00C4133C">
        <w:rPr>
          <w:rFonts w:ascii="Arial" w:hAnsi="Arial" w:cs="Arial"/>
          <w:color w:val="000000"/>
        </w:rPr>
        <w:t>Efficacy and Safety of Oral Janus Kinase Inhibitors in</w:t>
      </w:r>
      <w:r>
        <w:rPr>
          <w:rFonts w:ascii="Arial" w:hAnsi="Arial" w:cs="Arial"/>
          <w:color w:val="000000"/>
        </w:rPr>
        <w:t xml:space="preserve"> Adults and Adolescents with</w:t>
      </w:r>
      <w:r w:rsidRPr="00C4133C">
        <w:rPr>
          <w:rFonts w:ascii="Arial" w:hAnsi="Arial" w:cs="Arial"/>
          <w:color w:val="000000"/>
        </w:rPr>
        <w:t xml:space="preserve"> Alopecia Areata: A Systematic Review and Meta-Analysis of Randomised Controlled Trials</w:t>
      </w:r>
    </w:p>
    <w:p w14:paraId="40254C11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</w:rPr>
        <w:t>Samuel Morriss¹, Chuan Hui Foo</w:t>
      </w:r>
      <w:r w:rsidRPr="00D05911">
        <w:rPr>
          <w:rFonts w:ascii="Arial" w:hAnsi="Arial" w:cs="Arial"/>
          <w:vertAlign w:val="superscript"/>
        </w:rPr>
        <w:t>2,3</w:t>
      </w:r>
      <w:r w:rsidRPr="00D05911">
        <w:rPr>
          <w:rFonts w:ascii="Arial" w:hAnsi="Arial" w:cs="Arial"/>
        </w:rPr>
        <w:t>, Emily Lin</w:t>
      </w:r>
      <w:r w:rsidRPr="00D05911">
        <w:rPr>
          <w:rFonts w:ascii="Arial" w:hAnsi="Arial" w:cs="Arial"/>
          <w:vertAlign w:val="superscript"/>
        </w:rPr>
        <w:t>4,5</w:t>
      </w:r>
      <w:r w:rsidRPr="00D05911">
        <w:rPr>
          <w:rFonts w:ascii="Arial" w:hAnsi="Arial" w:cs="Arial"/>
        </w:rPr>
        <w:t>, Flavia Rodrigues-Dias</w:t>
      </w:r>
      <w:r w:rsidRPr="00D05911">
        <w:rPr>
          <w:rFonts w:ascii="Arial" w:hAnsi="Arial" w:cs="Arial"/>
          <w:vertAlign w:val="superscript"/>
        </w:rPr>
        <w:t>6</w:t>
      </w:r>
      <w:r w:rsidRPr="00D05911">
        <w:rPr>
          <w:rFonts w:ascii="Arial" w:hAnsi="Arial" w:cs="Arial"/>
        </w:rPr>
        <w:t>, Daniella Kushnir-Grinbaum</w:t>
      </w:r>
      <w:r w:rsidRPr="00D05911">
        <w:rPr>
          <w:rFonts w:ascii="Arial" w:hAnsi="Arial" w:cs="Arial"/>
          <w:vertAlign w:val="superscript"/>
        </w:rPr>
        <w:t>6,7</w:t>
      </w:r>
      <w:r w:rsidRPr="00D05911">
        <w:rPr>
          <w:rFonts w:ascii="Arial" w:hAnsi="Arial" w:cs="Arial"/>
        </w:rPr>
        <w:t>, Holly FitzGerald</w:t>
      </w:r>
      <w:r w:rsidRPr="00D05911">
        <w:rPr>
          <w:rFonts w:ascii="Arial" w:hAnsi="Arial" w:cs="Arial"/>
          <w:vertAlign w:val="superscript"/>
        </w:rPr>
        <w:t>6</w:t>
      </w:r>
      <w:r w:rsidRPr="00D05911">
        <w:rPr>
          <w:rFonts w:ascii="Arial" w:hAnsi="Arial" w:cs="Arial"/>
        </w:rPr>
        <w:t>, Shalem Leemaqz</w:t>
      </w:r>
      <w:r w:rsidRPr="00D05911">
        <w:rPr>
          <w:rFonts w:ascii="Arial" w:hAnsi="Arial" w:cs="Arial"/>
          <w:vertAlign w:val="superscript"/>
        </w:rPr>
        <w:t>8</w:t>
      </w:r>
      <w:r w:rsidRPr="00D05911">
        <w:rPr>
          <w:rFonts w:ascii="Arial" w:hAnsi="Arial" w:cs="Arial"/>
        </w:rPr>
        <w:t>, Sharon Lee</w:t>
      </w:r>
      <w:r w:rsidRPr="00D05911">
        <w:rPr>
          <w:rFonts w:ascii="Arial" w:hAnsi="Arial" w:cs="Arial"/>
          <w:vertAlign w:val="superscript"/>
        </w:rPr>
        <w:t>3</w:t>
      </w:r>
      <w:r w:rsidRPr="00D05911">
        <w:rPr>
          <w:rFonts w:ascii="Arial" w:hAnsi="Arial" w:cs="Arial"/>
        </w:rPr>
        <w:t>, Bevin Bhoyrul</w:t>
      </w:r>
      <w:r w:rsidRPr="00D05911">
        <w:rPr>
          <w:rFonts w:ascii="Arial" w:hAnsi="Arial" w:cs="Arial"/>
          <w:vertAlign w:val="superscript"/>
        </w:rPr>
        <w:t>6</w:t>
      </w:r>
    </w:p>
    <w:p w14:paraId="71E3FCFE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</w:rPr>
        <w:t>¹ Department of Dermatology, The Royal Melbourne Hospital, Parkville, Victoria, Australia</w:t>
      </w:r>
    </w:p>
    <w:p w14:paraId="526D8DCA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2 </w:t>
      </w:r>
      <w:r w:rsidRPr="00D05911">
        <w:rPr>
          <w:rFonts w:ascii="Arial" w:hAnsi="Arial" w:cs="Arial"/>
        </w:rPr>
        <w:t>Department of Mathematics, Faculty of Science and Mathematics, Sultan Idris Education University, 35900 Tanjong Malim, Malaysia</w:t>
      </w:r>
    </w:p>
    <w:p w14:paraId="4FE55F6A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3 </w:t>
      </w:r>
      <w:r w:rsidRPr="00D05911">
        <w:rPr>
          <w:rFonts w:ascii="Arial" w:hAnsi="Arial" w:cs="Arial"/>
        </w:rPr>
        <w:t>School of Mathematics and Physics, The University of Queensland, 4067, St Lucia, Australia</w:t>
      </w:r>
    </w:p>
    <w:p w14:paraId="2D8A47F7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4 </w:t>
      </w:r>
      <w:r w:rsidRPr="00D05911">
        <w:rPr>
          <w:rFonts w:ascii="Arial" w:hAnsi="Arial" w:cs="Arial"/>
        </w:rPr>
        <w:t>Department of Medicine, Monash University, Clayton, VIC, Australia</w:t>
      </w:r>
    </w:p>
    <w:p w14:paraId="2CF79C22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5 </w:t>
      </w:r>
      <w:r w:rsidRPr="00D05911">
        <w:rPr>
          <w:rFonts w:ascii="Arial" w:hAnsi="Arial" w:cs="Arial"/>
        </w:rPr>
        <w:t>Department of Rheumatology, Monash Health, Clayton, VIC, Australia</w:t>
      </w:r>
    </w:p>
    <w:p w14:paraId="322D902E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6 </w:t>
      </w:r>
      <w:r w:rsidRPr="00D05911">
        <w:rPr>
          <w:rFonts w:ascii="Arial" w:hAnsi="Arial" w:cs="Arial"/>
        </w:rPr>
        <w:t>Sinclair Dermatology, East Melbourne, Victoria, Australia</w:t>
      </w:r>
      <w:r w:rsidRPr="00D05911">
        <w:rPr>
          <w:rFonts w:ascii="Arial" w:hAnsi="Arial" w:cs="Arial"/>
        </w:rPr>
        <w:br/>
      </w:r>
      <w:r w:rsidRPr="00D05911">
        <w:rPr>
          <w:rFonts w:ascii="Arial" w:hAnsi="Arial" w:cs="Arial"/>
          <w:vertAlign w:val="superscript"/>
        </w:rPr>
        <w:t xml:space="preserve">7 </w:t>
      </w:r>
      <w:r w:rsidRPr="00D05911">
        <w:rPr>
          <w:rFonts w:ascii="Arial" w:hAnsi="Arial" w:cs="Arial"/>
        </w:rPr>
        <w:t>Department of Dermatology, Emek Medical Centre, Afula, Israel, affiliated with the Ruth and Bruce Rappaport Faculty of Medicine of the Technion Institute of Technology, Haifa, Israel</w:t>
      </w:r>
    </w:p>
    <w:p w14:paraId="190107A9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vertAlign w:val="superscript"/>
        </w:rPr>
        <w:t xml:space="preserve">8 </w:t>
      </w:r>
      <w:r w:rsidRPr="00D05911">
        <w:rPr>
          <w:rFonts w:ascii="Arial" w:hAnsi="Arial" w:cs="Arial"/>
        </w:rPr>
        <w:t>Flinders University, Adelaide, Australia</w:t>
      </w:r>
    </w:p>
    <w:p w14:paraId="578F94CB" w14:textId="77777777" w:rsidR="00D05911" w:rsidRPr="00D05911" w:rsidRDefault="00D05911" w:rsidP="00D05911">
      <w:pPr>
        <w:rPr>
          <w:rFonts w:ascii="Arial" w:hAnsi="Arial" w:cs="Arial"/>
        </w:rPr>
      </w:pPr>
    </w:p>
    <w:p w14:paraId="3A4C04A4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b/>
          <w:bCs/>
        </w:rPr>
        <w:t xml:space="preserve">Journal: </w:t>
      </w:r>
      <w:r w:rsidRPr="00D05911">
        <w:rPr>
          <w:rFonts w:ascii="Arial" w:hAnsi="Arial" w:cs="Arial"/>
        </w:rPr>
        <w:t>Americal Journal of Clinical Dermatology</w:t>
      </w:r>
    </w:p>
    <w:p w14:paraId="115AD9B4" w14:textId="77777777" w:rsidR="00D05911" w:rsidRPr="00D05911" w:rsidRDefault="00D05911" w:rsidP="00D05911">
      <w:pPr>
        <w:rPr>
          <w:rFonts w:ascii="Arial" w:hAnsi="Arial" w:cs="Arial"/>
        </w:rPr>
      </w:pPr>
    </w:p>
    <w:p w14:paraId="655E84DD" w14:textId="77777777" w:rsidR="00D05911" w:rsidRPr="00D05911" w:rsidRDefault="00D05911" w:rsidP="00D05911">
      <w:pPr>
        <w:rPr>
          <w:rFonts w:ascii="Arial" w:hAnsi="Arial" w:cs="Arial"/>
        </w:rPr>
      </w:pPr>
      <w:r w:rsidRPr="00D05911">
        <w:rPr>
          <w:rFonts w:ascii="Arial" w:hAnsi="Arial" w:cs="Arial"/>
          <w:b/>
          <w:bCs/>
        </w:rPr>
        <w:t>Corresponding author:</w:t>
      </w:r>
      <w:r w:rsidRPr="00D05911">
        <w:rPr>
          <w:rFonts w:ascii="Arial" w:hAnsi="Arial" w:cs="Arial"/>
        </w:rPr>
        <w:br/>
        <w:t>Samuel Morriss</w:t>
      </w:r>
    </w:p>
    <w:p w14:paraId="761BEE25" w14:textId="77777777" w:rsidR="00D05911" w:rsidRPr="00D05911" w:rsidRDefault="00D05911" w:rsidP="00D05911">
      <w:pPr>
        <w:rPr>
          <w:rFonts w:ascii="Arial" w:hAnsi="Arial" w:cs="Arial"/>
        </w:rPr>
      </w:pPr>
      <w:hyperlink r:id="rId5" w:history="1">
        <w:r w:rsidRPr="00D05911">
          <w:rPr>
            <w:rStyle w:val="Hyperlink"/>
            <w:rFonts w:ascii="Arial" w:hAnsi="Arial" w:cs="Arial"/>
          </w:rPr>
          <w:t>samuel.h.morriss@gmail.com</w:t>
        </w:r>
      </w:hyperlink>
    </w:p>
    <w:p w14:paraId="288BF5CF" w14:textId="77777777" w:rsidR="00D05911" w:rsidRPr="00D05911" w:rsidRDefault="00D05911" w:rsidP="00D05911">
      <w:pPr>
        <w:rPr>
          <w:rFonts w:ascii="Arial" w:hAnsi="Arial" w:cs="Arial"/>
        </w:rPr>
      </w:pPr>
    </w:p>
    <w:p w14:paraId="0B4AA772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7287DB4B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28E9F9D2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302F0231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739798A0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06FA13B0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717439DE" w14:textId="77777777" w:rsidR="00D05911" w:rsidRPr="00D05911" w:rsidRDefault="00D05911" w:rsidP="001A0BEC">
      <w:pPr>
        <w:rPr>
          <w:rFonts w:ascii="Arial" w:hAnsi="Arial" w:cs="Arial"/>
          <w:b/>
          <w:bCs/>
        </w:rPr>
      </w:pPr>
    </w:p>
    <w:p w14:paraId="4D0694E9" w14:textId="496BFDBB" w:rsidR="00B91730" w:rsidRDefault="00B91730" w:rsidP="001A0BE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Appendix 1. </w:t>
      </w:r>
      <w:r w:rsidR="00B71FB3">
        <w:rPr>
          <w:rFonts w:ascii="Arial" w:hAnsi="Arial" w:cs="Arial"/>
        </w:rPr>
        <w:t>Literature s</w:t>
      </w:r>
      <w:r>
        <w:rPr>
          <w:rFonts w:ascii="Arial" w:hAnsi="Arial" w:cs="Arial"/>
        </w:rPr>
        <w:t xml:space="preserve">earch </w:t>
      </w:r>
      <w:r w:rsidR="00816B97">
        <w:rPr>
          <w:rFonts w:ascii="Arial" w:hAnsi="Arial" w:cs="Arial"/>
        </w:rPr>
        <w:t>strategy</w:t>
      </w:r>
    </w:p>
    <w:p w14:paraId="0848CC81" w14:textId="77777777" w:rsidR="00B91730" w:rsidRPr="00B91730" w:rsidRDefault="00B91730" w:rsidP="001A0BEC">
      <w:pPr>
        <w:rPr>
          <w:rFonts w:ascii="Arial" w:hAnsi="Arial" w:cs="Arial"/>
        </w:rPr>
      </w:pPr>
    </w:p>
    <w:p w14:paraId="7D8A9CF2" w14:textId="30BC90AA" w:rsidR="001A0BEC" w:rsidRPr="00D05911" w:rsidRDefault="001A0BEC" w:rsidP="001A0BEC">
      <w:pPr>
        <w:rPr>
          <w:rFonts w:ascii="Arial" w:hAnsi="Arial" w:cs="Arial"/>
          <w:b/>
          <w:bCs/>
        </w:rPr>
      </w:pPr>
      <w:r w:rsidRPr="00D05911">
        <w:rPr>
          <w:rFonts w:ascii="Arial" w:hAnsi="Arial" w:cs="Arial"/>
          <w:b/>
          <w:bCs/>
        </w:rPr>
        <w:t>1. Ovid MEDLINE(R) ALL [1946 to Present]</w:t>
      </w:r>
    </w:p>
    <w:p w14:paraId="49B3E33A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alopecia areata/</w:t>
      </w:r>
    </w:p>
    <w:p w14:paraId="152116E4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(alopecia areata or alopecia circumscripta or alopecia totalis or alopecia universalis or alopecia celsi or pelade* or nonscarring hair loss or scarring hair loss).mp.</w:t>
      </w:r>
    </w:p>
    <w:p w14:paraId="3177F51B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1 or 2</w:t>
      </w:r>
    </w:p>
    <w:p w14:paraId="6202E333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Janus Kinase Inhibitors/</w:t>
      </w:r>
    </w:p>
    <w:p w14:paraId="23D305ED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(janus kinase inhibitor* or JAK inhibitor*).mp.</w:t>
      </w:r>
    </w:p>
    <w:p w14:paraId="71972C3D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ruxolitinib/</w:t>
      </w:r>
    </w:p>
    <w:p w14:paraId="4F890384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(ruxolitinib* or INCB-18424 or INCB018424).mp.</w:t>
      </w:r>
    </w:p>
    <w:p w14:paraId="5658B365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tofacitinib/</w:t>
      </w:r>
    </w:p>
    <w:p w14:paraId="23E71EBB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(tofacitinib* or Xeljanz or CP 690,550).mp.</w:t>
      </w:r>
    </w:p>
    <w:p w14:paraId="7492BB21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baricitinib/</w:t>
      </w:r>
    </w:p>
    <w:p w14:paraId="3C21E0F7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(baricitinib* or baracitinib*).mp.</w:t>
      </w:r>
    </w:p>
    <w:p w14:paraId="7AC046DB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(ritlecitinib* or brepocitinib* or deuruxolitinib* or CTP-543* or ivarmacitinib*).mp.</w:t>
      </w:r>
    </w:p>
    <w:p w14:paraId="3D6B4BAD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or/4-12</w:t>
      </w:r>
    </w:p>
    <w:p w14:paraId="5842F919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3 and 13</w:t>
      </w:r>
    </w:p>
    <w:p w14:paraId="1C5B1857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randomized controlled trial.pt.</w:t>
      </w:r>
    </w:p>
    <w:p w14:paraId="6DC1766D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controlled clinical trial.pt.</w:t>
      </w:r>
    </w:p>
    <w:p w14:paraId="31E935F9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randomized.ab.</w:t>
      </w:r>
    </w:p>
    <w:p w14:paraId="5AC86D65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placebo.ab.</w:t>
      </w:r>
    </w:p>
    <w:p w14:paraId="561990A9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drug therapy.fs.</w:t>
      </w:r>
    </w:p>
    <w:p w14:paraId="2DCF7C7C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randomly.ab.</w:t>
      </w:r>
    </w:p>
    <w:p w14:paraId="0BE779C4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trial.ti.</w:t>
      </w:r>
    </w:p>
    <w:p w14:paraId="4A370A14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groups.ab.</w:t>
      </w:r>
    </w:p>
    <w:p w14:paraId="3C8A6BBF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or/15-22</w:t>
      </w:r>
    </w:p>
    <w:p w14:paraId="255446FF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(animals not (humans and animals)).sh.</w:t>
      </w:r>
    </w:p>
    <w:p w14:paraId="2D34587D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lastRenderedPageBreak/>
        <w:t>23 not 24</w:t>
      </w:r>
    </w:p>
    <w:p w14:paraId="4C33818F" w14:textId="77777777" w:rsidR="001A0BEC" w:rsidRPr="00D05911" w:rsidRDefault="001A0BEC" w:rsidP="001A0BEC">
      <w:pPr>
        <w:numPr>
          <w:ilvl w:val="0"/>
          <w:numId w:val="4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14 and 25</w:t>
      </w:r>
    </w:p>
    <w:p w14:paraId="1B278158" w14:textId="77777777" w:rsidR="001A0BEC" w:rsidRPr="00D05911" w:rsidRDefault="001A0BEC" w:rsidP="001A0BEC">
      <w:pPr>
        <w:rPr>
          <w:rFonts w:ascii="Arial" w:hAnsi="Arial" w:cs="Arial"/>
        </w:rPr>
      </w:pPr>
    </w:p>
    <w:p w14:paraId="6EFE3618" w14:textId="77777777" w:rsidR="001A0BEC" w:rsidRPr="00D05911" w:rsidRDefault="001A0BEC" w:rsidP="001A0BEC">
      <w:pPr>
        <w:rPr>
          <w:rFonts w:ascii="Arial" w:hAnsi="Arial" w:cs="Arial"/>
          <w:b/>
          <w:bCs/>
        </w:rPr>
      </w:pPr>
      <w:r w:rsidRPr="00D05911">
        <w:rPr>
          <w:rFonts w:ascii="Arial" w:hAnsi="Arial" w:cs="Arial"/>
          <w:b/>
          <w:bCs/>
        </w:rPr>
        <w:t>2. EMBASE [1974 to Present]</w:t>
      </w:r>
    </w:p>
    <w:p w14:paraId="296E2D2F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alopecia areata/</w:t>
      </w:r>
    </w:p>
    <w:p w14:paraId="02C81E4C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(alopecia areata or alopecia circumscripta or alopecia totalis or alopecia universalis or alopecia celsi or pelade* or nonscarring hair loss or scarring hair loss).mp.</w:t>
      </w:r>
    </w:p>
    <w:p w14:paraId="523F0241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1 or 2</w:t>
      </w:r>
    </w:p>
    <w:p w14:paraId="56465DBE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Janus Kinase Inhibitors/</w:t>
      </w:r>
    </w:p>
    <w:p w14:paraId="6487229B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(janus kinase inhibitor* or JAK inhibitor*).mp.</w:t>
      </w:r>
    </w:p>
    <w:p w14:paraId="2F477352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ruxolitinib/</w:t>
      </w:r>
    </w:p>
    <w:p w14:paraId="631FD08D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(ruxolitinib* or INCB-18424 or INCB018424).mp.</w:t>
      </w:r>
    </w:p>
    <w:p w14:paraId="5690A12A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tofacitinib/</w:t>
      </w:r>
    </w:p>
    <w:p w14:paraId="0583B056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(tofacitinib* or Xeljanz or CP 690,550).mp.</w:t>
      </w:r>
    </w:p>
    <w:p w14:paraId="2810922F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baricitinib/</w:t>
      </w:r>
    </w:p>
    <w:p w14:paraId="1EC4DEBB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(baricitinib* or baracitinib*).mp.</w:t>
      </w:r>
    </w:p>
    <w:p w14:paraId="01A1749E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(ritlecitinib* or brepocitinib* or deuruxolitinib* or CTP-543* or ivarmacitinib*).mp.</w:t>
      </w:r>
    </w:p>
    <w:p w14:paraId="2A038C38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or/4-12</w:t>
      </w:r>
    </w:p>
    <w:p w14:paraId="65270A5F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3 and 13</w:t>
      </w:r>
    </w:p>
    <w:p w14:paraId="25C5D58A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randomized controlled trial/</w:t>
      </w:r>
    </w:p>
    <w:p w14:paraId="319DC409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controlled clinical study/</w:t>
      </w:r>
    </w:p>
    <w:p w14:paraId="0C7649E4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random$.ti,ab.</w:t>
      </w:r>
    </w:p>
    <w:p w14:paraId="30FD6148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randomization/</w:t>
      </w:r>
    </w:p>
    <w:p w14:paraId="0389DC81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placebo.ti,ab.</w:t>
      </w:r>
    </w:p>
    <w:p w14:paraId="5ADCF011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((double or single or double or singly) adj (blind or blinded or blindly)).ti,ab.</w:t>
      </w:r>
    </w:p>
    <w:p w14:paraId="68F2A6A6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crossover procedure/ or parallel group$.ti,ab.</w:t>
      </w:r>
    </w:p>
    <w:p w14:paraId="3FF00C6A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(assign$ or allocat$).ti,ab.</w:t>
      </w:r>
    </w:p>
    <w:p w14:paraId="77191DBD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or/15-22</w:t>
      </w:r>
    </w:p>
    <w:p w14:paraId="1996D6B2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lastRenderedPageBreak/>
        <w:t>(animal/ not human/).sh.</w:t>
      </w:r>
    </w:p>
    <w:p w14:paraId="4AB72808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23 not 24</w:t>
      </w:r>
    </w:p>
    <w:p w14:paraId="6F878BAD" w14:textId="77777777" w:rsidR="001A0BEC" w:rsidRPr="00D05911" w:rsidRDefault="001A0BEC" w:rsidP="001A0BEC">
      <w:pPr>
        <w:numPr>
          <w:ilvl w:val="0"/>
          <w:numId w:val="5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14 and 25</w:t>
      </w:r>
    </w:p>
    <w:p w14:paraId="06F44187" w14:textId="77777777" w:rsidR="001A0BEC" w:rsidRPr="00D05911" w:rsidRDefault="001A0BEC" w:rsidP="001A0BEC">
      <w:pPr>
        <w:rPr>
          <w:rFonts w:ascii="Arial" w:hAnsi="Arial" w:cs="Arial"/>
        </w:rPr>
      </w:pPr>
    </w:p>
    <w:p w14:paraId="3E0664B5" w14:textId="77777777" w:rsidR="001A0BEC" w:rsidRPr="00D05911" w:rsidRDefault="001A0BEC" w:rsidP="001A0BEC">
      <w:pPr>
        <w:rPr>
          <w:rFonts w:ascii="Arial" w:hAnsi="Arial" w:cs="Arial"/>
          <w:b/>
          <w:bCs/>
        </w:rPr>
      </w:pPr>
      <w:r w:rsidRPr="00D05911">
        <w:rPr>
          <w:rFonts w:ascii="Arial" w:hAnsi="Arial" w:cs="Arial"/>
          <w:b/>
          <w:bCs/>
        </w:rPr>
        <w:t>3. Cochrane Controlled Register of Trials (CENTRAL)</w:t>
      </w:r>
    </w:p>
    <w:p w14:paraId="16524D25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alopecia areata/</w:t>
      </w:r>
    </w:p>
    <w:p w14:paraId="6E6652AA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(alopecia areata or alopecia circumscripta or alopecia totalis or alopecia universalis or alopecia celsi or pelade* or nonscarring hair loss or scarring hair loss).mp.</w:t>
      </w:r>
    </w:p>
    <w:p w14:paraId="667E35DF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1 or 2</w:t>
      </w:r>
    </w:p>
    <w:p w14:paraId="12E59E6E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Janus Kinase Inhibitors/</w:t>
      </w:r>
    </w:p>
    <w:p w14:paraId="0DFBA374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(janus kinase inhibitor* or JAK inhibitor*).mp.</w:t>
      </w:r>
    </w:p>
    <w:p w14:paraId="09BA432E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ruxolitinib/</w:t>
      </w:r>
    </w:p>
    <w:p w14:paraId="49AFEB5D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(ruxolitinib* or INCB-18424 or INCB018424).mp.</w:t>
      </w:r>
    </w:p>
    <w:p w14:paraId="7CE53CB4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tofacitinib/</w:t>
      </w:r>
    </w:p>
    <w:p w14:paraId="0156B124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(tofacitinib* or Xeljanz or CP 690,550).mp.</w:t>
      </w:r>
    </w:p>
    <w:p w14:paraId="75D66D58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exp baricitinib/</w:t>
      </w:r>
    </w:p>
    <w:p w14:paraId="3E2DBCCF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(baricitinib* or baracitinib*).mp.</w:t>
      </w:r>
    </w:p>
    <w:p w14:paraId="7BB12F88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(ritlecitinib* or brepocitinib* or deuruxolitinib* or CTP-543* or ivarmacitinib*).mp.</w:t>
      </w:r>
    </w:p>
    <w:p w14:paraId="5779688B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or/4-12</w:t>
      </w:r>
    </w:p>
    <w:p w14:paraId="67AC8B50" w14:textId="77777777" w:rsidR="001A0BEC" w:rsidRPr="00D05911" w:rsidRDefault="001A0BEC" w:rsidP="001A0BEC">
      <w:pPr>
        <w:numPr>
          <w:ilvl w:val="0"/>
          <w:numId w:val="6"/>
        </w:numPr>
        <w:rPr>
          <w:rFonts w:ascii="Arial" w:hAnsi="Arial" w:cs="Arial"/>
        </w:rPr>
      </w:pPr>
      <w:r w:rsidRPr="00D05911">
        <w:rPr>
          <w:rFonts w:ascii="Arial" w:hAnsi="Arial" w:cs="Arial"/>
        </w:rPr>
        <w:t>3 and 13</w:t>
      </w:r>
    </w:p>
    <w:p w14:paraId="04C9DF6C" w14:textId="77777777" w:rsidR="000E77B9" w:rsidRDefault="000E77B9">
      <w:pPr>
        <w:rPr>
          <w:rFonts w:ascii="Arial" w:hAnsi="Arial" w:cs="Arial"/>
        </w:rPr>
      </w:pPr>
    </w:p>
    <w:p w14:paraId="6D7B7753" w14:textId="77777777" w:rsidR="00AB5F82" w:rsidRDefault="00AB5F82">
      <w:pPr>
        <w:rPr>
          <w:rFonts w:ascii="Arial" w:hAnsi="Arial" w:cs="Arial"/>
        </w:rPr>
      </w:pPr>
    </w:p>
    <w:p w14:paraId="1BDE209C" w14:textId="77777777" w:rsidR="00AB5F82" w:rsidRDefault="00AB5F82">
      <w:pPr>
        <w:rPr>
          <w:rFonts w:ascii="Arial" w:hAnsi="Arial" w:cs="Arial"/>
        </w:rPr>
      </w:pPr>
    </w:p>
    <w:p w14:paraId="12B0F605" w14:textId="77777777" w:rsidR="00AB5F82" w:rsidRDefault="00AB5F82">
      <w:pPr>
        <w:rPr>
          <w:rFonts w:ascii="Arial" w:hAnsi="Arial" w:cs="Arial"/>
        </w:rPr>
      </w:pPr>
    </w:p>
    <w:p w14:paraId="4D67BBB7" w14:textId="77777777" w:rsidR="00AB5F82" w:rsidRDefault="00AB5F82">
      <w:pPr>
        <w:rPr>
          <w:rFonts w:ascii="Arial" w:hAnsi="Arial" w:cs="Arial"/>
        </w:rPr>
      </w:pPr>
    </w:p>
    <w:p w14:paraId="5500EC8E" w14:textId="77777777" w:rsidR="00AB5F82" w:rsidRDefault="00AB5F82">
      <w:pPr>
        <w:rPr>
          <w:rFonts w:ascii="Arial" w:hAnsi="Arial" w:cs="Arial"/>
        </w:rPr>
      </w:pPr>
    </w:p>
    <w:p w14:paraId="0613DF25" w14:textId="77777777" w:rsidR="00AB5F82" w:rsidRDefault="00AB5F82">
      <w:pPr>
        <w:rPr>
          <w:rFonts w:ascii="Arial" w:hAnsi="Arial" w:cs="Arial"/>
        </w:rPr>
      </w:pPr>
    </w:p>
    <w:p w14:paraId="7A38AF68" w14:textId="77777777" w:rsidR="00AB5F82" w:rsidRDefault="00AB5F82">
      <w:pPr>
        <w:rPr>
          <w:rFonts w:ascii="Arial" w:hAnsi="Arial" w:cs="Arial"/>
        </w:rPr>
      </w:pPr>
    </w:p>
    <w:p w14:paraId="3D04A06E" w14:textId="03CA91AA" w:rsidR="00AB5F82" w:rsidRDefault="00AB5F82" w:rsidP="00AB5F82">
      <w:pPr>
        <w:rPr>
          <w:rFonts w:ascii="Arial" w:hAnsi="Arial" w:cs="Arial"/>
        </w:rPr>
      </w:pPr>
      <w:r w:rsidRPr="00C4133C">
        <w:rPr>
          <w:rFonts w:ascii="Arial" w:hAnsi="Arial" w:cs="Arial"/>
        </w:rPr>
        <w:lastRenderedPageBreak/>
        <w:t>Appendix 2. Risk of bias assessment. A) Risk of bias graph; B) Risk of bias summary.</w:t>
      </w:r>
    </w:p>
    <w:p w14:paraId="59FCF2FC" w14:textId="226D432E" w:rsidR="00AB5F82" w:rsidRDefault="00AB5F82" w:rsidP="00AB5F82">
      <w:pPr>
        <w:rPr>
          <w:rFonts w:ascii="Arial" w:hAnsi="Arial" w:cs="Arial"/>
        </w:rPr>
      </w:pPr>
      <w:r w:rsidRPr="00AB5F82">
        <w:rPr>
          <w:rFonts w:ascii="Arial" w:hAnsi="Arial" w:cs="Arial"/>
        </w:rPr>
        <w:t>Study references: Anderson et al., 2024 [31]; King et al., 2021a &amp; 2021b [15, 29]; King et al., 2022a, 2022b, &amp; 2022c [18, 30]; King et al., 2023 [16]; King et al., 2024 [17]; Paracha et al., 2024 [27]; Tsianakas et al., 2025 [28]; Zhou et al., 2023 [19]; Zhou et al., 2025 [20].</w:t>
      </w:r>
    </w:p>
    <w:p w14:paraId="43510B68" w14:textId="0614015E" w:rsidR="00375578" w:rsidRDefault="00375578" w:rsidP="00AB5F82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226465C1" wp14:editId="40EF6028">
            <wp:extent cx="5721985" cy="5486400"/>
            <wp:effectExtent l="0" t="0" r="0" b="0"/>
            <wp:docPr id="1270359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510F2" w14:textId="77777777" w:rsidR="00375578" w:rsidRPr="00375578" w:rsidRDefault="00375578" w:rsidP="00375578">
      <w:pPr>
        <w:rPr>
          <w:rFonts w:ascii="Arial" w:hAnsi="Arial" w:cs="Arial"/>
        </w:rPr>
      </w:pPr>
    </w:p>
    <w:p w14:paraId="4E77E86E" w14:textId="77777777" w:rsidR="00375578" w:rsidRPr="00375578" w:rsidRDefault="00375578" w:rsidP="00375578">
      <w:pPr>
        <w:rPr>
          <w:rFonts w:ascii="Arial" w:hAnsi="Arial" w:cs="Arial"/>
        </w:rPr>
      </w:pPr>
    </w:p>
    <w:p w14:paraId="0A3D6EE1" w14:textId="77777777" w:rsidR="00375578" w:rsidRDefault="00375578" w:rsidP="00375578">
      <w:pPr>
        <w:rPr>
          <w:rFonts w:ascii="Arial" w:hAnsi="Arial" w:cs="Arial"/>
          <w:noProof/>
        </w:rPr>
      </w:pPr>
    </w:p>
    <w:p w14:paraId="57D1CF4B" w14:textId="77777777" w:rsidR="00375578" w:rsidRDefault="00375578" w:rsidP="00375578">
      <w:pPr>
        <w:rPr>
          <w:rFonts w:ascii="Arial" w:hAnsi="Arial" w:cs="Arial"/>
        </w:rPr>
      </w:pPr>
    </w:p>
    <w:p w14:paraId="54441792" w14:textId="77777777" w:rsidR="00375578" w:rsidRDefault="00375578" w:rsidP="00375578">
      <w:pPr>
        <w:rPr>
          <w:rFonts w:ascii="Arial" w:hAnsi="Arial" w:cs="Arial"/>
        </w:rPr>
      </w:pPr>
    </w:p>
    <w:p w14:paraId="39CCFCE3" w14:textId="77777777" w:rsidR="00375578" w:rsidRDefault="00375578" w:rsidP="00375578">
      <w:pPr>
        <w:rPr>
          <w:rFonts w:ascii="Arial" w:hAnsi="Arial" w:cs="Arial"/>
        </w:rPr>
      </w:pPr>
    </w:p>
    <w:p w14:paraId="2D13B85F" w14:textId="71C4B593" w:rsidR="00375578" w:rsidRPr="00375578" w:rsidRDefault="00375578" w:rsidP="00375578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C1DDC54" wp14:editId="2276C1A3">
            <wp:extent cx="5730875" cy="1729105"/>
            <wp:effectExtent l="0" t="0" r="3175" b="4445"/>
            <wp:docPr id="2136042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578" w:rsidRPr="00375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FEF"/>
    <w:multiLevelType w:val="multilevel"/>
    <w:tmpl w:val="96E68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264B0"/>
    <w:multiLevelType w:val="multilevel"/>
    <w:tmpl w:val="E1CE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60745"/>
    <w:multiLevelType w:val="multilevel"/>
    <w:tmpl w:val="0688F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852E7"/>
    <w:multiLevelType w:val="multilevel"/>
    <w:tmpl w:val="3A82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00197"/>
    <w:multiLevelType w:val="multilevel"/>
    <w:tmpl w:val="3CF0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5590E"/>
    <w:multiLevelType w:val="multilevel"/>
    <w:tmpl w:val="5130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419969">
    <w:abstractNumId w:val="3"/>
  </w:num>
  <w:num w:numId="2" w16cid:durableId="546449651">
    <w:abstractNumId w:val="4"/>
  </w:num>
  <w:num w:numId="3" w16cid:durableId="1208298187">
    <w:abstractNumId w:val="5"/>
  </w:num>
  <w:num w:numId="4" w16cid:durableId="201095059">
    <w:abstractNumId w:val="2"/>
  </w:num>
  <w:num w:numId="5" w16cid:durableId="1747873136">
    <w:abstractNumId w:val="0"/>
  </w:num>
  <w:num w:numId="6" w16cid:durableId="78604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EC"/>
    <w:rsid w:val="00053A10"/>
    <w:rsid w:val="000660C1"/>
    <w:rsid w:val="000E77B9"/>
    <w:rsid w:val="001A0BEC"/>
    <w:rsid w:val="00205460"/>
    <w:rsid w:val="00375578"/>
    <w:rsid w:val="0039792A"/>
    <w:rsid w:val="00650D4E"/>
    <w:rsid w:val="00720025"/>
    <w:rsid w:val="00816B97"/>
    <w:rsid w:val="00A0484D"/>
    <w:rsid w:val="00AB5F82"/>
    <w:rsid w:val="00B71FB3"/>
    <w:rsid w:val="00B91730"/>
    <w:rsid w:val="00D05911"/>
    <w:rsid w:val="00E7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7D4B1"/>
  <w15:chartTrackingRefBased/>
  <w15:docId w15:val="{BDE0CB71-A031-41FD-A44A-3A650E86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B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591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amuel.h.morris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Morriss</dc:creator>
  <cp:keywords/>
  <dc:description/>
  <cp:lastModifiedBy>Samuel Morriss</cp:lastModifiedBy>
  <cp:revision>7</cp:revision>
  <dcterms:created xsi:type="dcterms:W3CDTF">2025-11-02T06:41:00Z</dcterms:created>
  <dcterms:modified xsi:type="dcterms:W3CDTF">2026-07-01T00:45:00Z</dcterms:modified>
</cp:coreProperties>
</file>