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03449" w14:textId="7C035C51" w:rsidR="00FD27A0" w:rsidRPr="008B726D" w:rsidRDefault="00FD27A0" w:rsidP="00FD27A0">
      <w:pPr>
        <w:jc w:val="both"/>
        <w:rPr>
          <w:rFonts w:ascii="Arial" w:hAnsi="Arial" w:cs="Arial"/>
        </w:rPr>
      </w:pPr>
      <w:r w:rsidRPr="00050909">
        <w:rPr>
          <w:rFonts w:ascii="Arial" w:hAnsi="Arial" w:cs="Arial"/>
          <w:b/>
          <w:bCs/>
        </w:rPr>
        <w:t>Title:</w:t>
      </w:r>
      <w:r w:rsidRPr="00050909">
        <w:rPr>
          <w:rFonts w:ascii="Arial" w:hAnsi="Arial" w:cs="Arial"/>
        </w:rPr>
        <w:t> </w:t>
      </w:r>
      <w:r w:rsidR="00E62E38" w:rsidRPr="00C4133C">
        <w:rPr>
          <w:rFonts w:ascii="Arial" w:hAnsi="Arial" w:cs="Arial"/>
          <w:color w:val="000000"/>
        </w:rPr>
        <w:t>Efficacy and Safety of Oral Janus Kinase Inhibitors in</w:t>
      </w:r>
      <w:r w:rsidR="00E62E38">
        <w:rPr>
          <w:rFonts w:ascii="Arial" w:hAnsi="Arial" w:cs="Arial"/>
          <w:color w:val="000000"/>
        </w:rPr>
        <w:t xml:space="preserve"> Adults and Adolescents with</w:t>
      </w:r>
      <w:r w:rsidR="00E62E38" w:rsidRPr="00C4133C">
        <w:rPr>
          <w:rFonts w:ascii="Arial" w:hAnsi="Arial" w:cs="Arial"/>
          <w:color w:val="000000"/>
        </w:rPr>
        <w:t xml:space="preserve"> Alopecia Areata: A Systematic Review and Meta-Analysis of Randomised Controlled Trials</w:t>
      </w:r>
    </w:p>
    <w:p w14:paraId="7B12ABE2" w14:textId="77777777" w:rsidR="00FD27A0" w:rsidRPr="00050909" w:rsidRDefault="00FD27A0" w:rsidP="00FD27A0">
      <w:pPr>
        <w:rPr>
          <w:rFonts w:ascii="Arial" w:hAnsi="Arial" w:cs="Arial"/>
        </w:rPr>
      </w:pPr>
      <w:r>
        <w:rPr>
          <w:rFonts w:ascii="Arial" w:hAnsi="Arial" w:cs="Arial"/>
        </w:rPr>
        <w:t>Samuel Morriss</w:t>
      </w:r>
      <w:r w:rsidRPr="00050909">
        <w:rPr>
          <w:rFonts w:ascii="Arial" w:hAnsi="Arial" w:cs="Arial"/>
        </w:rPr>
        <w:t>¹</w:t>
      </w:r>
      <w:r>
        <w:rPr>
          <w:rFonts w:ascii="Arial" w:hAnsi="Arial" w:cs="Arial"/>
        </w:rPr>
        <w:t>, Chuan Hui Foo</w:t>
      </w:r>
      <w:r>
        <w:rPr>
          <w:rFonts w:ascii="Arial" w:hAnsi="Arial" w:cs="Arial"/>
          <w:vertAlign w:val="superscript"/>
        </w:rPr>
        <w:t>2,3</w:t>
      </w:r>
      <w:r>
        <w:rPr>
          <w:rFonts w:ascii="Arial" w:hAnsi="Arial" w:cs="Arial"/>
        </w:rPr>
        <w:t>, Emily Lin</w:t>
      </w:r>
      <w:r>
        <w:rPr>
          <w:rFonts w:ascii="Arial" w:hAnsi="Arial" w:cs="Arial"/>
          <w:vertAlign w:val="superscript"/>
        </w:rPr>
        <w:t>4,5</w:t>
      </w:r>
      <w:r>
        <w:rPr>
          <w:rFonts w:ascii="Arial" w:hAnsi="Arial" w:cs="Arial"/>
        </w:rPr>
        <w:t xml:space="preserve">, Flavia </w:t>
      </w:r>
      <w:r w:rsidRPr="003202F5">
        <w:rPr>
          <w:rFonts w:ascii="Arial" w:hAnsi="Arial" w:cs="Arial"/>
        </w:rPr>
        <w:t>Rodrigues-Dias</w:t>
      </w:r>
      <w:r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 xml:space="preserve">, Daniella </w:t>
      </w:r>
      <w:r w:rsidRPr="003202F5">
        <w:rPr>
          <w:rFonts w:ascii="Arial" w:hAnsi="Arial" w:cs="Arial"/>
        </w:rPr>
        <w:t>Kushnir</w:t>
      </w:r>
      <w:r>
        <w:rPr>
          <w:rFonts w:ascii="Arial" w:hAnsi="Arial" w:cs="Arial"/>
        </w:rPr>
        <w:t>-</w:t>
      </w:r>
      <w:r w:rsidRPr="003202F5">
        <w:rPr>
          <w:rFonts w:ascii="Arial" w:hAnsi="Arial" w:cs="Arial"/>
        </w:rPr>
        <w:t>Grinbaum</w:t>
      </w:r>
      <w:r>
        <w:rPr>
          <w:rFonts w:ascii="Arial" w:hAnsi="Arial" w:cs="Arial"/>
          <w:vertAlign w:val="superscript"/>
        </w:rPr>
        <w:t>6,7</w:t>
      </w:r>
      <w:r>
        <w:rPr>
          <w:rFonts w:ascii="Arial" w:hAnsi="Arial" w:cs="Arial"/>
        </w:rPr>
        <w:t>, Holly FitzGerald</w:t>
      </w:r>
      <w:r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 xml:space="preserve">, Shalem </w:t>
      </w:r>
      <w:r w:rsidRPr="003202F5">
        <w:rPr>
          <w:rFonts w:ascii="Arial" w:hAnsi="Arial" w:cs="Arial"/>
        </w:rPr>
        <w:t>Leemaqz</w:t>
      </w:r>
      <w:r>
        <w:rPr>
          <w:rFonts w:ascii="Arial" w:hAnsi="Arial" w:cs="Arial"/>
          <w:vertAlign w:val="superscript"/>
        </w:rPr>
        <w:t>8</w:t>
      </w:r>
      <w:r>
        <w:rPr>
          <w:rFonts w:ascii="Arial" w:hAnsi="Arial" w:cs="Arial"/>
        </w:rPr>
        <w:t>, Sharon Lee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, Bevin Bhoyrul</w:t>
      </w:r>
      <w:r>
        <w:rPr>
          <w:rFonts w:ascii="Arial" w:hAnsi="Arial" w:cs="Arial"/>
          <w:vertAlign w:val="superscript"/>
        </w:rPr>
        <w:t>6</w:t>
      </w:r>
    </w:p>
    <w:p w14:paraId="1658F55D" w14:textId="77777777" w:rsidR="00FD27A0" w:rsidRDefault="00FD27A0" w:rsidP="00FD27A0">
      <w:pPr>
        <w:rPr>
          <w:rFonts w:ascii="Arial" w:hAnsi="Arial" w:cs="Arial"/>
        </w:rPr>
      </w:pPr>
      <w:r w:rsidRPr="00050909">
        <w:rPr>
          <w:rFonts w:ascii="Arial" w:hAnsi="Arial" w:cs="Arial"/>
        </w:rPr>
        <w:t>¹</w:t>
      </w:r>
      <w:r>
        <w:rPr>
          <w:rFonts w:ascii="Arial" w:hAnsi="Arial" w:cs="Arial"/>
        </w:rPr>
        <w:t xml:space="preserve"> Department of Dermatology, The Royal Melbourne Hospital, Parkville, Victoria, Australia</w:t>
      </w:r>
    </w:p>
    <w:p w14:paraId="6DC9B8CA" w14:textId="77777777" w:rsidR="00FD27A0" w:rsidRDefault="00FD27A0" w:rsidP="00FD27A0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2 </w:t>
      </w:r>
      <w:r w:rsidRPr="00371BC9">
        <w:rPr>
          <w:rFonts w:ascii="Arial" w:hAnsi="Arial" w:cs="Arial"/>
        </w:rPr>
        <w:t>Department of Mathematics, Faculty of Science and Mathematics, Sultan Idris Education University, 35900 Tanjong Malim, Malaysia</w:t>
      </w:r>
    </w:p>
    <w:p w14:paraId="6EC30C93" w14:textId="77777777" w:rsidR="00FD27A0" w:rsidRPr="00F409E7" w:rsidRDefault="00FD27A0" w:rsidP="00FD27A0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3 </w:t>
      </w:r>
      <w:r w:rsidRPr="00C82533">
        <w:rPr>
          <w:rFonts w:ascii="Arial" w:hAnsi="Arial" w:cs="Arial"/>
        </w:rPr>
        <w:t>School of Mathematics and Physics, The University of Queensland, 4067</w:t>
      </w:r>
      <w:r>
        <w:rPr>
          <w:rFonts w:ascii="Arial" w:hAnsi="Arial" w:cs="Arial"/>
        </w:rPr>
        <w:t>,</w:t>
      </w:r>
      <w:r w:rsidRPr="00C82533">
        <w:rPr>
          <w:rFonts w:ascii="Arial" w:hAnsi="Arial" w:cs="Arial"/>
        </w:rPr>
        <w:t xml:space="preserve"> St Lucia, Aus</w:t>
      </w:r>
      <w:r>
        <w:rPr>
          <w:rFonts w:ascii="Arial" w:hAnsi="Arial" w:cs="Arial"/>
        </w:rPr>
        <w:t>tralia</w:t>
      </w:r>
    </w:p>
    <w:p w14:paraId="4BC65285" w14:textId="77777777" w:rsidR="00FD27A0" w:rsidRPr="00F409E7" w:rsidRDefault="00FD27A0" w:rsidP="00FD27A0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4 </w:t>
      </w:r>
      <w:r w:rsidRPr="00F409E7">
        <w:rPr>
          <w:rFonts w:ascii="Arial" w:hAnsi="Arial" w:cs="Arial"/>
        </w:rPr>
        <w:t>Department of Medicine, Monash University, Clayton, VIC, Australia</w:t>
      </w:r>
    </w:p>
    <w:p w14:paraId="1258A08B" w14:textId="77777777" w:rsidR="00FD27A0" w:rsidRDefault="00FD27A0" w:rsidP="00FD27A0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5 </w:t>
      </w:r>
      <w:r w:rsidRPr="00F409E7">
        <w:rPr>
          <w:rFonts w:ascii="Arial" w:hAnsi="Arial" w:cs="Arial"/>
        </w:rPr>
        <w:t>Department of Rheumatology, Monash Health, Clayton, VIC, Australia</w:t>
      </w:r>
    </w:p>
    <w:p w14:paraId="6D13C15F" w14:textId="77777777" w:rsidR="00FD27A0" w:rsidRDefault="00FD27A0" w:rsidP="00FD27A0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6 </w:t>
      </w:r>
      <w:r>
        <w:rPr>
          <w:rFonts w:ascii="Arial" w:hAnsi="Arial" w:cs="Arial"/>
        </w:rPr>
        <w:t>Sinclair Dermatology, East Melbourne, Victoria, Australia</w:t>
      </w:r>
      <w:r w:rsidRPr="00050909">
        <w:rPr>
          <w:rFonts w:ascii="Arial" w:hAnsi="Arial" w:cs="Arial"/>
        </w:rPr>
        <w:br/>
      </w:r>
      <w:r>
        <w:rPr>
          <w:rFonts w:ascii="Arial" w:hAnsi="Arial" w:cs="Arial"/>
          <w:vertAlign w:val="superscript"/>
        </w:rPr>
        <w:t xml:space="preserve">7 </w:t>
      </w:r>
      <w:r w:rsidRPr="005F5F32">
        <w:rPr>
          <w:rFonts w:ascii="Arial" w:hAnsi="Arial" w:cs="Arial"/>
        </w:rPr>
        <w:t>Department of Dermatology, Emek Medical Centre, Afula, Israel, affiliated with the Ruth and Bruce Rappaport Faculty of Medicine of the Technion Institute of Technology, Haifa, Israel</w:t>
      </w:r>
    </w:p>
    <w:p w14:paraId="29EE414A" w14:textId="77777777" w:rsidR="00FD27A0" w:rsidRDefault="00FD27A0" w:rsidP="00FD27A0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8 </w:t>
      </w:r>
      <w:r>
        <w:rPr>
          <w:rFonts w:ascii="Arial" w:hAnsi="Arial" w:cs="Arial"/>
        </w:rPr>
        <w:t>Flinders University, Adelaide, Australia</w:t>
      </w:r>
    </w:p>
    <w:p w14:paraId="344B7D63" w14:textId="77777777" w:rsidR="00FD27A0" w:rsidRDefault="00FD27A0" w:rsidP="00FD27A0">
      <w:pPr>
        <w:rPr>
          <w:rFonts w:ascii="Arial" w:hAnsi="Arial" w:cs="Arial"/>
        </w:rPr>
      </w:pPr>
    </w:p>
    <w:p w14:paraId="4F162012" w14:textId="77777777" w:rsidR="00FD27A0" w:rsidRPr="005E0EB1" w:rsidRDefault="00FD27A0" w:rsidP="00FD27A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Journal: </w:t>
      </w:r>
      <w:r>
        <w:rPr>
          <w:rFonts w:ascii="Arial" w:hAnsi="Arial" w:cs="Arial"/>
        </w:rPr>
        <w:t>Americal Journal of Clinical Dermatology</w:t>
      </w:r>
    </w:p>
    <w:p w14:paraId="1ED93BF7" w14:textId="77777777" w:rsidR="00FD27A0" w:rsidRPr="005F5F32" w:rsidRDefault="00FD27A0" w:rsidP="00FD27A0">
      <w:pPr>
        <w:rPr>
          <w:rFonts w:ascii="Arial" w:hAnsi="Arial" w:cs="Arial"/>
        </w:rPr>
      </w:pPr>
    </w:p>
    <w:p w14:paraId="0EDE3C03" w14:textId="77777777" w:rsidR="00FD27A0" w:rsidRDefault="00FD27A0" w:rsidP="00FD27A0">
      <w:pPr>
        <w:rPr>
          <w:rFonts w:ascii="Arial" w:hAnsi="Arial" w:cs="Arial"/>
        </w:rPr>
      </w:pPr>
      <w:r w:rsidRPr="00050909">
        <w:rPr>
          <w:rFonts w:ascii="Arial" w:hAnsi="Arial" w:cs="Arial"/>
          <w:b/>
          <w:bCs/>
        </w:rPr>
        <w:t>Corresponding author:</w:t>
      </w:r>
      <w:r w:rsidRPr="00050909">
        <w:rPr>
          <w:rFonts w:ascii="Arial" w:hAnsi="Arial" w:cs="Arial"/>
        </w:rPr>
        <w:br/>
      </w:r>
      <w:r>
        <w:rPr>
          <w:rFonts w:ascii="Arial" w:hAnsi="Arial" w:cs="Arial"/>
        </w:rPr>
        <w:t>Samuel Morriss</w:t>
      </w:r>
    </w:p>
    <w:p w14:paraId="7EB10B4A" w14:textId="77777777" w:rsidR="00FD27A0" w:rsidRPr="00A772BB" w:rsidRDefault="00FD27A0" w:rsidP="00FD27A0">
      <w:pPr>
        <w:rPr>
          <w:rFonts w:ascii="Arial" w:hAnsi="Arial" w:cs="Arial"/>
        </w:rPr>
      </w:pPr>
      <w:hyperlink r:id="rId5" w:history="1">
        <w:r w:rsidRPr="008F2CC4">
          <w:rPr>
            <w:rStyle w:val="Hyperlink"/>
            <w:rFonts w:ascii="Arial" w:hAnsi="Arial" w:cs="Arial"/>
          </w:rPr>
          <w:t>samuel.h.morriss@gmail.com</w:t>
        </w:r>
      </w:hyperlink>
    </w:p>
    <w:p w14:paraId="0A453B61" w14:textId="77777777" w:rsidR="00FD27A0" w:rsidRDefault="00FD27A0" w:rsidP="00A23735">
      <w:pPr>
        <w:rPr>
          <w:rFonts w:ascii="Arial" w:hAnsi="Arial" w:cs="Arial"/>
        </w:rPr>
      </w:pPr>
    </w:p>
    <w:p w14:paraId="045D969B" w14:textId="0EE1C2EC" w:rsidR="00D42BCA" w:rsidRDefault="002E6C0B" w:rsidP="00D42BC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Supplementary Figure 4</w:t>
      </w:r>
      <w:r w:rsidR="00B207A0">
        <w:rPr>
          <w:rFonts w:ascii="Arial" w:hAnsi="Arial" w:cs="Arial"/>
        </w:rPr>
        <w:t>.</w:t>
      </w:r>
      <w:r w:rsidR="00A23735">
        <w:rPr>
          <w:rFonts w:ascii="Arial" w:hAnsi="Arial" w:cs="Arial"/>
        </w:rPr>
        <w:t xml:space="preserve"> Severe adverse effects of J</w:t>
      </w:r>
      <w:r w:rsidR="00B207A0">
        <w:rPr>
          <w:rFonts w:ascii="Arial" w:hAnsi="Arial" w:cs="Arial"/>
        </w:rPr>
        <w:t>anus kinase</w:t>
      </w:r>
      <w:r w:rsidR="00A23735">
        <w:rPr>
          <w:rFonts w:ascii="Arial" w:hAnsi="Arial" w:cs="Arial"/>
        </w:rPr>
        <w:t xml:space="preserve"> inhibitors </w:t>
      </w:r>
      <w:r w:rsidR="00AD32BA">
        <w:rPr>
          <w:rFonts w:ascii="Arial" w:hAnsi="Arial" w:cs="Arial"/>
        </w:rPr>
        <w:t>versus</w:t>
      </w:r>
      <w:r w:rsidR="00A23735">
        <w:rPr>
          <w:rFonts w:ascii="Arial" w:hAnsi="Arial" w:cs="Arial"/>
        </w:rPr>
        <w:t xml:space="preserve"> placebo</w:t>
      </w:r>
      <w:r w:rsidR="00527632">
        <w:rPr>
          <w:rFonts w:ascii="Arial" w:hAnsi="Arial" w:cs="Arial"/>
        </w:rPr>
        <w:t xml:space="preserve"> or active comparator</w:t>
      </w:r>
      <w:r w:rsidR="00BD1087">
        <w:rPr>
          <w:rFonts w:ascii="Arial" w:hAnsi="Arial" w:cs="Arial"/>
        </w:rPr>
        <w:t>.</w:t>
      </w:r>
    </w:p>
    <w:p w14:paraId="0E9DD4A8" w14:textId="71F3B73D" w:rsidR="00086B48" w:rsidRPr="00086B48" w:rsidRDefault="00086B48" w:rsidP="00086B48">
      <w:pPr>
        <w:rPr>
          <w:noProof/>
        </w:rPr>
      </w:pPr>
      <w:r w:rsidRPr="00086B48">
        <w:rPr>
          <w:noProof/>
        </w:rPr>
        <w:drawing>
          <wp:inline distT="0" distB="0" distL="0" distR="0" wp14:anchorId="1923D48D" wp14:editId="52C91DED">
            <wp:extent cx="8863330" cy="3337560"/>
            <wp:effectExtent l="0" t="0" r="0" b="0"/>
            <wp:docPr id="17376963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7E2C6" w14:textId="6D39360E" w:rsidR="002B6F0E" w:rsidRDefault="002B6F0E" w:rsidP="002B6F0E">
      <w:pPr>
        <w:rPr>
          <w:noProof/>
        </w:rPr>
      </w:pPr>
    </w:p>
    <w:p w14:paraId="74A64C04" w14:textId="2ABF3642" w:rsidR="002B6F0E" w:rsidRDefault="002B6F0E" w:rsidP="002B6F0E">
      <w:pPr>
        <w:rPr>
          <w:rFonts w:ascii="Arial" w:hAnsi="Arial" w:cs="Arial"/>
        </w:rPr>
      </w:pPr>
      <w:r w:rsidRPr="002B6F0E">
        <w:rPr>
          <w:rFonts w:ascii="Arial" w:hAnsi="Arial" w:cs="Arial"/>
        </w:rPr>
        <w:t>Abbreviations:</w:t>
      </w:r>
    </w:p>
    <w:p w14:paraId="7C561ED0" w14:textId="7A8589F3" w:rsidR="008507D5" w:rsidRDefault="002B6F0E" w:rsidP="008507D5">
      <w:pPr>
        <w:rPr>
          <w:rFonts w:ascii="Arial" w:hAnsi="Arial" w:cs="Arial"/>
        </w:rPr>
      </w:pPr>
      <w:r w:rsidRPr="002B6F0E">
        <w:rPr>
          <w:rFonts w:ascii="Arial" w:hAnsi="Arial" w:cs="Arial"/>
        </w:rPr>
        <w:t>AEs, adverse events; BID, twice daily; CI, confidence interval; JAK, Janus kinase; OR, odds ratio.</w:t>
      </w:r>
    </w:p>
    <w:p w14:paraId="085A1FD4" w14:textId="77777777" w:rsidR="00023F7F" w:rsidRPr="002B6F0E" w:rsidRDefault="00023F7F" w:rsidP="00023F7F">
      <w:pPr>
        <w:rPr>
          <w:rFonts w:ascii="Arial" w:hAnsi="Arial" w:cs="Arial"/>
        </w:rPr>
      </w:pPr>
      <w:bookmarkStart w:id="0" w:name="_Hlk217768016"/>
      <w:r w:rsidRPr="0080754B"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  <w:vertAlign w:val="superscript"/>
        </w:rPr>
        <w:t xml:space="preserve"> </w:t>
      </w:r>
      <w:r w:rsidRPr="002B6F0E">
        <w:rPr>
          <w:rFonts w:ascii="Arial" w:hAnsi="Arial" w:cs="Arial"/>
        </w:rPr>
        <w:t>Refers to the BRAVE-AA1 trial in King et al., 2022.</w:t>
      </w:r>
    </w:p>
    <w:p w14:paraId="0483BF77" w14:textId="77777777" w:rsidR="00023F7F" w:rsidRPr="002B6F0E" w:rsidRDefault="00023F7F" w:rsidP="00023F7F">
      <w:pPr>
        <w:rPr>
          <w:rFonts w:ascii="Arial" w:hAnsi="Arial" w:cs="Arial"/>
        </w:rPr>
      </w:pPr>
      <w:r w:rsidRPr="0080754B">
        <w:rPr>
          <w:rFonts w:ascii="Arial" w:hAnsi="Arial" w:cs="Arial"/>
          <w:vertAlign w:val="superscript"/>
        </w:rPr>
        <w:t>b</w:t>
      </w:r>
      <w:r w:rsidRPr="002B6F0E">
        <w:rPr>
          <w:rFonts w:ascii="Arial" w:hAnsi="Arial" w:cs="Arial"/>
        </w:rPr>
        <w:t xml:space="preserve"> Refers to the BRAVE-AA2 trial in King et al., 2022.</w:t>
      </w:r>
    </w:p>
    <w:p w14:paraId="5044B502" w14:textId="4E9078AD" w:rsidR="00023F7F" w:rsidRPr="002B6F0E" w:rsidRDefault="00023F7F" w:rsidP="00023F7F">
      <w:pPr>
        <w:rPr>
          <w:rFonts w:ascii="Arial" w:hAnsi="Arial" w:cs="Arial"/>
        </w:rPr>
      </w:pPr>
      <w:bookmarkStart w:id="1" w:name="_Hlk217767948"/>
      <w:bookmarkEnd w:id="0"/>
      <w:r w:rsidRPr="0080754B">
        <w:rPr>
          <w:rFonts w:ascii="Arial" w:hAnsi="Arial" w:cs="Arial"/>
          <w:vertAlign w:val="superscript"/>
        </w:rPr>
        <w:t>d</w:t>
      </w:r>
      <w:r w:rsidRPr="002B6F0E">
        <w:rPr>
          <w:rFonts w:ascii="Arial" w:hAnsi="Arial" w:cs="Arial"/>
        </w:rPr>
        <w:t xml:space="preserve"> </w:t>
      </w:r>
      <w:proofErr w:type="spellStart"/>
      <w:r w:rsidRPr="002B6F0E">
        <w:rPr>
          <w:rFonts w:ascii="Arial" w:hAnsi="Arial" w:cs="Arial"/>
        </w:rPr>
        <w:t>Ritlecitinib</w:t>
      </w:r>
      <w:proofErr w:type="spellEnd"/>
      <w:r w:rsidRPr="002B6F0E">
        <w:rPr>
          <w:rFonts w:ascii="Arial" w:hAnsi="Arial" w:cs="Arial"/>
        </w:rPr>
        <w:t xml:space="preserve"> 200/50 mg refers to the regimen of 200 mg </w:t>
      </w:r>
      <w:r w:rsidR="0071369A">
        <w:rPr>
          <w:rFonts w:ascii="Arial" w:hAnsi="Arial" w:cs="Arial"/>
        </w:rPr>
        <w:t>once daily</w:t>
      </w:r>
      <w:r w:rsidRPr="002B6F0E">
        <w:rPr>
          <w:rFonts w:ascii="Arial" w:hAnsi="Arial" w:cs="Arial"/>
        </w:rPr>
        <w:t xml:space="preserve"> for 4 weeks, followed by 50 mg </w:t>
      </w:r>
      <w:r w:rsidR="0071369A">
        <w:rPr>
          <w:rFonts w:ascii="Arial" w:hAnsi="Arial" w:cs="Arial"/>
        </w:rPr>
        <w:t>once daily</w:t>
      </w:r>
      <w:r w:rsidRPr="002B6F0E">
        <w:rPr>
          <w:rFonts w:ascii="Arial" w:hAnsi="Arial" w:cs="Arial"/>
        </w:rPr>
        <w:t xml:space="preserve"> for 20 weeks.</w:t>
      </w:r>
    </w:p>
    <w:bookmarkEnd w:id="1"/>
    <w:p w14:paraId="0BC4A9C0" w14:textId="40E75015" w:rsidR="008507D5" w:rsidRDefault="00023F7F" w:rsidP="008507D5">
      <w:pPr>
        <w:rPr>
          <w:rFonts w:ascii="Arial" w:hAnsi="Arial" w:cs="Arial"/>
        </w:rPr>
      </w:pPr>
      <w:r w:rsidRPr="002B6F0E">
        <w:rPr>
          <w:rFonts w:ascii="Arial" w:hAnsi="Arial" w:cs="Arial"/>
        </w:rPr>
        <w:lastRenderedPageBreak/>
        <w:t xml:space="preserve">* This study compared tofacitinib with azathioprine (2 mg/kg </w:t>
      </w:r>
      <w:r w:rsidR="0071369A">
        <w:rPr>
          <w:rFonts w:ascii="Arial" w:hAnsi="Arial" w:cs="Arial"/>
        </w:rPr>
        <w:t>once daily</w:t>
      </w:r>
      <w:r w:rsidRPr="002B6F0E">
        <w:rPr>
          <w:rFonts w:ascii="Arial" w:hAnsi="Arial" w:cs="Arial"/>
        </w:rPr>
        <w:t>) rather than placebo.</w:t>
      </w:r>
    </w:p>
    <w:p w14:paraId="6D01D822" w14:textId="77777777" w:rsidR="00086B48" w:rsidRDefault="00086B48" w:rsidP="008507D5">
      <w:pPr>
        <w:rPr>
          <w:rFonts w:ascii="Arial" w:hAnsi="Arial" w:cs="Arial"/>
        </w:rPr>
      </w:pPr>
    </w:p>
    <w:p w14:paraId="3974BD40" w14:textId="33C5C0D5" w:rsidR="00086B48" w:rsidRDefault="009611F4" w:rsidP="008507D5">
      <w:pPr>
        <w:rPr>
          <w:rFonts w:ascii="Arial" w:hAnsi="Arial" w:cs="Arial"/>
        </w:rPr>
      </w:pPr>
      <w:r w:rsidRPr="009611F4">
        <w:rPr>
          <w:rFonts w:ascii="Arial" w:hAnsi="Arial" w:cs="Arial"/>
        </w:rPr>
        <w:t>Study references: Anderson et al., 2024 [31]; King et al., 2021 [29]; King et al., 2022a &amp; 2022b [18]; King et al., 2022 [30]; King et al., 2024 [17]; Paracha et al., 2024 [27]; Zhou et al., 2023 [19]; Zhou et al., 2025 [20].</w:t>
      </w:r>
    </w:p>
    <w:p w14:paraId="148B08E9" w14:textId="77777777" w:rsidR="00086B48" w:rsidRDefault="00086B48" w:rsidP="008507D5">
      <w:pPr>
        <w:rPr>
          <w:rFonts w:ascii="Arial" w:hAnsi="Arial" w:cs="Arial"/>
        </w:rPr>
      </w:pPr>
    </w:p>
    <w:p w14:paraId="4EBFF872" w14:textId="77777777" w:rsidR="00086B48" w:rsidRDefault="00086B48" w:rsidP="008507D5">
      <w:pPr>
        <w:rPr>
          <w:rFonts w:ascii="Arial" w:hAnsi="Arial" w:cs="Arial"/>
        </w:rPr>
      </w:pPr>
    </w:p>
    <w:p w14:paraId="7D75D7F4" w14:textId="77777777" w:rsidR="00086B48" w:rsidRDefault="00086B48" w:rsidP="008507D5">
      <w:pPr>
        <w:rPr>
          <w:rFonts w:ascii="Arial" w:hAnsi="Arial" w:cs="Arial"/>
        </w:rPr>
      </w:pPr>
    </w:p>
    <w:p w14:paraId="421FCB98" w14:textId="77777777" w:rsidR="00086B48" w:rsidRDefault="00086B48" w:rsidP="008507D5">
      <w:pPr>
        <w:rPr>
          <w:rFonts w:ascii="Arial" w:hAnsi="Arial" w:cs="Arial"/>
        </w:rPr>
      </w:pPr>
    </w:p>
    <w:p w14:paraId="1AAA8664" w14:textId="77777777" w:rsidR="00086B48" w:rsidRDefault="00086B48" w:rsidP="008507D5">
      <w:pPr>
        <w:rPr>
          <w:rFonts w:ascii="Arial" w:hAnsi="Arial" w:cs="Arial"/>
        </w:rPr>
      </w:pPr>
    </w:p>
    <w:p w14:paraId="5F6FD4B9" w14:textId="77777777" w:rsidR="00086B48" w:rsidRDefault="00086B48" w:rsidP="008507D5">
      <w:pPr>
        <w:rPr>
          <w:rFonts w:ascii="Arial" w:hAnsi="Arial" w:cs="Arial"/>
        </w:rPr>
      </w:pPr>
    </w:p>
    <w:p w14:paraId="29039821" w14:textId="77777777" w:rsidR="00086B48" w:rsidRDefault="00086B48" w:rsidP="008507D5">
      <w:pPr>
        <w:rPr>
          <w:rFonts w:ascii="Arial" w:hAnsi="Arial" w:cs="Arial"/>
        </w:rPr>
      </w:pPr>
    </w:p>
    <w:p w14:paraId="536BC041" w14:textId="77777777" w:rsidR="00086B48" w:rsidRDefault="00086B48" w:rsidP="008507D5">
      <w:pPr>
        <w:rPr>
          <w:rFonts w:ascii="Arial" w:hAnsi="Arial" w:cs="Arial"/>
        </w:rPr>
      </w:pPr>
    </w:p>
    <w:p w14:paraId="19086F76" w14:textId="77777777" w:rsidR="00086B48" w:rsidRDefault="00086B48" w:rsidP="008507D5">
      <w:pPr>
        <w:rPr>
          <w:rFonts w:ascii="Arial" w:hAnsi="Arial" w:cs="Arial"/>
        </w:rPr>
      </w:pPr>
    </w:p>
    <w:p w14:paraId="2D46FFDA" w14:textId="77777777" w:rsidR="00086B48" w:rsidRDefault="00086B48" w:rsidP="008507D5">
      <w:pPr>
        <w:rPr>
          <w:rFonts w:ascii="Arial" w:hAnsi="Arial" w:cs="Arial"/>
        </w:rPr>
      </w:pPr>
    </w:p>
    <w:p w14:paraId="74E0ACBB" w14:textId="77777777" w:rsidR="00086B48" w:rsidRDefault="00086B48" w:rsidP="008507D5">
      <w:pPr>
        <w:rPr>
          <w:rFonts w:ascii="Arial" w:hAnsi="Arial" w:cs="Arial"/>
        </w:rPr>
      </w:pPr>
    </w:p>
    <w:p w14:paraId="06491596" w14:textId="77777777" w:rsidR="00086B48" w:rsidRDefault="00086B48" w:rsidP="008507D5">
      <w:pPr>
        <w:rPr>
          <w:rFonts w:ascii="Arial" w:hAnsi="Arial" w:cs="Arial"/>
        </w:rPr>
      </w:pPr>
    </w:p>
    <w:p w14:paraId="40E296BD" w14:textId="77777777" w:rsidR="00086B48" w:rsidRDefault="00086B48" w:rsidP="008507D5">
      <w:pPr>
        <w:rPr>
          <w:rFonts w:ascii="Arial" w:hAnsi="Arial" w:cs="Arial"/>
        </w:rPr>
      </w:pPr>
    </w:p>
    <w:p w14:paraId="41F6E352" w14:textId="77777777" w:rsidR="003F32F9" w:rsidRDefault="003F32F9" w:rsidP="008507D5">
      <w:pPr>
        <w:rPr>
          <w:rFonts w:ascii="Arial" w:hAnsi="Arial" w:cs="Arial"/>
        </w:rPr>
      </w:pPr>
    </w:p>
    <w:p w14:paraId="379980D3" w14:textId="77777777" w:rsidR="00086B48" w:rsidRDefault="00086B48" w:rsidP="008507D5">
      <w:pPr>
        <w:rPr>
          <w:rFonts w:ascii="Arial" w:hAnsi="Arial" w:cs="Arial"/>
        </w:rPr>
      </w:pPr>
    </w:p>
    <w:p w14:paraId="04E53D84" w14:textId="05FF8D3D" w:rsidR="002E6C0B" w:rsidRDefault="002E6C0B" w:rsidP="002E6C0B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Supplementary Figure 5. Serious adverse effects of Janus kinase inhibitors versus placebo</w:t>
      </w:r>
      <w:r w:rsidR="00527632">
        <w:rPr>
          <w:rFonts w:ascii="Arial" w:hAnsi="Arial" w:cs="Arial"/>
        </w:rPr>
        <w:t xml:space="preserve"> or active comparator</w:t>
      </w:r>
      <w:r>
        <w:rPr>
          <w:rFonts w:ascii="Arial" w:hAnsi="Arial" w:cs="Arial"/>
        </w:rPr>
        <w:t>.</w:t>
      </w:r>
    </w:p>
    <w:p w14:paraId="45F67A5D" w14:textId="40BEBDF5" w:rsidR="00086B48" w:rsidRPr="00086B48" w:rsidRDefault="00086B48" w:rsidP="00086B48">
      <w:pPr>
        <w:rPr>
          <w:noProof/>
        </w:rPr>
      </w:pPr>
      <w:r w:rsidRPr="00086B48">
        <w:rPr>
          <w:noProof/>
        </w:rPr>
        <w:drawing>
          <wp:inline distT="0" distB="0" distL="0" distR="0" wp14:anchorId="132678D7" wp14:editId="5F837FC2">
            <wp:extent cx="8863330" cy="3895725"/>
            <wp:effectExtent l="0" t="0" r="0" b="9525"/>
            <wp:docPr id="310453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AAB98" w14:textId="77777777" w:rsidR="00795B99" w:rsidRDefault="00795B99" w:rsidP="002E6C0B">
      <w:pPr>
        <w:rPr>
          <w:noProof/>
        </w:rPr>
      </w:pPr>
    </w:p>
    <w:p w14:paraId="6062EAF1" w14:textId="77777777" w:rsidR="002E6C0B" w:rsidRDefault="002E6C0B" w:rsidP="002E6C0B">
      <w:pPr>
        <w:rPr>
          <w:rFonts w:ascii="Arial" w:hAnsi="Arial" w:cs="Arial"/>
        </w:rPr>
      </w:pPr>
      <w:r w:rsidRPr="002B6F0E">
        <w:rPr>
          <w:rFonts w:ascii="Arial" w:hAnsi="Arial" w:cs="Arial"/>
        </w:rPr>
        <w:t>Abbreviations:</w:t>
      </w:r>
    </w:p>
    <w:p w14:paraId="4DDC151D" w14:textId="77777777" w:rsidR="002E6C0B" w:rsidRDefault="002E6C0B" w:rsidP="002E6C0B">
      <w:pPr>
        <w:rPr>
          <w:rFonts w:ascii="Arial" w:hAnsi="Arial" w:cs="Arial"/>
        </w:rPr>
      </w:pPr>
      <w:r w:rsidRPr="002B6F0E">
        <w:rPr>
          <w:rFonts w:ascii="Arial" w:hAnsi="Arial" w:cs="Arial"/>
        </w:rPr>
        <w:t>AEs, adverse events; BID, twice daily; CI, confidence interval; JAK, Janus kinase; OR, odds ratio.</w:t>
      </w:r>
    </w:p>
    <w:p w14:paraId="0F22D327" w14:textId="77777777" w:rsidR="002E6C0B" w:rsidRDefault="002E6C0B" w:rsidP="002E6C0B">
      <w:pPr>
        <w:rPr>
          <w:rFonts w:ascii="Arial" w:hAnsi="Arial" w:cs="Arial"/>
        </w:rPr>
      </w:pPr>
      <w:r w:rsidRPr="0080754B"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  <w:vertAlign w:val="superscript"/>
        </w:rPr>
        <w:t xml:space="preserve"> </w:t>
      </w:r>
      <w:r w:rsidRPr="002B6F0E">
        <w:rPr>
          <w:rFonts w:ascii="Arial" w:hAnsi="Arial" w:cs="Arial"/>
        </w:rPr>
        <w:t>Refers to the BRAVE-AA1 trial in King et al., 2022.</w:t>
      </w:r>
    </w:p>
    <w:p w14:paraId="260D9F9E" w14:textId="77777777" w:rsidR="002E6C0B" w:rsidRPr="002B6F0E" w:rsidRDefault="002E6C0B" w:rsidP="002E6C0B">
      <w:pPr>
        <w:rPr>
          <w:rFonts w:ascii="Arial" w:hAnsi="Arial" w:cs="Arial"/>
        </w:rPr>
      </w:pPr>
      <w:r w:rsidRPr="0080754B">
        <w:rPr>
          <w:rFonts w:ascii="Arial" w:hAnsi="Arial" w:cs="Arial"/>
          <w:vertAlign w:val="superscript"/>
        </w:rPr>
        <w:lastRenderedPageBreak/>
        <w:t>b</w:t>
      </w:r>
      <w:r w:rsidRPr="002B6F0E">
        <w:rPr>
          <w:rFonts w:ascii="Arial" w:hAnsi="Arial" w:cs="Arial"/>
        </w:rPr>
        <w:t xml:space="preserve"> Refers to the BRAVE-AA2 trial in King et al., 2022.</w:t>
      </w:r>
    </w:p>
    <w:p w14:paraId="73B13388" w14:textId="77777777" w:rsidR="002E6C0B" w:rsidRPr="002B6F0E" w:rsidRDefault="002E6C0B" w:rsidP="002E6C0B">
      <w:pPr>
        <w:rPr>
          <w:rFonts w:ascii="Arial" w:hAnsi="Arial" w:cs="Arial"/>
        </w:rPr>
      </w:pPr>
      <w:r w:rsidRPr="0080754B">
        <w:rPr>
          <w:rFonts w:ascii="Arial" w:hAnsi="Arial" w:cs="Arial"/>
          <w:vertAlign w:val="superscript"/>
        </w:rPr>
        <w:t>c</w:t>
      </w:r>
      <w:r w:rsidRPr="002B6F0E">
        <w:rPr>
          <w:rFonts w:ascii="Arial" w:hAnsi="Arial" w:cs="Arial"/>
        </w:rPr>
        <w:t xml:space="preserve"> </w:t>
      </w:r>
      <w:proofErr w:type="spellStart"/>
      <w:r w:rsidRPr="002B6F0E">
        <w:rPr>
          <w:rFonts w:ascii="Arial" w:hAnsi="Arial" w:cs="Arial"/>
        </w:rPr>
        <w:t>Ritlecitinib</w:t>
      </w:r>
      <w:proofErr w:type="spellEnd"/>
      <w:r w:rsidRPr="002B6F0E">
        <w:rPr>
          <w:rFonts w:ascii="Arial" w:hAnsi="Arial" w:cs="Arial"/>
        </w:rPr>
        <w:t xml:space="preserve"> 200/30 mg refers to the regimen of 200 mg </w:t>
      </w:r>
      <w:r>
        <w:rPr>
          <w:rFonts w:ascii="Arial" w:hAnsi="Arial" w:cs="Arial"/>
        </w:rPr>
        <w:t>once daily</w:t>
      </w:r>
      <w:r w:rsidRPr="002B6F0E">
        <w:rPr>
          <w:rFonts w:ascii="Arial" w:hAnsi="Arial" w:cs="Arial"/>
        </w:rPr>
        <w:t xml:space="preserve"> for 4 weeks, followed by 30 mg </w:t>
      </w:r>
      <w:r>
        <w:rPr>
          <w:rFonts w:ascii="Arial" w:hAnsi="Arial" w:cs="Arial"/>
        </w:rPr>
        <w:t>once daily</w:t>
      </w:r>
      <w:r w:rsidRPr="002B6F0E">
        <w:rPr>
          <w:rFonts w:ascii="Arial" w:hAnsi="Arial" w:cs="Arial"/>
        </w:rPr>
        <w:t xml:space="preserve"> for 20 weeks.</w:t>
      </w:r>
    </w:p>
    <w:p w14:paraId="7012DF04" w14:textId="77777777" w:rsidR="002E6C0B" w:rsidRPr="002B6F0E" w:rsidRDefault="002E6C0B" w:rsidP="002E6C0B">
      <w:pPr>
        <w:rPr>
          <w:rFonts w:ascii="Arial" w:hAnsi="Arial" w:cs="Arial"/>
        </w:rPr>
      </w:pPr>
      <w:r w:rsidRPr="0080754B">
        <w:rPr>
          <w:rFonts w:ascii="Arial" w:hAnsi="Arial" w:cs="Arial"/>
          <w:vertAlign w:val="superscript"/>
        </w:rPr>
        <w:t>d</w:t>
      </w:r>
      <w:r w:rsidRPr="002B6F0E">
        <w:rPr>
          <w:rFonts w:ascii="Arial" w:hAnsi="Arial" w:cs="Arial"/>
        </w:rPr>
        <w:t xml:space="preserve"> </w:t>
      </w:r>
      <w:proofErr w:type="spellStart"/>
      <w:r w:rsidRPr="002B6F0E">
        <w:rPr>
          <w:rFonts w:ascii="Arial" w:hAnsi="Arial" w:cs="Arial"/>
        </w:rPr>
        <w:t>Ritlecitinib</w:t>
      </w:r>
      <w:proofErr w:type="spellEnd"/>
      <w:r w:rsidRPr="002B6F0E">
        <w:rPr>
          <w:rFonts w:ascii="Arial" w:hAnsi="Arial" w:cs="Arial"/>
        </w:rPr>
        <w:t xml:space="preserve"> 200/50 mg refers to the regimen of 200 mg </w:t>
      </w:r>
      <w:r>
        <w:rPr>
          <w:rFonts w:ascii="Arial" w:hAnsi="Arial" w:cs="Arial"/>
        </w:rPr>
        <w:t>once daily</w:t>
      </w:r>
      <w:r w:rsidRPr="002B6F0E">
        <w:rPr>
          <w:rFonts w:ascii="Arial" w:hAnsi="Arial" w:cs="Arial"/>
        </w:rPr>
        <w:t xml:space="preserve"> for 4 weeks, followed by 50 mg </w:t>
      </w:r>
      <w:r>
        <w:rPr>
          <w:rFonts w:ascii="Arial" w:hAnsi="Arial" w:cs="Arial"/>
        </w:rPr>
        <w:t>once daily</w:t>
      </w:r>
      <w:r w:rsidRPr="002B6F0E">
        <w:rPr>
          <w:rFonts w:ascii="Arial" w:hAnsi="Arial" w:cs="Arial"/>
        </w:rPr>
        <w:t xml:space="preserve"> for 20 weeks.</w:t>
      </w:r>
    </w:p>
    <w:p w14:paraId="1F028AFA" w14:textId="77777777" w:rsidR="002E6C0B" w:rsidRPr="002B6F0E" w:rsidRDefault="002E6C0B" w:rsidP="002E6C0B">
      <w:pPr>
        <w:rPr>
          <w:rFonts w:ascii="Arial" w:hAnsi="Arial" w:cs="Arial"/>
        </w:rPr>
      </w:pPr>
      <w:r w:rsidRPr="0080754B">
        <w:rPr>
          <w:rFonts w:ascii="Arial" w:hAnsi="Arial" w:cs="Arial"/>
          <w:vertAlign w:val="superscript"/>
        </w:rPr>
        <w:t>e</w:t>
      </w:r>
      <w:r w:rsidRPr="002B6F0E">
        <w:rPr>
          <w:rFonts w:ascii="Arial" w:hAnsi="Arial" w:cs="Arial"/>
        </w:rPr>
        <w:t xml:space="preserve"> </w:t>
      </w:r>
      <w:proofErr w:type="spellStart"/>
      <w:r w:rsidRPr="002B6F0E">
        <w:rPr>
          <w:rFonts w:ascii="Arial" w:hAnsi="Arial" w:cs="Arial"/>
        </w:rPr>
        <w:t>Brepocitinib</w:t>
      </w:r>
      <w:proofErr w:type="spellEnd"/>
      <w:r w:rsidRPr="002B6F0E">
        <w:rPr>
          <w:rFonts w:ascii="Arial" w:hAnsi="Arial" w:cs="Arial"/>
        </w:rPr>
        <w:t xml:space="preserve"> 60/30 mg refers to the regimen of 60 mg </w:t>
      </w:r>
      <w:r>
        <w:rPr>
          <w:rFonts w:ascii="Arial" w:hAnsi="Arial" w:cs="Arial"/>
        </w:rPr>
        <w:t>once daily</w:t>
      </w:r>
      <w:r w:rsidRPr="002B6F0E">
        <w:rPr>
          <w:rFonts w:ascii="Arial" w:hAnsi="Arial" w:cs="Arial"/>
        </w:rPr>
        <w:t xml:space="preserve"> for 4 weeks, followed by 30 mg </w:t>
      </w:r>
      <w:r>
        <w:rPr>
          <w:rFonts w:ascii="Arial" w:hAnsi="Arial" w:cs="Arial"/>
        </w:rPr>
        <w:t>once daily</w:t>
      </w:r>
      <w:r w:rsidRPr="002B6F0E">
        <w:rPr>
          <w:rFonts w:ascii="Arial" w:hAnsi="Arial" w:cs="Arial"/>
        </w:rPr>
        <w:t xml:space="preserve"> for 20 weeks.</w:t>
      </w:r>
    </w:p>
    <w:p w14:paraId="3F9A494D" w14:textId="77777777" w:rsidR="002E6C0B" w:rsidRDefault="002E6C0B" w:rsidP="002E6C0B">
      <w:pPr>
        <w:rPr>
          <w:rFonts w:ascii="Arial" w:hAnsi="Arial" w:cs="Arial"/>
        </w:rPr>
      </w:pPr>
      <w:r w:rsidRPr="002B6F0E">
        <w:rPr>
          <w:rFonts w:ascii="Arial" w:hAnsi="Arial" w:cs="Arial"/>
        </w:rPr>
        <w:t xml:space="preserve">* This study compared tofacitinib with azathioprine (2 mg/kg </w:t>
      </w:r>
      <w:r>
        <w:rPr>
          <w:rFonts w:ascii="Arial" w:hAnsi="Arial" w:cs="Arial"/>
        </w:rPr>
        <w:t>once daily</w:t>
      </w:r>
      <w:r w:rsidRPr="002B6F0E">
        <w:rPr>
          <w:rFonts w:ascii="Arial" w:hAnsi="Arial" w:cs="Arial"/>
        </w:rPr>
        <w:t>) rather than placebo.</w:t>
      </w:r>
    </w:p>
    <w:p w14:paraId="65987D59" w14:textId="77777777" w:rsidR="002E6C0B" w:rsidRPr="002B6F0E" w:rsidRDefault="002E6C0B" w:rsidP="002E6C0B">
      <w:pPr>
        <w:rPr>
          <w:rFonts w:ascii="Arial" w:hAnsi="Arial" w:cs="Arial"/>
        </w:rPr>
      </w:pPr>
    </w:p>
    <w:p w14:paraId="0E4021BB" w14:textId="3F9E5883" w:rsidR="002E6C0B" w:rsidRDefault="00496172" w:rsidP="002E6C0B">
      <w:pPr>
        <w:rPr>
          <w:rFonts w:ascii="Arial" w:hAnsi="Arial" w:cs="Arial"/>
        </w:rPr>
      </w:pPr>
      <w:r w:rsidRPr="00496172">
        <w:rPr>
          <w:rFonts w:ascii="Arial" w:hAnsi="Arial" w:cs="Arial"/>
        </w:rPr>
        <w:t>Study references: Anderson et al., 2024 [31]; King et al., 2021 (</w:t>
      </w:r>
      <w:r>
        <w:rPr>
          <w:rFonts w:ascii="Arial" w:hAnsi="Arial" w:cs="Arial"/>
        </w:rPr>
        <w:t>b</w:t>
      </w:r>
      <w:r w:rsidRPr="00496172">
        <w:rPr>
          <w:rFonts w:ascii="Arial" w:hAnsi="Arial" w:cs="Arial"/>
        </w:rPr>
        <w:t>aricitinib) [29]; King et al., 2021 (</w:t>
      </w:r>
      <w:proofErr w:type="spellStart"/>
      <w:r>
        <w:rPr>
          <w:rFonts w:ascii="Arial" w:hAnsi="Arial" w:cs="Arial"/>
        </w:rPr>
        <w:t>r</w:t>
      </w:r>
      <w:r w:rsidRPr="00760D33">
        <w:rPr>
          <w:rFonts w:ascii="Arial" w:hAnsi="Arial" w:cs="Arial"/>
        </w:rPr>
        <w:t>itlecitinib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brepocitinib</w:t>
      </w:r>
      <w:proofErr w:type="spellEnd"/>
      <w:r w:rsidRPr="00496172">
        <w:rPr>
          <w:rFonts w:ascii="Arial" w:hAnsi="Arial" w:cs="Arial"/>
        </w:rPr>
        <w:t xml:space="preserve">) [15]; King et al., 2022a &amp; 2022b [18]; King et al., 2022 [30]; King et al., 2023 [16]; King et al., 2024 [17]; Paracha et al., 2024 [27]; </w:t>
      </w:r>
      <w:proofErr w:type="spellStart"/>
      <w:r w:rsidRPr="00496172">
        <w:rPr>
          <w:rFonts w:ascii="Arial" w:hAnsi="Arial" w:cs="Arial"/>
        </w:rPr>
        <w:t>Tsianakas</w:t>
      </w:r>
      <w:proofErr w:type="spellEnd"/>
      <w:r w:rsidRPr="00496172">
        <w:rPr>
          <w:rFonts w:ascii="Arial" w:hAnsi="Arial" w:cs="Arial"/>
        </w:rPr>
        <w:t xml:space="preserve"> et al., 2025 [28]; Zhou et al., 2023 [19]; Zhou et al., 2025 [20].</w:t>
      </w:r>
    </w:p>
    <w:p w14:paraId="6D07DE56" w14:textId="77777777" w:rsidR="00AE6A71" w:rsidRDefault="00AE6A71" w:rsidP="002E6C0B">
      <w:pPr>
        <w:rPr>
          <w:rFonts w:ascii="Arial" w:hAnsi="Arial" w:cs="Arial"/>
        </w:rPr>
      </w:pPr>
    </w:p>
    <w:p w14:paraId="5719CE6F" w14:textId="77777777" w:rsidR="00AE6A71" w:rsidRDefault="00AE6A71" w:rsidP="002E6C0B">
      <w:pPr>
        <w:rPr>
          <w:rFonts w:ascii="Arial" w:hAnsi="Arial" w:cs="Arial"/>
        </w:rPr>
      </w:pPr>
    </w:p>
    <w:p w14:paraId="788F7B28" w14:textId="77777777" w:rsidR="00AE6A71" w:rsidRDefault="00AE6A71" w:rsidP="002E6C0B">
      <w:pPr>
        <w:rPr>
          <w:rFonts w:ascii="Arial" w:hAnsi="Arial" w:cs="Arial"/>
        </w:rPr>
      </w:pPr>
    </w:p>
    <w:p w14:paraId="1F7328E0" w14:textId="77777777" w:rsidR="00AE6A71" w:rsidRDefault="00AE6A71" w:rsidP="002E6C0B">
      <w:pPr>
        <w:rPr>
          <w:rFonts w:ascii="Arial" w:hAnsi="Arial" w:cs="Arial"/>
        </w:rPr>
      </w:pPr>
    </w:p>
    <w:p w14:paraId="68A1A65F" w14:textId="77777777" w:rsidR="00AE6A71" w:rsidRDefault="00AE6A71" w:rsidP="002E6C0B">
      <w:pPr>
        <w:rPr>
          <w:rFonts w:ascii="Arial" w:hAnsi="Arial" w:cs="Arial"/>
        </w:rPr>
      </w:pPr>
    </w:p>
    <w:p w14:paraId="723726D7" w14:textId="77777777" w:rsidR="00496172" w:rsidRDefault="00496172" w:rsidP="002E6C0B">
      <w:pPr>
        <w:rPr>
          <w:rFonts w:ascii="Arial" w:hAnsi="Arial" w:cs="Arial"/>
        </w:rPr>
      </w:pPr>
    </w:p>
    <w:p w14:paraId="6C22F99F" w14:textId="77777777" w:rsidR="00496172" w:rsidRDefault="00496172" w:rsidP="002E6C0B">
      <w:pPr>
        <w:rPr>
          <w:rFonts w:ascii="Arial" w:hAnsi="Arial" w:cs="Arial"/>
        </w:rPr>
      </w:pPr>
    </w:p>
    <w:p w14:paraId="4E6858FA" w14:textId="77777777" w:rsidR="007D0EBE" w:rsidRDefault="007D0EBE" w:rsidP="002E6C0B">
      <w:pPr>
        <w:rPr>
          <w:rFonts w:ascii="Arial" w:hAnsi="Arial" w:cs="Arial"/>
        </w:rPr>
      </w:pPr>
    </w:p>
    <w:p w14:paraId="4AECEF54" w14:textId="77777777" w:rsidR="00496172" w:rsidRDefault="00496172" w:rsidP="002E6C0B">
      <w:pPr>
        <w:rPr>
          <w:rFonts w:ascii="Arial" w:hAnsi="Arial" w:cs="Arial"/>
        </w:rPr>
      </w:pPr>
    </w:p>
    <w:p w14:paraId="554958DA" w14:textId="77777777" w:rsidR="00AE6A71" w:rsidRDefault="00AE6A71" w:rsidP="002E6C0B">
      <w:pPr>
        <w:rPr>
          <w:rFonts w:ascii="Arial" w:hAnsi="Arial" w:cs="Arial"/>
        </w:rPr>
      </w:pPr>
    </w:p>
    <w:p w14:paraId="6665391D" w14:textId="377B9921" w:rsidR="00AE6A71" w:rsidRDefault="00AE6A71" w:rsidP="00AE6A71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Supplementary Figure 6. Discontinuation due to adverse events of Janus kinase inhibitors versus placebo</w:t>
      </w:r>
      <w:r w:rsidR="00527632">
        <w:rPr>
          <w:rFonts w:ascii="Arial" w:hAnsi="Arial" w:cs="Arial"/>
        </w:rPr>
        <w:t xml:space="preserve"> or active comparator</w:t>
      </w:r>
      <w:r>
        <w:rPr>
          <w:rFonts w:ascii="Arial" w:hAnsi="Arial" w:cs="Arial"/>
        </w:rPr>
        <w:t>.</w:t>
      </w:r>
    </w:p>
    <w:p w14:paraId="2DD78C62" w14:textId="619DB48A" w:rsidR="00086B48" w:rsidRPr="00086B48" w:rsidRDefault="00086B48" w:rsidP="00086B48">
      <w:pPr>
        <w:rPr>
          <w:noProof/>
        </w:rPr>
      </w:pPr>
      <w:r w:rsidRPr="00086B48">
        <w:rPr>
          <w:noProof/>
        </w:rPr>
        <w:drawing>
          <wp:inline distT="0" distB="0" distL="0" distR="0" wp14:anchorId="7DB1ECD4" wp14:editId="3921C4B1">
            <wp:extent cx="8863330" cy="3917950"/>
            <wp:effectExtent l="0" t="0" r="0" b="6350"/>
            <wp:docPr id="9678154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CFDA1" w14:textId="0AF61C19" w:rsidR="00AE6A71" w:rsidRDefault="00AE6A71" w:rsidP="00AE6A71">
      <w:pPr>
        <w:rPr>
          <w:noProof/>
        </w:rPr>
      </w:pPr>
    </w:p>
    <w:p w14:paraId="28AAD924" w14:textId="77777777" w:rsidR="00AE6A71" w:rsidRDefault="00AE6A71" w:rsidP="00AE6A71">
      <w:pPr>
        <w:rPr>
          <w:rFonts w:ascii="Arial" w:hAnsi="Arial" w:cs="Arial"/>
        </w:rPr>
      </w:pPr>
      <w:r w:rsidRPr="002B6F0E">
        <w:rPr>
          <w:rFonts w:ascii="Arial" w:hAnsi="Arial" w:cs="Arial"/>
        </w:rPr>
        <w:t>Abbreviations:</w:t>
      </w:r>
    </w:p>
    <w:p w14:paraId="3D58F0C7" w14:textId="77777777" w:rsidR="00AE6A71" w:rsidRDefault="00AE6A71" w:rsidP="00AE6A71">
      <w:pPr>
        <w:rPr>
          <w:rFonts w:ascii="Arial" w:hAnsi="Arial" w:cs="Arial"/>
        </w:rPr>
      </w:pPr>
      <w:r w:rsidRPr="002B6F0E">
        <w:rPr>
          <w:rFonts w:ascii="Arial" w:hAnsi="Arial" w:cs="Arial"/>
        </w:rPr>
        <w:t>AEs, adverse events; BID, twice daily; CI, confidence interval; JAK, Janus kinase; OR, odds ratio.</w:t>
      </w:r>
    </w:p>
    <w:p w14:paraId="1819CCB3" w14:textId="77777777" w:rsidR="00AE6A71" w:rsidRPr="002B6F0E" w:rsidRDefault="00AE6A71" w:rsidP="00AE6A71">
      <w:pPr>
        <w:rPr>
          <w:rFonts w:ascii="Arial" w:hAnsi="Arial" w:cs="Arial"/>
        </w:rPr>
      </w:pPr>
      <w:bookmarkStart w:id="2" w:name="_Hlk217768144"/>
      <w:r w:rsidRPr="0080754B"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  <w:vertAlign w:val="superscript"/>
        </w:rPr>
        <w:t xml:space="preserve"> </w:t>
      </w:r>
      <w:r w:rsidRPr="002B6F0E">
        <w:rPr>
          <w:rFonts w:ascii="Arial" w:hAnsi="Arial" w:cs="Arial"/>
        </w:rPr>
        <w:t>Refers to the BRAVE-AA1 trial in King et al., 2022.</w:t>
      </w:r>
    </w:p>
    <w:p w14:paraId="30CEB0AA" w14:textId="77777777" w:rsidR="00AE6A71" w:rsidRPr="002B6F0E" w:rsidRDefault="00AE6A71" w:rsidP="00AE6A71">
      <w:pPr>
        <w:rPr>
          <w:rFonts w:ascii="Arial" w:hAnsi="Arial" w:cs="Arial"/>
        </w:rPr>
      </w:pPr>
      <w:r w:rsidRPr="0080754B">
        <w:rPr>
          <w:rFonts w:ascii="Arial" w:hAnsi="Arial" w:cs="Arial"/>
          <w:vertAlign w:val="superscript"/>
        </w:rPr>
        <w:lastRenderedPageBreak/>
        <w:t>b</w:t>
      </w:r>
      <w:r w:rsidRPr="002B6F0E">
        <w:rPr>
          <w:rFonts w:ascii="Arial" w:hAnsi="Arial" w:cs="Arial"/>
        </w:rPr>
        <w:t xml:space="preserve"> Refers to the BRAVE-AA2 trial in King et al., 2022.</w:t>
      </w:r>
    </w:p>
    <w:p w14:paraId="045C4819" w14:textId="77777777" w:rsidR="00AE6A71" w:rsidRPr="002B6F0E" w:rsidRDefault="00AE6A71" w:rsidP="00AE6A71">
      <w:pPr>
        <w:rPr>
          <w:rFonts w:ascii="Arial" w:hAnsi="Arial" w:cs="Arial"/>
        </w:rPr>
      </w:pPr>
      <w:r w:rsidRPr="0080754B">
        <w:rPr>
          <w:rFonts w:ascii="Arial" w:hAnsi="Arial" w:cs="Arial"/>
          <w:vertAlign w:val="superscript"/>
        </w:rPr>
        <w:t>c</w:t>
      </w:r>
      <w:r w:rsidRPr="002B6F0E">
        <w:rPr>
          <w:rFonts w:ascii="Arial" w:hAnsi="Arial" w:cs="Arial"/>
        </w:rPr>
        <w:t xml:space="preserve"> </w:t>
      </w:r>
      <w:proofErr w:type="spellStart"/>
      <w:r w:rsidRPr="002B6F0E">
        <w:rPr>
          <w:rFonts w:ascii="Arial" w:hAnsi="Arial" w:cs="Arial"/>
        </w:rPr>
        <w:t>Ritlecitinib</w:t>
      </w:r>
      <w:proofErr w:type="spellEnd"/>
      <w:r w:rsidRPr="002B6F0E">
        <w:rPr>
          <w:rFonts w:ascii="Arial" w:hAnsi="Arial" w:cs="Arial"/>
        </w:rPr>
        <w:t xml:space="preserve"> 200/30 mg refers to the regimen of 200 mg </w:t>
      </w:r>
      <w:r>
        <w:rPr>
          <w:rFonts w:ascii="Arial" w:hAnsi="Arial" w:cs="Arial"/>
        </w:rPr>
        <w:t>once daily</w:t>
      </w:r>
      <w:r w:rsidRPr="002B6F0E">
        <w:rPr>
          <w:rFonts w:ascii="Arial" w:hAnsi="Arial" w:cs="Arial"/>
        </w:rPr>
        <w:t xml:space="preserve"> for 4 weeks, followed by 30 mg </w:t>
      </w:r>
      <w:r>
        <w:rPr>
          <w:rFonts w:ascii="Arial" w:hAnsi="Arial" w:cs="Arial"/>
        </w:rPr>
        <w:t>once daily</w:t>
      </w:r>
      <w:r w:rsidRPr="002B6F0E">
        <w:rPr>
          <w:rFonts w:ascii="Arial" w:hAnsi="Arial" w:cs="Arial"/>
        </w:rPr>
        <w:t xml:space="preserve"> for 20 weeks.</w:t>
      </w:r>
    </w:p>
    <w:p w14:paraId="63468E7E" w14:textId="77777777" w:rsidR="00AE6A71" w:rsidRPr="002B6F0E" w:rsidRDefault="00AE6A71" w:rsidP="00AE6A71">
      <w:pPr>
        <w:rPr>
          <w:rFonts w:ascii="Arial" w:hAnsi="Arial" w:cs="Arial"/>
        </w:rPr>
      </w:pPr>
      <w:r w:rsidRPr="0080754B">
        <w:rPr>
          <w:rFonts w:ascii="Arial" w:hAnsi="Arial" w:cs="Arial"/>
          <w:vertAlign w:val="superscript"/>
        </w:rPr>
        <w:t>d</w:t>
      </w:r>
      <w:r w:rsidRPr="002B6F0E">
        <w:rPr>
          <w:rFonts w:ascii="Arial" w:hAnsi="Arial" w:cs="Arial"/>
        </w:rPr>
        <w:t xml:space="preserve"> </w:t>
      </w:r>
      <w:proofErr w:type="spellStart"/>
      <w:r w:rsidRPr="002B6F0E">
        <w:rPr>
          <w:rFonts w:ascii="Arial" w:hAnsi="Arial" w:cs="Arial"/>
        </w:rPr>
        <w:t>Ritlecitinib</w:t>
      </w:r>
      <w:proofErr w:type="spellEnd"/>
      <w:r w:rsidRPr="002B6F0E">
        <w:rPr>
          <w:rFonts w:ascii="Arial" w:hAnsi="Arial" w:cs="Arial"/>
        </w:rPr>
        <w:t xml:space="preserve"> 200/50 mg refers to the regimen of 200 mg </w:t>
      </w:r>
      <w:r>
        <w:rPr>
          <w:rFonts w:ascii="Arial" w:hAnsi="Arial" w:cs="Arial"/>
        </w:rPr>
        <w:t>once daily</w:t>
      </w:r>
      <w:r w:rsidRPr="002B6F0E">
        <w:rPr>
          <w:rFonts w:ascii="Arial" w:hAnsi="Arial" w:cs="Arial"/>
        </w:rPr>
        <w:t xml:space="preserve"> for 4 weeks, followed by 50 mg </w:t>
      </w:r>
      <w:r>
        <w:rPr>
          <w:rFonts w:ascii="Arial" w:hAnsi="Arial" w:cs="Arial"/>
        </w:rPr>
        <w:t>once daily</w:t>
      </w:r>
      <w:r w:rsidRPr="002B6F0E">
        <w:rPr>
          <w:rFonts w:ascii="Arial" w:hAnsi="Arial" w:cs="Arial"/>
        </w:rPr>
        <w:t xml:space="preserve"> for 20 weeks.</w:t>
      </w:r>
    </w:p>
    <w:p w14:paraId="24D56672" w14:textId="77777777" w:rsidR="00AE6A71" w:rsidRPr="002B6F0E" w:rsidRDefault="00AE6A71" w:rsidP="00AE6A71">
      <w:pPr>
        <w:rPr>
          <w:rFonts w:ascii="Arial" w:hAnsi="Arial" w:cs="Arial"/>
        </w:rPr>
      </w:pPr>
      <w:r w:rsidRPr="0080754B">
        <w:rPr>
          <w:rFonts w:ascii="Arial" w:hAnsi="Arial" w:cs="Arial"/>
          <w:vertAlign w:val="superscript"/>
        </w:rPr>
        <w:t>e</w:t>
      </w:r>
      <w:r w:rsidRPr="002B6F0E">
        <w:rPr>
          <w:rFonts w:ascii="Arial" w:hAnsi="Arial" w:cs="Arial"/>
        </w:rPr>
        <w:t xml:space="preserve"> </w:t>
      </w:r>
      <w:proofErr w:type="spellStart"/>
      <w:r w:rsidRPr="002B6F0E">
        <w:rPr>
          <w:rFonts w:ascii="Arial" w:hAnsi="Arial" w:cs="Arial"/>
        </w:rPr>
        <w:t>Brepocitinib</w:t>
      </w:r>
      <w:proofErr w:type="spellEnd"/>
      <w:r w:rsidRPr="002B6F0E">
        <w:rPr>
          <w:rFonts w:ascii="Arial" w:hAnsi="Arial" w:cs="Arial"/>
        </w:rPr>
        <w:t xml:space="preserve"> 60/30 mg refers to the regimen of 60 mg </w:t>
      </w:r>
      <w:r>
        <w:rPr>
          <w:rFonts w:ascii="Arial" w:hAnsi="Arial" w:cs="Arial"/>
        </w:rPr>
        <w:t>once daily</w:t>
      </w:r>
      <w:r w:rsidRPr="002B6F0E">
        <w:rPr>
          <w:rFonts w:ascii="Arial" w:hAnsi="Arial" w:cs="Arial"/>
        </w:rPr>
        <w:t xml:space="preserve"> for 4 weeks, followed by 30 mg </w:t>
      </w:r>
      <w:r>
        <w:rPr>
          <w:rFonts w:ascii="Arial" w:hAnsi="Arial" w:cs="Arial"/>
        </w:rPr>
        <w:t>once daily</w:t>
      </w:r>
      <w:r w:rsidRPr="002B6F0E">
        <w:rPr>
          <w:rFonts w:ascii="Arial" w:hAnsi="Arial" w:cs="Arial"/>
        </w:rPr>
        <w:t xml:space="preserve"> for 20 weeks.</w:t>
      </w:r>
    </w:p>
    <w:p w14:paraId="29C7E1C2" w14:textId="77777777" w:rsidR="00AE6A71" w:rsidRDefault="00AE6A71" w:rsidP="00AE6A71">
      <w:pPr>
        <w:rPr>
          <w:rFonts w:ascii="Arial" w:hAnsi="Arial" w:cs="Arial"/>
        </w:rPr>
      </w:pPr>
      <w:r w:rsidRPr="002B6F0E">
        <w:rPr>
          <w:rFonts w:ascii="Arial" w:hAnsi="Arial" w:cs="Arial"/>
        </w:rPr>
        <w:t xml:space="preserve">* This study compared tofacitinib with azathioprine (2 mg/kg </w:t>
      </w:r>
      <w:r>
        <w:rPr>
          <w:rFonts w:ascii="Arial" w:hAnsi="Arial" w:cs="Arial"/>
        </w:rPr>
        <w:t>once daily</w:t>
      </w:r>
      <w:r w:rsidRPr="002B6F0E">
        <w:rPr>
          <w:rFonts w:ascii="Arial" w:hAnsi="Arial" w:cs="Arial"/>
        </w:rPr>
        <w:t>) rather than placebo.</w:t>
      </w:r>
      <w:bookmarkEnd w:id="2"/>
    </w:p>
    <w:p w14:paraId="18E6FECC" w14:textId="77777777" w:rsidR="00496172" w:rsidRPr="00496172" w:rsidRDefault="00496172" w:rsidP="002E6C0B">
      <w:pPr>
        <w:rPr>
          <w:rFonts w:ascii="Arial" w:hAnsi="Arial" w:cs="Arial"/>
        </w:rPr>
      </w:pPr>
    </w:p>
    <w:p w14:paraId="032C59EC" w14:textId="4388E19C" w:rsidR="00496172" w:rsidRPr="008507D5" w:rsidRDefault="00496172" w:rsidP="002E6C0B">
      <w:pPr>
        <w:rPr>
          <w:rFonts w:ascii="Arial" w:hAnsi="Arial" w:cs="Arial"/>
        </w:rPr>
      </w:pPr>
      <w:r w:rsidRPr="00496172">
        <w:rPr>
          <w:rFonts w:ascii="Arial" w:hAnsi="Arial" w:cs="Arial"/>
        </w:rPr>
        <w:t>Study references: Anderson et al., 2024 [31]; King et al., 2021 (</w:t>
      </w:r>
      <w:r>
        <w:rPr>
          <w:rFonts w:ascii="Arial" w:hAnsi="Arial" w:cs="Arial"/>
        </w:rPr>
        <w:t>b</w:t>
      </w:r>
      <w:r w:rsidRPr="00496172">
        <w:rPr>
          <w:rFonts w:ascii="Arial" w:hAnsi="Arial" w:cs="Arial"/>
        </w:rPr>
        <w:t>aricitinib) [29]; King et al., 2021 (</w:t>
      </w:r>
      <w:proofErr w:type="spellStart"/>
      <w:r>
        <w:rPr>
          <w:rFonts w:ascii="Arial" w:hAnsi="Arial" w:cs="Arial"/>
        </w:rPr>
        <w:t>r</w:t>
      </w:r>
      <w:r w:rsidRPr="00760D33">
        <w:rPr>
          <w:rFonts w:ascii="Arial" w:hAnsi="Arial" w:cs="Arial"/>
        </w:rPr>
        <w:t>itlecitinib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brepocitinib</w:t>
      </w:r>
      <w:proofErr w:type="spellEnd"/>
      <w:r w:rsidRPr="00496172">
        <w:rPr>
          <w:rFonts w:ascii="Arial" w:hAnsi="Arial" w:cs="Arial"/>
        </w:rPr>
        <w:t xml:space="preserve">) [15]; King et al., 2022a &amp; 2022b [18]; King et al., 2022 [30]; King et al., 2023 [16]; King et al., 2024 [17]; Paracha et al., 2024 [27]; </w:t>
      </w:r>
      <w:proofErr w:type="spellStart"/>
      <w:r w:rsidRPr="00496172">
        <w:rPr>
          <w:rFonts w:ascii="Arial" w:hAnsi="Arial" w:cs="Arial"/>
        </w:rPr>
        <w:t>Tsianakas</w:t>
      </w:r>
      <w:proofErr w:type="spellEnd"/>
      <w:r w:rsidRPr="00496172">
        <w:rPr>
          <w:rFonts w:ascii="Arial" w:hAnsi="Arial" w:cs="Arial"/>
        </w:rPr>
        <w:t xml:space="preserve"> et al., 2025 [28]; Zhou et al., 2023 [19]; Zhou et al., 2025 [20].</w:t>
      </w:r>
    </w:p>
    <w:sectPr w:rsidR="00496172" w:rsidRPr="008507D5" w:rsidSect="008507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6AF"/>
    <w:rsid w:val="0000212A"/>
    <w:rsid w:val="00023F7F"/>
    <w:rsid w:val="00071E26"/>
    <w:rsid w:val="00086B48"/>
    <w:rsid w:val="00096828"/>
    <w:rsid w:val="001621B1"/>
    <w:rsid w:val="002B6F0E"/>
    <w:rsid w:val="002E6C0B"/>
    <w:rsid w:val="003F32F9"/>
    <w:rsid w:val="004159B7"/>
    <w:rsid w:val="00496172"/>
    <w:rsid w:val="00527632"/>
    <w:rsid w:val="005C6BCE"/>
    <w:rsid w:val="006C30A2"/>
    <w:rsid w:val="006E36AF"/>
    <w:rsid w:val="006F76D2"/>
    <w:rsid w:val="0071369A"/>
    <w:rsid w:val="00720025"/>
    <w:rsid w:val="00763A82"/>
    <w:rsid w:val="00795B99"/>
    <w:rsid w:val="007D0EBE"/>
    <w:rsid w:val="0083762D"/>
    <w:rsid w:val="008507D5"/>
    <w:rsid w:val="00922FE4"/>
    <w:rsid w:val="009611F4"/>
    <w:rsid w:val="009775A1"/>
    <w:rsid w:val="009C6B7B"/>
    <w:rsid w:val="00A23735"/>
    <w:rsid w:val="00AD32BA"/>
    <w:rsid w:val="00AE6A71"/>
    <w:rsid w:val="00B207A0"/>
    <w:rsid w:val="00BD1087"/>
    <w:rsid w:val="00C400F6"/>
    <w:rsid w:val="00CF49B8"/>
    <w:rsid w:val="00D42BCA"/>
    <w:rsid w:val="00DC264E"/>
    <w:rsid w:val="00E62E38"/>
    <w:rsid w:val="00ED610C"/>
    <w:rsid w:val="00FD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78D0B"/>
  <w15:chartTrackingRefBased/>
  <w15:docId w15:val="{B7E51407-1916-4B73-B9E9-A0BD4067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3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3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3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3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3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6A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B207A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D27A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samuel.h.morris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D581A-D2DB-4F91-860C-EFAA92E88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Morriss</dc:creator>
  <cp:keywords/>
  <dc:description/>
  <cp:lastModifiedBy>Samuel Morriss</cp:lastModifiedBy>
  <cp:revision>3</cp:revision>
  <cp:lastPrinted>2026-06-20T02:34:00Z</cp:lastPrinted>
  <dcterms:created xsi:type="dcterms:W3CDTF">2026-06-20T07:28:00Z</dcterms:created>
  <dcterms:modified xsi:type="dcterms:W3CDTF">2026-07-01T00:43:00Z</dcterms:modified>
</cp:coreProperties>
</file>