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B4E" w:rsidRPr="00A576B8" w:rsidRDefault="008F5B4E" w:rsidP="008F5B4E">
      <w:pPr>
        <w:pStyle w:val="Heading2"/>
        <w:numPr>
          <w:ilvl w:val="0"/>
          <w:numId w:val="0"/>
        </w:numPr>
        <w:spacing w:line="480" w:lineRule="auto"/>
        <w:rPr>
          <w:sz w:val="22"/>
          <w:szCs w:val="22"/>
          <w:lang w:val="en-GB"/>
        </w:rPr>
      </w:pPr>
      <w:bookmarkStart w:id="0" w:name="_Ref411946139"/>
      <w:r w:rsidRPr="00A576B8">
        <w:rPr>
          <w:sz w:val="22"/>
          <w:szCs w:val="22"/>
          <w:lang w:val="en-GB"/>
        </w:rPr>
        <w:t>Cost-effectiveness of insulin degludec and liraglutide (IDegLira) in a fixed combination for uncontrolled type 2 diabetes in Sweden</w:t>
      </w:r>
    </w:p>
    <w:p w:rsidR="008F5B4E" w:rsidRPr="00A576B8" w:rsidRDefault="008F5B4E" w:rsidP="008F5B4E">
      <w:pPr>
        <w:spacing w:line="480" w:lineRule="auto"/>
        <w:rPr>
          <w:lang w:val="en-GB"/>
        </w:rPr>
      </w:pPr>
    </w:p>
    <w:p w:rsidR="008F5B4E" w:rsidRPr="00A576B8" w:rsidRDefault="008F5B4E" w:rsidP="008F5B4E">
      <w:pPr>
        <w:spacing w:line="480" w:lineRule="auto"/>
        <w:rPr>
          <w:b/>
          <w:lang w:val="en-GB"/>
        </w:rPr>
      </w:pPr>
      <w:r w:rsidRPr="00A576B8">
        <w:rPr>
          <w:b/>
          <w:lang w:val="en-GB"/>
        </w:rPr>
        <w:t xml:space="preserve">Authors: </w:t>
      </w:r>
      <w:r w:rsidRPr="00A576B8">
        <w:rPr>
          <w:lang w:val="en-GB"/>
        </w:rPr>
        <w:t>Åsa Ericsson</w:t>
      </w:r>
      <w:r w:rsidRPr="00A576B8">
        <w:rPr>
          <w:vertAlign w:val="superscript"/>
          <w:lang w:val="en-GB"/>
        </w:rPr>
        <w:t>1</w:t>
      </w:r>
      <w:r w:rsidR="00F73846" w:rsidRPr="00A576B8">
        <w:rPr>
          <w:lang w:val="en-GB"/>
        </w:rPr>
        <w:t>, Adam</w:t>
      </w:r>
      <w:r w:rsidRPr="00A576B8">
        <w:rPr>
          <w:lang w:val="en-GB"/>
        </w:rPr>
        <w:t xml:space="preserve"> Lundqvist</w:t>
      </w:r>
      <w:r w:rsidRPr="00A576B8">
        <w:rPr>
          <w:vertAlign w:val="superscript"/>
          <w:lang w:val="en-GB"/>
        </w:rPr>
        <w:t>2</w:t>
      </w:r>
    </w:p>
    <w:p w:rsidR="008F5B4E" w:rsidRPr="00A576B8" w:rsidRDefault="008F5B4E" w:rsidP="008F5B4E">
      <w:pPr>
        <w:pStyle w:val="Footer"/>
        <w:tabs>
          <w:tab w:val="clear" w:pos="4680"/>
          <w:tab w:val="left" w:pos="3686"/>
          <w:tab w:val="center" w:pos="3828"/>
        </w:tabs>
        <w:spacing w:before="0" w:after="0"/>
        <w:rPr>
          <w:b/>
          <w:sz w:val="22"/>
        </w:rPr>
      </w:pPr>
      <w:proofErr w:type="spellStart"/>
      <w:r w:rsidRPr="00A576B8">
        <w:rPr>
          <w:b/>
          <w:sz w:val="22"/>
        </w:rPr>
        <w:t>Affliations</w:t>
      </w:r>
      <w:proofErr w:type="spellEnd"/>
      <w:r w:rsidRPr="00A576B8">
        <w:rPr>
          <w:b/>
          <w:sz w:val="22"/>
        </w:rPr>
        <w:t>:</w:t>
      </w:r>
    </w:p>
    <w:p w:rsidR="008F5B4E" w:rsidRPr="00A576B8" w:rsidRDefault="008F5B4E" w:rsidP="008F5B4E">
      <w:pPr>
        <w:pStyle w:val="Footer"/>
        <w:tabs>
          <w:tab w:val="clear" w:pos="4680"/>
          <w:tab w:val="left" w:pos="3686"/>
          <w:tab w:val="center" w:pos="3828"/>
        </w:tabs>
        <w:spacing w:before="0" w:after="0"/>
        <w:rPr>
          <w:sz w:val="22"/>
        </w:rPr>
      </w:pPr>
      <w:r w:rsidRPr="00A576B8">
        <w:rPr>
          <w:sz w:val="22"/>
          <w:vertAlign w:val="superscript"/>
        </w:rPr>
        <w:t>1</w:t>
      </w:r>
      <w:r w:rsidRPr="00A576B8">
        <w:rPr>
          <w:sz w:val="22"/>
        </w:rPr>
        <w:t>Novo Nordisk Scandinavia AB, Sweden</w:t>
      </w:r>
    </w:p>
    <w:p w:rsidR="008F5B4E" w:rsidRPr="00A576B8" w:rsidRDefault="008F5B4E" w:rsidP="008F5B4E">
      <w:pPr>
        <w:pStyle w:val="Footer"/>
        <w:tabs>
          <w:tab w:val="clear" w:pos="4680"/>
          <w:tab w:val="left" w:pos="3686"/>
          <w:tab w:val="center" w:pos="3828"/>
        </w:tabs>
        <w:spacing w:before="0" w:after="0"/>
        <w:rPr>
          <w:sz w:val="22"/>
        </w:rPr>
      </w:pPr>
      <w:r w:rsidRPr="00A576B8">
        <w:rPr>
          <w:sz w:val="22"/>
          <w:vertAlign w:val="superscript"/>
        </w:rPr>
        <w:t>2</w:t>
      </w:r>
      <w:r w:rsidRPr="00A576B8">
        <w:rPr>
          <w:sz w:val="22"/>
        </w:rPr>
        <w:t xml:space="preserve">IHE, </w:t>
      </w:r>
      <w:proofErr w:type="gramStart"/>
      <w:r w:rsidRPr="00A576B8">
        <w:rPr>
          <w:sz w:val="22"/>
        </w:rPr>
        <w:t>The</w:t>
      </w:r>
      <w:proofErr w:type="gramEnd"/>
      <w:r w:rsidRPr="00A576B8">
        <w:rPr>
          <w:sz w:val="22"/>
        </w:rPr>
        <w:t xml:space="preserve"> Swedish Institute for Health Economics, Sweden</w:t>
      </w:r>
    </w:p>
    <w:p w:rsidR="008F5B4E" w:rsidRPr="00A576B8" w:rsidRDefault="008F5B4E" w:rsidP="008F5B4E">
      <w:pPr>
        <w:pStyle w:val="Footer"/>
        <w:tabs>
          <w:tab w:val="clear" w:pos="4680"/>
          <w:tab w:val="left" w:pos="3686"/>
          <w:tab w:val="center" w:pos="3828"/>
        </w:tabs>
        <w:spacing w:before="0" w:after="0"/>
        <w:rPr>
          <w:b/>
          <w:sz w:val="22"/>
        </w:rPr>
      </w:pPr>
      <w:r w:rsidRPr="00A576B8">
        <w:rPr>
          <w:b/>
          <w:sz w:val="22"/>
        </w:rPr>
        <w:tab/>
      </w:r>
    </w:p>
    <w:p w:rsidR="008F5B4E" w:rsidRPr="00A576B8" w:rsidRDefault="008F5B4E" w:rsidP="008F5B4E">
      <w:pPr>
        <w:pStyle w:val="Footer"/>
        <w:tabs>
          <w:tab w:val="clear" w:pos="4680"/>
          <w:tab w:val="left" w:pos="3686"/>
          <w:tab w:val="center" w:pos="3828"/>
        </w:tabs>
        <w:spacing w:before="0" w:after="0"/>
        <w:rPr>
          <w:b/>
          <w:sz w:val="22"/>
        </w:rPr>
      </w:pPr>
      <w:r w:rsidRPr="00A576B8">
        <w:rPr>
          <w:b/>
          <w:sz w:val="22"/>
        </w:rPr>
        <w:t>Corresponding author:</w:t>
      </w:r>
    </w:p>
    <w:p w:rsidR="008F5B4E" w:rsidRPr="00A576B8" w:rsidRDefault="00FB010E" w:rsidP="008F5B4E">
      <w:pPr>
        <w:tabs>
          <w:tab w:val="center" w:pos="3686"/>
        </w:tabs>
        <w:spacing w:before="0" w:after="0" w:line="240" w:lineRule="auto"/>
        <w:rPr>
          <w:lang w:val="en-GB"/>
        </w:rPr>
      </w:pPr>
      <w:r w:rsidRPr="00A576B8">
        <w:t>Å</w:t>
      </w:r>
      <w:r w:rsidR="008F5B4E" w:rsidRPr="00A576B8">
        <w:t xml:space="preserve">sa Ericsson, </w:t>
      </w:r>
      <w:r w:rsidR="008F5B4E" w:rsidRPr="00A576B8">
        <w:rPr>
          <w:lang w:val="en-GB"/>
        </w:rPr>
        <w:t xml:space="preserve">Novo Nordisk, Box 505, 87 </w:t>
      </w:r>
      <w:proofErr w:type="spellStart"/>
      <w:r w:rsidR="008F5B4E" w:rsidRPr="00A576B8">
        <w:rPr>
          <w:lang w:val="en-GB"/>
        </w:rPr>
        <w:t>Vattenverksvägen</w:t>
      </w:r>
      <w:proofErr w:type="spellEnd"/>
      <w:r w:rsidR="008F5B4E" w:rsidRPr="00A576B8">
        <w:rPr>
          <w:lang w:val="en-GB"/>
        </w:rPr>
        <w:t xml:space="preserve"> 47</w:t>
      </w:r>
    </w:p>
    <w:p w:rsidR="008F5B4E" w:rsidRPr="00A576B8" w:rsidRDefault="008F5B4E" w:rsidP="008F5B4E">
      <w:pPr>
        <w:tabs>
          <w:tab w:val="center" w:pos="3686"/>
        </w:tabs>
        <w:spacing w:before="0" w:after="0" w:line="240" w:lineRule="auto"/>
        <w:rPr>
          <w:lang w:val="en-GB"/>
        </w:rPr>
      </w:pPr>
      <w:r w:rsidRPr="00A576B8">
        <w:rPr>
          <w:lang w:val="en-GB"/>
        </w:rPr>
        <w:t xml:space="preserve">SE-202 </w:t>
      </w:r>
      <w:proofErr w:type="gramStart"/>
      <w:r w:rsidRPr="00A576B8">
        <w:rPr>
          <w:lang w:val="en-GB"/>
        </w:rPr>
        <w:t>15  Malmö</w:t>
      </w:r>
      <w:proofErr w:type="gramEnd"/>
      <w:r w:rsidRPr="00A576B8">
        <w:rPr>
          <w:lang w:val="en-GB"/>
        </w:rPr>
        <w:t>, Sweden</w:t>
      </w:r>
    </w:p>
    <w:p w:rsidR="008F5B4E" w:rsidRPr="00A576B8" w:rsidRDefault="008F5B4E" w:rsidP="008F5B4E">
      <w:pPr>
        <w:tabs>
          <w:tab w:val="center" w:pos="3686"/>
        </w:tabs>
        <w:spacing w:before="0" w:after="0" w:line="240" w:lineRule="auto"/>
        <w:rPr>
          <w:lang w:val="en-GB"/>
        </w:rPr>
      </w:pPr>
      <w:r w:rsidRPr="00A576B8">
        <w:rPr>
          <w:lang w:val="en-GB"/>
        </w:rPr>
        <w:t>Email: asae@novonordisk.com</w:t>
      </w:r>
    </w:p>
    <w:p w:rsidR="008F5B4E" w:rsidRPr="00A576B8" w:rsidRDefault="008F5B4E" w:rsidP="008F5B4E">
      <w:pPr>
        <w:spacing w:line="480" w:lineRule="auto"/>
        <w:rPr>
          <w:lang w:val="en-GB"/>
        </w:rPr>
      </w:pPr>
    </w:p>
    <w:p w:rsidR="008F5B4E" w:rsidRPr="00A576B8" w:rsidRDefault="008F5B4E">
      <w:pPr>
        <w:spacing w:before="0" w:after="200"/>
        <w:rPr>
          <w:rFonts w:ascii="Calibri" w:eastAsia="Times New Roman" w:hAnsi="Calibri" w:cstheme="majorBidi"/>
          <w:b/>
          <w:bCs/>
        </w:rPr>
      </w:pPr>
      <w:r w:rsidRPr="00A576B8">
        <w:rPr>
          <w:rFonts w:eastAsia="Times New Roman"/>
        </w:rPr>
        <w:br w:type="page"/>
      </w:r>
    </w:p>
    <w:p w:rsidR="00747057" w:rsidRPr="00A576B8" w:rsidRDefault="00AD1106" w:rsidP="00747057">
      <w:pPr>
        <w:pStyle w:val="Heading1"/>
        <w:numPr>
          <w:ilvl w:val="0"/>
          <w:numId w:val="0"/>
        </w:numPr>
        <w:ind w:left="431" w:hanging="431"/>
        <w:rPr>
          <w:rFonts w:eastAsia="Times New Roman"/>
        </w:rPr>
      </w:pPr>
      <w:r w:rsidRPr="00A576B8">
        <w:rPr>
          <w:rFonts w:eastAsia="Times New Roman"/>
        </w:rPr>
        <w:lastRenderedPageBreak/>
        <w:t>Supplementary material</w:t>
      </w:r>
    </w:p>
    <w:p w:rsidR="0047557F" w:rsidRPr="00A576B8" w:rsidRDefault="00715275" w:rsidP="0047557F">
      <w:pPr>
        <w:pStyle w:val="Heading2"/>
        <w:numPr>
          <w:ilvl w:val="0"/>
          <w:numId w:val="0"/>
        </w:numPr>
        <w:ind w:left="576" w:hanging="576"/>
        <w:rPr>
          <w:rFonts w:eastAsia="Times New Roman"/>
        </w:rPr>
      </w:pPr>
      <w:bookmarkStart w:id="1" w:name="_Ref411946103"/>
      <w:r w:rsidRPr="00A576B8">
        <w:rPr>
          <w:rFonts w:eastAsia="Times New Roman"/>
        </w:rPr>
        <w:t xml:space="preserve">Supplement 1: </w:t>
      </w:r>
      <w:r w:rsidR="0047557F" w:rsidRPr="00A576B8">
        <w:rPr>
          <w:rFonts w:eastAsia="Times New Roman"/>
        </w:rPr>
        <w:t xml:space="preserve">Indirect treatment comparison </w:t>
      </w:r>
      <w:r w:rsidR="00702402" w:rsidRPr="00A576B8">
        <w:rPr>
          <w:rFonts w:eastAsia="Times New Roman"/>
        </w:rPr>
        <w:t>methodology</w:t>
      </w:r>
    </w:p>
    <w:p w:rsidR="0047557F" w:rsidRPr="00A576B8" w:rsidRDefault="00AB5878" w:rsidP="00AB5878">
      <w:pPr>
        <w:rPr>
          <w:rFonts w:eastAsia="Times New Roman"/>
        </w:rPr>
      </w:pPr>
      <w:r w:rsidRPr="00A576B8">
        <w:rPr>
          <w:rFonts w:eastAsia="Times New Roman"/>
        </w:rPr>
        <w:t xml:space="preserve">The </w:t>
      </w:r>
      <w:r w:rsidR="0047557F" w:rsidRPr="00A576B8">
        <w:rPr>
          <w:rFonts w:eastAsia="Times New Roman"/>
        </w:rPr>
        <w:t>indirect treatment comparison (</w:t>
      </w:r>
      <w:r w:rsidRPr="00A576B8">
        <w:rPr>
          <w:rFonts w:eastAsia="Times New Roman"/>
        </w:rPr>
        <w:t>ITC</w:t>
      </w:r>
      <w:r w:rsidR="0047557F" w:rsidRPr="00A576B8">
        <w:rPr>
          <w:rFonts w:eastAsia="Times New Roman"/>
        </w:rPr>
        <w:t>)</w:t>
      </w:r>
      <w:r w:rsidRPr="00A576B8">
        <w:rPr>
          <w:rFonts w:eastAsia="Times New Roman"/>
        </w:rPr>
        <w:t xml:space="preserve"> included individual patient-level data from studies that were similar to DUAL™ II (as DUAL™ V was ongoing at the time of this cost-effectiveness analysis), and which fulfilled the following criteria: completed studies, multinational, randomized clinical trials (phase III or phase IV), involved T2D patients uncontrolled on basal insulin therapy and used titration targets similar to those used in DUAL™ II (i.e. fasting plasma glucose [FPG] of 4¬–5 mmol/L). Data used from the ITC include comparisons between patients treated with IDegLira and insulin glargine, either alone or in combination with another drug (i.e. insulin aspart or liraglutide). All extension studies were excluded. The ITC used standard multivariate analysis of individual patient level data allowing for adjustments for potential heterogeneity in baseline characteristics between the treatment arms. </w:t>
      </w:r>
      <w:r w:rsidR="0047557F" w:rsidRPr="00A576B8">
        <w:rPr>
          <w:rFonts w:eastAsia="Times New Roman"/>
        </w:rPr>
        <w:t>More d</w:t>
      </w:r>
      <w:r w:rsidRPr="00A576B8">
        <w:rPr>
          <w:rFonts w:eastAsia="Times New Roman"/>
        </w:rPr>
        <w:t xml:space="preserve">etailed methodology of the ITC </w:t>
      </w:r>
      <w:r w:rsidR="0047557F" w:rsidRPr="00A576B8">
        <w:rPr>
          <w:rFonts w:eastAsia="Times New Roman"/>
        </w:rPr>
        <w:t>can be found in the publication</w:t>
      </w:r>
      <w:r w:rsidRPr="00A576B8">
        <w:rPr>
          <w:rFonts w:eastAsia="Times New Roman"/>
        </w:rPr>
        <w:t xml:space="preserve"> by Freemantle </w:t>
      </w:r>
      <w:r w:rsidRPr="00A576B8">
        <w:rPr>
          <w:rFonts w:eastAsia="Times New Roman"/>
          <w:i/>
        </w:rPr>
        <w:t>et al</w:t>
      </w:r>
      <w:r w:rsidR="0047557F" w:rsidRPr="00A576B8">
        <w:rPr>
          <w:rFonts w:eastAsia="Times New Roman"/>
          <w:i/>
        </w:rPr>
        <w:t>.</w:t>
      </w:r>
      <w:r w:rsidRPr="00A576B8">
        <w:rPr>
          <w:rFonts w:eastAsia="Times New Roman"/>
        </w:rPr>
        <w:t xml:space="preserve"> 2015.</w:t>
      </w:r>
      <w:r w:rsidR="00270983" w:rsidRPr="00A576B8">
        <w:rPr>
          <w:rFonts w:eastAsia="Times New Roman"/>
        </w:rPr>
        <w:fldChar w:fldCharType="begin">
          <w:fldData xml:space="preserve">PEVuZE5vdGU+PENpdGU+PEF1dGhvcj5GcmVlbWFudGxlPC9BdXRob3I+PFllYXI+MjAxNTwvWWVh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</w:fldData>
        </w:fldChar>
      </w:r>
      <w:r w:rsidR="00270983" w:rsidRPr="00A576B8">
        <w:rPr>
          <w:rFonts w:eastAsia="Times New Roman"/>
        </w:rPr>
        <w:instrText xml:space="preserve"> ADDIN EN.CITE </w:instrText>
      </w:r>
      <w:r w:rsidR="00270983" w:rsidRPr="00A576B8">
        <w:rPr>
          <w:rFonts w:eastAsia="Times New Roman"/>
        </w:rPr>
        <w:fldChar w:fldCharType="begin">
          <w:fldData xml:space="preserve">PEVuZE5vdGU+PENpdGU+PEF1dGhvcj5GcmVlbWFudGxlPC9BdXRob3I+PFllYXI+MjAxNTwvWWVh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</w:fldData>
        </w:fldChar>
      </w:r>
      <w:r w:rsidR="00270983" w:rsidRPr="00A576B8">
        <w:rPr>
          <w:rFonts w:eastAsia="Times New Roman"/>
        </w:rPr>
        <w:instrText xml:space="preserve"> ADDIN EN.CITE.DATA </w:instrText>
      </w:r>
      <w:r w:rsidR="00270983" w:rsidRPr="00A576B8">
        <w:rPr>
          <w:rFonts w:eastAsia="Times New Roman"/>
        </w:rPr>
      </w:r>
      <w:r w:rsidR="00270983" w:rsidRPr="00A576B8">
        <w:rPr>
          <w:rFonts w:eastAsia="Times New Roman"/>
        </w:rPr>
        <w:fldChar w:fldCharType="end"/>
      </w:r>
      <w:r w:rsidR="00270983" w:rsidRPr="00A576B8">
        <w:rPr>
          <w:rFonts w:eastAsia="Times New Roman"/>
        </w:rPr>
      </w:r>
      <w:r w:rsidR="00270983" w:rsidRPr="00A576B8">
        <w:rPr>
          <w:rFonts w:eastAsia="Times New Roman"/>
        </w:rPr>
        <w:fldChar w:fldCharType="separate"/>
      </w:r>
      <w:r w:rsidR="00270983" w:rsidRPr="00A576B8">
        <w:rPr>
          <w:rFonts w:eastAsia="Times New Roman"/>
          <w:noProof/>
        </w:rPr>
        <w:t>(1)</w:t>
      </w:r>
      <w:r w:rsidR="00270983" w:rsidRPr="00A576B8">
        <w:rPr>
          <w:rFonts w:eastAsia="Times New Roman"/>
        </w:rPr>
        <w:fldChar w:fldCharType="end"/>
      </w:r>
    </w:p>
    <w:p w:rsidR="0047557F" w:rsidRPr="00A576B8" w:rsidRDefault="0047557F" w:rsidP="0047557F">
      <w:pPr>
        <w:rPr>
          <w:rFonts w:eastAsia="Times New Roman"/>
        </w:rPr>
      </w:pPr>
      <w:r w:rsidRPr="00A576B8">
        <w:rPr>
          <w:rFonts w:eastAsia="Times New Roman"/>
        </w:rPr>
        <w:br w:type="page"/>
      </w:r>
    </w:p>
    <w:p w:rsidR="00747057" w:rsidRPr="00A576B8" w:rsidRDefault="00747057" w:rsidP="00747057">
      <w:pPr>
        <w:keepNext/>
        <w:spacing w:after="0" w:line="240" w:lineRule="auto"/>
        <w:rPr>
          <w:rFonts w:ascii="Calibri" w:eastAsia="Times New Roman" w:hAnsi="Calibri" w:cs="Times New Roman"/>
          <w:b/>
          <w:bCs/>
          <w:color w:val="4E5053"/>
        </w:rPr>
      </w:pPr>
      <w:r w:rsidRPr="00A576B8">
        <w:rPr>
          <w:rFonts w:ascii="Calibri" w:eastAsia="Times New Roman" w:hAnsi="Calibri" w:cs="Times New Roman"/>
          <w:b/>
          <w:bCs/>
          <w:color w:val="4E5053"/>
        </w:rPr>
        <w:lastRenderedPageBreak/>
        <w:t>Table</w:t>
      </w:r>
      <w:bookmarkEnd w:id="1"/>
      <w:r w:rsidR="001041F1" w:rsidRPr="00A576B8">
        <w:rPr>
          <w:rFonts w:ascii="Calibri" w:eastAsia="Times New Roman" w:hAnsi="Calibri" w:cs="Times New Roman"/>
          <w:b/>
          <w:bCs/>
          <w:color w:val="4E5053"/>
        </w:rPr>
        <w:t xml:space="preserve"> S1</w:t>
      </w:r>
      <w:r w:rsidRPr="00A576B8">
        <w:rPr>
          <w:rFonts w:ascii="Calibri" w:eastAsia="Times New Roman" w:hAnsi="Calibri" w:cs="Times New Roman"/>
          <w:b/>
          <w:bCs/>
          <w:color w:val="4E5053"/>
        </w:rPr>
        <w:t>: Annual cost of compli</w:t>
      </w:r>
      <w:r w:rsidR="00A669B2" w:rsidRPr="00A576B8">
        <w:rPr>
          <w:rFonts w:ascii="Calibri" w:eastAsia="Times New Roman" w:hAnsi="Calibri" w:cs="Times New Roman"/>
          <w:b/>
          <w:bCs/>
          <w:color w:val="4E5053"/>
        </w:rPr>
        <w:t>cations (converted to SEK 2013)</w:t>
      </w:r>
      <w:r w:rsidR="00270983" w:rsidRPr="00A576B8">
        <w:rPr>
          <w:rFonts w:ascii="Calibri" w:eastAsia="Times New Roman" w:hAnsi="Calibri" w:cs="Times New Roman"/>
          <w:b/>
          <w:bCs/>
          <w:color w:val="4E5053"/>
        </w:rPr>
        <w:fldChar w:fldCharType="begin"/>
      </w:r>
      <w:r w:rsidR="00270983" w:rsidRPr="00A576B8">
        <w:rPr>
          <w:rFonts w:ascii="Calibri" w:eastAsia="Times New Roman" w:hAnsi="Calibri" w:cs="Times New Roman"/>
          <w:b/>
          <w:bCs/>
          <w:color w:val="4E5053"/>
        </w:rPr>
        <w:instrText xml:space="preserve"> ADDIN EN.CITE &lt;EndNote&gt;&lt;Cite ExcludeYear="1"&gt;&lt;Author&gt;Steen Carlsson&lt;/Author&gt;&lt;Year&gt;2014&lt;/Year&gt;&lt;RecNum&gt;41&lt;/RecNum&gt;&lt;DisplayText&gt;(2)&lt;/DisplayText&gt;&lt;record&gt;&lt;rec-number&gt;41&lt;/rec-number&gt;&lt;foreign-keys&gt;&lt;key app="EN" db-id="5adtveztgpe2vpe9dd8xfexhrx2sefzpa0ze"&gt;41&lt;/key&gt;&lt;/foreign-keys&gt;&lt;ref-type name="Journal Article"&gt;17&lt;/ref-type&gt;&lt;contributors&gt;&lt;authors&gt;&lt;author&gt;Steen Carlsson, K.&lt;/author&gt;&lt;author&gt;Persson, U.&lt;/author&gt;&lt;/authors&gt;&lt;/contributors&gt;&lt;auth-address&gt;The Swedish Institute for Health Economics, IHE , Lund , Sweden.&lt;/auth-address&gt;&lt;titles&gt;&lt;title&gt;Cost-effectiveness of add-on treatments to metformin in a Swedish setting: liraglutide vs sulphonylurea or sitagplitin&lt;/title&gt;&lt;secondary-title&gt;J Med Econ&lt;/secondary-title&gt;&lt;alt-title&gt;Journal of medical economics&lt;/alt-title&gt;&lt;/titles&gt;&lt;pages&gt;658-69&lt;/pages&gt;&lt;volume&gt;17&lt;/volume&gt;&lt;number&gt;9&lt;/number&gt;&lt;edition&gt;2014/06/21&lt;/edition&gt;&lt;keywords&gt;&lt;keyword&gt;Cost-effectiveness&lt;/keyword&gt;&lt;keyword&gt;Liraglutide&lt;/keyword&gt;&lt;keyword&gt;Sitagliptin&lt;/keyword&gt;&lt;keyword&gt;Societal perspective&lt;/keyword&gt;&lt;keyword&gt;Sulphonylurea&lt;/keyword&gt;&lt;keyword&gt;Type 2 diabetes&lt;/keyword&gt;&lt;/keywords&gt;&lt;dates&gt;&lt;year&gt;2014&lt;/year&gt;&lt;pub-dates&gt;&lt;date&gt;Sep&lt;/date&gt;&lt;/pub-dates&gt;&lt;/dates&gt;&lt;isbn&gt;1369-6998&lt;/isbn&gt;&lt;accession-num&gt;24950434&lt;/accession-num&gt;&lt;urls&gt;&lt;/urls&gt;&lt;electronic-resource-num&gt;10.3111/13696998.2014.933110&lt;/electronic-resource-num&gt;&lt;remote-database-provider&gt;NLM&lt;/remote-database-provider&gt;&lt;language&gt;eng&lt;/language&gt;&lt;/record&gt;&lt;/Cite&gt;&lt;/EndNote&gt;</w:instrText>
      </w:r>
      <w:r w:rsidR="00270983" w:rsidRPr="00A576B8">
        <w:rPr>
          <w:rFonts w:ascii="Calibri" w:eastAsia="Times New Roman" w:hAnsi="Calibri" w:cs="Times New Roman"/>
          <w:b/>
          <w:bCs/>
          <w:color w:val="4E5053"/>
        </w:rPr>
        <w:fldChar w:fldCharType="separate"/>
      </w:r>
      <w:r w:rsidR="00270983" w:rsidRPr="00A576B8">
        <w:rPr>
          <w:rFonts w:ascii="Calibri" w:eastAsia="Times New Roman" w:hAnsi="Calibri" w:cs="Times New Roman"/>
          <w:b/>
          <w:bCs/>
          <w:noProof/>
          <w:color w:val="4E5053"/>
        </w:rPr>
        <w:t>(2)</w:t>
      </w:r>
      <w:r w:rsidR="00270983" w:rsidRPr="00A576B8">
        <w:rPr>
          <w:rFonts w:ascii="Calibri" w:eastAsia="Times New Roman" w:hAnsi="Calibri" w:cs="Times New Roman"/>
          <w:b/>
          <w:bCs/>
          <w:color w:val="4E5053"/>
        </w:rPr>
        <w:fldChar w:fldCharType="end"/>
      </w:r>
    </w:p>
    <w:tbl>
      <w:tblPr>
        <w:tblStyle w:val="LightShading-Accent32"/>
        <w:tblW w:w="5000" w:type="pct"/>
        <w:tblLook w:val="04A0" w:firstRow="1" w:lastRow="0" w:firstColumn="1" w:lastColumn="0" w:noHBand="0" w:noVBand="1"/>
      </w:tblPr>
      <w:tblGrid>
        <w:gridCol w:w="1873"/>
        <w:gridCol w:w="5269"/>
        <w:gridCol w:w="2124"/>
      </w:tblGrid>
      <w:tr w:rsidR="00747057" w:rsidRPr="00A576B8" w:rsidTr="00A669B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011" w:type="pct"/>
            <w:vAlign w:val="center"/>
          </w:tcPr>
          <w:p w:rsidR="00747057" w:rsidRPr="00A576B8" w:rsidRDefault="00747057" w:rsidP="00A669B2">
            <w:pPr>
              <w:spacing w:before="40" w:after="40"/>
              <w:rPr>
                <w:rFonts w:ascii="Calibri" w:hAnsi="Calibri" w:cs="Times New Roman"/>
                <w:lang w:val="sv-SE"/>
              </w:rPr>
            </w:pPr>
            <w:r w:rsidRPr="00A576B8">
              <w:rPr>
                <w:rFonts w:ascii="Calibri" w:hAnsi="Calibri" w:cs="Times New Roman"/>
                <w:lang w:val="sv-SE"/>
              </w:rPr>
              <w:t>Complication</w:t>
            </w:r>
          </w:p>
        </w:tc>
        <w:tc>
          <w:tcPr>
            <w:tcW w:w="2843" w:type="pct"/>
            <w:vAlign w:val="center"/>
          </w:tcPr>
          <w:p w:rsidR="00747057" w:rsidRPr="00A576B8" w:rsidRDefault="00747057" w:rsidP="00A669B2">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Description and cost</w:t>
            </w:r>
          </w:p>
        </w:tc>
        <w:tc>
          <w:tcPr>
            <w:tcW w:w="1146" w:type="pct"/>
            <w:vAlign w:val="center"/>
          </w:tcPr>
          <w:p w:rsidR="00747057" w:rsidRPr="00A576B8" w:rsidRDefault="00747057" w:rsidP="00A669B2">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Reference</w:t>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Non-proliferative retinopathy</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Visit to ophthalmology clinic </w:t>
            </w:r>
            <w:r w:rsidRPr="00A576B8">
              <w:rPr>
                <w:rFonts w:ascii="Calibri" w:hAnsi="Calibri" w:cs="Times New Roman"/>
                <w:b/>
                <w:bCs/>
              </w:rPr>
              <w:t>SEK 712</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Screening photography </w:t>
            </w:r>
            <w:r w:rsidRPr="00A576B8">
              <w:rPr>
                <w:rFonts w:ascii="Calibri" w:hAnsi="Calibri" w:cs="Times New Roman"/>
                <w:b/>
                <w:bCs/>
              </w:rPr>
              <w:t>SEK 427</w:t>
            </w:r>
          </w:p>
          <w:p w:rsidR="00747057" w:rsidRPr="00A576B8" w:rsidRDefault="00747057" w:rsidP="003D4FD0">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Total costs: </w:t>
            </w:r>
            <w:r w:rsidRPr="00A576B8">
              <w:rPr>
                <w:rFonts w:ascii="Calibri" w:hAnsi="Calibri" w:cs="Times New Roman"/>
                <w:b/>
                <w:bCs/>
              </w:rPr>
              <w:t>SEK 1139</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lang w:val="sv-SE"/>
              </w:rPr>
              <w:t>Södra regionvårdsnämnden 2014</w:t>
            </w:r>
            <w:r w:rsidR="00270983" w:rsidRPr="00A576B8">
              <w:rPr>
                <w:rFonts w:ascii="Calibri" w:hAnsi="Calibri" w:cs="Times New Roman"/>
                <w:lang w:val="sv-SE"/>
              </w:rPr>
              <w:fldChar w:fldCharType="begin"/>
            </w:r>
            <w:r w:rsidR="00270983" w:rsidRPr="00A576B8">
              <w:rPr>
                <w:rFonts w:ascii="Calibri" w:hAnsi="Calibri" w:cs="Times New Roman"/>
                <w:lang w:val="sv-SE"/>
              </w:rPr>
              <w:instrText xml:space="preserve"> ADDIN EN.CITE &lt;EndNote&gt;&lt;Cite&gt;&lt;Author&gt;Södra regionvårdsnämnden&lt;/Author&gt;&lt;Year&gt;2014&lt;/Year&gt;&lt;RecNum&gt;47&lt;/RecNum&gt;&lt;DisplayText&gt;(3)&lt;/DisplayText&gt;&lt;record&gt;&lt;rec-number&gt;47&lt;/rec-number&gt;&lt;foreign-keys&gt;&lt;key app="EN" db-id="5adtveztgpe2vpe9dd8xfexhrx2sefzpa0ze"&gt;47&lt;/key&gt;&lt;/foreign-keys&gt;&lt;ref-type name="Web Page"&gt;12&lt;/ref-type&gt;&lt;contributors&gt;&lt;authors&gt;&lt;author&gt;Södra regionvårdsnämnden,.&lt;/author&gt;&lt;/authors&gt;&lt;/contributors&gt;&lt;titles&gt;&lt;title&gt;Regionala priser och ersättningar för södra regionvårdsnämnden&lt;/title&gt;&lt;/titles&gt;&lt;dates&gt;&lt;year&gt;2014&lt;/year&gt;&lt;/dates&gt;&lt;urls&gt;&lt;related-urls&gt;&lt;url&gt;https://www.skane.se/Upload/Webbplatser/Sodra%20regionvardsnamnden/prislista/2014/helaprislistan2014.pdf&lt;/url&gt;&lt;/related-urls&gt;&lt;/urls&gt;&lt;/record&gt;&lt;/Cite&gt;&lt;/EndNote&gt;</w:instrText>
            </w:r>
            <w:r w:rsidR="00270983" w:rsidRPr="00A576B8">
              <w:rPr>
                <w:rFonts w:ascii="Calibri" w:hAnsi="Calibri" w:cs="Times New Roman"/>
                <w:lang w:val="sv-SE"/>
              </w:rPr>
              <w:fldChar w:fldCharType="separate"/>
            </w:r>
            <w:r w:rsidR="00270983" w:rsidRPr="00A576B8">
              <w:rPr>
                <w:rFonts w:ascii="Calibri" w:hAnsi="Calibri" w:cs="Times New Roman"/>
                <w:noProof/>
                <w:lang w:val="sv-SE"/>
              </w:rPr>
              <w:t>(3)</w:t>
            </w:r>
            <w:r w:rsidR="00270983" w:rsidRPr="00A576B8">
              <w:rPr>
                <w:rFonts w:ascii="Calibri" w:hAnsi="Calibri" w:cs="Times New Roman"/>
                <w:lang w:val="sv-SE"/>
              </w:rPr>
              <w:fldChar w:fldCharType="end"/>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Proliferative retinopathy</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3 visits to ophthalmology clinic </w:t>
            </w:r>
            <w:r w:rsidRPr="00A576B8">
              <w:rPr>
                <w:rFonts w:ascii="Calibri" w:hAnsi="Calibri" w:cs="Times New Roman"/>
                <w:b/>
                <w:bCs/>
              </w:rPr>
              <w:t>SEK 2136</w:t>
            </w:r>
            <w:r w:rsidRPr="00A576B8">
              <w:rPr>
                <w:rFonts w:ascii="Calibri" w:hAnsi="Calibri" w:cs="Times New Roman"/>
                <w:bCs/>
              </w:rPr>
              <w:t xml:space="preserve"> </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Three visits for laser treatment including fluorescein angiography 3*(SEK 1,993 + SEK 6,241) = </w:t>
            </w:r>
            <w:r w:rsidRPr="00A576B8">
              <w:rPr>
                <w:rFonts w:ascii="Calibri" w:hAnsi="Calibri" w:cs="Times New Roman"/>
                <w:b/>
                <w:bCs/>
              </w:rPr>
              <w:t>SEK 24,702</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Clinic visit and screening photography in subsequent years.</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Total costs, first year: </w:t>
            </w:r>
            <w:r w:rsidRPr="00A576B8">
              <w:rPr>
                <w:rFonts w:ascii="Calibri" w:hAnsi="Calibri" w:cs="Times New Roman"/>
                <w:b/>
                <w:bCs/>
              </w:rPr>
              <w:t>SEK 26,838</w:t>
            </w:r>
          </w:p>
          <w:p w:rsidR="00747057" w:rsidRPr="00A576B8" w:rsidRDefault="00747057" w:rsidP="00171BDF">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Total costs, subsequent years: </w:t>
            </w:r>
            <w:r w:rsidRPr="00A576B8">
              <w:rPr>
                <w:rFonts w:ascii="Calibri" w:hAnsi="Calibri" w:cs="Times New Roman"/>
                <w:b/>
                <w:bCs/>
              </w:rPr>
              <w:t>SEK 1139</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Södra regionvårdsnämnden 2014</w:t>
            </w:r>
            <w:r w:rsidR="00270983" w:rsidRPr="00A576B8">
              <w:rPr>
                <w:rFonts w:ascii="Calibri" w:hAnsi="Calibri" w:cs="Times New Roman"/>
                <w:bCs/>
                <w:lang w:val="sv-SE"/>
              </w:rPr>
              <w:fldChar w:fldCharType="begin"/>
            </w:r>
            <w:r w:rsidR="00270983" w:rsidRPr="00A576B8">
              <w:rPr>
                <w:rFonts w:ascii="Calibri" w:hAnsi="Calibri" w:cs="Times New Roman"/>
                <w:bCs/>
                <w:lang w:val="sv-SE"/>
              </w:rPr>
              <w:instrText xml:space="preserve"> ADDIN EN.CITE &lt;EndNote&gt;&lt;Cite&gt;&lt;Author&gt;Södra regionvårdsnämnden&lt;/Author&gt;&lt;Year&gt;2014&lt;/Year&gt;&lt;RecNum&gt;47&lt;/RecNum&gt;&lt;DisplayText&gt;(3)&lt;/DisplayText&gt;&lt;record&gt;&lt;rec-number&gt;47&lt;/rec-number&gt;&lt;foreign-keys&gt;&lt;key app="EN" db-id="5adtveztgpe2vpe9dd8xfexhrx2sefzpa0ze"&gt;47&lt;/key&gt;&lt;/foreign-keys&gt;&lt;ref-type name="Web Page"&gt;12&lt;/ref-type&gt;&lt;contributors&gt;&lt;authors&gt;&lt;author&gt;Södra regionvårdsnämnden,.&lt;/author&gt;&lt;/authors&gt;&lt;/contributors&gt;&lt;titles&gt;&lt;title&gt;Regionala priser och ersättningar för södra regionvårdsnämnden&lt;/title&gt;&lt;/titles&gt;&lt;dates&gt;&lt;year&gt;2014&lt;/year&gt;&lt;/dates&gt;&lt;urls&gt;&lt;related-urls&gt;&lt;url&gt;https://www.skane.se/Upload/Webbplatser/Sodra%20regionvardsnamnden/prislista/2014/helaprislistan2014.pdf&lt;/url&gt;&lt;/related-urls&gt;&lt;/urls&gt;&lt;/record&gt;&lt;/Cite&gt;&lt;/EndNote&gt;</w:instrText>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(3)</w:t>
            </w:r>
            <w:r w:rsidR="00270983" w:rsidRPr="00A576B8">
              <w:rPr>
                <w:rFonts w:ascii="Calibri" w:hAnsi="Calibri" w:cs="Times New Roman"/>
                <w:bCs/>
                <w:lang w:val="sv-SE"/>
              </w:rPr>
              <w:fldChar w:fldCharType="end"/>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Macular oedema</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First year: 3 injections of </w:t>
            </w:r>
            <w:proofErr w:type="spellStart"/>
            <w:r w:rsidRPr="00A576B8">
              <w:rPr>
                <w:rFonts w:ascii="Calibri" w:hAnsi="Calibri" w:cs="Times New Roman"/>
                <w:bCs/>
              </w:rPr>
              <w:t>ranibizumab</w:t>
            </w:r>
            <w:proofErr w:type="spellEnd"/>
            <w:r w:rsidRPr="00A576B8">
              <w:rPr>
                <w:rFonts w:ascii="Calibri" w:hAnsi="Calibri" w:cs="Times New Roman"/>
                <w:bCs/>
              </w:rPr>
              <w:t xml:space="preserve"> 3*SEK 12,842</w:t>
            </w:r>
            <w:r w:rsidR="003D4FD0" w:rsidRPr="00A576B8">
              <w:rPr>
                <w:rFonts w:ascii="Calibri" w:hAnsi="Calibri" w:cs="Times New Roman"/>
                <w:bCs/>
              </w:rPr>
              <w:t xml:space="preserve"> </w:t>
            </w:r>
            <w:r w:rsidRPr="00A576B8">
              <w:rPr>
                <w:rFonts w:ascii="Calibri" w:hAnsi="Calibri" w:cs="Times New Roman"/>
                <w:bCs/>
              </w:rPr>
              <w:t>=</w:t>
            </w:r>
            <w:r w:rsidR="003D4FD0" w:rsidRPr="00A576B8">
              <w:rPr>
                <w:rFonts w:ascii="Calibri" w:hAnsi="Calibri" w:cs="Times New Roman"/>
                <w:bCs/>
              </w:rPr>
              <w:t xml:space="preserve"> </w:t>
            </w:r>
            <w:r w:rsidRPr="00A576B8">
              <w:rPr>
                <w:rFonts w:ascii="Calibri" w:hAnsi="Calibri" w:cs="Times New Roman"/>
                <w:b/>
                <w:bCs/>
              </w:rPr>
              <w:t>SEK 38</w:t>
            </w:r>
            <w:r w:rsidR="003D4FD0" w:rsidRPr="00A576B8">
              <w:rPr>
                <w:rFonts w:ascii="Calibri" w:hAnsi="Calibri" w:cs="Times New Roman"/>
                <w:b/>
                <w:bCs/>
              </w:rPr>
              <w:t>,</w:t>
            </w:r>
            <w:r w:rsidRPr="00A576B8">
              <w:rPr>
                <w:rFonts w:ascii="Calibri" w:hAnsi="Calibri" w:cs="Times New Roman"/>
                <w:b/>
                <w:bCs/>
              </w:rPr>
              <w:t>526</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Following year: 1 injection of </w:t>
            </w:r>
            <w:proofErr w:type="spellStart"/>
            <w:r w:rsidRPr="00A576B8">
              <w:rPr>
                <w:rFonts w:ascii="Calibri" w:hAnsi="Calibri" w:cs="Times New Roman"/>
                <w:bCs/>
              </w:rPr>
              <w:t>ranibizumab</w:t>
            </w:r>
            <w:proofErr w:type="spellEnd"/>
            <w:r w:rsidRPr="00A576B8">
              <w:rPr>
                <w:rFonts w:ascii="Calibri" w:hAnsi="Calibri" w:cs="Times New Roman"/>
                <w:bCs/>
              </w:rPr>
              <w:t xml:space="preserve"> </w:t>
            </w:r>
            <w:r w:rsidRPr="00A576B8">
              <w:rPr>
                <w:rFonts w:ascii="Calibri" w:hAnsi="Calibri" w:cs="Times New Roman"/>
                <w:b/>
                <w:bCs/>
              </w:rPr>
              <w:t>SEK 12,842</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Södra regionvårdsnämnden 2014</w:t>
            </w:r>
            <w:r w:rsidR="00270983" w:rsidRPr="00A576B8">
              <w:rPr>
                <w:rFonts w:ascii="Calibri" w:hAnsi="Calibri" w:cs="Times New Roman"/>
                <w:bCs/>
                <w:lang w:val="sv-SE"/>
              </w:rPr>
              <w:fldChar w:fldCharType="begin"/>
            </w:r>
            <w:r w:rsidR="00270983" w:rsidRPr="00A576B8">
              <w:rPr>
                <w:rFonts w:ascii="Calibri" w:hAnsi="Calibri" w:cs="Times New Roman"/>
                <w:bCs/>
                <w:lang w:val="sv-SE"/>
              </w:rPr>
              <w:instrText xml:space="preserve"> ADDIN EN.CITE &lt;EndNote&gt;&lt;Cite&gt;&lt;Author&gt;Södra regionvårdsnämnden&lt;/Author&gt;&lt;Year&gt;2014&lt;/Year&gt;&lt;RecNum&gt;47&lt;/RecNum&gt;&lt;DisplayText&gt;(3)&lt;/DisplayText&gt;&lt;record&gt;&lt;rec-number&gt;47&lt;/rec-number&gt;&lt;foreign-keys&gt;&lt;key app="EN" db-id="5adtveztgpe2vpe9dd8xfexhrx2sefzpa0ze"&gt;47&lt;/key&gt;&lt;/foreign-keys&gt;&lt;ref-type name="Web Page"&gt;12&lt;/ref-type&gt;&lt;contributors&gt;&lt;authors&gt;&lt;author&gt;Södra regionvårdsnämnden,.&lt;/author&gt;&lt;/authors&gt;&lt;/contributors&gt;&lt;titles&gt;&lt;title&gt;Regionala priser och ersättningar för södra regionvårdsnämnden&lt;/title&gt;&lt;/titles&gt;&lt;dates&gt;&lt;year&gt;2014&lt;/year&gt;&lt;/dates&gt;&lt;urls&gt;&lt;related-urls&gt;&lt;url&gt;https://www.skane.se/Upload/Webbplatser/Sodra%20regionvardsnamnden/prislista/2014/helaprislistan2014.pdf&lt;/url&gt;&lt;/related-urls&gt;&lt;/urls&gt;&lt;/record&gt;&lt;/Cite&gt;&lt;/EndNote&gt;</w:instrText>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(3)</w:t>
            </w:r>
            <w:r w:rsidR="00270983" w:rsidRPr="00A576B8">
              <w:rPr>
                <w:rFonts w:ascii="Calibri" w:hAnsi="Calibri" w:cs="Times New Roman"/>
                <w:bCs/>
                <w:lang w:val="sv-SE"/>
              </w:rPr>
              <w:fldChar w:fldCharType="end"/>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Severe visual impairment</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First year: </w:t>
            </w:r>
            <w:r w:rsidR="003D4FD0" w:rsidRPr="00A576B8">
              <w:rPr>
                <w:rFonts w:ascii="Calibri" w:hAnsi="Calibri" w:cs="Times New Roman"/>
                <w:b/>
                <w:bCs/>
              </w:rPr>
              <w:t>SEK 9</w:t>
            </w:r>
            <w:r w:rsidRPr="00A576B8">
              <w:rPr>
                <w:rFonts w:ascii="Calibri" w:hAnsi="Calibri" w:cs="Times New Roman"/>
                <w:b/>
                <w:bCs/>
              </w:rPr>
              <w:t>184</w:t>
            </w:r>
          </w:p>
          <w:p w:rsidR="00747057" w:rsidRPr="00A576B8" w:rsidRDefault="00747057" w:rsidP="003D4FD0">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Subsequent years: </w:t>
            </w:r>
            <w:r w:rsidRPr="00A576B8">
              <w:rPr>
                <w:rFonts w:ascii="Calibri" w:hAnsi="Calibri" w:cs="Times New Roman"/>
                <w:b/>
                <w:bCs/>
              </w:rPr>
              <w:t>SEK 3920</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Persson 2010</w:t>
            </w:r>
            <w:r w:rsidR="00270983" w:rsidRPr="00A576B8">
              <w:rPr>
                <w:rFonts w:ascii="Calibri" w:hAnsi="Calibri" w:cs="Times New Roman"/>
                <w:bCs/>
                <w:lang w:val="sv-SE"/>
              </w:rPr>
              <w:fldChar w:fldCharType="begin">
                <w:fldData xml:space="preserve">PEVuZE5vdGU+PENpdGU+PEF1dGhvcj5QZXJzc29uPC9BdXRob3I+PFllYXI+MjAxMDwvWWVhcj48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</w:fldData>
              </w:fldChar>
            </w:r>
            <w:r w:rsidR="00270983" w:rsidRPr="00A576B8">
              <w:rPr>
                <w:rFonts w:ascii="Calibri" w:hAnsi="Calibri" w:cs="Times New Roman"/>
                <w:bCs/>
                <w:lang w:val="sv-SE"/>
              </w:rPr>
              <w:instrText xml:space="preserve"> ADDIN EN.CITE </w:instrText>
            </w:r>
            <w:r w:rsidR="00270983" w:rsidRPr="00A576B8">
              <w:rPr>
                <w:rFonts w:ascii="Calibri" w:hAnsi="Calibri" w:cs="Times New Roman"/>
                <w:bCs/>
                <w:lang w:val="sv-SE"/>
              </w:rPr>
              <w:fldChar w:fldCharType="begin">
                <w:fldData xml:space="preserve">PEVuZE5vdGU+PENpdGU+PEF1dGhvcj5QZXJzc29uPC9BdXRob3I+PFllYXI+MjAxMDwvWWVhcj48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</w:fldData>
              </w:fldChar>
            </w:r>
            <w:r w:rsidR="00270983" w:rsidRPr="00A576B8">
              <w:rPr>
                <w:rFonts w:ascii="Calibri" w:hAnsi="Calibri" w:cs="Times New Roman"/>
                <w:bCs/>
                <w:lang w:val="sv-SE"/>
              </w:rPr>
              <w:instrText xml:space="preserve"> ADDIN EN.CITE.DATA </w:instrText>
            </w:r>
            <w:r w:rsidR="00270983" w:rsidRPr="00A576B8">
              <w:rPr>
                <w:rFonts w:ascii="Calibri" w:hAnsi="Calibri" w:cs="Times New Roman"/>
                <w:bCs/>
                <w:lang w:val="sv-SE"/>
              </w:rPr>
            </w:r>
            <w:r w:rsidR="00270983" w:rsidRPr="00A576B8">
              <w:rPr>
                <w:rFonts w:ascii="Calibri" w:hAnsi="Calibri" w:cs="Times New Roman"/>
                <w:bCs/>
                <w:lang w:val="sv-SE"/>
              </w:rPr>
              <w:fldChar w:fldCharType="end"/>
            </w:r>
            <w:r w:rsidR="00270983" w:rsidRPr="00A576B8">
              <w:rPr>
                <w:rFonts w:ascii="Calibri" w:hAnsi="Calibri" w:cs="Times New Roman"/>
                <w:bCs/>
                <w:lang w:val="sv-SE"/>
              </w:rPr>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(4)</w:t>
            </w:r>
            <w:r w:rsidR="00270983" w:rsidRPr="00A576B8">
              <w:rPr>
                <w:rFonts w:ascii="Calibri" w:hAnsi="Calibri" w:cs="Times New Roman"/>
                <w:bCs/>
                <w:lang w:val="sv-SE"/>
              </w:rPr>
              <w:fldChar w:fldCharType="end"/>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Symptomatic neuropathy</w:t>
            </w:r>
          </w:p>
          <w:p w:rsidR="00747057" w:rsidRPr="00A576B8" w:rsidRDefault="00747057" w:rsidP="00DB38C4">
            <w:pPr>
              <w:rPr>
                <w:rFonts w:ascii="Calibri" w:hAnsi="Calibri" w:cs="Times New Roman"/>
                <w:b/>
                <w:lang w:val="sv-SE"/>
              </w:rPr>
            </w:pP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Gabapentin analgesia 3*800 mg/day </w:t>
            </w:r>
            <w:r w:rsidRPr="00A576B8">
              <w:rPr>
                <w:rFonts w:ascii="Calibri" w:hAnsi="Calibri" w:cs="Times New Roman"/>
                <w:b/>
              </w:rPr>
              <w:t>SEK 11,746</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Medical treatment of erectile dysfunction (men only) 50 mg/week </w:t>
            </w:r>
            <w:r w:rsidRPr="00A576B8">
              <w:rPr>
                <w:rFonts w:ascii="Calibri" w:hAnsi="Calibri" w:cs="Times New Roman"/>
                <w:b/>
              </w:rPr>
              <w:t>SEK 4936</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bCs/>
              </w:rPr>
              <w:t xml:space="preserve">First year, men: </w:t>
            </w:r>
            <w:r w:rsidRPr="00A576B8">
              <w:rPr>
                <w:rFonts w:ascii="Calibri" w:hAnsi="Calibri" w:cs="Times New Roman"/>
                <w:b/>
                <w:bCs/>
              </w:rPr>
              <w:t>SEK 8341</w:t>
            </w:r>
            <w:r w:rsidRPr="00A576B8">
              <w:rPr>
                <w:rFonts w:ascii="Calibri" w:hAnsi="Calibri" w:cs="Times New Roman"/>
                <w:b/>
                <w:vertAlign w:val="superscript"/>
              </w:rPr>
              <w:t>a</w:t>
            </w:r>
            <w:r w:rsidRPr="00A576B8">
              <w:rPr>
                <w:rFonts w:ascii="Calibri" w:hAnsi="Calibri" w:cs="Times New Roman"/>
                <w:vertAlign w:val="superscript"/>
              </w:rPr>
              <w:t>)</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bCs/>
              </w:rPr>
              <w:t xml:space="preserve">First year, women: </w:t>
            </w:r>
            <w:r w:rsidRPr="00A576B8">
              <w:rPr>
                <w:rFonts w:ascii="Calibri" w:hAnsi="Calibri" w:cs="Times New Roman"/>
                <w:b/>
                <w:bCs/>
              </w:rPr>
              <w:t>SEK 5873</w:t>
            </w:r>
            <w:r w:rsidRPr="00A576B8">
              <w:rPr>
                <w:rFonts w:ascii="Calibri" w:hAnsi="Calibri" w:cs="Times New Roman"/>
                <w:vertAlign w:val="superscript"/>
              </w:rPr>
              <w:t>a)</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bCs/>
              </w:rPr>
              <w:t xml:space="preserve">Subsequent years, men: </w:t>
            </w:r>
            <w:r w:rsidRPr="00A576B8">
              <w:rPr>
                <w:rFonts w:ascii="Calibri" w:hAnsi="Calibri" w:cs="Times New Roman"/>
                <w:b/>
                <w:bCs/>
              </w:rPr>
              <w:t>SEK 16,684</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Subsequent years, women: </w:t>
            </w:r>
            <w:r w:rsidRPr="00A576B8">
              <w:rPr>
                <w:rFonts w:ascii="Calibri" w:hAnsi="Calibri" w:cs="Times New Roman"/>
                <w:b/>
                <w:bCs/>
              </w:rPr>
              <w:t>SEK 11,746</w:t>
            </w:r>
          </w:p>
        </w:tc>
        <w:tc>
          <w:tcPr>
            <w:tcW w:w="1146"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 xml:space="preserve">Apoteket, Produkter (Products). 2013; TLV 2013 </w:t>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Peripheral vascular disease</w:t>
            </w:r>
          </w:p>
          <w:p w:rsidR="00747057" w:rsidRPr="00A576B8" w:rsidRDefault="00747057" w:rsidP="00DB38C4">
            <w:pPr>
              <w:rPr>
                <w:rFonts w:ascii="Calibri" w:hAnsi="Calibri" w:cs="Times New Roman"/>
                <w:lang w:val="sv-SE"/>
              </w:rPr>
            </w:pP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The </w:t>
            </w:r>
            <w:proofErr w:type="spellStart"/>
            <w:r w:rsidRPr="00A576B8">
              <w:rPr>
                <w:rFonts w:ascii="Calibri" w:hAnsi="Calibri" w:cs="Times New Roman"/>
                <w:bCs/>
              </w:rPr>
              <w:t>Eurodiale</w:t>
            </w:r>
            <w:proofErr w:type="spellEnd"/>
            <w:r w:rsidRPr="00A576B8">
              <w:rPr>
                <w:rFonts w:ascii="Calibri" w:hAnsi="Calibri" w:cs="Times New Roman"/>
                <w:bCs/>
              </w:rPr>
              <w:t xml:space="preserve"> study: Healed wounds </w:t>
            </w:r>
            <w:r w:rsidRPr="00A576B8">
              <w:rPr>
                <w:rFonts w:ascii="Calibri" w:hAnsi="Calibri" w:cs="Times New Roman"/>
                <w:b/>
                <w:bCs/>
              </w:rPr>
              <w:t>SEK 73,581</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Risk of recurring wounds (assumed 10%) </w:t>
            </w:r>
            <w:r w:rsidRPr="00A576B8">
              <w:rPr>
                <w:rFonts w:ascii="Calibri" w:hAnsi="Calibri" w:cs="Times New Roman"/>
                <w:b/>
                <w:bCs/>
              </w:rPr>
              <w:t>SEK 7358</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First year: </w:t>
            </w:r>
            <w:r w:rsidRPr="00A576B8">
              <w:rPr>
                <w:rFonts w:ascii="Calibri" w:hAnsi="Calibri" w:cs="Times New Roman"/>
                <w:b/>
                <w:bCs/>
              </w:rPr>
              <w:t>SEK 73,581</w:t>
            </w:r>
          </w:p>
          <w:p w:rsidR="00747057" w:rsidRPr="00A576B8" w:rsidRDefault="00747057" w:rsidP="003D4FD0">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Subsequent years: </w:t>
            </w:r>
            <w:r w:rsidRPr="00A576B8">
              <w:rPr>
                <w:rFonts w:ascii="Calibri" w:hAnsi="Calibri" w:cs="Times New Roman"/>
                <w:b/>
                <w:bCs/>
              </w:rPr>
              <w:t>SEK 7358</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Prompers 2008</w:t>
            </w:r>
            <w:r w:rsidR="00270983" w:rsidRPr="00A576B8">
              <w:rPr>
                <w:rFonts w:ascii="Calibri" w:hAnsi="Calibri" w:cs="Times New Roman"/>
                <w:bCs/>
                <w:lang w:val="sv-SE"/>
              </w:rPr>
              <w:fldChar w:fldCharType="begin">
                <w:fldData xml:space="preserve">PEVuZE5vdGU+PENpdGU+PEF1dGhvcj5Qcm9tcGVyczwvQXV0aG9yPjxZZWFyPjIwMDg8L1llYXI+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</w:fldData>
              </w:fldChar>
            </w:r>
            <w:r w:rsidR="00270983" w:rsidRPr="00A576B8">
              <w:rPr>
                <w:rFonts w:ascii="Calibri" w:hAnsi="Calibri" w:cs="Times New Roman"/>
                <w:bCs/>
                <w:lang w:val="sv-SE"/>
              </w:rPr>
              <w:instrText xml:space="preserve"> ADDIN EN.CITE </w:instrText>
            </w:r>
            <w:r w:rsidR="00270983" w:rsidRPr="00A576B8">
              <w:rPr>
                <w:rFonts w:ascii="Calibri" w:hAnsi="Calibri" w:cs="Times New Roman"/>
                <w:bCs/>
                <w:lang w:val="sv-SE"/>
              </w:rPr>
              <w:fldChar w:fldCharType="begin">
                <w:fldData xml:space="preserve">PEVuZE5vdGU+PENpdGU+PEF1dGhvcj5Qcm9tcGVyczwvQXV0aG9yPjxZZWFyPjIwMDg8L1llYXI+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</w:fldData>
              </w:fldChar>
            </w:r>
            <w:r w:rsidR="00270983" w:rsidRPr="00A576B8">
              <w:rPr>
                <w:rFonts w:ascii="Calibri" w:hAnsi="Calibri" w:cs="Times New Roman"/>
                <w:bCs/>
                <w:lang w:val="sv-SE"/>
              </w:rPr>
              <w:instrText xml:space="preserve"> ADDIN EN.CITE.DATA </w:instrText>
            </w:r>
            <w:r w:rsidR="00270983" w:rsidRPr="00A576B8">
              <w:rPr>
                <w:rFonts w:ascii="Calibri" w:hAnsi="Calibri" w:cs="Times New Roman"/>
                <w:bCs/>
                <w:lang w:val="sv-SE"/>
              </w:rPr>
            </w:r>
            <w:r w:rsidR="00270983" w:rsidRPr="00A576B8">
              <w:rPr>
                <w:rFonts w:ascii="Calibri" w:hAnsi="Calibri" w:cs="Times New Roman"/>
                <w:bCs/>
                <w:lang w:val="sv-SE"/>
              </w:rPr>
              <w:fldChar w:fldCharType="end"/>
            </w:r>
            <w:r w:rsidR="00270983" w:rsidRPr="00A576B8">
              <w:rPr>
                <w:rFonts w:ascii="Calibri" w:hAnsi="Calibri" w:cs="Times New Roman"/>
                <w:bCs/>
                <w:lang w:val="sv-SE"/>
              </w:rPr>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(5)</w:t>
            </w:r>
            <w:r w:rsidR="00270983" w:rsidRPr="00A576B8">
              <w:rPr>
                <w:rFonts w:ascii="Calibri" w:hAnsi="Calibri" w:cs="Times New Roman"/>
                <w:bCs/>
                <w:lang w:val="sv-SE"/>
              </w:rPr>
              <w:fldChar w:fldCharType="end"/>
            </w:r>
            <w:r w:rsidRPr="00A576B8">
              <w:rPr>
                <w:rFonts w:ascii="Calibri" w:hAnsi="Calibri" w:cs="Times New Roman"/>
                <w:bCs/>
                <w:lang w:val="sv-SE"/>
              </w:rPr>
              <w:t xml:space="preserve"> </w:t>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Amputation</w:t>
            </w:r>
          </w:p>
          <w:p w:rsidR="00747057" w:rsidRPr="00A576B8" w:rsidRDefault="00747057" w:rsidP="00DB38C4">
            <w:pPr>
              <w:rPr>
                <w:rFonts w:ascii="Calibri" w:hAnsi="Calibri" w:cs="Times New Roman"/>
                <w:lang w:val="sv-SE"/>
              </w:rPr>
            </w:pP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The </w:t>
            </w:r>
            <w:proofErr w:type="spellStart"/>
            <w:r w:rsidRPr="00A576B8">
              <w:rPr>
                <w:rFonts w:ascii="Calibri" w:hAnsi="Calibri" w:cs="Times New Roman"/>
                <w:bCs/>
              </w:rPr>
              <w:t>Eurodiale</w:t>
            </w:r>
            <w:proofErr w:type="spellEnd"/>
            <w:r w:rsidRPr="00A576B8">
              <w:rPr>
                <w:rFonts w:ascii="Calibri" w:hAnsi="Calibri" w:cs="Times New Roman"/>
                <w:bCs/>
              </w:rPr>
              <w:t xml:space="preserve"> study: Major amputation</w:t>
            </w:r>
            <w:r w:rsidRPr="00A576B8">
              <w:rPr>
                <w:rFonts w:ascii="Calibri" w:hAnsi="Calibri" w:cs="Times New Roman"/>
                <w:b/>
                <w:bCs/>
              </w:rPr>
              <w:t xml:space="preserve"> SEK 252,648</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vertAlign w:val="superscript"/>
              </w:rPr>
            </w:pPr>
            <w:r w:rsidRPr="00A576B8">
              <w:rPr>
                <w:rFonts w:ascii="Calibri" w:hAnsi="Calibri" w:cs="Times New Roman"/>
                <w:bCs/>
              </w:rPr>
              <w:t xml:space="preserve">Risk of recurring wounds (assumed 10%) </w:t>
            </w:r>
            <w:r w:rsidRPr="00A576B8">
              <w:rPr>
                <w:rFonts w:ascii="Calibri" w:hAnsi="Calibri" w:cs="Times New Roman"/>
                <w:b/>
                <w:bCs/>
              </w:rPr>
              <w:t>SEK 7</w:t>
            </w:r>
            <w:r w:rsidR="003D4FD0" w:rsidRPr="00A576B8">
              <w:rPr>
                <w:rFonts w:ascii="Calibri" w:hAnsi="Calibri" w:cs="Times New Roman"/>
                <w:b/>
                <w:bCs/>
              </w:rPr>
              <w:t>3</w:t>
            </w:r>
            <w:r w:rsidRPr="00A576B8">
              <w:rPr>
                <w:rFonts w:ascii="Calibri" w:hAnsi="Calibri" w:cs="Times New Roman"/>
                <w:b/>
                <w:bCs/>
              </w:rPr>
              <w:t>58</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First year: </w:t>
            </w:r>
            <w:r w:rsidRPr="00A576B8">
              <w:rPr>
                <w:rFonts w:ascii="Calibri" w:hAnsi="Calibri" w:cs="Times New Roman"/>
                <w:b/>
                <w:bCs/>
              </w:rPr>
              <w:t>SEK 252,648</w:t>
            </w:r>
          </w:p>
          <w:p w:rsidR="00747057" w:rsidRPr="00A576B8" w:rsidRDefault="00747057" w:rsidP="003D4FD0">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Subsequent years: </w:t>
            </w:r>
            <w:r w:rsidRPr="00A576B8">
              <w:rPr>
                <w:rFonts w:ascii="Calibri" w:hAnsi="Calibri" w:cs="Times New Roman"/>
                <w:b/>
                <w:bCs/>
              </w:rPr>
              <w:t>SEK 7358</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Prompers 2008</w:t>
            </w:r>
            <w:r w:rsidR="00270983" w:rsidRPr="00A576B8">
              <w:rPr>
                <w:rFonts w:ascii="Calibri" w:hAnsi="Calibri" w:cs="Times New Roman"/>
                <w:bCs/>
                <w:lang w:val="sv-SE"/>
              </w:rPr>
              <w:fldChar w:fldCharType="begin">
                <w:fldData xml:space="preserve">PEVuZE5vdGU+PENpdGU+PEF1dGhvcj5Qcm9tcGVyczwvQXV0aG9yPjxZZWFyPjIwMDg8L1llYXI+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</w:fldData>
              </w:fldChar>
            </w:r>
            <w:r w:rsidR="00270983" w:rsidRPr="00A576B8">
              <w:rPr>
                <w:rFonts w:ascii="Calibri" w:hAnsi="Calibri" w:cs="Times New Roman"/>
                <w:bCs/>
                <w:lang w:val="sv-SE"/>
              </w:rPr>
              <w:instrText xml:space="preserve"> ADDIN EN.CITE </w:instrText>
            </w:r>
            <w:r w:rsidR="00270983" w:rsidRPr="00A576B8">
              <w:rPr>
                <w:rFonts w:ascii="Calibri" w:hAnsi="Calibri" w:cs="Times New Roman"/>
                <w:bCs/>
                <w:lang w:val="sv-SE"/>
              </w:rPr>
              <w:fldChar w:fldCharType="begin">
                <w:fldData xml:space="preserve">PEVuZE5vdGU+PENpdGU+PEF1dGhvcj5Qcm9tcGVyczwvQXV0aG9yPjxZZWFyPjIwMDg8L1llYXI+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</w:fldData>
              </w:fldChar>
            </w:r>
            <w:r w:rsidR="00270983" w:rsidRPr="00A576B8">
              <w:rPr>
                <w:rFonts w:ascii="Calibri" w:hAnsi="Calibri" w:cs="Times New Roman"/>
                <w:bCs/>
                <w:lang w:val="sv-SE"/>
              </w:rPr>
              <w:instrText xml:space="preserve"> ADDIN EN.CITE.DATA </w:instrText>
            </w:r>
            <w:r w:rsidR="00270983" w:rsidRPr="00A576B8">
              <w:rPr>
                <w:rFonts w:ascii="Calibri" w:hAnsi="Calibri" w:cs="Times New Roman"/>
                <w:bCs/>
                <w:lang w:val="sv-SE"/>
              </w:rPr>
            </w:r>
            <w:r w:rsidR="00270983" w:rsidRPr="00A576B8">
              <w:rPr>
                <w:rFonts w:ascii="Calibri" w:hAnsi="Calibri" w:cs="Times New Roman"/>
                <w:bCs/>
                <w:lang w:val="sv-SE"/>
              </w:rPr>
              <w:fldChar w:fldCharType="end"/>
            </w:r>
            <w:r w:rsidR="00270983" w:rsidRPr="00A576B8">
              <w:rPr>
                <w:rFonts w:ascii="Calibri" w:hAnsi="Calibri" w:cs="Times New Roman"/>
                <w:bCs/>
                <w:lang w:val="sv-SE"/>
              </w:rPr>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(5)</w:t>
            </w:r>
            <w:r w:rsidR="00270983" w:rsidRPr="00A576B8">
              <w:rPr>
                <w:rFonts w:ascii="Calibri" w:hAnsi="Calibri" w:cs="Times New Roman"/>
                <w:bCs/>
                <w:lang w:val="sv-SE"/>
              </w:rPr>
              <w:fldChar w:fldCharType="end"/>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 xml:space="preserve">Microalbuminuria </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Treatment with angiotensin receptor blocker (50mg losartan/8mg candesartan) SEK 677 + calcium antagonist (5 mg) SEK 618</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bCs/>
              </w:rPr>
              <w:t xml:space="preserve">First year: </w:t>
            </w:r>
            <w:r w:rsidRPr="00A576B8">
              <w:rPr>
                <w:rFonts w:ascii="Calibri" w:hAnsi="Calibri" w:cs="Times New Roman"/>
                <w:b/>
                <w:bCs/>
              </w:rPr>
              <w:t>SEK 648</w:t>
            </w:r>
          </w:p>
          <w:p w:rsidR="00747057" w:rsidRPr="00A576B8" w:rsidRDefault="00747057" w:rsidP="003D4FD0">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bCs/>
              </w:rPr>
              <w:lastRenderedPageBreak/>
              <w:t xml:space="preserve">Subsequent years: </w:t>
            </w:r>
            <w:r w:rsidRPr="00A576B8">
              <w:rPr>
                <w:rFonts w:ascii="Calibri" w:hAnsi="Calibri" w:cs="Times New Roman"/>
                <w:b/>
                <w:bCs/>
              </w:rPr>
              <w:t>SEK 1295</w:t>
            </w:r>
          </w:p>
        </w:tc>
        <w:tc>
          <w:tcPr>
            <w:tcW w:w="1146"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lastRenderedPageBreak/>
              <w:t>TLV 2013</w:t>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lastRenderedPageBreak/>
              <w:t xml:space="preserve">Macroalbuminuria (Clinical nephropathy) </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 xml:space="preserve">Treatment with: </w:t>
            </w:r>
          </w:p>
          <w:p w:rsidR="00747057" w:rsidRPr="00A576B8" w:rsidRDefault="00747057" w:rsidP="00747057">
            <w:pPr>
              <w:numPr>
                <w:ilvl w:val="0"/>
                <w:numId w:val="9"/>
              </w:num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angiotensin receptor blocker (50mg losartan/8mg candesartan) SEK 677 + calcium antagonist (5 mg) SEK 618</w:t>
            </w:r>
          </w:p>
          <w:p w:rsidR="00747057" w:rsidRPr="00A576B8" w:rsidRDefault="00747057" w:rsidP="00747057">
            <w:pPr>
              <w:numPr>
                <w:ilvl w:val="0"/>
                <w:numId w:val="9"/>
              </w:num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Vitamin D (2*500mg/day) SEK 1312</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3 physician visits (first year) 3*SEK 1386</w:t>
            </w:r>
            <w:r w:rsidR="003D4FD0" w:rsidRPr="00A576B8">
              <w:rPr>
                <w:rFonts w:ascii="Calibri" w:hAnsi="Calibri" w:cs="Times New Roman"/>
                <w:bCs/>
              </w:rPr>
              <w:t xml:space="preserve"> </w:t>
            </w:r>
            <w:r w:rsidRPr="00A576B8">
              <w:rPr>
                <w:rFonts w:ascii="Calibri" w:hAnsi="Calibri" w:cs="Times New Roman"/>
                <w:bCs/>
              </w:rPr>
              <w:t>=</w:t>
            </w:r>
            <w:r w:rsidR="003D4FD0" w:rsidRPr="00A576B8">
              <w:rPr>
                <w:rFonts w:ascii="Calibri" w:hAnsi="Calibri" w:cs="Times New Roman"/>
                <w:bCs/>
              </w:rPr>
              <w:t xml:space="preserve"> </w:t>
            </w:r>
            <w:r w:rsidR="003D4FD0" w:rsidRPr="00A576B8">
              <w:rPr>
                <w:rFonts w:ascii="Calibri" w:hAnsi="Calibri" w:cs="Times New Roman"/>
                <w:b/>
                <w:bCs/>
              </w:rPr>
              <w:t>SEK</w:t>
            </w:r>
            <w:r w:rsidR="003D4FD0" w:rsidRPr="00A576B8">
              <w:rPr>
                <w:rFonts w:ascii="Calibri" w:hAnsi="Calibri" w:cs="Times New Roman"/>
                <w:bCs/>
              </w:rPr>
              <w:t xml:space="preserve"> </w:t>
            </w:r>
            <w:r w:rsidRPr="00A576B8">
              <w:rPr>
                <w:rFonts w:ascii="Calibri" w:hAnsi="Calibri" w:cs="Times New Roman"/>
                <w:b/>
                <w:bCs/>
              </w:rPr>
              <w:t>4158</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First year: </w:t>
            </w:r>
            <w:r w:rsidRPr="00A576B8">
              <w:rPr>
                <w:rFonts w:ascii="Calibri" w:hAnsi="Calibri" w:cs="Times New Roman"/>
                <w:b/>
                <w:bCs/>
              </w:rPr>
              <w:t>SEK 6765</w:t>
            </w:r>
          </w:p>
          <w:p w:rsidR="00747057" w:rsidRPr="00A576B8" w:rsidRDefault="00747057" w:rsidP="003D4FD0">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Subsequent years: </w:t>
            </w:r>
            <w:r w:rsidRPr="00A576B8">
              <w:rPr>
                <w:rFonts w:ascii="Calibri" w:hAnsi="Calibri" w:cs="Times New Roman"/>
                <w:b/>
                <w:bCs/>
              </w:rPr>
              <w:t>SEK 2607</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Södra regionvårdsnämnden 2014</w:t>
            </w:r>
            <w:r w:rsidR="00270983" w:rsidRPr="00A576B8">
              <w:rPr>
                <w:rFonts w:ascii="Calibri" w:hAnsi="Calibri" w:cs="Times New Roman"/>
                <w:bCs/>
                <w:lang w:val="sv-SE"/>
              </w:rPr>
              <w:fldChar w:fldCharType="begin"/>
            </w:r>
            <w:r w:rsidR="00270983" w:rsidRPr="00A576B8">
              <w:rPr>
                <w:rFonts w:ascii="Calibri" w:hAnsi="Calibri" w:cs="Times New Roman"/>
                <w:bCs/>
                <w:lang w:val="sv-SE"/>
              </w:rPr>
              <w:instrText xml:space="preserve"> ADDIN EN.CITE &lt;EndNote&gt;&lt;Cite&gt;&lt;Author&gt;Södra regionvårdsnämnden&lt;/Author&gt;&lt;Year&gt;2014&lt;/Year&gt;&lt;RecNum&gt;47&lt;/RecNum&gt;&lt;DisplayText&gt;(3)&lt;/DisplayText&gt;&lt;record&gt;&lt;rec-number&gt;47&lt;/rec-number&gt;&lt;foreign-keys&gt;&lt;key app="EN" db-id="5adtveztgpe2vpe9dd8xfexhrx2sefzpa0ze"&gt;47&lt;/key&gt;&lt;/foreign-keys&gt;&lt;ref-type name="Web Page"&gt;12&lt;/ref-type&gt;&lt;contributors&gt;&lt;authors&gt;&lt;author&gt;Södra regionvårdsnämnden,.&lt;/author&gt;&lt;/authors&gt;&lt;/contributors&gt;&lt;titles&gt;&lt;title&gt;Regionala priser och ersättningar för södra regionvårdsnämnden&lt;/title&gt;&lt;/titles&gt;&lt;dates&gt;&lt;year&gt;2014&lt;/year&gt;&lt;/dates&gt;&lt;urls&gt;&lt;related-urls&gt;&lt;url&gt;https://www.skane.se/Upload/Webbplatser/Sodra%20regionvardsnamnden/prislista/2014/helaprislistan2014.pdf&lt;/url&gt;&lt;/related-urls&gt;&lt;/urls&gt;&lt;/record&gt;&lt;/Cite&gt;&lt;/EndNote&gt;</w:instrText>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(3)</w:t>
            </w:r>
            <w:r w:rsidR="00270983" w:rsidRPr="00A576B8">
              <w:rPr>
                <w:rFonts w:ascii="Calibri" w:hAnsi="Calibri" w:cs="Times New Roman"/>
                <w:bCs/>
                <w:lang w:val="sv-SE"/>
              </w:rPr>
              <w:fldChar w:fldCharType="end"/>
            </w:r>
            <w:r w:rsidRPr="00A576B8">
              <w:rPr>
                <w:rFonts w:ascii="Calibri" w:hAnsi="Calibri" w:cs="Times New Roman"/>
                <w:bCs/>
                <w:lang w:val="sv-SE"/>
              </w:rPr>
              <w:t xml:space="preserve">; </w:t>
            </w:r>
            <w:r w:rsidR="00F73846" w:rsidRPr="00A576B8">
              <w:rPr>
                <w:rFonts w:ascii="Calibri" w:hAnsi="Calibri" w:cs="Times New Roman"/>
                <w:bCs/>
                <w:lang w:val="sv-SE"/>
              </w:rPr>
              <w:t>TLV</w:t>
            </w:r>
            <w:r w:rsidRPr="00A576B8">
              <w:rPr>
                <w:rFonts w:ascii="Calibri" w:hAnsi="Calibri" w:cs="Times New Roman"/>
                <w:bCs/>
                <w:lang w:val="sv-SE"/>
              </w:rPr>
              <w:t xml:space="preserve"> 2013</w:t>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Nephropathy, uraemia stage</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u w:val="single"/>
                <w:lang w:val="sv-SE"/>
              </w:rPr>
              <w:t>KPP database</w:t>
            </w:r>
            <w:r w:rsidRPr="00A576B8">
              <w:rPr>
                <w:rFonts w:ascii="Calibri" w:hAnsi="Calibri" w:cs="Times New Roman"/>
                <w:lang w:val="sv-SE"/>
              </w:rPr>
              <w:t xml:space="preserve"> </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 xml:space="preserve">E32 Dialysis </w:t>
            </w:r>
            <w:r w:rsidRPr="00A576B8">
              <w:rPr>
                <w:rFonts w:ascii="Calibri" w:hAnsi="Calibri" w:cs="Times New Roman"/>
                <w:b/>
                <w:lang w:val="sv-SE"/>
              </w:rPr>
              <w:t>SEK 124,584</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317O Dialysis (primary care) SEK 4085 (3.5/week=&gt; annual cost: SEK 743,470)</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First year: SEK 124,584 + 0.5*SEK 743,470</w:t>
            </w:r>
            <w:r w:rsidRPr="00A576B8">
              <w:rPr>
                <w:rFonts w:ascii="Calibri" w:hAnsi="Calibri" w:cs="Times New Roman"/>
                <w:bCs/>
                <w:vertAlign w:val="superscript"/>
              </w:rPr>
              <w:t>a)</w:t>
            </w:r>
            <w:r w:rsidRPr="00A576B8">
              <w:rPr>
                <w:rFonts w:ascii="Calibri" w:hAnsi="Calibri" w:cs="Times New Roman"/>
                <w:bCs/>
              </w:rPr>
              <w:t xml:space="preserve"> = </w:t>
            </w:r>
            <w:r w:rsidRPr="00A576B8">
              <w:rPr>
                <w:rFonts w:ascii="Calibri" w:hAnsi="Calibri" w:cs="Times New Roman"/>
                <w:b/>
                <w:bCs/>
              </w:rPr>
              <w:t>SEK 496,319</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 xml:space="preserve">Subsequent years: </w:t>
            </w:r>
            <w:r w:rsidRPr="00A576B8">
              <w:rPr>
                <w:rFonts w:ascii="Calibri" w:hAnsi="Calibri" w:cs="Times New Roman"/>
                <w:b/>
                <w:bCs/>
                <w:lang w:val="sv-SE"/>
              </w:rPr>
              <w:t>SEK 743,470</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Sveriges kommuner och landsting, KPP-databasen. Sveriges kommuner och landsting, KPP-databasen, 2011</w:t>
            </w:r>
            <w:r w:rsidR="00270983" w:rsidRPr="00A576B8">
              <w:rPr>
                <w:rFonts w:ascii="Calibri" w:hAnsi="Calibri" w:cs="Times New Roman"/>
                <w:bCs/>
                <w:lang w:val="sv-SE"/>
              </w:rPr>
              <w:fldChar w:fldCharType="begin"/>
            </w:r>
            <w:r w:rsidR="00270983" w:rsidRPr="00A576B8">
              <w:rPr>
                <w:rFonts w:ascii="Calibri" w:hAnsi="Calibri" w:cs="Times New Roman"/>
                <w:bCs/>
                <w:lang w:val="sv-SE"/>
              </w:rPr>
              <w:instrText xml:space="preserve"> ADDIN EN.CITE &lt;EndNote&gt;&lt;Cite&gt;&lt;Author&gt;Sveriges Kommuner och Landsting&lt;/Author&gt;&lt;Year&gt;2011&lt;/Year&gt;&lt;RecNum&gt;43&lt;/RecNum&gt;&lt;DisplayText&gt;(6)&lt;/DisplayText&gt;&lt;record&gt;&lt;rec-number&gt;43&lt;/rec-number&gt;&lt;foreign-keys&gt;&lt;key app="EN" db-id="5adtveztgpe2vpe9dd8xfexhrx2sefzpa0ze"&gt;43&lt;/key&gt;&lt;/foreign-keys&gt;&lt;ref-type name="Web Page"&gt;12&lt;/ref-type&gt;&lt;contributors&gt;&lt;authors&gt;&lt;author&gt;Sveriges Kommuner och Landsting,.&lt;/author&gt;&lt;/authors&gt;&lt;/contributors&gt;&lt;titles&gt;&lt;title&gt;KPP-databasen&lt;/title&gt;&lt;/titles&gt;&lt;dates&gt;&lt;year&gt;2011&lt;/year&gt;&lt;/dates&gt;&lt;urls&gt;&lt;related-urls&gt;&lt;url&gt;http://skl.se/ekonomijuridikstatistik/statistiknyckeltaljamforelser/kostnadperpatientkpp.1076.html&lt;/url&gt;&lt;/related-urls&gt;&lt;/urls&gt;&lt;/record&gt;&lt;/Cite&gt;&lt;/EndNote&gt;</w:instrText>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(6)</w:t>
            </w:r>
            <w:r w:rsidR="00270983" w:rsidRPr="00A576B8">
              <w:rPr>
                <w:rFonts w:ascii="Calibri" w:hAnsi="Calibri" w:cs="Times New Roman"/>
                <w:bCs/>
                <w:lang w:val="sv-SE"/>
              </w:rPr>
              <w:fldChar w:fldCharType="end"/>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Ischaemic heart disease</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Symptomatic ischaemic heart disease: </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First year: </w:t>
            </w:r>
            <w:r w:rsidRPr="00A576B8">
              <w:rPr>
                <w:rFonts w:ascii="Calibri" w:hAnsi="Calibri" w:cs="Times New Roman"/>
                <w:b/>
                <w:bCs/>
              </w:rPr>
              <w:t>SEK 94,251</w:t>
            </w:r>
          </w:p>
          <w:p w:rsidR="00747057" w:rsidRPr="00A576B8" w:rsidRDefault="00747057" w:rsidP="003D4FD0">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 xml:space="preserve">Subsequent years: </w:t>
            </w:r>
            <w:r w:rsidRPr="00A576B8">
              <w:rPr>
                <w:rFonts w:ascii="Calibri" w:hAnsi="Calibri" w:cs="Times New Roman"/>
                <w:b/>
                <w:bCs/>
                <w:lang w:val="sv-SE"/>
              </w:rPr>
              <w:t>SEK 3394</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Gerdtham 2009</w:t>
            </w:r>
            <w:r w:rsidR="00270983" w:rsidRPr="00A576B8">
              <w:rPr>
                <w:rFonts w:ascii="Calibri" w:hAnsi="Calibri" w:cs="Times New Roman"/>
                <w:bCs/>
                <w:lang w:val="sv-SE"/>
              </w:rPr>
              <w:fldChar w:fldCharType="begin"/>
            </w:r>
            <w:r w:rsidR="00270983" w:rsidRPr="00A576B8">
              <w:rPr>
                <w:rFonts w:ascii="Calibri" w:hAnsi="Calibri" w:cs="Times New Roman"/>
                <w:bCs/>
                <w:lang w:val="sv-SE"/>
              </w:rPr>
              <w:instrText xml:space="preserve"> ADDIN EN.CITE &lt;EndNote&gt;&lt;Cite&gt;&lt;Author&gt;Gerdtham&lt;/Author&gt;&lt;Year&gt;2009&lt;/Year&gt;&lt;RecNum&gt;15&lt;/RecNum&gt;&lt;DisplayText&gt;(7)&lt;/DisplayText&gt;&lt;record&gt;&lt;rec-number&gt;15&lt;/rec-number&gt;&lt;foreign-keys&gt;&lt;key app="EN" db-id="5adtveztgpe2vpe9dd8xfexhrx2sefzpa0ze"&gt;15&lt;/key&gt;&lt;/foreign-keys&gt;&lt;ref-type name="Journal Article"&gt;17&lt;/ref-type&gt;&lt;contributors&gt;&lt;authors&gt;&lt;author&gt;Gerdtham, U. G.&lt;/author&gt;&lt;author&gt;Clarke, P.&lt;/author&gt;&lt;author&gt;Hayes, A.&lt;/author&gt;&lt;author&gt;Gudbjornsdottir, S.&lt;/author&gt;&lt;/authors&gt;&lt;/contributors&gt;&lt;auth-address&gt;Health Economics Research Unit, University of Aberdeen, Aberdeen, Scotland. ulf.gerdtham@med.lu.se&lt;/auth-address&gt;&lt;titles&gt;&lt;title&gt;Estimating the cost of diabetes mellitus-related events from inpatient admissions in Sweden using administrative hospitalization data&lt;/title&gt;&lt;secondary-title&gt;Pharmacoeconomics&lt;/secondary-title&gt;&lt;alt-title&gt;PharmacoEconomics&lt;/alt-title&gt;&lt;/titles&gt;&lt;periodical&gt;&lt;full-title&gt;Pharmacoeconomics&lt;/full-title&gt;&lt;abbr-1&gt;PharmacoEconomics&lt;/abbr-1&gt;&lt;/periodical&gt;&lt;alt-periodical&gt;&lt;full-title&gt;Pharmacoeconomics&lt;/full-title&gt;&lt;abbr-1&gt;PharmacoEconomics&lt;/abbr-1&gt;&lt;/alt-periodical&gt;&lt;pages&gt;81-90&lt;/pages&gt;&lt;volume&gt;27&lt;/volume&gt;&lt;number&gt;1&lt;/number&gt;&lt;edition&gt;2009/01/31&lt;/edition&gt;&lt;keywords&gt;&lt;keyword&gt;Adult&lt;/keyword&gt;&lt;keyword&gt;Aged&lt;/keyword&gt;&lt;keyword&gt;Aged, 80 and over&lt;/keyword&gt;&lt;keyword&gt;Comorbidity&lt;/keyword&gt;&lt;keyword&gt;Diabetes Mellitus/*economics&lt;/keyword&gt;&lt;keyword&gt;Female&lt;/keyword&gt;&lt;keyword&gt;*Hospital Costs&lt;/keyword&gt;&lt;keyword&gt;Humans&lt;/keyword&gt;&lt;keyword&gt;Male&lt;/keyword&gt;&lt;keyword&gt;Middle Aged&lt;/keyword&gt;&lt;keyword&gt;Regression Analysis&lt;/keyword&gt;&lt;keyword&gt;Sweden&lt;/keyword&gt;&lt;/keywords&gt;&lt;dates&gt;&lt;year&gt;2009&lt;/year&gt;&lt;/dates&gt;&lt;isbn&gt;1170-7690 (Print)&amp;#xD;1170-7690&lt;/isbn&gt;&lt;accession-num&gt;19178126&lt;/accession-num&gt;&lt;urls&gt;&lt;/urls&gt;&lt;electronic-resource-num&gt;10.2165/00019053-200927010-00008&lt;/electronic-resource-num&gt;&lt;remote-database-provider&gt;NLM&lt;/remote-database-provider&gt;&lt;language&gt;eng&lt;/language&gt;&lt;/record&gt;&lt;/Cite&gt;&lt;/EndNote&gt;</w:instrText>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(7)</w:t>
            </w:r>
            <w:r w:rsidR="00270983" w:rsidRPr="00A576B8">
              <w:rPr>
                <w:rFonts w:ascii="Calibri" w:hAnsi="Calibri" w:cs="Times New Roman"/>
                <w:bCs/>
                <w:lang w:val="sv-SE"/>
              </w:rPr>
              <w:fldChar w:fldCharType="end"/>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Myocardial infarction</w:t>
            </w:r>
          </w:p>
          <w:p w:rsidR="00747057" w:rsidRPr="00A576B8" w:rsidRDefault="00747057" w:rsidP="00DB38C4">
            <w:pPr>
              <w:rPr>
                <w:rFonts w:ascii="Calibri" w:hAnsi="Calibri" w:cs="Times New Roman"/>
                <w:lang w:val="sv-SE"/>
              </w:rPr>
            </w:pP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Non-fatal myocardial infarction: </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First year: </w:t>
            </w:r>
            <w:r w:rsidRPr="00A576B8">
              <w:rPr>
                <w:rFonts w:ascii="Calibri" w:hAnsi="Calibri" w:cs="Times New Roman"/>
                <w:b/>
                <w:bCs/>
              </w:rPr>
              <w:t>SEK 100,763</w:t>
            </w:r>
          </w:p>
          <w:p w:rsidR="00747057" w:rsidRPr="00A576B8" w:rsidRDefault="00747057" w:rsidP="003D4FD0">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vertAlign w:val="superscript"/>
                <w:lang w:val="sv-SE"/>
              </w:rPr>
            </w:pPr>
            <w:r w:rsidRPr="00A576B8">
              <w:rPr>
                <w:rFonts w:ascii="Calibri" w:hAnsi="Calibri" w:cs="Times New Roman"/>
                <w:bCs/>
                <w:lang w:val="sv-SE"/>
              </w:rPr>
              <w:t xml:space="preserve">Subsequent years: </w:t>
            </w:r>
            <w:r w:rsidRPr="00A576B8">
              <w:rPr>
                <w:rFonts w:ascii="Calibri" w:hAnsi="Calibri" w:cs="Times New Roman"/>
                <w:b/>
                <w:bCs/>
                <w:lang w:val="sv-SE"/>
              </w:rPr>
              <w:t>SEK 2243</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rPr>
              <w:t>Gerdtham 2009</w:t>
            </w:r>
            <w:r w:rsidR="00270983" w:rsidRPr="00A576B8">
              <w:rPr>
                <w:rFonts w:ascii="Calibri" w:hAnsi="Calibri" w:cs="Times New Roman"/>
              </w:rPr>
              <w:fldChar w:fldCharType="begin"/>
            </w:r>
            <w:r w:rsidR="00270983" w:rsidRPr="00A576B8">
              <w:rPr>
                <w:rFonts w:ascii="Calibri" w:hAnsi="Calibri" w:cs="Times New Roman"/>
              </w:rPr>
              <w:instrText xml:space="preserve"> ADDIN EN.CITE &lt;EndNote&gt;&lt;Cite&gt;&lt;Author&gt;Gerdtham&lt;/Author&gt;&lt;Year&gt;2009&lt;/Year&gt;&lt;RecNum&gt;15&lt;/RecNum&gt;&lt;DisplayText&gt;(7)&lt;/DisplayText&gt;&lt;record&gt;&lt;rec-number&gt;15&lt;/rec-number&gt;&lt;foreign-keys&gt;&lt;key app="EN" db-id="5adtveztgpe2vpe9dd8xfexhrx2sefzpa0ze"&gt;15&lt;/key&gt;&lt;/foreign-keys&gt;&lt;ref-type name="Journal Article"&gt;17&lt;/ref-type&gt;&lt;contributors&gt;&lt;authors&gt;&lt;author&gt;Gerdtham, U. G.&lt;/author&gt;&lt;author&gt;Clarke, P.&lt;/author&gt;&lt;author&gt;Hayes, A.&lt;/author&gt;&lt;author&gt;Gudbjornsdottir, S.&lt;/author&gt;&lt;/authors&gt;&lt;/contributors&gt;&lt;auth-address&gt;Health Economics Research Unit, University of Aberdeen, Aberdeen, Scotland. ulf.gerdtham@med.lu.se&lt;/auth-address&gt;&lt;titles&gt;&lt;title&gt;Estimating the cost of diabetes mellitus-related events from inpatient admissions in Sweden using administrative hospitalization data&lt;/title&gt;&lt;secondary-title&gt;Pharmacoeconomics&lt;/secondary-title&gt;&lt;alt-title&gt;PharmacoEconomics&lt;/alt-title&gt;&lt;/titles&gt;&lt;periodical&gt;&lt;full-title&gt;Pharmacoeconomics&lt;/full-title&gt;&lt;abbr-1&gt;PharmacoEconomics&lt;/abbr-1&gt;&lt;/periodical&gt;&lt;alt-periodical&gt;&lt;full-title&gt;Pharmacoeconomics&lt;/full-title&gt;&lt;abbr-1&gt;PharmacoEconomics&lt;/abbr-1&gt;&lt;/alt-periodical&gt;&lt;pages&gt;81-90&lt;/pages&gt;&lt;volume&gt;27&lt;/volume&gt;&lt;number&gt;1&lt;/number&gt;&lt;edition&gt;2009/01/31&lt;/edition&gt;&lt;keywords&gt;&lt;keyword&gt;Adult&lt;/keyword&gt;&lt;keyword&gt;Aged&lt;/keyword&gt;&lt;keyword&gt;Aged, 80 and over&lt;/keyword&gt;&lt;keyword&gt;Comorbidity&lt;/keyword&gt;&lt;keyword&gt;Diabetes Mellitus/*economics&lt;/keyword&gt;&lt;keyword&gt;Female&lt;/keyword&gt;&lt;keyword&gt;*Hospital Costs&lt;/keyword&gt;&lt;keyword&gt;Humans&lt;/keyword&gt;&lt;keyword&gt;Male&lt;/keyword&gt;&lt;keyword&gt;Middle Aged&lt;/keyword&gt;&lt;keyword&gt;Regression Analysis&lt;/keyword&gt;&lt;keyword&gt;Sweden&lt;/keyword&gt;&lt;/keywords&gt;&lt;dates&gt;&lt;year&gt;2009&lt;/year&gt;&lt;/dates&gt;&lt;isbn&gt;1170-7690 (Print)&amp;#xD;1170-7690&lt;/isbn&gt;&lt;accession-num&gt;19178126&lt;/accession-num&gt;&lt;urls&gt;&lt;/urls&gt;&lt;electronic-resource-num&gt;10.2165/00019053-200927010-00008&lt;/electronic-resource-num&gt;&lt;remote-database-provider&gt;NLM&lt;/remote-database-provider&gt;&lt;language&gt;eng&lt;/language&gt;&lt;/record&gt;&lt;/Cite&gt;&lt;/EndNote&gt;</w:instrText>
            </w:r>
            <w:r w:rsidR="00270983" w:rsidRPr="00A576B8">
              <w:rPr>
                <w:rFonts w:ascii="Calibri" w:hAnsi="Calibri" w:cs="Times New Roman"/>
              </w:rPr>
              <w:fldChar w:fldCharType="separate"/>
            </w:r>
            <w:r w:rsidR="00270983" w:rsidRPr="00A576B8">
              <w:rPr>
                <w:rFonts w:ascii="Calibri" w:hAnsi="Calibri" w:cs="Times New Roman"/>
                <w:noProof/>
              </w:rPr>
              <w:t>(7)</w:t>
            </w:r>
            <w:r w:rsidR="00270983" w:rsidRPr="00A576B8">
              <w:rPr>
                <w:rFonts w:ascii="Calibri" w:hAnsi="Calibri" w:cs="Times New Roman"/>
              </w:rPr>
              <w:fldChar w:fldCharType="end"/>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Stroke</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First year: </w:t>
            </w:r>
            <w:r w:rsidRPr="00A576B8">
              <w:rPr>
                <w:rFonts w:ascii="Calibri" w:hAnsi="Calibri" w:cs="Times New Roman"/>
                <w:b/>
                <w:bCs/>
              </w:rPr>
              <w:t>SEK 179,836</w:t>
            </w:r>
          </w:p>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Subsequent years: </w:t>
            </w:r>
            <w:r w:rsidRPr="00A576B8">
              <w:rPr>
                <w:rFonts w:ascii="Calibri" w:hAnsi="Calibri" w:cs="Times New Roman"/>
                <w:b/>
                <w:bCs/>
              </w:rPr>
              <w:t>SEK 161,788</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Ghatnekar 2002</w:t>
            </w:r>
            <w:r w:rsidR="00270983" w:rsidRPr="00A576B8">
              <w:rPr>
                <w:rFonts w:ascii="Calibri" w:hAnsi="Calibri" w:cs="Times New Roman"/>
                <w:bCs/>
                <w:lang w:val="sv-SE"/>
              </w:rPr>
              <w:fldChar w:fldCharType="begin"/>
            </w:r>
            <w:r w:rsidR="00270983" w:rsidRPr="00A576B8">
              <w:rPr>
                <w:rFonts w:ascii="Calibri" w:hAnsi="Calibri" w:cs="Times New Roman"/>
                <w:bCs/>
                <w:lang w:val="sv-SE"/>
              </w:rPr>
              <w:instrText xml:space="preserve"> ADDIN EN.CITE &lt;EndNote&gt;&lt;Cite&gt;&lt;Author&gt;Ghatnekar&lt;/Author&gt;&lt;Year&gt;2002&lt;/Year&gt;&lt;RecNum&gt;16&lt;/RecNum&gt;&lt;DisplayText&gt;(8)&lt;/DisplayText&gt;&lt;record&gt;&lt;rec-number&gt;16&lt;/rec-number&gt;&lt;foreign-keys&gt;&lt;key app="EN" db-id="5adtveztgpe2vpe9dd8xfexhrx2sefzpa0ze"&gt;16&lt;/key&gt;&lt;/foreign-keys&gt;&lt;ref-type name="Journal Article"&gt;17&lt;/ref-type&gt;&lt;contributors&gt;&lt;authors&gt;&lt;author&gt;Ghatnekar, O.&lt;/author&gt;&lt;author&gt;Willis, M.&lt;/author&gt;&lt;author&gt;Persson, U.&lt;/author&gt;&lt;/authors&gt;&lt;/contributors&gt;&lt;auth-address&gt;Swedish Institute for Health Economics, Lund, Sweden. og@ihe.se&lt;/auth-address&gt;&lt;titles&gt;&lt;title&gt;Cost-effectiveness of treating deep diabetic foot ulcers with Promogran in four European countries&lt;/title&gt;&lt;secondary-title&gt;J Wound Care&lt;/secondary-title&gt;&lt;alt-title&gt;Journal of wound care&lt;/alt-title&gt;&lt;/titles&gt;&lt;pages&gt;70-4&lt;/pages&gt;&lt;volume&gt;11&lt;/volume&gt;&lt;number&gt;2&lt;/number&gt;&lt;edition&gt;2002/03/21&lt;/edition&gt;&lt;keywords&gt;&lt;keyword&gt;Bandages/*economics&lt;/keyword&gt;&lt;keyword&gt;Cellulose, Oxidized/*therapeutic use&lt;/keyword&gt;&lt;keyword&gt;Collagen/*therapeutic use&lt;/keyword&gt;&lt;keyword&gt;Cost-Benefit Analysis&lt;/keyword&gt;&lt;keyword&gt;Diabetic Foot/diagnosis/*drug therapy/*economics/nursing&lt;/keyword&gt;&lt;keyword&gt;Europe&lt;/keyword&gt;&lt;keyword&gt;Female&lt;/keyword&gt;&lt;keyword&gt;Follow-Up Studies&lt;/keyword&gt;&lt;keyword&gt;Health Care Costs/*statistics &amp;amp; numerical data&lt;/keyword&gt;&lt;keyword&gt;Humans&lt;/keyword&gt;&lt;keyword&gt;Male&lt;/keyword&gt;&lt;keyword&gt;Probability&lt;/keyword&gt;&lt;keyword&gt;Reference Values&lt;/keyword&gt;&lt;keyword&gt;Severity of Illness Index&lt;/keyword&gt;&lt;keyword&gt;Treatment Outcome&lt;/keyword&gt;&lt;keyword&gt;*Wound Healing/physiology&lt;/keyword&gt;&lt;/keywords&gt;&lt;dates&gt;&lt;year&gt;2002&lt;/year&gt;&lt;pub-dates&gt;&lt;date&gt;Feb&lt;/date&gt;&lt;/pub-dates&gt;&lt;/dates&gt;&lt;isbn&gt;0969-0700 (Print)&amp;#xD;0969-0700&lt;/isbn&gt;&lt;accession-num&gt;11901743&lt;/accession-num&gt;&lt;urls&gt;&lt;/urls&gt;&lt;electronic-resource-num&gt;10.12968/jowc.2002.11.2.26675&lt;/electronic-resource-num&gt;&lt;remote-database-provider&gt;NLM&lt;/remote-database-provider&gt;&lt;language&gt;eng&lt;/language&gt;&lt;/record&gt;&lt;/Cite&gt;&lt;/EndNote&gt;</w:instrText>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(8)</w:t>
            </w:r>
            <w:r w:rsidR="00270983" w:rsidRPr="00A576B8">
              <w:rPr>
                <w:rFonts w:ascii="Calibri" w:hAnsi="Calibri" w:cs="Times New Roman"/>
                <w:bCs/>
                <w:lang w:val="sv-SE"/>
              </w:rPr>
              <w:fldChar w:fldCharType="end"/>
            </w:r>
          </w:p>
        </w:tc>
      </w:tr>
      <w:tr w:rsidR="00747057" w:rsidRPr="00A576B8" w:rsidTr="003B5666">
        <w:tc>
          <w:tcPr>
            <w:cnfStyle w:val="001000000000" w:firstRow="0" w:lastRow="0" w:firstColumn="1" w:lastColumn="0" w:oddVBand="0" w:evenVBand="0" w:oddHBand="0" w:evenHBand="0" w:firstRowFirstColumn="0" w:firstRowLastColumn="0" w:lastRowFirstColumn="0" w:lastRowLastColumn="0"/>
            <w:tcW w:w="1011" w:type="pct"/>
          </w:tcPr>
          <w:p w:rsidR="00747057" w:rsidRPr="00A576B8" w:rsidRDefault="00747057" w:rsidP="00DB38C4">
            <w:pPr>
              <w:rPr>
                <w:rFonts w:ascii="Calibri" w:hAnsi="Calibri" w:cs="Times New Roman"/>
                <w:lang w:val="sv-SE"/>
              </w:rPr>
            </w:pPr>
            <w:r w:rsidRPr="00A576B8">
              <w:rPr>
                <w:rFonts w:ascii="Calibri" w:hAnsi="Calibri" w:cs="Times New Roman"/>
                <w:lang w:val="sv-SE"/>
              </w:rPr>
              <w:t>Heart failure</w:t>
            </w:r>
          </w:p>
        </w:tc>
        <w:tc>
          <w:tcPr>
            <w:tcW w:w="2843" w:type="pct"/>
          </w:tcPr>
          <w:p w:rsidR="00747057" w:rsidRPr="00A576B8" w:rsidRDefault="00747057" w:rsidP="003B5666">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First year: </w:t>
            </w:r>
            <w:r w:rsidRPr="00A576B8">
              <w:rPr>
                <w:rFonts w:ascii="Calibri" w:hAnsi="Calibri" w:cs="Times New Roman"/>
                <w:b/>
                <w:bCs/>
              </w:rPr>
              <w:t>SEK 70,952</w:t>
            </w:r>
          </w:p>
          <w:p w:rsidR="00747057" w:rsidRPr="00A576B8" w:rsidRDefault="00747057" w:rsidP="003D4FD0">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rPr>
            </w:pPr>
            <w:r w:rsidRPr="00A576B8">
              <w:rPr>
                <w:rFonts w:ascii="Calibri" w:hAnsi="Calibri" w:cs="Times New Roman"/>
                <w:bCs/>
              </w:rPr>
              <w:t xml:space="preserve">Subsequent years: </w:t>
            </w:r>
            <w:r w:rsidRPr="00A576B8">
              <w:rPr>
                <w:rFonts w:ascii="Calibri" w:hAnsi="Calibri" w:cs="Times New Roman"/>
                <w:b/>
                <w:bCs/>
              </w:rPr>
              <w:t>SEK 7090</w:t>
            </w:r>
          </w:p>
        </w:tc>
        <w:tc>
          <w:tcPr>
            <w:tcW w:w="1146" w:type="pct"/>
          </w:tcPr>
          <w:p w:rsidR="00747057" w:rsidRPr="00A576B8" w:rsidRDefault="00747057" w:rsidP="00270983">
            <w:pPr>
              <w:spacing w:after="0"/>
              <w:cnfStyle w:val="000000000000" w:firstRow="0" w:lastRow="0" w:firstColumn="0" w:lastColumn="0" w:oddVBand="0" w:evenVBand="0" w:oddHBand="0" w:evenHBand="0" w:firstRowFirstColumn="0" w:firstRowLastColumn="0" w:lastRowFirstColumn="0" w:lastRowLastColumn="0"/>
              <w:rPr>
                <w:rFonts w:ascii="Calibri" w:hAnsi="Calibri" w:cs="Times New Roman"/>
                <w:bCs/>
                <w:lang w:val="sv-SE"/>
              </w:rPr>
            </w:pPr>
            <w:r w:rsidRPr="00A576B8">
              <w:rPr>
                <w:rFonts w:ascii="Calibri" w:hAnsi="Calibri" w:cs="Times New Roman"/>
                <w:bCs/>
                <w:lang w:val="sv-SE"/>
              </w:rPr>
              <w:t>Gerdtham 2009</w:t>
            </w:r>
            <w:r w:rsidR="00270983" w:rsidRPr="00A576B8">
              <w:rPr>
                <w:rFonts w:ascii="Calibri" w:hAnsi="Calibri" w:cs="Times New Roman"/>
                <w:bCs/>
                <w:lang w:val="sv-SE"/>
              </w:rPr>
              <w:fldChar w:fldCharType="begin"/>
            </w:r>
            <w:r w:rsidR="00270983" w:rsidRPr="00A576B8">
              <w:rPr>
                <w:rFonts w:ascii="Calibri" w:hAnsi="Calibri" w:cs="Times New Roman"/>
                <w:bCs/>
                <w:lang w:val="sv-SE"/>
              </w:rPr>
              <w:instrText xml:space="preserve"> ADDIN EN.CITE &lt;EndNote&gt;&lt;Cite&gt;&lt;Author&gt;Gerdtham&lt;/Author&gt;&lt;Year&gt;2009&lt;/Year&gt;&lt;RecNum&gt;15&lt;/RecNum&gt;&lt;DisplayText&gt;(7)&lt;/DisplayText&gt;&lt;record&gt;&lt;rec-number&gt;15&lt;/rec-number&gt;&lt;foreign-keys&gt;&lt;key app="EN" db-id="5adtveztgpe2vpe9dd8xfexhrx2sefzpa0ze"&gt;15&lt;/key&gt;&lt;/foreign-keys&gt;&lt;ref-type name="Journal Article"&gt;17&lt;/ref-type&gt;&lt;contributors&gt;&lt;authors&gt;&lt;author&gt;Gerdtham, U. G.&lt;/author&gt;&lt;author&gt;Clarke, P.&lt;/author&gt;&lt;author&gt;Hayes, A.&lt;/author&gt;&lt;author&gt;Gudbjornsdottir, S.&lt;/author&gt;&lt;/authors&gt;&lt;/contributors&gt;&lt;auth-address&gt;Health Economics Research Unit, University of Aberdeen, Aberdeen, Scotland. ulf.gerdtham@med.lu.se&lt;/auth-address&gt;&lt;titles&gt;&lt;title&gt;Estimating the cost of diabetes mellitus-related events from inpatient admissions in Sweden using administrative hospitalization data&lt;/title&gt;&lt;secondary-title&gt;Pharmacoeconomics&lt;/secondary-title&gt;&lt;alt-title&gt;PharmacoEconomics&lt;/alt-title&gt;&lt;/titles&gt;&lt;periodical&gt;&lt;full-title&gt;Pharmacoeconomics&lt;/full-title&gt;&lt;abbr-1&gt;PharmacoEconomics&lt;/abbr-1&gt;&lt;/periodical&gt;&lt;alt-periodical&gt;&lt;full-title&gt;Pharmacoeconomics&lt;/full-title&gt;&lt;abbr-1&gt;PharmacoEconomics&lt;/abbr-1&gt;&lt;/alt-periodical&gt;&lt;pages&gt;81-90&lt;/pages&gt;&lt;volume&gt;27&lt;/volume&gt;&lt;number&gt;1&lt;/number&gt;&lt;edition&gt;2009/01/31&lt;/edition&gt;&lt;keywords&gt;&lt;keyword&gt;Adult&lt;/keyword&gt;&lt;keyword&gt;Aged&lt;/keyword&gt;&lt;keyword&gt;Aged, 80 and over&lt;/keyword&gt;&lt;keyword&gt;Comorbidity&lt;/keyword&gt;&lt;keyword&gt;Diabetes Mellitus/*economics&lt;/keyword&gt;&lt;keyword&gt;Female&lt;/keyword&gt;&lt;keyword&gt;*Hospital Costs&lt;/keyword&gt;&lt;keyword&gt;Humans&lt;/keyword&gt;&lt;keyword&gt;Male&lt;/keyword&gt;&lt;keyword&gt;Middle Aged&lt;/keyword&gt;&lt;keyword&gt;Regression Analysis&lt;/keyword&gt;&lt;keyword&gt;Sweden&lt;/keyword&gt;&lt;/keywords&gt;&lt;dates&gt;&lt;year&gt;2009&lt;/year&gt;&lt;/dates&gt;&lt;isbn&gt;1170-7690 (Print)&amp;#xD;1170-7690&lt;/isbn&gt;&lt;accession-num&gt;19178126&lt;/accession-num&gt;&lt;urls&gt;&lt;/urls&gt;&lt;electronic-resource-num&gt;10.2165/00019053-200927010-00008&lt;/electronic-resource-num&gt;&lt;remote-database-provider&gt;NLM&lt;/remote-database-provider&gt;&lt;language&gt;eng&lt;/language&gt;&lt;/record&gt;&lt;/Cite&gt;&lt;/EndNote&gt;</w:instrText>
            </w:r>
            <w:r w:rsidR="00270983" w:rsidRPr="00A576B8">
              <w:rPr>
                <w:rFonts w:ascii="Calibri" w:hAnsi="Calibri" w:cs="Times New Roman"/>
                <w:bCs/>
                <w:lang w:val="sv-SE"/>
              </w:rPr>
              <w:fldChar w:fldCharType="separate"/>
            </w:r>
            <w:r w:rsidR="00270983" w:rsidRPr="00A576B8">
              <w:rPr>
                <w:rFonts w:ascii="Calibri" w:hAnsi="Calibri" w:cs="Times New Roman"/>
                <w:bCs/>
                <w:noProof/>
                <w:lang w:val="sv-SE"/>
              </w:rPr>
              <w:t>(7)</w:t>
            </w:r>
            <w:r w:rsidR="00270983" w:rsidRPr="00A576B8">
              <w:rPr>
                <w:rFonts w:ascii="Calibri" w:hAnsi="Calibri" w:cs="Times New Roman"/>
                <w:bCs/>
                <w:lang w:val="sv-SE"/>
              </w:rPr>
              <w:fldChar w:fldCharType="end"/>
            </w:r>
          </w:p>
        </w:tc>
      </w:tr>
    </w:tbl>
    <w:p w:rsidR="00747057" w:rsidRPr="00A576B8" w:rsidRDefault="00ED4AFD" w:rsidP="00DB38C4">
      <w:pPr>
        <w:spacing w:before="0" w:after="0" w:line="240" w:lineRule="auto"/>
        <w:rPr>
          <w:rFonts w:ascii="Calibri" w:eastAsia="Times New Roman" w:hAnsi="Calibri" w:cs="Times New Roman"/>
          <w:color w:val="4E5053"/>
          <w:sz w:val="18"/>
          <w:szCs w:val="20"/>
        </w:rPr>
      </w:pPr>
      <w:proofErr w:type="gramStart"/>
      <w:r w:rsidRPr="00A576B8">
        <w:rPr>
          <w:rFonts w:ascii="Calibri" w:eastAsia="Times New Roman" w:hAnsi="Calibri" w:cs="Times New Roman"/>
          <w:color w:val="4E5053"/>
          <w:sz w:val="18"/>
          <w:szCs w:val="20"/>
        </w:rPr>
        <w:t>mg</w:t>
      </w:r>
      <w:proofErr w:type="gramEnd"/>
      <w:r w:rsidRPr="00A576B8">
        <w:rPr>
          <w:rFonts w:ascii="Calibri" w:eastAsia="Times New Roman" w:hAnsi="Calibri" w:cs="Times New Roman"/>
          <w:color w:val="4E5053"/>
          <w:sz w:val="18"/>
          <w:szCs w:val="20"/>
        </w:rPr>
        <w:t>:</w:t>
      </w:r>
      <w:r w:rsidR="00747057" w:rsidRPr="00A576B8">
        <w:rPr>
          <w:rFonts w:ascii="Calibri" w:eastAsia="Times New Roman" w:hAnsi="Calibri" w:cs="Times New Roman"/>
          <w:color w:val="4E5053"/>
          <w:sz w:val="18"/>
          <w:szCs w:val="20"/>
        </w:rPr>
        <w:t xml:space="preserve">  milligrams; SEK, Swedish Krona</w:t>
      </w:r>
      <w:r w:rsidRPr="00A576B8">
        <w:rPr>
          <w:rFonts w:ascii="Calibri" w:eastAsia="Times New Roman" w:hAnsi="Calibri" w:cs="Times New Roman"/>
          <w:color w:val="4E5053"/>
          <w:sz w:val="18"/>
          <w:szCs w:val="20"/>
        </w:rPr>
        <w:t>.</w:t>
      </w:r>
    </w:p>
    <w:p w:rsidR="00747057" w:rsidRPr="00A576B8" w:rsidRDefault="00747057" w:rsidP="00DB38C4">
      <w:pPr>
        <w:spacing w:before="0" w:after="0" w:line="240" w:lineRule="auto"/>
        <w:rPr>
          <w:rFonts w:ascii="Calibri" w:eastAsia="Times New Roman" w:hAnsi="Calibri" w:cs="Times New Roman"/>
          <w:color w:val="4E5053"/>
          <w:sz w:val="18"/>
          <w:szCs w:val="20"/>
        </w:rPr>
      </w:pPr>
      <w:proofErr w:type="gramStart"/>
      <w:r w:rsidRPr="00A576B8">
        <w:rPr>
          <w:rFonts w:ascii="Calibri" w:eastAsia="Times New Roman" w:hAnsi="Calibri" w:cs="Times New Roman"/>
          <w:color w:val="4E5053"/>
          <w:sz w:val="18"/>
          <w:szCs w:val="20"/>
          <w:vertAlign w:val="superscript"/>
        </w:rPr>
        <w:t>a)</w:t>
      </w:r>
      <w:r w:rsidRPr="00A576B8">
        <w:rPr>
          <w:rFonts w:ascii="Calibri" w:eastAsia="Times New Roman" w:hAnsi="Calibri" w:cs="Times New Roman"/>
          <w:color w:val="4E5053"/>
          <w:sz w:val="18"/>
          <w:szCs w:val="20"/>
        </w:rPr>
        <w:t>Patients</w:t>
      </w:r>
      <w:proofErr w:type="gramEnd"/>
      <w:r w:rsidRPr="00A576B8">
        <w:rPr>
          <w:rFonts w:ascii="Calibri" w:eastAsia="Times New Roman" w:hAnsi="Calibri" w:cs="Times New Roman"/>
          <w:color w:val="4E5053"/>
          <w:sz w:val="18"/>
          <w:szCs w:val="20"/>
        </w:rPr>
        <w:t xml:space="preserve"> may commence treatment at any time of the year. On average the first year of treatment will therefore be 6 months.</w:t>
      </w:r>
    </w:p>
    <w:p w:rsidR="00A95D95" w:rsidRPr="00A576B8" w:rsidRDefault="00A95D95">
      <w:pPr>
        <w:spacing w:before="0" w:after="200"/>
        <w:rPr>
          <w:rFonts w:ascii="Calibri" w:eastAsia="Times New Roman" w:hAnsi="Calibri" w:cs="Times New Roman"/>
          <w:b/>
          <w:bCs/>
          <w:color w:val="4E5053"/>
        </w:rPr>
      </w:pPr>
      <w:r w:rsidRPr="00A576B8">
        <w:rPr>
          <w:rFonts w:ascii="Calibri" w:eastAsia="Times New Roman" w:hAnsi="Calibri" w:cs="Times New Roman"/>
          <w:b/>
          <w:bCs/>
          <w:color w:val="4E5053"/>
        </w:rPr>
        <w:br w:type="page"/>
      </w:r>
    </w:p>
    <w:p w:rsidR="00747057" w:rsidRPr="00A576B8" w:rsidRDefault="00747057" w:rsidP="00747057">
      <w:pPr>
        <w:keepNext/>
        <w:spacing w:after="0" w:line="240" w:lineRule="auto"/>
        <w:rPr>
          <w:rFonts w:ascii="Calibri" w:eastAsia="Times New Roman" w:hAnsi="Calibri" w:cs="Times New Roman"/>
          <w:b/>
          <w:bCs/>
          <w:color w:val="4E5053"/>
        </w:rPr>
      </w:pPr>
      <w:r w:rsidRPr="00A576B8">
        <w:rPr>
          <w:rFonts w:ascii="Calibri" w:eastAsia="Times New Roman" w:hAnsi="Calibri" w:cs="Times New Roman"/>
          <w:b/>
          <w:bCs/>
          <w:color w:val="4E5053"/>
        </w:rPr>
        <w:lastRenderedPageBreak/>
        <w:t xml:space="preserve">Table </w:t>
      </w:r>
      <w:bookmarkEnd w:id="0"/>
      <w:r w:rsidR="001041F1" w:rsidRPr="00A576B8">
        <w:rPr>
          <w:rFonts w:ascii="Calibri" w:eastAsia="Times New Roman" w:hAnsi="Calibri" w:cs="Times New Roman"/>
          <w:b/>
          <w:bCs/>
          <w:color w:val="4E5053"/>
        </w:rPr>
        <w:t>S2</w:t>
      </w:r>
      <w:r w:rsidRPr="00A576B8">
        <w:rPr>
          <w:rFonts w:ascii="Calibri" w:eastAsia="Times New Roman" w:hAnsi="Calibri" w:cs="Times New Roman"/>
          <w:b/>
          <w:bCs/>
          <w:color w:val="4E5053"/>
        </w:rPr>
        <w:t>: Sensitivity analyses performed and rationale for testing</w:t>
      </w:r>
    </w:p>
    <w:tbl>
      <w:tblPr>
        <w:tblStyle w:val="LightShading-Accent31"/>
        <w:tblW w:w="5000" w:type="pct"/>
        <w:tblLook w:val="04A0" w:firstRow="1" w:lastRow="0" w:firstColumn="1" w:lastColumn="0" w:noHBand="0" w:noVBand="1"/>
      </w:tblPr>
      <w:tblGrid>
        <w:gridCol w:w="2122"/>
        <w:gridCol w:w="7144"/>
      </w:tblGrid>
      <w:tr w:rsidR="00747057" w:rsidRPr="00A576B8" w:rsidTr="00A669B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145" w:type="pct"/>
            <w:vAlign w:val="center"/>
            <w:hideMark/>
          </w:tcPr>
          <w:p w:rsidR="00747057" w:rsidRPr="00A576B8" w:rsidRDefault="00747057" w:rsidP="00A669B2">
            <w:pPr>
              <w:spacing w:before="40" w:after="40"/>
              <w:rPr>
                <w:rFonts w:ascii="Calibri" w:hAnsi="Calibri" w:cs="Times New Roman"/>
                <w:lang w:val="sv-SE"/>
              </w:rPr>
            </w:pPr>
            <w:r w:rsidRPr="00A576B8">
              <w:rPr>
                <w:rFonts w:ascii="Calibri" w:hAnsi="Calibri" w:cs="Times New Roman"/>
                <w:lang w:val="sv-SE"/>
              </w:rPr>
              <w:t>Variable</w:t>
            </w:r>
          </w:p>
        </w:tc>
        <w:tc>
          <w:tcPr>
            <w:tcW w:w="3855" w:type="pct"/>
            <w:vAlign w:val="center"/>
            <w:hideMark/>
          </w:tcPr>
          <w:p w:rsidR="00747057" w:rsidRPr="00A576B8" w:rsidRDefault="00747057" w:rsidP="00A669B2">
            <w:pPr>
              <w:spacing w:before="40" w:after="40"/>
              <w:cnfStyle w:val="100000000000" w:firstRow="1"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Rationale for analysis</w:t>
            </w:r>
          </w:p>
        </w:tc>
      </w:tr>
      <w:tr w:rsidR="005A4219" w:rsidRPr="00A576B8" w:rsidTr="00A669B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ED6FF" w:themeFill="accent3" w:themeFillTint="33"/>
            <w:vAlign w:val="center"/>
            <w:hideMark/>
          </w:tcPr>
          <w:p w:rsidR="005A4219" w:rsidRPr="00A576B8" w:rsidRDefault="005A4219" w:rsidP="00A669B2">
            <w:pPr>
              <w:spacing w:before="40" w:after="40"/>
              <w:rPr>
                <w:rFonts w:ascii="Calibri" w:hAnsi="Calibri" w:cs="Times New Roman"/>
                <w:lang w:val="sv-SE"/>
              </w:rPr>
            </w:pPr>
            <w:r w:rsidRPr="00A576B8">
              <w:rPr>
                <w:rFonts w:ascii="Calibri" w:hAnsi="Calibri" w:cs="Times New Roman"/>
                <w:b/>
                <w:i/>
                <w:lang w:val="sv-SE"/>
              </w:rPr>
              <w:t>Patient characteristics</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lang w:val="sv-SE"/>
              </w:rPr>
            </w:pPr>
            <w:r w:rsidRPr="00A576B8">
              <w:rPr>
                <w:rFonts w:ascii="Calibri" w:hAnsi="Calibri" w:cs="Times New Roman"/>
                <w:b/>
                <w:lang w:val="sv-SE"/>
              </w:rPr>
              <w:t>Gender - women</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Difference in risk equations between men and women, meant that the model can only be used for the sexes separately. In the main analysis we used men, and in a sensitivity analysis we tested for </w:t>
            </w:r>
            <w:r w:rsidRPr="00A576B8">
              <w:rPr>
                <w:rFonts w:ascii="Calibri" w:hAnsi="Calibri" w:cs="Times New Roman"/>
                <w:b/>
              </w:rPr>
              <w:t>women</w:t>
            </w:r>
            <w:r w:rsidRPr="00A576B8">
              <w:rPr>
                <w:rFonts w:ascii="Calibri" w:hAnsi="Calibri" w:cs="Times New Roman"/>
              </w:rPr>
              <w:t xml:space="preserve"> </w:t>
            </w:r>
          </w:p>
        </w:tc>
      </w:tr>
      <w:tr w:rsidR="00747057" w:rsidRPr="00A576B8" w:rsidTr="00A669B2">
        <w:trPr>
          <w:trHeight w:val="146"/>
        </w:trPr>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lang w:val="sv-SE"/>
              </w:rPr>
            </w:pPr>
            <w:r w:rsidRPr="00A576B8">
              <w:rPr>
                <w:rFonts w:ascii="Calibri" w:hAnsi="Calibri" w:cs="Times New Roman"/>
                <w:b/>
              </w:rPr>
              <w:t>Smoking sta</w:t>
            </w:r>
            <w:r w:rsidR="00DB38C4" w:rsidRPr="00A576B8">
              <w:rPr>
                <w:rFonts w:ascii="Calibri" w:hAnsi="Calibri" w:cs="Times New Roman"/>
                <w:b/>
              </w:rPr>
              <w:t>tus</w:t>
            </w:r>
            <w:r w:rsidRPr="00A576B8">
              <w:rPr>
                <w:rFonts w:ascii="Calibri" w:hAnsi="Calibri" w:cs="Times New Roman"/>
                <w:b/>
                <w:lang w:val="sv-SE"/>
              </w:rPr>
              <w:t xml:space="preserve"> - smoker</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Differences in risk equations between smokers and non-smokers meant that the model can only test for each status separately. In the main analysis we used non-smokers and in a sensitivity analysis we tested </w:t>
            </w:r>
            <w:r w:rsidRPr="00A576B8">
              <w:rPr>
                <w:rFonts w:ascii="Calibri" w:hAnsi="Calibri" w:cs="Times New Roman"/>
                <w:b/>
              </w:rPr>
              <w:t>smokers</w:t>
            </w:r>
            <w:r w:rsidRPr="00A576B8">
              <w:rPr>
                <w:rFonts w:ascii="Calibri" w:hAnsi="Calibri" w:cs="Times New Roman"/>
              </w:rPr>
              <w:t xml:space="preserve"> </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lang w:val="sv-SE"/>
              </w:rPr>
            </w:pPr>
            <w:r w:rsidRPr="00A576B8">
              <w:rPr>
                <w:rFonts w:ascii="Calibri" w:hAnsi="Calibri" w:cs="Times New Roman"/>
                <w:b/>
                <w:lang w:val="sv-SE"/>
              </w:rPr>
              <w:t>Baseline HbA1c - 9%</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In order to investigate the effect of disease progression on the results, sensitivity analyses were undertaken with a higher baseline HbA1c value of </w:t>
            </w:r>
            <w:r w:rsidRPr="00A576B8">
              <w:rPr>
                <w:rFonts w:ascii="Calibri" w:hAnsi="Calibri" w:cs="Times New Roman"/>
                <w:b/>
              </w:rPr>
              <w:t>9%</w:t>
            </w:r>
            <w:r w:rsidRPr="00A576B8">
              <w:rPr>
                <w:rFonts w:ascii="Calibri" w:hAnsi="Calibri" w:cs="Times New Roman"/>
              </w:rPr>
              <w:t>:</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lang w:val="sv-SE"/>
              </w:rPr>
            </w:pPr>
            <w:r w:rsidRPr="00A576B8">
              <w:rPr>
                <w:rFonts w:ascii="Calibri" w:hAnsi="Calibri" w:cs="Times New Roman"/>
                <w:b/>
                <w:lang w:val="sv-SE"/>
              </w:rPr>
              <w:t>Baseline BMI - 25 and 35</w:t>
            </w:r>
          </w:p>
        </w:tc>
        <w:tc>
          <w:tcPr>
            <w:tcW w:w="3855" w:type="pct"/>
            <w:hideMark/>
          </w:tcPr>
          <w:p w:rsidR="009537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Two different baseline BMIs were tested in sensitivity analyses; </w:t>
            </w:r>
            <w:r w:rsidRPr="00A576B8">
              <w:rPr>
                <w:rFonts w:ascii="Calibri" w:hAnsi="Calibri" w:cs="Times New Roman"/>
                <w:b/>
              </w:rPr>
              <w:t xml:space="preserve">25 </w:t>
            </w:r>
            <w:r w:rsidRPr="00A576B8">
              <w:rPr>
                <w:rFonts w:ascii="Calibri" w:hAnsi="Calibri" w:cs="Times New Roman"/>
              </w:rPr>
              <w:t>and</w:t>
            </w:r>
            <w:r w:rsidRPr="00A576B8">
              <w:rPr>
                <w:rFonts w:ascii="Calibri" w:hAnsi="Calibri" w:cs="Times New Roman"/>
                <w:b/>
              </w:rPr>
              <w:t xml:space="preserve"> 35</w:t>
            </w:r>
            <w:r w:rsidRPr="00A576B8">
              <w:rPr>
                <w:rFonts w:ascii="Calibri" w:hAnsi="Calibri" w:cs="Times New Roman"/>
              </w:rPr>
              <w:t>, respectively</w:t>
            </w:r>
            <w:r w:rsidR="00953757" w:rsidRPr="00A576B8">
              <w:rPr>
                <w:rFonts w:ascii="Calibri" w:hAnsi="Calibri" w:cs="Times New Roman"/>
              </w:rPr>
              <w:t>.</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shd w:val="clear" w:color="auto" w:fill="AED6FF" w:themeFill="accent3" w:themeFillTint="33"/>
            <w:vAlign w:val="center"/>
            <w:hideMark/>
          </w:tcPr>
          <w:p w:rsidR="00747057" w:rsidRPr="00A576B8" w:rsidRDefault="00747057" w:rsidP="00A669B2">
            <w:pPr>
              <w:spacing w:before="40" w:after="40"/>
              <w:rPr>
                <w:rFonts w:ascii="Calibri" w:hAnsi="Calibri" w:cs="Times New Roman"/>
                <w:b/>
                <w:lang w:val="sv-SE"/>
              </w:rPr>
            </w:pPr>
            <w:r w:rsidRPr="00A576B8">
              <w:rPr>
                <w:rFonts w:ascii="Calibri" w:hAnsi="Calibri" w:cs="Times New Roman"/>
                <w:b/>
                <w:i/>
                <w:lang w:val="sv-SE"/>
              </w:rPr>
              <w:t>Clinical endpoints</w:t>
            </w:r>
          </w:p>
        </w:tc>
        <w:tc>
          <w:tcPr>
            <w:tcW w:w="3855" w:type="pct"/>
            <w:shd w:val="clear" w:color="auto" w:fill="AED6FF" w:themeFill="accent3" w:themeFillTint="33"/>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rPr>
            </w:pPr>
            <w:r w:rsidRPr="00A576B8">
              <w:rPr>
                <w:rFonts w:ascii="Calibri" w:hAnsi="Calibri" w:cs="Times New Roman"/>
                <w:b/>
              </w:rPr>
              <w:t>HbA1c drift for GLP-1 - 0.08%</w:t>
            </w:r>
          </w:p>
        </w:tc>
        <w:tc>
          <w:tcPr>
            <w:tcW w:w="3855" w:type="pct"/>
            <w:hideMark/>
          </w:tcPr>
          <w:p w:rsidR="00747057" w:rsidRPr="00A576B8" w:rsidRDefault="00747057" w:rsidP="00270983">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The upward drift of 0</w:t>
            </w:r>
            <w:r w:rsidR="00953757" w:rsidRPr="00A576B8">
              <w:rPr>
                <w:rFonts w:ascii="Calibri" w:hAnsi="Calibri" w:cs="Times New Roman"/>
              </w:rPr>
              <w:t>.</w:t>
            </w:r>
            <w:r w:rsidRPr="00A576B8">
              <w:rPr>
                <w:rFonts w:ascii="Calibri" w:hAnsi="Calibri" w:cs="Times New Roman"/>
              </w:rPr>
              <w:t>15% used in the main model is an assumption based on the UK prospective diabetes study.</w:t>
            </w:r>
            <w:r w:rsidR="00270983" w:rsidRPr="00A576B8">
              <w:rPr>
                <w:rFonts w:ascii="Calibri" w:hAnsi="Calibri" w:cs="Times New Roman"/>
              </w:rPr>
              <w:fldChar w:fldCharType="begin">
                <w:fldData xml:space="preserve">PEVuZE5vdGU+PENpdGU+PEF1dGhvcj5UdXJuZXI8L0F1dGhvcj48WWVhcj4xOTk2PC9ZZWFyPjxS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</w:fldData>
              </w:fldChar>
            </w:r>
            <w:r w:rsidR="00270983" w:rsidRPr="00A576B8">
              <w:rPr>
                <w:rFonts w:ascii="Calibri" w:hAnsi="Calibri" w:cs="Times New Roman"/>
              </w:rPr>
              <w:instrText xml:space="preserve"> ADDIN EN.CITE </w:instrText>
            </w:r>
            <w:r w:rsidR="00270983" w:rsidRPr="00A576B8">
              <w:rPr>
                <w:rFonts w:ascii="Calibri" w:hAnsi="Calibri" w:cs="Times New Roman"/>
              </w:rPr>
              <w:fldChar w:fldCharType="begin">
                <w:fldData xml:space="preserve">PEVuZE5vdGU+PENpdGU+PEF1dGhvcj5UdXJuZXI8L0F1dGhvcj48WWVhcj4xOTk2PC9ZZWFyPjxS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</w:fldData>
              </w:fldChar>
            </w:r>
            <w:r w:rsidR="00270983" w:rsidRPr="00A576B8">
              <w:rPr>
                <w:rFonts w:ascii="Calibri" w:hAnsi="Calibri" w:cs="Times New Roman"/>
              </w:rPr>
              <w:instrText xml:space="preserve"> ADDIN EN.CITE.DATA </w:instrText>
            </w:r>
            <w:r w:rsidR="00270983" w:rsidRPr="00A576B8">
              <w:rPr>
                <w:rFonts w:ascii="Calibri" w:hAnsi="Calibri" w:cs="Times New Roman"/>
              </w:rPr>
            </w:r>
            <w:r w:rsidR="00270983" w:rsidRPr="00A576B8">
              <w:rPr>
                <w:rFonts w:ascii="Calibri" w:hAnsi="Calibri" w:cs="Times New Roman"/>
              </w:rPr>
              <w:fldChar w:fldCharType="end"/>
            </w:r>
            <w:r w:rsidR="00270983" w:rsidRPr="00A576B8">
              <w:rPr>
                <w:rFonts w:ascii="Calibri" w:hAnsi="Calibri" w:cs="Times New Roman"/>
              </w:rPr>
            </w:r>
            <w:r w:rsidR="00270983" w:rsidRPr="00A576B8">
              <w:rPr>
                <w:rFonts w:ascii="Calibri" w:hAnsi="Calibri" w:cs="Times New Roman"/>
              </w:rPr>
              <w:fldChar w:fldCharType="separate"/>
            </w:r>
            <w:r w:rsidR="00270983" w:rsidRPr="00A576B8">
              <w:rPr>
                <w:rFonts w:ascii="Calibri" w:hAnsi="Calibri" w:cs="Times New Roman"/>
                <w:noProof/>
              </w:rPr>
              <w:t>(9, 10)</w:t>
            </w:r>
            <w:r w:rsidR="00270983" w:rsidRPr="00A576B8">
              <w:rPr>
                <w:rFonts w:ascii="Calibri" w:hAnsi="Calibri" w:cs="Times New Roman"/>
              </w:rPr>
              <w:fldChar w:fldCharType="end"/>
            </w:r>
            <w:r w:rsidRPr="00A576B8">
              <w:rPr>
                <w:rFonts w:ascii="Calibri" w:hAnsi="Calibri" w:cs="Times New Roman"/>
              </w:rPr>
              <w:t xml:space="preserve"> Long term data on exenatide suggests a slower upward trend in HbA1c when using GLP1, however and we used </w:t>
            </w:r>
            <w:r w:rsidRPr="00A576B8">
              <w:rPr>
                <w:rFonts w:ascii="Calibri" w:hAnsi="Calibri" w:cs="Times New Roman"/>
                <w:b/>
              </w:rPr>
              <w:t>0.08%</w:t>
            </w:r>
            <w:r w:rsidRPr="00A576B8">
              <w:rPr>
                <w:rFonts w:ascii="Calibri" w:hAnsi="Calibri" w:cs="Times New Roman"/>
              </w:rPr>
              <w:t xml:space="preserve"> in one sensitivity analysis</w:t>
            </w:r>
            <w:r w:rsidR="00953757" w:rsidRPr="00A576B8">
              <w:rPr>
                <w:rFonts w:ascii="Calibri" w:hAnsi="Calibri" w:cs="Times New Roman"/>
              </w:rPr>
              <w:t>.</w:t>
            </w:r>
            <w:r w:rsidR="00270983" w:rsidRPr="00A576B8">
              <w:rPr>
                <w:rFonts w:ascii="Calibri" w:hAnsi="Calibri" w:cs="Times New Roman"/>
              </w:rPr>
              <w:fldChar w:fldCharType="begin"/>
            </w:r>
            <w:r w:rsidR="00270983" w:rsidRPr="00A576B8">
              <w:rPr>
                <w:rFonts w:ascii="Calibri" w:hAnsi="Calibri" w:cs="Times New Roman"/>
              </w:rPr>
              <w:instrText xml:space="preserve"> ADDIN EN.CITE &lt;EndNote&gt;&lt;Cite ExcludeAuth="1" ExcludeYear="1"&gt;&lt;RecNum&gt;56&lt;/RecNum&gt;&lt;DisplayText&gt;(11)&lt;/DisplayText&gt;&lt;record&gt;&lt;rec-number&gt;56&lt;/rec-number&gt;&lt;foreign-keys&gt;&lt;key app="EN" db-id="5adtveztgpe2vpe9dd8xfexhrx2sefzpa0ze"&gt;56&lt;/key&gt;&lt;/foreign-keys&gt;&lt;ref-type name="Journal Article"&gt;17&lt;/ref-type&gt;&lt;contributors&gt;&lt;/contributors&gt;&lt;titles&gt;&lt;title&gt;Henry, R.R., et al., DURATION-1 extension: Efficacy and tolerability of exenatide once weekly (qw) over 6 years in patients with T2DM. Poster presentation 964-P. Presented at the American Diabetes Association 74nd Annual Scientific Sessions, San Francisco 13-17 June 2014: http://ada.scientificposters.com/epsAbstractADA.cfm?id=8, 2014.&lt;/title&gt;&lt;/titles&gt;&lt;dates&gt;&lt;/dates&gt;&lt;urls&gt;&lt;/urls&gt;&lt;/record&gt;&lt;/Cite&gt;&lt;/EndNote&gt;</w:instrText>
            </w:r>
            <w:r w:rsidR="00270983" w:rsidRPr="00A576B8">
              <w:rPr>
                <w:rFonts w:ascii="Calibri" w:hAnsi="Calibri" w:cs="Times New Roman"/>
              </w:rPr>
              <w:fldChar w:fldCharType="separate"/>
            </w:r>
            <w:r w:rsidR="00270983" w:rsidRPr="00A576B8">
              <w:rPr>
                <w:rFonts w:ascii="Calibri" w:hAnsi="Calibri" w:cs="Times New Roman"/>
                <w:noProof/>
              </w:rPr>
              <w:t>(11)</w:t>
            </w:r>
            <w:r w:rsidR="00270983" w:rsidRPr="00A576B8">
              <w:rPr>
                <w:rFonts w:ascii="Calibri" w:hAnsi="Calibri" w:cs="Times New Roman"/>
              </w:rPr>
              <w:fldChar w:fldCharType="end"/>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rPr>
            </w:pPr>
            <w:r w:rsidRPr="00A576B8">
              <w:rPr>
                <w:rFonts w:ascii="Calibri" w:hAnsi="Calibri" w:cs="Times New Roman"/>
                <w:b/>
              </w:rPr>
              <w:t>No difference in HbA1c</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To test for the importance of HbA1c decline, we removed the difference and used the IdegLira decline for both groups. </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tcPr>
          <w:p w:rsidR="00747057" w:rsidRPr="00A576B8" w:rsidRDefault="00747057" w:rsidP="00A669B2">
            <w:pPr>
              <w:spacing w:before="40" w:after="40"/>
              <w:rPr>
                <w:rFonts w:ascii="Calibri" w:hAnsi="Calibri" w:cs="Times New Roman"/>
                <w:b/>
              </w:rPr>
            </w:pPr>
            <w:r w:rsidRPr="00A576B8">
              <w:rPr>
                <w:rFonts w:ascii="Calibri" w:hAnsi="Calibri" w:cs="Times New Roman"/>
                <w:b/>
              </w:rPr>
              <w:t>No difference in HbA1c but different complexity of regimen</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We tested the impact of this variable in cases where IdegLira is not a cost-effective treatment (</w:t>
            </w:r>
            <w:r w:rsidRPr="00A576B8">
              <w:rPr>
                <w:rFonts w:ascii="Calibri" w:hAnsi="Calibri" w:cs="Times New Roman"/>
                <w:i/>
              </w:rPr>
              <w:t>i.e.</w:t>
            </w:r>
            <w:r w:rsidRPr="00A576B8">
              <w:rPr>
                <w:rFonts w:ascii="Calibri" w:hAnsi="Calibri" w:cs="Times New Roman"/>
              </w:rPr>
              <w:t xml:space="preserve"> when the difference in HbA1c is ignored). Vs basal insulin + Liraglutide only.</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rPr>
            </w:pPr>
            <w:r w:rsidRPr="00A576B8">
              <w:rPr>
                <w:rFonts w:ascii="Calibri" w:hAnsi="Calibri" w:cs="Times New Roman"/>
                <w:b/>
              </w:rPr>
              <w:t>Half the difference in HbA1c</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To test for the importance of HbA1c decline, we removed half of the difference and used the IdegLira decline as a reference value. </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lang w:val="sv-SE"/>
              </w:rPr>
            </w:pPr>
            <w:r w:rsidRPr="00A576B8">
              <w:rPr>
                <w:rFonts w:ascii="Calibri" w:hAnsi="Calibri" w:cs="Times New Roman"/>
                <w:b/>
                <w:lang w:val="sv-SE"/>
              </w:rPr>
              <w:t>No difference in BMI</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To test for the importance for BMI change, we removed the difference and used the IdegLira value for both groups. </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rPr>
            </w:pPr>
            <w:r w:rsidRPr="00A576B8">
              <w:rPr>
                <w:rFonts w:ascii="Calibri" w:hAnsi="Calibri" w:cs="Times New Roman"/>
                <w:b/>
              </w:rPr>
              <w:t>No difference in hypoglycaemia insulin glargine/</w:t>
            </w:r>
            <w:r w:rsidR="005A4219" w:rsidRPr="00A576B8">
              <w:rPr>
                <w:rFonts w:ascii="Calibri" w:hAnsi="Calibri" w:cs="Times New Roman"/>
                <w:b/>
              </w:rPr>
              <w:t>NPH</w:t>
            </w:r>
            <w:r w:rsidRPr="00A576B8">
              <w:rPr>
                <w:rFonts w:ascii="Calibri" w:hAnsi="Calibri" w:cs="Times New Roman"/>
                <w:b/>
              </w:rPr>
              <w:t xml:space="preserve"> insulin</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The clinical trials were undertaken with the insulin analogues </w:t>
            </w:r>
            <w:r w:rsidR="00A669B2" w:rsidRPr="00A576B8">
              <w:rPr>
                <w:rFonts w:ascii="Calibri" w:hAnsi="Calibri" w:cs="Times New Roman"/>
              </w:rPr>
              <w:t>l</w:t>
            </w:r>
            <w:r w:rsidRPr="00A576B8">
              <w:rPr>
                <w:rFonts w:ascii="Calibri" w:hAnsi="Calibri" w:cs="Times New Roman"/>
              </w:rPr>
              <w:t xml:space="preserve">evemir and </w:t>
            </w:r>
            <w:r w:rsidR="00A669B2" w:rsidRPr="00A576B8">
              <w:rPr>
                <w:rFonts w:ascii="Calibri" w:hAnsi="Calibri" w:cs="Times New Roman"/>
              </w:rPr>
              <w:t>i</w:t>
            </w:r>
            <w:r w:rsidRPr="00A576B8">
              <w:rPr>
                <w:rFonts w:ascii="Calibri" w:hAnsi="Calibri" w:cs="Times New Roman"/>
              </w:rPr>
              <w:t xml:space="preserve">nsulin </w:t>
            </w:r>
            <w:r w:rsidR="00A669B2" w:rsidRPr="00A576B8">
              <w:rPr>
                <w:rFonts w:ascii="Calibri" w:hAnsi="Calibri" w:cs="Times New Roman"/>
              </w:rPr>
              <w:t>d</w:t>
            </w:r>
            <w:r w:rsidRPr="00A576B8">
              <w:rPr>
                <w:rFonts w:ascii="Calibri" w:hAnsi="Calibri" w:cs="Times New Roman"/>
              </w:rPr>
              <w:t>egludec, but in the main analysis human insulin was used as the comparator (by applying a lower price and a higher number of hypos). In this sensitivity analyses, we assumed that there was no difference so that we could investigate the effects of differences in hypoglycaemia rates between insulin analogues and human insulin on the results vs neutral protamine hagedorn insulin only</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rPr>
            </w:pPr>
            <w:r w:rsidRPr="00A576B8">
              <w:rPr>
                <w:rFonts w:ascii="Calibri" w:hAnsi="Calibri" w:cs="Times New Roman"/>
                <w:b/>
              </w:rPr>
              <w:t>Lower efficacy for Liraglutide 1.2</w:t>
            </w:r>
            <w:r w:rsidR="005A4219" w:rsidRPr="00A576B8">
              <w:rPr>
                <w:rFonts w:ascii="Calibri" w:hAnsi="Calibri" w:cs="Times New Roman"/>
                <w:b/>
              </w:rPr>
              <w:t xml:space="preserve"> </w:t>
            </w:r>
            <w:r w:rsidRPr="00A576B8">
              <w:rPr>
                <w:rFonts w:ascii="Calibri" w:hAnsi="Calibri" w:cs="Times New Roman"/>
                <w:b/>
              </w:rPr>
              <w:t xml:space="preserve">mg </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The clinical trials compared IdegLira with Liraglutide 1.8 mg. However, in clinical practice in Sweden the lower dose 1.2 mg is more commonly used, so we used the price for the lower dose but the efficacy for the higher dose in the analyses (conservative). One Liraglutide study that included both doses, showed a difference in efficacy, where HbA1c was 75% and weight loss 84% for the low dose as compared to the high dose. In order to </w:t>
            </w:r>
            <w:proofErr w:type="spellStart"/>
            <w:r w:rsidRPr="00A576B8">
              <w:rPr>
                <w:rFonts w:ascii="Calibri" w:hAnsi="Calibri" w:cs="Times New Roman"/>
              </w:rPr>
              <w:t>analyse</w:t>
            </w:r>
            <w:proofErr w:type="spellEnd"/>
            <w:r w:rsidRPr="00A576B8">
              <w:rPr>
                <w:rFonts w:ascii="Calibri" w:hAnsi="Calibri" w:cs="Times New Roman"/>
              </w:rPr>
              <w:t xml:space="preserve"> the result vs Liraglutide 1.2 given this difference, we undertook this sensitivity analysis. HbA1c reduction (75%) and weight loss (84%). vs Liraglutide only</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shd w:val="clear" w:color="auto" w:fill="AED6FF" w:themeFill="accent3" w:themeFillTint="33"/>
            <w:vAlign w:val="center"/>
            <w:hideMark/>
          </w:tcPr>
          <w:p w:rsidR="00747057" w:rsidRPr="00A576B8" w:rsidRDefault="00747057" w:rsidP="00A669B2">
            <w:pPr>
              <w:spacing w:before="40" w:after="40"/>
              <w:rPr>
                <w:rFonts w:ascii="Calibri" w:hAnsi="Calibri" w:cs="Times New Roman"/>
                <w:b/>
                <w:lang w:val="sv-SE"/>
              </w:rPr>
            </w:pPr>
            <w:r w:rsidRPr="00A576B8">
              <w:rPr>
                <w:rFonts w:ascii="Calibri" w:hAnsi="Calibri" w:cs="Times New Roman"/>
                <w:b/>
                <w:i/>
                <w:lang w:val="sv-SE"/>
              </w:rPr>
              <w:t>Costs</w:t>
            </w:r>
          </w:p>
        </w:tc>
        <w:tc>
          <w:tcPr>
            <w:tcW w:w="3855" w:type="pct"/>
            <w:shd w:val="clear" w:color="auto" w:fill="AED6FF" w:themeFill="accent3" w:themeFillTint="33"/>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lang w:val="sv-SE"/>
              </w:rPr>
            </w:pPr>
            <w:r w:rsidRPr="00A576B8">
              <w:rPr>
                <w:rFonts w:ascii="Calibri" w:hAnsi="Calibri" w:cs="Times New Roman"/>
                <w:b/>
                <w:lang w:val="sv-SE"/>
              </w:rPr>
              <w:lastRenderedPageBreak/>
              <w:t>Healthcare perspective</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Just direct costs.</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rPr>
            </w:pPr>
            <w:r w:rsidRPr="00A576B8">
              <w:rPr>
                <w:rFonts w:ascii="Calibri" w:hAnsi="Calibri" w:cs="Times New Roman"/>
                <w:b/>
              </w:rPr>
              <w:t>Price of higher dose of Liraglutide</w:t>
            </w:r>
          </w:p>
        </w:tc>
        <w:tc>
          <w:tcPr>
            <w:tcW w:w="3855" w:type="pct"/>
            <w:hideMark/>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Instead of decreasing efficacy of the lower Liraglutide dose, we undertook a sensitivity analysis with the correct price for the higher dose used in the clinical trials (1.8 mg daily).</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shd w:val="clear" w:color="auto" w:fill="AED6FF" w:themeFill="accent3" w:themeFillTint="33"/>
            <w:vAlign w:val="center"/>
            <w:hideMark/>
          </w:tcPr>
          <w:p w:rsidR="00747057" w:rsidRPr="00A576B8" w:rsidRDefault="00747057" w:rsidP="00A669B2">
            <w:pPr>
              <w:spacing w:before="40" w:after="40"/>
              <w:rPr>
                <w:rFonts w:ascii="Calibri" w:hAnsi="Calibri" w:cs="Times New Roman"/>
                <w:b/>
              </w:rPr>
            </w:pPr>
            <w:r w:rsidRPr="00A576B8">
              <w:rPr>
                <w:rFonts w:ascii="Calibri" w:hAnsi="Calibri" w:cs="Times New Roman"/>
                <w:b/>
                <w:i/>
              </w:rPr>
              <w:t>Patient utility</w:t>
            </w:r>
          </w:p>
        </w:tc>
        <w:tc>
          <w:tcPr>
            <w:tcW w:w="3855" w:type="pct"/>
            <w:shd w:val="clear" w:color="auto" w:fill="AED6FF" w:themeFill="accent3" w:themeFillTint="33"/>
          </w:tcPr>
          <w:p w:rsidR="00747057" w:rsidRPr="00A576B8" w:rsidRDefault="00747057" w:rsidP="00A669B2">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rPr>
            </w:pPr>
            <w:r w:rsidRPr="00A576B8">
              <w:rPr>
                <w:rFonts w:ascii="Calibri" w:hAnsi="Calibri" w:cs="Times New Roman"/>
                <w:b/>
              </w:rPr>
              <w:t>Different impact of BMI – 0.021</w:t>
            </w:r>
          </w:p>
        </w:tc>
        <w:tc>
          <w:tcPr>
            <w:tcW w:w="3855" w:type="pct"/>
            <w:hideMark/>
          </w:tcPr>
          <w:p w:rsidR="00747057" w:rsidRPr="00A576B8" w:rsidRDefault="00747057" w:rsidP="00270983">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We used the utility value from the new TTO study</w:t>
            </w:r>
            <w:r w:rsidR="00270983" w:rsidRPr="00A576B8">
              <w:rPr>
                <w:rFonts w:ascii="Calibri" w:hAnsi="Calibri" w:cs="Times New Roman"/>
              </w:rPr>
              <w:fldChar w:fldCharType="begin"/>
            </w:r>
            <w:r w:rsidR="00270983" w:rsidRPr="00A576B8">
              <w:rPr>
                <w:rFonts w:ascii="Calibri" w:hAnsi="Calibri" w:cs="Times New Roman"/>
              </w:rPr>
              <w:instrText xml:space="preserve"> ADDIN EN.CITE &lt;EndNote&gt;&lt;Cite ExcludeAuth="1" ExcludeYear="1"&gt;&lt;RecNum&gt;55&lt;/RecNum&gt;&lt;DisplayText&gt;(12)&lt;/DisplayText&gt;&lt;record&gt;&lt;rec-number&gt;55&lt;/rec-number&gt;&lt;foreign-keys&gt;&lt;key app="EN" db-id="5adtveztgpe2vpe9dd8xfexhrx2sefzpa0ze"&gt;55&lt;/key&gt;&lt;/foreign-keys&gt;&lt;ref-type name="Journal Article"&gt;17&lt;/ref-type&gt;&lt;contributors&gt;&lt;/contributors&gt;&lt;titles&gt;&lt;title&gt;Novo Nordisk, data on file 2014 – TTO analysis&lt;/title&gt;&lt;/titles&gt;&lt;dates&gt;&lt;/dates&gt;&lt;urls&gt;&lt;/urls&gt;&lt;/record&gt;&lt;/Cite&gt;&lt;/EndNote&gt;</w:instrText>
            </w:r>
            <w:r w:rsidR="00270983" w:rsidRPr="00A576B8">
              <w:rPr>
                <w:rFonts w:ascii="Calibri" w:hAnsi="Calibri" w:cs="Times New Roman"/>
              </w:rPr>
              <w:fldChar w:fldCharType="separate"/>
            </w:r>
            <w:r w:rsidR="00270983" w:rsidRPr="00A576B8">
              <w:rPr>
                <w:rFonts w:ascii="Calibri" w:hAnsi="Calibri" w:cs="Times New Roman"/>
                <w:noProof/>
              </w:rPr>
              <w:t>(12)</w:t>
            </w:r>
            <w:r w:rsidR="00270983" w:rsidRPr="00A576B8">
              <w:rPr>
                <w:rFonts w:ascii="Calibri" w:hAnsi="Calibri" w:cs="Times New Roman"/>
              </w:rPr>
              <w:fldChar w:fldCharType="end"/>
            </w:r>
            <w:r w:rsidRPr="00A576B8">
              <w:rPr>
                <w:rFonts w:ascii="Calibri" w:hAnsi="Calibri" w:cs="Times New Roman"/>
              </w:rPr>
              <w:t xml:space="preserve"> of </w:t>
            </w:r>
            <w:r w:rsidRPr="00A576B8">
              <w:rPr>
                <w:rFonts w:ascii="Calibri" w:hAnsi="Calibri" w:cs="Times New Roman"/>
                <w:b/>
              </w:rPr>
              <w:t>-0.021</w:t>
            </w:r>
            <w:r w:rsidRPr="00A576B8">
              <w:rPr>
                <w:rFonts w:ascii="Calibri" w:hAnsi="Calibri" w:cs="Times New Roman"/>
              </w:rPr>
              <w:t xml:space="preserve"> instead of the more conservative of 0.006 used in the main analysis.</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1145" w:type="pct"/>
            <w:hideMark/>
          </w:tcPr>
          <w:p w:rsidR="00747057" w:rsidRPr="00A576B8" w:rsidRDefault="00747057" w:rsidP="00A669B2">
            <w:pPr>
              <w:spacing w:before="40" w:after="40"/>
              <w:rPr>
                <w:rFonts w:ascii="Calibri" w:hAnsi="Calibri" w:cs="Times New Roman"/>
                <w:b/>
              </w:rPr>
            </w:pPr>
            <w:r w:rsidRPr="00A576B8">
              <w:rPr>
                <w:rFonts w:ascii="Calibri" w:hAnsi="Calibri" w:cs="Times New Roman"/>
                <w:b/>
              </w:rPr>
              <w:t>No impact of complexity vs basal-bolus</w:t>
            </w:r>
          </w:p>
        </w:tc>
        <w:tc>
          <w:tcPr>
            <w:tcW w:w="3855" w:type="pct"/>
            <w:hideMark/>
          </w:tcPr>
          <w:p w:rsidR="00747057" w:rsidRPr="00A576B8" w:rsidRDefault="00747057" w:rsidP="00270983">
            <w:pPr>
              <w:spacing w:before="40" w:after="40"/>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We undertook a sensitivity analysis that ignored the utility difference due to regimen complexity versus basal-bolus from the TTO study</w:t>
            </w:r>
            <w:r w:rsidR="00953757" w:rsidRPr="00A576B8">
              <w:rPr>
                <w:rFonts w:ascii="Calibri" w:hAnsi="Calibri" w:cs="Times New Roman"/>
              </w:rPr>
              <w:t>.</w:t>
            </w:r>
            <w:r w:rsidR="00270983" w:rsidRPr="00A576B8">
              <w:rPr>
                <w:rFonts w:ascii="Calibri" w:hAnsi="Calibri" w:cs="Times New Roman"/>
              </w:rPr>
              <w:fldChar w:fldCharType="begin"/>
            </w:r>
            <w:r w:rsidR="00270983" w:rsidRPr="00A576B8">
              <w:rPr>
                <w:rFonts w:ascii="Calibri" w:hAnsi="Calibri" w:cs="Times New Roman"/>
              </w:rPr>
              <w:instrText xml:space="preserve"> ADDIN EN.CITE &lt;EndNote&gt;&lt;Cite ExcludeAuth="1" ExcludeYear="1"&gt;&lt;RecNum&gt;55&lt;/RecNum&gt;&lt;DisplayText&gt;(12)&lt;/DisplayText&gt;&lt;record&gt;&lt;rec-number&gt;55&lt;/rec-number&gt;&lt;foreign-keys&gt;&lt;key app="EN" db-id="5adtveztgpe2vpe9dd8xfexhrx2sefzpa0ze"&gt;55&lt;/key&gt;&lt;/foreign-keys&gt;&lt;ref-type name="Journal Article"&gt;17&lt;/ref-type&gt;&lt;contributors&gt;&lt;/contributors&gt;&lt;titles&gt;&lt;title&gt;Novo Nordisk, data on file 2014 – TTO analysis&lt;/title&gt;&lt;/titles&gt;&lt;dates&gt;&lt;/dates&gt;&lt;urls&gt;&lt;/urls&gt;&lt;/record&gt;&lt;/Cite&gt;&lt;/EndNote&gt;</w:instrText>
            </w:r>
            <w:r w:rsidR="00270983" w:rsidRPr="00A576B8">
              <w:rPr>
                <w:rFonts w:ascii="Calibri" w:hAnsi="Calibri" w:cs="Times New Roman"/>
              </w:rPr>
              <w:fldChar w:fldCharType="separate"/>
            </w:r>
            <w:r w:rsidR="00270983" w:rsidRPr="00A576B8">
              <w:rPr>
                <w:rFonts w:ascii="Calibri" w:hAnsi="Calibri" w:cs="Times New Roman"/>
                <w:noProof/>
              </w:rPr>
              <w:t>(12)</w:t>
            </w:r>
            <w:r w:rsidR="00270983" w:rsidRPr="00A576B8">
              <w:rPr>
                <w:rFonts w:ascii="Calibri" w:hAnsi="Calibri" w:cs="Times New Roman"/>
              </w:rPr>
              <w:fldChar w:fldCharType="end"/>
            </w:r>
          </w:p>
        </w:tc>
      </w:tr>
    </w:tbl>
    <w:p w:rsidR="00747057" w:rsidRPr="00A576B8" w:rsidRDefault="005A4219" w:rsidP="009C5C6D">
      <w:pPr>
        <w:spacing w:before="0" w:after="0" w:line="240" w:lineRule="auto"/>
        <w:rPr>
          <w:rFonts w:ascii="Calibri" w:eastAsia="Times New Roman" w:hAnsi="Calibri" w:cs="Times New Roman"/>
          <w:color w:val="4E5053"/>
          <w:sz w:val="18"/>
          <w:szCs w:val="20"/>
        </w:rPr>
      </w:pPr>
      <w:r w:rsidRPr="00A576B8">
        <w:rPr>
          <w:rFonts w:ascii="Calibri" w:eastAsia="Times New Roman" w:hAnsi="Calibri" w:cs="Times New Roman"/>
          <w:color w:val="4E5053"/>
          <w:sz w:val="18"/>
          <w:szCs w:val="20"/>
        </w:rPr>
        <w:t>BMI</w:t>
      </w:r>
      <w:r w:rsidR="00ED4AFD" w:rsidRPr="00A576B8">
        <w:rPr>
          <w:rFonts w:ascii="Calibri" w:eastAsia="Times New Roman" w:hAnsi="Calibri" w:cs="Times New Roman"/>
          <w:color w:val="4E5053"/>
          <w:sz w:val="18"/>
          <w:szCs w:val="20"/>
        </w:rPr>
        <w:t>: body mass i</w:t>
      </w:r>
      <w:r w:rsidRPr="00A576B8">
        <w:rPr>
          <w:rFonts w:ascii="Calibri" w:eastAsia="Times New Roman" w:hAnsi="Calibri" w:cs="Times New Roman"/>
          <w:color w:val="4E5053"/>
          <w:sz w:val="18"/>
          <w:szCs w:val="20"/>
        </w:rPr>
        <w:t xml:space="preserve">ndex; </w:t>
      </w:r>
      <w:r w:rsidR="00ED4AFD" w:rsidRPr="00A576B8">
        <w:rPr>
          <w:rFonts w:ascii="Calibri" w:eastAsia="Times New Roman" w:hAnsi="Calibri" w:cs="Times New Roman"/>
          <w:color w:val="4E5053"/>
          <w:sz w:val="18"/>
          <w:szCs w:val="20"/>
        </w:rPr>
        <w:t>GLP-1: g</w:t>
      </w:r>
      <w:r w:rsidR="00DB38C4" w:rsidRPr="00A576B8">
        <w:rPr>
          <w:rFonts w:ascii="Calibri" w:eastAsia="Times New Roman" w:hAnsi="Calibri" w:cs="Times New Roman"/>
          <w:color w:val="4E5053"/>
          <w:sz w:val="18"/>
          <w:szCs w:val="20"/>
        </w:rPr>
        <w:t xml:space="preserve">lucagon-like peptide-1; </w:t>
      </w:r>
      <w:r w:rsidR="00ED4AFD" w:rsidRPr="00A576B8">
        <w:rPr>
          <w:rFonts w:ascii="Calibri" w:eastAsia="Times New Roman" w:hAnsi="Calibri" w:cs="Times New Roman"/>
          <w:color w:val="4E5053"/>
          <w:sz w:val="18"/>
          <w:szCs w:val="20"/>
        </w:rPr>
        <w:t xml:space="preserve">HbA1c: glycated </w:t>
      </w:r>
      <w:proofErr w:type="spellStart"/>
      <w:r w:rsidR="00ED4AFD" w:rsidRPr="00A576B8">
        <w:rPr>
          <w:rFonts w:ascii="Calibri" w:eastAsia="Times New Roman" w:hAnsi="Calibri" w:cs="Times New Roman"/>
          <w:color w:val="4E5053"/>
          <w:sz w:val="18"/>
          <w:szCs w:val="20"/>
        </w:rPr>
        <w:t>h</w:t>
      </w:r>
      <w:r w:rsidR="00747057" w:rsidRPr="00A576B8">
        <w:rPr>
          <w:rFonts w:ascii="Calibri" w:eastAsia="Times New Roman" w:hAnsi="Calibri" w:cs="Times New Roman"/>
          <w:color w:val="4E5053"/>
          <w:sz w:val="18"/>
          <w:szCs w:val="20"/>
        </w:rPr>
        <w:t>aemoglobin</w:t>
      </w:r>
      <w:proofErr w:type="spellEnd"/>
      <w:r w:rsidR="00747057" w:rsidRPr="00A576B8">
        <w:rPr>
          <w:rFonts w:ascii="Calibri" w:eastAsia="Times New Roman" w:hAnsi="Calibri" w:cs="Times New Roman"/>
          <w:color w:val="4E5053"/>
          <w:sz w:val="18"/>
          <w:szCs w:val="20"/>
        </w:rPr>
        <w:t xml:space="preserve">; </w:t>
      </w:r>
      <w:r w:rsidR="00ED4AFD" w:rsidRPr="00A576B8">
        <w:rPr>
          <w:rFonts w:ascii="Calibri" w:eastAsia="Times New Roman" w:hAnsi="Calibri" w:cs="Times New Roman"/>
          <w:color w:val="4E5053"/>
          <w:sz w:val="18"/>
          <w:szCs w:val="20"/>
        </w:rPr>
        <w:t>mg:</w:t>
      </w:r>
      <w:r w:rsidRPr="00A576B8">
        <w:rPr>
          <w:rFonts w:ascii="Calibri" w:eastAsia="Times New Roman" w:hAnsi="Calibri" w:cs="Times New Roman"/>
          <w:color w:val="4E5053"/>
          <w:sz w:val="18"/>
          <w:szCs w:val="20"/>
        </w:rPr>
        <w:t xml:space="preserve"> milligrams; </w:t>
      </w:r>
      <w:r w:rsidR="007D5804" w:rsidRPr="00A576B8">
        <w:rPr>
          <w:rFonts w:ascii="Calibri" w:eastAsia="Times New Roman" w:hAnsi="Calibri" w:cs="Times New Roman"/>
          <w:color w:val="4E5053"/>
          <w:sz w:val="18"/>
          <w:szCs w:val="20"/>
        </w:rPr>
        <w:t>N</w:t>
      </w:r>
      <w:r w:rsidR="00ED4AFD" w:rsidRPr="00A576B8">
        <w:rPr>
          <w:rFonts w:ascii="Calibri" w:eastAsia="Times New Roman" w:hAnsi="Calibri" w:cs="Times New Roman"/>
          <w:color w:val="4E5053"/>
          <w:sz w:val="18"/>
          <w:szCs w:val="20"/>
        </w:rPr>
        <w:t>PH:</w:t>
      </w:r>
      <w:r w:rsidRPr="00A576B8">
        <w:rPr>
          <w:rFonts w:ascii="Calibri" w:eastAsia="Times New Roman" w:hAnsi="Calibri" w:cs="Times New Roman"/>
          <w:color w:val="4E5053"/>
          <w:sz w:val="18"/>
          <w:szCs w:val="20"/>
        </w:rPr>
        <w:t xml:space="preserve"> neutral protamine hagedorn; </w:t>
      </w:r>
      <w:r w:rsidR="00747057" w:rsidRPr="00A576B8">
        <w:rPr>
          <w:rFonts w:ascii="Calibri" w:eastAsia="Times New Roman" w:hAnsi="Calibri" w:cs="Times New Roman"/>
          <w:color w:val="4E5053"/>
          <w:sz w:val="18"/>
          <w:szCs w:val="20"/>
        </w:rPr>
        <w:t>TTO</w:t>
      </w:r>
      <w:r w:rsidR="00ED4AFD" w:rsidRPr="00A576B8">
        <w:rPr>
          <w:rFonts w:ascii="Calibri" w:eastAsia="Times New Roman" w:hAnsi="Calibri" w:cs="Times New Roman"/>
          <w:color w:val="4E5053"/>
          <w:sz w:val="18"/>
          <w:szCs w:val="20"/>
        </w:rPr>
        <w:t>:</w:t>
      </w:r>
      <w:r w:rsidR="00747057" w:rsidRPr="00A576B8">
        <w:rPr>
          <w:rFonts w:ascii="Calibri" w:eastAsia="Times New Roman" w:hAnsi="Calibri" w:cs="Times New Roman"/>
          <w:color w:val="4E5053"/>
          <w:sz w:val="18"/>
          <w:szCs w:val="20"/>
        </w:rPr>
        <w:t xml:space="preserve"> Time trade-off</w:t>
      </w:r>
      <w:r w:rsidRPr="00A576B8">
        <w:rPr>
          <w:rFonts w:ascii="Calibri" w:eastAsia="Times New Roman" w:hAnsi="Calibri" w:cs="Times New Roman"/>
          <w:color w:val="4E5053"/>
          <w:sz w:val="18"/>
          <w:szCs w:val="20"/>
        </w:rPr>
        <w:t>.</w:t>
      </w:r>
      <w:r w:rsidR="00747057" w:rsidRPr="00A576B8">
        <w:rPr>
          <w:rFonts w:ascii="Calibri" w:eastAsia="Times New Roman" w:hAnsi="Calibri" w:cs="Times New Roman"/>
          <w:b/>
          <w:bCs/>
          <w:color w:val="4E5053"/>
        </w:rPr>
        <w:br w:type="page"/>
      </w:r>
    </w:p>
    <w:p w:rsidR="007D5804" w:rsidRPr="00A576B8" w:rsidRDefault="001041F1" w:rsidP="007D5804">
      <w:pPr>
        <w:spacing w:after="0"/>
        <w:rPr>
          <w:b/>
        </w:rPr>
      </w:pPr>
      <w:r w:rsidRPr="00A576B8">
        <w:rPr>
          <w:b/>
        </w:rPr>
        <w:lastRenderedPageBreak/>
        <w:t>Table S3</w:t>
      </w:r>
      <w:r w:rsidR="007D5804" w:rsidRPr="00A576B8">
        <w:rPr>
          <w:b/>
        </w:rPr>
        <w:t xml:space="preserve">: Input variables assessed in probabilistic sensitivity analyses* </w:t>
      </w:r>
    </w:p>
    <w:tbl>
      <w:tblPr>
        <w:tblStyle w:val="LightShading-Accent3"/>
        <w:tblW w:w="0" w:type="auto"/>
        <w:tblLook w:val="04A0" w:firstRow="1" w:lastRow="0" w:firstColumn="1" w:lastColumn="0" w:noHBand="0" w:noVBand="1"/>
      </w:tblPr>
      <w:tblGrid>
        <w:gridCol w:w="4633"/>
        <w:gridCol w:w="4633"/>
      </w:tblGrid>
      <w:tr w:rsidR="00E0263C" w:rsidRPr="00A576B8" w:rsidTr="00E0263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33" w:type="dxa"/>
            <w:vAlign w:val="center"/>
          </w:tcPr>
          <w:p w:rsidR="00E0263C" w:rsidRPr="00A576B8" w:rsidRDefault="00E0263C" w:rsidP="00E0263C">
            <w:pPr>
              <w:spacing w:before="40" w:after="40"/>
              <w:rPr>
                <w:rFonts w:ascii="Calibri" w:eastAsia="Times New Roman" w:hAnsi="Calibri" w:cs="Times New Roman"/>
              </w:rPr>
            </w:pPr>
            <w:r w:rsidRPr="00A576B8">
              <w:rPr>
                <w:rFonts w:ascii="Calibri" w:eastAsia="Times New Roman" w:hAnsi="Calibri" w:cs="Times New Roman"/>
              </w:rPr>
              <w:t>Variable</w:t>
            </w:r>
          </w:p>
        </w:tc>
        <w:tc>
          <w:tcPr>
            <w:tcW w:w="4633" w:type="dxa"/>
            <w:vAlign w:val="center"/>
          </w:tcPr>
          <w:p w:rsidR="00E0263C" w:rsidRPr="00A576B8" w:rsidRDefault="00E0263C" w:rsidP="00E0263C">
            <w:pPr>
              <w:spacing w:before="40" w:after="40"/>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rPr>
            </w:pPr>
            <w:r w:rsidRPr="00A576B8">
              <w:rPr>
                <w:rFonts w:ascii="Calibri" w:eastAsia="Times New Roman" w:hAnsi="Calibri" w:cs="Times New Roman"/>
              </w:rPr>
              <w:t>Source/assumption</w:t>
            </w:r>
          </w:p>
        </w:tc>
      </w:tr>
      <w:tr w:rsidR="00E0263C" w:rsidRPr="00A576B8" w:rsidTr="00E376B3">
        <w:tc>
          <w:tcPr>
            <w:cnfStyle w:val="001000000000" w:firstRow="0" w:lastRow="0" w:firstColumn="1" w:lastColumn="0" w:oddVBand="0" w:evenVBand="0" w:oddHBand="0" w:evenHBand="0" w:firstRowFirstColumn="0" w:firstRowLastColumn="0" w:lastRowFirstColumn="0" w:lastRowLastColumn="0"/>
            <w:tcW w:w="4633" w:type="dxa"/>
          </w:tcPr>
          <w:p w:rsidR="00E0263C" w:rsidRPr="00A576B8" w:rsidRDefault="00E0263C" w:rsidP="00E0263C">
            <w:pPr>
              <w:spacing w:before="40" w:after="40"/>
              <w:jc w:val="both"/>
              <w:rPr>
                <w:rFonts w:ascii="Calibri" w:eastAsia="Times New Roman" w:hAnsi="Calibri" w:cs="Times New Roman"/>
                <w:b/>
                <w:color w:val="4E5053"/>
              </w:rPr>
            </w:pPr>
            <w:r w:rsidRPr="00A576B8">
              <w:rPr>
                <w:rFonts w:ascii="Calibri" w:eastAsia="Times New Roman" w:hAnsi="Calibri" w:cs="Times New Roman"/>
                <w:b/>
                <w:color w:val="4E5053"/>
              </w:rPr>
              <w:t>Cost of micro- and macrovascular complications</w:t>
            </w:r>
          </w:p>
        </w:tc>
        <w:tc>
          <w:tcPr>
            <w:tcW w:w="4633" w:type="dxa"/>
          </w:tcPr>
          <w:p w:rsidR="00E0263C" w:rsidRPr="00A576B8" w:rsidRDefault="00E0263C" w:rsidP="00E0263C">
            <w:pPr>
              <w:spacing w:before="40"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4E5053"/>
              </w:rPr>
            </w:pPr>
            <w:r w:rsidRPr="00A576B8">
              <w:rPr>
                <w:rFonts w:ascii="Calibri" w:eastAsia="Times New Roman" w:hAnsi="Calibri" w:cs="Times New Roman"/>
                <w:bCs/>
                <w:color w:val="4E5053"/>
              </w:rPr>
              <w:t>SE = 10%</w:t>
            </w:r>
          </w:p>
        </w:tc>
      </w:tr>
      <w:tr w:rsidR="00E0263C" w:rsidRPr="00A576B8" w:rsidTr="00E376B3">
        <w:tc>
          <w:tcPr>
            <w:cnfStyle w:val="001000000000" w:firstRow="0" w:lastRow="0" w:firstColumn="1" w:lastColumn="0" w:oddVBand="0" w:evenVBand="0" w:oddHBand="0" w:evenHBand="0" w:firstRowFirstColumn="0" w:firstRowLastColumn="0" w:lastRowFirstColumn="0" w:lastRowLastColumn="0"/>
            <w:tcW w:w="4633" w:type="dxa"/>
          </w:tcPr>
          <w:p w:rsidR="00E0263C" w:rsidRPr="00A576B8" w:rsidRDefault="00E0263C" w:rsidP="00E0263C">
            <w:pPr>
              <w:spacing w:before="40" w:after="40"/>
              <w:jc w:val="both"/>
              <w:rPr>
                <w:rFonts w:ascii="Calibri" w:eastAsia="Times New Roman" w:hAnsi="Calibri" w:cs="Times New Roman"/>
                <w:b/>
                <w:color w:val="4E5053"/>
              </w:rPr>
            </w:pPr>
            <w:r w:rsidRPr="00A576B8">
              <w:rPr>
                <w:rFonts w:ascii="Calibri" w:eastAsia="Times New Roman" w:hAnsi="Calibri" w:cs="Times New Roman"/>
                <w:b/>
                <w:color w:val="4E5053"/>
              </w:rPr>
              <w:t>QALYs of micro- and macrovascular complications</w:t>
            </w:r>
          </w:p>
        </w:tc>
        <w:tc>
          <w:tcPr>
            <w:tcW w:w="4633" w:type="dxa"/>
          </w:tcPr>
          <w:p w:rsidR="00E0263C" w:rsidRPr="00A576B8" w:rsidRDefault="00E0263C" w:rsidP="00E0263C">
            <w:pPr>
              <w:spacing w:before="40"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4E5053"/>
              </w:rPr>
            </w:pPr>
            <w:r w:rsidRPr="00A576B8">
              <w:rPr>
                <w:rFonts w:ascii="Calibri" w:eastAsia="Times New Roman" w:hAnsi="Calibri" w:cs="Times New Roman"/>
                <w:bCs/>
                <w:color w:val="4E5053"/>
              </w:rPr>
              <w:t>Neuropathy and nephropathy: Bagust 2004</w:t>
            </w:r>
            <w:r w:rsidR="00270983" w:rsidRPr="00A576B8">
              <w:rPr>
                <w:rFonts w:ascii="Calibri" w:eastAsia="Times New Roman" w:hAnsi="Calibri" w:cs="Times New Roman"/>
                <w:bCs/>
                <w:color w:val="4E5053"/>
              </w:rPr>
              <w:fldChar w:fldCharType="begin"/>
            </w:r>
            <w:r w:rsidR="00270983" w:rsidRPr="00A576B8">
              <w:rPr>
                <w:rFonts w:ascii="Calibri" w:eastAsia="Times New Roman" w:hAnsi="Calibri" w:cs="Times New Roman"/>
                <w:bCs/>
                <w:color w:val="4E5053"/>
              </w:rPr>
              <w:instrText xml:space="preserve"> ADDIN EN.CITE &lt;EndNote&gt;&lt;Cite&gt;&lt;Author&gt;Bagust&lt;/Author&gt;&lt;Year&gt;2005&lt;/Year&gt;&lt;RecNum&gt;4&lt;/RecNum&gt;&lt;DisplayText&gt;(13)&lt;/DisplayText&gt;&lt;record&gt;&lt;rec-number&gt;4&lt;/rec-number&gt;&lt;foreign-keys&gt;&lt;key app="EN" db-id="5adtveztgpe2vpe9dd8xfexhrx2sefzpa0ze"&gt;4&lt;/key&gt;&lt;/foreign-keys&gt;&lt;ref-type name="Journal Article"&gt;17&lt;/ref-type&gt;&lt;contributors&gt;&lt;authors&gt;&lt;author&gt;Bagust, A.&lt;/author&gt;&lt;author&gt;Beale, S.&lt;/author&gt;&lt;/authors&gt;&lt;/contributors&gt;&lt;auth-address&gt;York Health Economics Consortium, University of York, UK. A.Bagust@liverpool.ac.uk&lt;/auth-address&gt;&lt;titles&gt;&lt;title&gt;Modelling EuroQol health-related utility values for diabetic complications from CODE-2 data&lt;/title&gt;&lt;secondary-title&gt;Health Econ&lt;/secondary-title&gt;&lt;alt-title&gt;Health economics&lt;/alt-title&gt;&lt;/titles&gt;&lt;pages&gt;217-30&lt;/pages&gt;&lt;volume&gt;14&lt;/volume&gt;&lt;number&gt;3&lt;/number&gt;&lt;edition&gt;2004/09/24&lt;/edition&gt;&lt;keywords&gt;&lt;keyword&gt;Cost of Illness&lt;/keyword&gt;&lt;keyword&gt;Diabetes Mellitus, Type 2/economics/*physiopathology&lt;/keyword&gt;&lt;keyword&gt;Europe&lt;/keyword&gt;&lt;keyword&gt;Female&lt;/keyword&gt;&lt;keyword&gt;Health Status&lt;/keyword&gt;&lt;keyword&gt;Humans&lt;/keyword&gt;&lt;keyword&gt;Male&lt;/keyword&gt;&lt;keyword&gt;Middle Aged&lt;/keyword&gt;&lt;keyword&gt;*Models, Statistical&lt;/keyword&gt;&lt;keyword&gt;Questionnaires&lt;/keyword&gt;&lt;/keywords&gt;&lt;dates&gt;&lt;year&gt;2005&lt;/year&gt;&lt;pub-dates&gt;&lt;date&gt;Mar&lt;/date&gt;&lt;/pub-dates&gt;&lt;/dates&gt;&lt;isbn&gt;1057-9230 (Print)&amp;#xD;1057-9230&lt;/isbn&gt;&lt;accession-num&gt;15386666&lt;/accession-num&gt;&lt;urls&gt;&lt;/urls&gt;&lt;electronic-resource-num&gt;10.1002/hec.910&lt;/electronic-resource-num&gt;&lt;remote-database-provider&gt;NLM&lt;/remote-database-provider&gt;&lt;language&gt;eng&lt;/language&gt;&lt;/record&gt;&lt;/Cite&gt;&lt;/EndNote&gt;</w:instrText>
            </w:r>
            <w:r w:rsidR="00270983" w:rsidRPr="00A576B8">
              <w:rPr>
                <w:rFonts w:ascii="Calibri" w:eastAsia="Times New Roman" w:hAnsi="Calibri" w:cs="Times New Roman"/>
                <w:bCs/>
                <w:color w:val="4E5053"/>
              </w:rPr>
              <w:fldChar w:fldCharType="separate"/>
            </w:r>
            <w:r w:rsidR="00270983" w:rsidRPr="00A576B8">
              <w:rPr>
                <w:rFonts w:ascii="Calibri" w:eastAsia="Times New Roman" w:hAnsi="Calibri" w:cs="Times New Roman"/>
                <w:bCs/>
                <w:noProof/>
                <w:color w:val="4E5053"/>
              </w:rPr>
              <w:t>(13)</w:t>
            </w:r>
            <w:r w:rsidR="00270983" w:rsidRPr="00A576B8">
              <w:rPr>
                <w:rFonts w:ascii="Calibri" w:eastAsia="Times New Roman" w:hAnsi="Calibri" w:cs="Times New Roman"/>
                <w:bCs/>
                <w:color w:val="4E5053"/>
              </w:rPr>
              <w:fldChar w:fldCharType="end"/>
            </w:r>
          </w:p>
          <w:p w:rsidR="00E0263C" w:rsidRPr="00A576B8" w:rsidRDefault="00E0263C" w:rsidP="00E0263C">
            <w:pPr>
              <w:spacing w:before="40"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4E5053"/>
              </w:rPr>
            </w:pPr>
            <w:r w:rsidRPr="00A576B8">
              <w:rPr>
                <w:rFonts w:ascii="Calibri" w:eastAsia="Times New Roman" w:hAnsi="Calibri" w:cs="Times New Roman"/>
                <w:bCs/>
                <w:color w:val="4E5053"/>
              </w:rPr>
              <w:t>Other complications: SE = 10%</w:t>
            </w:r>
          </w:p>
        </w:tc>
      </w:tr>
      <w:tr w:rsidR="00E0263C" w:rsidRPr="00A576B8" w:rsidTr="00E376B3">
        <w:tc>
          <w:tcPr>
            <w:cnfStyle w:val="001000000000" w:firstRow="0" w:lastRow="0" w:firstColumn="1" w:lastColumn="0" w:oddVBand="0" w:evenVBand="0" w:oddHBand="0" w:evenHBand="0" w:firstRowFirstColumn="0" w:firstRowLastColumn="0" w:lastRowFirstColumn="0" w:lastRowLastColumn="0"/>
            <w:tcW w:w="4633" w:type="dxa"/>
          </w:tcPr>
          <w:p w:rsidR="00E0263C" w:rsidRPr="00A576B8" w:rsidRDefault="00E0263C" w:rsidP="00E0263C">
            <w:pPr>
              <w:spacing w:before="40" w:after="40"/>
              <w:jc w:val="both"/>
              <w:rPr>
                <w:rFonts w:ascii="Calibri" w:eastAsia="Times New Roman" w:hAnsi="Calibri" w:cs="Times New Roman"/>
                <w:b/>
                <w:color w:val="4E5053"/>
              </w:rPr>
            </w:pPr>
            <w:r w:rsidRPr="00A576B8">
              <w:rPr>
                <w:rFonts w:ascii="Calibri" w:eastAsia="Times New Roman" w:hAnsi="Calibri" w:cs="Times New Roman"/>
                <w:b/>
                <w:color w:val="4E5053"/>
              </w:rPr>
              <w:t>Costs of hypoglyc</w:t>
            </w:r>
            <w:r w:rsidR="007D5804" w:rsidRPr="00A576B8">
              <w:rPr>
                <w:rFonts w:ascii="Calibri" w:eastAsia="Times New Roman" w:hAnsi="Calibri" w:cs="Times New Roman"/>
                <w:b/>
                <w:color w:val="4E5053"/>
              </w:rPr>
              <w:t>a</w:t>
            </w:r>
            <w:r w:rsidRPr="00A576B8">
              <w:rPr>
                <w:rFonts w:ascii="Calibri" w:eastAsia="Times New Roman" w:hAnsi="Calibri" w:cs="Times New Roman"/>
                <w:b/>
                <w:color w:val="4E5053"/>
              </w:rPr>
              <w:t>emia</w:t>
            </w:r>
          </w:p>
        </w:tc>
        <w:tc>
          <w:tcPr>
            <w:tcW w:w="4633" w:type="dxa"/>
          </w:tcPr>
          <w:p w:rsidR="00E0263C" w:rsidRPr="00A576B8" w:rsidRDefault="00E0263C" w:rsidP="00E0263C">
            <w:pPr>
              <w:spacing w:before="40"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4E5053"/>
              </w:rPr>
            </w:pPr>
            <w:r w:rsidRPr="00A576B8">
              <w:rPr>
                <w:rFonts w:ascii="Calibri" w:eastAsia="Times New Roman" w:hAnsi="Calibri" w:cs="Times New Roman"/>
                <w:bCs/>
                <w:color w:val="4E5053"/>
              </w:rPr>
              <w:t>SE = 20%</w:t>
            </w:r>
          </w:p>
        </w:tc>
      </w:tr>
      <w:tr w:rsidR="00E0263C" w:rsidRPr="00A576B8" w:rsidTr="00E376B3">
        <w:tc>
          <w:tcPr>
            <w:cnfStyle w:val="001000000000" w:firstRow="0" w:lastRow="0" w:firstColumn="1" w:lastColumn="0" w:oddVBand="0" w:evenVBand="0" w:oddHBand="0" w:evenHBand="0" w:firstRowFirstColumn="0" w:firstRowLastColumn="0" w:lastRowFirstColumn="0" w:lastRowLastColumn="0"/>
            <w:tcW w:w="4633" w:type="dxa"/>
          </w:tcPr>
          <w:p w:rsidR="00E0263C" w:rsidRPr="00A576B8" w:rsidRDefault="00E0263C" w:rsidP="00E0263C">
            <w:pPr>
              <w:spacing w:before="40" w:after="40"/>
              <w:jc w:val="both"/>
              <w:rPr>
                <w:rFonts w:ascii="Calibri" w:eastAsia="Times New Roman" w:hAnsi="Calibri" w:cs="Times New Roman"/>
                <w:b/>
                <w:color w:val="4E5053"/>
              </w:rPr>
            </w:pPr>
            <w:r w:rsidRPr="00A576B8">
              <w:rPr>
                <w:rFonts w:ascii="Calibri" w:eastAsia="Times New Roman" w:hAnsi="Calibri" w:cs="Times New Roman"/>
                <w:b/>
                <w:color w:val="4E5053"/>
              </w:rPr>
              <w:t>QALYs of hypoglyc</w:t>
            </w:r>
            <w:r w:rsidR="007D5804" w:rsidRPr="00A576B8">
              <w:rPr>
                <w:rFonts w:ascii="Calibri" w:eastAsia="Times New Roman" w:hAnsi="Calibri" w:cs="Times New Roman"/>
                <w:b/>
                <w:color w:val="4E5053"/>
              </w:rPr>
              <w:t>a</w:t>
            </w:r>
            <w:r w:rsidRPr="00A576B8">
              <w:rPr>
                <w:rFonts w:ascii="Calibri" w:eastAsia="Times New Roman" w:hAnsi="Calibri" w:cs="Times New Roman"/>
                <w:b/>
                <w:color w:val="4E5053"/>
              </w:rPr>
              <w:t>emia</w:t>
            </w:r>
          </w:p>
        </w:tc>
        <w:tc>
          <w:tcPr>
            <w:tcW w:w="4633" w:type="dxa"/>
          </w:tcPr>
          <w:p w:rsidR="00E0263C" w:rsidRPr="00A576B8" w:rsidRDefault="00E0263C" w:rsidP="00270983">
            <w:pPr>
              <w:spacing w:before="40"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4E5053"/>
              </w:rPr>
            </w:pPr>
            <w:r w:rsidRPr="00A576B8">
              <w:rPr>
                <w:rFonts w:ascii="Calibri" w:eastAsia="Times New Roman" w:hAnsi="Calibri" w:cs="Times New Roman"/>
                <w:bCs/>
                <w:color w:val="4E5053"/>
              </w:rPr>
              <w:t>Evans 2013</w:t>
            </w:r>
            <w:r w:rsidR="00270983" w:rsidRPr="00A576B8">
              <w:rPr>
                <w:rFonts w:ascii="Calibri" w:eastAsia="Times New Roman" w:hAnsi="Calibri" w:cs="Times New Roman"/>
                <w:bCs/>
                <w:color w:val="4E5053"/>
              </w:rPr>
              <w:fldChar w:fldCharType="begin">
                <w:fldData xml:space="preserve">PEVuZE5vdGU+PENpdGU+PEF1dGhvcj5FdmFuczwvQXV0aG9yPjxZZWFyPjIwMTM8L1llYXI+PFJl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</w:fldData>
              </w:fldChar>
            </w:r>
            <w:r w:rsidR="00270983" w:rsidRPr="00A576B8">
              <w:rPr>
                <w:rFonts w:ascii="Calibri" w:eastAsia="Times New Roman" w:hAnsi="Calibri" w:cs="Times New Roman"/>
                <w:bCs/>
                <w:color w:val="4E5053"/>
              </w:rPr>
              <w:instrText xml:space="preserve"> ADDIN EN.CITE </w:instrText>
            </w:r>
            <w:r w:rsidR="00270983" w:rsidRPr="00A576B8">
              <w:rPr>
                <w:rFonts w:ascii="Calibri" w:eastAsia="Times New Roman" w:hAnsi="Calibri" w:cs="Times New Roman"/>
                <w:bCs/>
                <w:color w:val="4E5053"/>
              </w:rPr>
              <w:fldChar w:fldCharType="begin">
                <w:fldData xml:space="preserve">PEVuZE5vdGU+PENpdGU+PEF1dGhvcj5FdmFuczwvQXV0aG9yPjxZZWFyPjIwMTM8L1llYXI+PFJl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</w:fldData>
              </w:fldChar>
            </w:r>
            <w:r w:rsidR="00270983" w:rsidRPr="00A576B8">
              <w:rPr>
                <w:rFonts w:ascii="Calibri" w:eastAsia="Times New Roman" w:hAnsi="Calibri" w:cs="Times New Roman"/>
                <w:bCs/>
                <w:color w:val="4E5053"/>
              </w:rPr>
              <w:instrText xml:space="preserve"> ADDIN EN.CITE.DATA </w:instrText>
            </w:r>
            <w:r w:rsidR="00270983" w:rsidRPr="00A576B8">
              <w:rPr>
                <w:rFonts w:ascii="Calibri" w:eastAsia="Times New Roman" w:hAnsi="Calibri" w:cs="Times New Roman"/>
                <w:bCs/>
                <w:color w:val="4E5053"/>
              </w:rPr>
            </w:r>
            <w:r w:rsidR="00270983" w:rsidRPr="00A576B8">
              <w:rPr>
                <w:rFonts w:ascii="Calibri" w:eastAsia="Times New Roman" w:hAnsi="Calibri" w:cs="Times New Roman"/>
                <w:bCs/>
                <w:color w:val="4E5053"/>
              </w:rPr>
              <w:fldChar w:fldCharType="end"/>
            </w:r>
            <w:r w:rsidR="00270983" w:rsidRPr="00A576B8">
              <w:rPr>
                <w:rFonts w:ascii="Calibri" w:eastAsia="Times New Roman" w:hAnsi="Calibri" w:cs="Times New Roman"/>
                <w:bCs/>
                <w:color w:val="4E5053"/>
              </w:rPr>
            </w:r>
            <w:r w:rsidR="00270983" w:rsidRPr="00A576B8">
              <w:rPr>
                <w:rFonts w:ascii="Calibri" w:eastAsia="Times New Roman" w:hAnsi="Calibri" w:cs="Times New Roman"/>
                <w:bCs/>
                <w:color w:val="4E5053"/>
              </w:rPr>
              <w:fldChar w:fldCharType="separate"/>
            </w:r>
            <w:r w:rsidR="00270983" w:rsidRPr="00A576B8">
              <w:rPr>
                <w:rFonts w:ascii="Calibri" w:eastAsia="Times New Roman" w:hAnsi="Calibri" w:cs="Times New Roman"/>
                <w:bCs/>
                <w:noProof/>
                <w:color w:val="4E5053"/>
              </w:rPr>
              <w:t>(14)</w:t>
            </w:r>
            <w:r w:rsidR="00270983" w:rsidRPr="00A576B8">
              <w:rPr>
                <w:rFonts w:ascii="Calibri" w:eastAsia="Times New Roman" w:hAnsi="Calibri" w:cs="Times New Roman"/>
                <w:bCs/>
                <w:color w:val="4E5053"/>
              </w:rPr>
              <w:fldChar w:fldCharType="end"/>
            </w:r>
          </w:p>
        </w:tc>
      </w:tr>
      <w:tr w:rsidR="00E0263C" w:rsidRPr="00A576B8" w:rsidTr="00E376B3">
        <w:tc>
          <w:tcPr>
            <w:cnfStyle w:val="001000000000" w:firstRow="0" w:lastRow="0" w:firstColumn="1" w:lastColumn="0" w:oddVBand="0" w:evenVBand="0" w:oddHBand="0" w:evenHBand="0" w:firstRowFirstColumn="0" w:firstRowLastColumn="0" w:lastRowFirstColumn="0" w:lastRowLastColumn="0"/>
            <w:tcW w:w="4633" w:type="dxa"/>
          </w:tcPr>
          <w:p w:rsidR="00E0263C" w:rsidRPr="00A576B8" w:rsidRDefault="00E0263C" w:rsidP="00E0263C">
            <w:pPr>
              <w:spacing w:before="40" w:after="40"/>
              <w:jc w:val="both"/>
              <w:rPr>
                <w:rFonts w:ascii="Calibri" w:eastAsia="Times New Roman" w:hAnsi="Calibri" w:cs="Times New Roman"/>
                <w:b/>
                <w:color w:val="4E5053"/>
              </w:rPr>
            </w:pPr>
            <w:r w:rsidRPr="00A576B8">
              <w:rPr>
                <w:rFonts w:ascii="Calibri" w:eastAsia="Times New Roman" w:hAnsi="Calibri" w:cs="Times New Roman"/>
                <w:b/>
                <w:color w:val="4E5053"/>
              </w:rPr>
              <w:t>Drug prices</w:t>
            </w:r>
          </w:p>
        </w:tc>
        <w:tc>
          <w:tcPr>
            <w:tcW w:w="4633" w:type="dxa"/>
          </w:tcPr>
          <w:p w:rsidR="00E0263C" w:rsidRPr="00A576B8" w:rsidRDefault="00E0263C" w:rsidP="00E0263C">
            <w:pPr>
              <w:spacing w:before="40"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4E5053"/>
              </w:rPr>
            </w:pPr>
            <w:r w:rsidRPr="00A576B8">
              <w:rPr>
                <w:rFonts w:ascii="Calibri" w:eastAsia="Times New Roman" w:hAnsi="Calibri" w:cs="Times New Roman"/>
                <w:bCs/>
                <w:color w:val="4E5053"/>
              </w:rPr>
              <w:t>SE = 0%</w:t>
            </w:r>
          </w:p>
        </w:tc>
      </w:tr>
      <w:tr w:rsidR="00E0263C" w:rsidRPr="00A576B8" w:rsidTr="00E376B3">
        <w:tc>
          <w:tcPr>
            <w:cnfStyle w:val="001000000000" w:firstRow="0" w:lastRow="0" w:firstColumn="1" w:lastColumn="0" w:oddVBand="0" w:evenVBand="0" w:oddHBand="0" w:evenHBand="0" w:firstRowFirstColumn="0" w:firstRowLastColumn="0" w:lastRowFirstColumn="0" w:lastRowLastColumn="0"/>
            <w:tcW w:w="4633" w:type="dxa"/>
          </w:tcPr>
          <w:p w:rsidR="00E0263C" w:rsidRPr="00A576B8" w:rsidRDefault="00E0263C" w:rsidP="00E0263C">
            <w:pPr>
              <w:spacing w:before="40" w:after="40"/>
              <w:jc w:val="both"/>
              <w:rPr>
                <w:rFonts w:ascii="Calibri" w:eastAsia="Times New Roman" w:hAnsi="Calibri" w:cs="Times New Roman"/>
                <w:b/>
                <w:color w:val="4E5053"/>
              </w:rPr>
            </w:pPr>
            <w:r w:rsidRPr="00A576B8">
              <w:rPr>
                <w:rFonts w:ascii="Calibri" w:eastAsia="Times New Roman" w:hAnsi="Calibri" w:cs="Times New Roman"/>
                <w:b/>
                <w:color w:val="4E5053"/>
              </w:rPr>
              <w:t xml:space="preserve">Treatment effects (e.g. HbA1c, BMI etc.) </w:t>
            </w:r>
          </w:p>
        </w:tc>
        <w:tc>
          <w:tcPr>
            <w:tcW w:w="4633" w:type="dxa"/>
          </w:tcPr>
          <w:p w:rsidR="00E0263C" w:rsidRPr="00A576B8" w:rsidRDefault="007D5804" w:rsidP="00270983">
            <w:pPr>
              <w:spacing w:before="40"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4E5053"/>
              </w:rPr>
            </w:pPr>
            <w:r w:rsidRPr="00A576B8">
              <w:rPr>
                <w:rFonts w:ascii="Calibri" w:eastAsia="Times New Roman" w:hAnsi="Calibri" w:cs="Times New Roman"/>
                <w:bCs/>
                <w:color w:val="4E5053"/>
              </w:rPr>
              <w:t>Buse 2014</w:t>
            </w:r>
            <w:r w:rsidR="00270983" w:rsidRPr="00A576B8">
              <w:rPr>
                <w:rFonts w:ascii="Calibri" w:eastAsia="Times New Roman" w:hAnsi="Calibri" w:cs="Times New Roman"/>
                <w:bCs/>
                <w:color w:val="4E5053"/>
              </w:rPr>
              <w:fldChar w:fldCharType="begin"/>
            </w:r>
            <w:r w:rsidR="00270983" w:rsidRPr="00A576B8">
              <w:rPr>
                <w:rFonts w:ascii="Calibri" w:eastAsia="Times New Roman" w:hAnsi="Calibri" w:cs="Times New Roman"/>
                <w:bCs/>
                <w:color w:val="4E5053"/>
              </w:rPr>
              <w:instrText xml:space="preserve"> ADDIN EN.CITE &lt;EndNote&gt;&lt;Cite&gt;&lt;Author&gt;Buse&lt;/Author&gt;&lt;Year&gt;2014&lt;/Year&gt;&lt;RecNum&gt;5&lt;/RecNum&gt;&lt;DisplayText&gt;(15)&lt;/DisplayText&gt;&lt;record&gt;&lt;rec-number&gt;5&lt;/rec-number&gt;&lt;foreign-keys&gt;&lt;key app="EN" db-id="5adtveztgpe2vpe9dd8xfexhrx2sefzpa0ze"&gt;5&lt;/key&gt;&lt;/foreign-keys&gt;&lt;ref-type name="Journal Article"&gt;17&lt;/ref-type&gt;&lt;contributors&gt;&lt;authors&gt;&lt;author&gt;Buse, J. B.&lt;/author&gt;&lt;author&gt;Vilsboll, T.&lt;/author&gt;&lt;author&gt;Thurman, J.&lt;/author&gt;&lt;author&gt;Blevins, T. C.&lt;/author&gt;&lt;author&gt;Langbakke, I. H.&lt;/author&gt;&lt;author&gt;Bottcher, S. G.&lt;/author&gt;&lt;author&gt;Rodbard, H. W.&lt;/author&gt;&lt;/authors&gt;&lt;/contributors&gt;&lt;auth-address&gt;University of North Carolina School of Medicine, Endocrinology &amp;amp; Metabolism, Chapel Hill, NC john_buse@med.unc.edu.&amp;#xD;University of Copenhagen, Gentofte Hospital, Center for Diabetes Research, Copenhagen, Denmark.&amp;#xD;Endocrinology, SSM Medical Group, St. Louis, MO.&amp;#xD;Texas Diabetes and Endocrinology, Austin, TX.&amp;#xD;Novo Nordisk A/S, Soborg, Denmark.&amp;#xD;Endocrine and Metabolic Consultants, Clinical Research, Rockville, MD.&lt;/auth-address&gt;&lt;titles&gt;&lt;title&gt;Contribution of liraglutide in the fixed-ratio combination of insulin degludec and liraglutide (IDegLira)&lt;/title&gt;&lt;secondary-title&gt;Diabetes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2926-33&lt;/pages&gt;&lt;volume&gt;37&lt;/volume&gt;&lt;number&gt;11&lt;/number&gt;&lt;edition&gt;2014/08/13&lt;/edition&gt;&lt;dates&gt;&lt;year&gt;2014&lt;/year&gt;&lt;pub-dates&gt;&lt;date&gt;Nov&lt;/date&gt;&lt;/pub-dates&gt;&lt;/dates&gt;&lt;isbn&gt;0149-5992&lt;/isbn&gt;&lt;accession-num&gt;25114296&lt;/accession-num&gt;&lt;urls&gt;&lt;/urls&gt;&lt;electronic-resource-num&gt;10.2337/dc14-0785&lt;/electronic-resource-num&gt;&lt;remote-database-provider&gt;NLM&lt;/remote-database-provider&gt;&lt;language&gt;eng&lt;/language&gt;&lt;/record&gt;&lt;/Cite&gt;&lt;/EndNote&gt;</w:instrText>
            </w:r>
            <w:r w:rsidR="00270983" w:rsidRPr="00A576B8">
              <w:rPr>
                <w:rFonts w:ascii="Calibri" w:eastAsia="Times New Roman" w:hAnsi="Calibri" w:cs="Times New Roman"/>
                <w:bCs/>
                <w:color w:val="4E5053"/>
              </w:rPr>
              <w:fldChar w:fldCharType="separate"/>
            </w:r>
            <w:r w:rsidR="00270983" w:rsidRPr="00A576B8">
              <w:rPr>
                <w:rFonts w:ascii="Calibri" w:eastAsia="Times New Roman" w:hAnsi="Calibri" w:cs="Times New Roman"/>
                <w:bCs/>
                <w:noProof/>
                <w:color w:val="4E5053"/>
              </w:rPr>
              <w:t>(15)</w:t>
            </w:r>
            <w:r w:rsidR="00270983" w:rsidRPr="00A576B8">
              <w:rPr>
                <w:rFonts w:ascii="Calibri" w:eastAsia="Times New Roman" w:hAnsi="Calibri" w:cs="Times New Roman"/>
                <w:bCs/>
                <w:color w:val="4E5053"/>
              </w:rPr>
              <w:fldChar w:fldCharType="end"/>
            </w:r>
          </w:p>
        </w:tc>
      </w:tr>
      <w:tr w:rsidR="00E0263C" w:rsidRPr="00A576B8" w:rsidTr="00E376B3">
        <w:tc>
          <w:tcPr>
            <w:cnfStyle w:val="001000000000" w:firstRow="0" w:lastRow="0" w:firstColumn="1" w:lastColumn="0" w:oddVBand="0" w:evenVBand="0" w:oddHBand="0" w:evenHBand="0" w:firstRowFirstColumn="0" w:firstRowLastColumn="0" w:lastRowFirstColumn="0" w:lastRowLastColumn="0"/>
            <w:tcW w:w="4633" w:type="dxa"/>
          </w:tcPr>
          <w:p w:rsidR="00E0263C" w:rsidRPr="00A576B8" w:rsidRDefault="00E0263C" w:rsidP="00E0263C">
            <w:pPr>
              <w:spacing w:before="40" w:after="40"/>
              <w:jc w:val="both"/>
              <w:rPr>
                <w:rFonts w:ascii="Calibri" w:eastAsia="Times New Roman" w:hAnsi="Calibri" w:cs="Times New Roman"/>
                <w:b/>
                <w:color w:val="4E5053"/>
              </w:rPr>
            </w:pPr>
            <w:r w:rsidRPr="00A576B8">
              <w:rPr>
                <w:rFonts w:ascii="Calibri" w:eastAsia="Times New Roman" w:hAnsi="Calibri" w:cs="Times New Roman"/>
                <w:b/>
                <w:color w:val="4E5053"/>
              </w:rPr>
              <w:t>Treatment related patient utility</w:t>
            </w:r>
          </w:p>
        </w:tc>
        <w:tc>
          <w:tcPr>
            <w:tcW w:w="4633" w:type="dxa"/>
          </w:tcPr>
          <w:p w:rsidR="00E0263C" w:rsidRPr="00A576B8" w:rsidRDefault="00E0263C" w:rsidP="00E0263C">
            <w:pPr>
              <w:spacing w:before="40" w:after="4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Cs/>
                <w:color w:val="4E5053"/>
              </w:rPr>
            </w:pPr>
            <w:r w:rsidRPr="00A576B8">
              <w:rPr>
                <w:rFonts w:ascii="Calibri" w:eastAsia="Times New Roman" w:hAnsi="Calibri" w:cs="Times New Roman"/>
                <w:bCs/>
                <w:color w:val="4E5053"/>
              </w:rPr>
              <w:t>SE</w:t>
            </w:r>
            <w:r w:rsidR="007D5804" w:rsidRPr="00A576B8">
              <w:rPr>
                <w:rFonts w:ascii="Calibri" w:eastAsia="Times New Roman" w:hAnsi="Calibri" w:cs="Times New Roman"/>
                <w:bCs/>
                <w:color w:val="4E5053"/>
              </w:rPr>
              <w:t xml:space="preserve"> </w:t>
            </w:r>
            <w:r w:rsidRPr="00A576B8">
              <w:rPr>
                <w:rFonts w:ascii="Calibri" w:eastAsia="Times New Roman" w:hAnsi="Calibri" w:cs="Times New Roman"/>
                <w:bCs/>
                <w:color w:val="4E5053"/>
              </w:rPr>
              <w:t>=</w:t>
            </w:r>
            <w:r w:rsidR="007D5804" w:rsidRPr="00A576B8">
              <w:rPr>
                <w:rFonts w:ascii="Calibri" w:eastAsia="Times New Roman" w:hAnsi="Calibri" w:cs="Times New Roman"/>
                <w:bCs/>
                <w:color w:val="4E5053"/>
              </w:rPr>
              <w:t xml:space="preserve"> </w:t>
            </w:r>
            <w:r w:rsidRPr="00A576B8">
              <w:rPr>
                <w:rFonts w:ascii="Calibri" w:eastAsia="Times New Roman" w:hAnsi="Calibri" w:cs="Times New Roman"/>
                <w:bCs/>
                <w:color w:val="4E5053"/>
              </w:rPr>
              <w:t xml:space="preserve">50% </w:t>
            </w:r>
          </w:p>
        </w:tc>
      </w:tr>
    </w:tbl>
    <w:p w:rsidR="007D5804" w:rsidRPr="00A576B8" w:rsidRDefault="00ED4AFD" w:rsidP="007D5804">
      <w:pPr>
        <w:spacing w:before="0" w:after="0"/>
        <w:rPr>
          <w:rFonts w:eastAsia="Times New Roman"/>
          <w:sz w:val="18"/>
        </w:rPr>
      </w:pPr>
      <w:r w:rsidRPr="00A576B8">
        <w:rPr>
          <w:rFonts w:eastAsia="Times New Roman"/>
          <w:sz w:val="18"/>
        </w:rPr>
        <w:t xml:space="preserve">QALY: </w:t>
      </w:r>
      <w:r w:rsidR="007D5804" w:rsidRPr="00A576B8">
        <w:rPr>
          <w:rFonts w:eastAsia="Times New Roman"/>
          <w:sz w:val="18"/>
        </w:rPr>
        <w:t>quality-adjusted life year; SE</w:t>
      </w:r>
      <w:r w:rsidR="00D217C1" w:rsidRPr="00A576B8">
        <w:rPr>
          <w:rFonts w:eastAsia="Times New Roman"/>
          <w:sz w:val="18"/>
        </w:rPr>
        <w:t>:</w:t>
      </w:r>
      <w:r w:rsidR="007D5804" w:rsidRPr="00A576B8">
        <w:rPr>
          <w:rFonts w:eastAsia="Times New Roman"/>
          <w:sz w:val="18"/>
        </w:rPr>
        <w:t xml:space="preserve"> standard error.</w:t>
      </w:r>
    </w:p>
    <w:p w:rsidR="007D5804" w:rsidRPr="00A576B8" w:rsidRDefault="007D5804" w:rsidP="007D5804">
      <w:pPr>
        <w:spacing w:before="0" w:after="0"/>
        <w:rPr>
          <w:rFonts w:eastAsia="Times New Roman"/>
          <w:sz w:val="18"/>
        </w:rPr>
      </w:pPr>
      <w:r w:rsidRPr="00A576B8">
        <w:rPr>
          <w:rFonts w:eastAsia="Times New Roman"/>
          <w:sz w:val="18"/>
        </w:rPr>
        <w:t>*</w:t>
      </w:r>
      <w:r w:rsidR="009B3E0D" w:rsidRPr="00A576B8">
        <w:rPr>
          <w:rFonts w:eastAsia="Times New Roman"/>
          <w:sz w:val="18"/>
        </w:rPr>
        <w:t>Sources were provided for each variable where available. Otherwise, the standard deviation assumption is directly stated.</w:t>
      </w:r>
    </w:p>
    <w:p w:rsidR="0090716D" w:rsidRPr="00A576B8" w:rsidRDefault="0090716D">
      <w:pPr>
        <w:spacing w:before="0" w:after="200"/>
        <w:rPr>
          <w:rFonts w:ascii="Calibri" w:eastAsia="Times New Roman" w:hAnsi="Calibri" w:cs="Times New Roman"/>
          <w:b/>
          <w:bCs/>
          <w:color w:val="4E5053"/>
        </w:rPr>
      </w:pPr>
      <w:r w:rsidRPr="00A576B8">
        <w:rPr>
          <w:rFonts w:ascii="Calibri" w:eastAsia="Times New Roman" w:hAnsi="Calibri" w:cs="Times New Roman"/>
          <w:b/>
          <w:bCs/>
          <w:color w:val="4E5053"/>
        </w:rPr>
        <w:br w:type="page"/>
      </w:r>
    </w:p>
    <w:p w:rsidR="00747057" w:rsidRPr="00A576B8" w:rsidRDefault="00747057" w:rsidP="00747057">
      <w:pPr>
        <w:keepNext/>
        <w:spacing w:after="0" w:line="240" w:lineRule="auto"/>
        <w:rPr>
          <w:rFonts w:ascii="Calibri" w:eastAsia="Times New Roman" w:hAnsi="Calibri" w:cs="Times New Roman"/>
          <w:b/>
          <w:bCs/>
          <w:color w:val="4E5053"/>
        </w:rPr>
      </w:pPr>
      <w:r w:rsidRPr="00A576B8">
        <w:rPr>
          <w:rFonts w:ascii="Calibri" w:eastAsia="Times New Roman" w:hAnsi="Calibri" w:cs="Times New Roman"/>
          <w:b/>
          <w:bCs/>
          <w:color w:val="4E5053"/>
        </w:rPr>
        <w:lastRenderedPageBreak/>
        <w:t>Table S</w:t>
      </w:r>
      <w:r w:rsidR="001041F1" w:rsidRPr="00A576B8">
        <w:rPr>
          <w:rFonts w:ascii="Calibri" w:eastAsia="Times New Roman" w:hAnsi="Calibri" w:cs="Times New Roman"/>
          <w:b/>
          <w:bCs/>
          <w:color w:val="4E5053"/>
        </w:rPr>
        <w:t>4</w:t>
      </w:r>
      <w:r w:rsidRPr="00A576B8">
        <w:rPr>
          <w:rFonts w:ascii="Calibri" w:eastAsia="Times New Roman" w:hAnsi="Calibri" w:cs="Times New Roman"/>
          <w:b/>
          <w:bCs/>
          <w:color w:val="4E5053"/>
        </w:rPr>
        <w:t>: ICER in different HbA1c-related sensitivity analyses</w:t>
      </w:r>
      <w:r w:rsidR="0012500C" w:rsidRPr="00A576B8">
        <w:rPr>
          <w:rFonts w:ascii="Calibri" w:eastAsia="Times New Roman" w:hAnsi="Calibri" w:cs="Times New Roman"/>
          <w:b/>
          <w:bCs/>
          <w:color w:val="4E5053"/>
        </w:rPr>
        <w:t xml:space="preserve"> (SEK)</w:t>
      </w:r>
      <w:r w:rsidR="006325DA" w:rsidRPr="00A576B8">
        <w:rPr>
          <w:rFonts w:ascii="Calibri" w:eastAsia="Times New Roman" w:hAnsi="Calibri" w:cs="Times New Roman"/>
          <w:b/>
          <w:bCs/>
          <w:color w:val="4E5053"/>
        </w:rPr>
        <w:t>*</w:t>
      </w:r>
    </w:p>
    <w:tbl>
      <w:tblPr>
        <w:tblStyle w:val="LightShading-Accent33"/>
        <w:tblW w:w="5000" w:type="pct"/>
        <w:tblLook w:val="04A0" w:firstRow="1" w:lastRow="0" w:firstColumn="1" w:lastColumn="0" w:noHBand="0" w:noVBand="1"/>
      </w:tblPr>
      <w:tblGrid>
        <w:gridCol w:w="1812"/>
        <w:gridCol w:w="1132"/>
        <w:gridCol w:w="1559"/>
        <w:gridCol w:w="1275"/>
        <w:gridCol w:w="1985"/>
        <w:gridCol w:w="1503"/>
      </w:tblGrid>
      <w:tr w:rsidR="001C43E7" w:rsidRPr="00A576B8" w:rsidTr="00A66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tcPr>
          <w:p w:rsidR="00747057" w:rsidRPr="00A576B8" w:rsidRDefault="00747057" w:rsidP="005A4219">
            <w:pPr>
              <w:jc w:val="both"/>
              <w:rPr>
                <w:rFonts w:ascii="Calibri" w:hAnsi="Calibri" w:cs="Times New Roman"/>
                <w:lang w:val="sv-SE"/>
              </w:rPr>
            </w:pPr>
            <w:r w:rsidRPr="00A576B8">
              <w:rPr>
                <w:rFonts w:ascii="Calibri" w:hAnsi="Calibri" w:cs="Times New Roman"/>
                <w:lang w:val="sv-SE"/>
              </w:rPr>
              <w:t>Comparator</w:t>
            </w:r>
          </w:p>
        </w:tc>
        <w:tc>
          <w:tcPr>
            <w:tcW w:w="611" w:type="pct"/>
          </w:tcPr>
          <w:p w:rsidR="00747057" w:rsidRPr="00A576B8" w:rsidRDefault="00A669B2" w:rsidP="005A4219">
            <w:pPr>
              <w:jc w:val="both"/>
              <w:cnfStyle w:val="100000000000" w:firstRow="1"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Base case</w:t>
            </w:r>
            <w:r w:rsidR="00747057" w:rsidRPr="00A576B8">
              <w:rPr>
                <w:rFonts w:ascii="Calibri" w:hAnsi="Calibri" w:cs="Times New Roman"/>
                <w:lang w:val="sv-SE"/>
              </w:rPr>
              <w:t xml:space="preserve"> analysis</w:t>
            </w:r>
          </w:p>
        </w:tc>
        <w:tc>
          <w:tcPr>
            <w:tcW w:w="841" w:type="pct"/>
          </w:tcPr>
          <w:p w:rsidR="00747057" w:rsidRPr="00A576B8" w:rsidRDefault="00747057" w:rsidP="005A4219">
            <w:pPr>
              <w:jc w:val="both"/>
              <w:cnfStyle w:val="100000000000" w:firstRow="1"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HbA1c baseline 9%</w:t>
            </w:r>
          </w:p>
        </w:tc>
        <w:tc>
          <w:tcPr>
            <w:tcW w:w="688" w:type="pct"/>
          </w:tcPr>
          <w:p w:rsidR="00747057" w:rsidRPr="00A576B8" w:rsidRDefault="00747057" w:rsidP="005A4219">
            <w:pPr>
              <w:jc w:val="both"/>
              <w:cnfStyle w:val="100000000000" w:firstRow="1"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HbA1c drift 0.08%</w:t>
            </w:r>
          </w:p>
        </w:tc>
        <w:tc>
          <w:tcPr>
            <w:tcW w:w="1071" w:type="pct"/>
          </w:tcPr>
          <w:p w:rsidR="00747057" w:rsidRPr="00A576B8" w:rsidRDefault="00747057" w:rsidP="005A4219">
            <w:pPr>
              <w:jc w:val="both"/>
              <w:cnfStyle w:val="100000000000" w:firstRow="1"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No difference</w:t>
            </w:r>
          </w:p>
        </w:tc>
        <w:tc>
          <w:tcPr>
            <w:tcW w:w="811" w:type="pct"/>
          </w:tcPr>
          <w:p w:rsidR="00747057" w:rsidRPr="00A576B8" w:rsidRDefault="00747057" w:rsidP="005A4219">
            <w:pPr>
              <w:jc w:val="both"/>
              <w:cnfStyle w:val="100000000000" w:firstRow="1"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Halved difference</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978" w:type="pct"/>
          </w:tcPr>
          <w:p w:rsidR="00747057" w:rsidRPr="00A576B8" w:rsidRDefault="00A669B2" w:rsidP="005A4219">
            <w:pPr>
              <w:jc w:val="both"/>
              <w:rPr>
                <w:rFonts w:ascii="Calibri" w:hAnsi="Calibri" w:cs="Times New Roman"/>
                <w:lang w:val="sv-SE"/>
              </w:rPr>
            </w:pPr>
            <w:r w:rsidRPr="00A576B8">
              <w:rPr>
                <w:rFonts w:ascii="Calibri" w:hAnsi="Calibri" w:cs="Times New Roman"/>
                <w:lang w:val="sv-SE"/>
              </w:rPr>
              <w:t>I</w:t>
            </w:r>
            <w:r w:rsidR="00747057" w:rsidRPr="00A576B8">
              <w:rPr>
                <w:rFonts w:ascii="Calibri" w:hAnsi="Calibri" w:cs="Times New Roman"/>
                <w:lang w:val="sv-SE"/>
              </w:rPr>
              <w:t>nsulin glargine</w:t>
            </w:r>
          </w:p>
        </w:tc>
        <w:tc>
          <w:tcPr>
            <w:tcW w:w="61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28,000</w:t>
            </w:r>
          </w:p>
        </w:tc>
        <w:tc>
          <w:tcPr>
            <w:tcW w:w="84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27,000</w:t>
            </w:r>
          </w:p>
        </w:tc>
        <w:tc>
          <w:tcPr>
            <w:tcW w:w="688"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107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332,000</w:t>
            </w:r>
          </w:p>
        </w:tc>
        <w:tc>
          <w:tcPr>
            <w:tcW w:w="81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92,000</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978" w:type="pct"/>
          </w:tcPr>
          <w:p w:rsidR="00747057" w:rsidRPr="00A576B8" w:rsidRDefault="0067572E" w:rsidP="005A4219">
            <w:pPr>
              <w:jc w:val="both"/>
              <w:rPr>
                <w:rFonts w:ascii="Calibri" w:hAnsi="Calibri" w:cs="Times New Roman"/>
                <w:lang w:val="sv-SE"/>
              </w:rPr>
            </w:pPr>
            <w:r w:rsidRPr="00A576B8">
              <w:rPr>
                <w:rFonts w:ascii="Calibri" w:hAnsi="Calibri" w:cs="Times New Roman"/>
                <w:lang w:val="sv-SE"/>
              </w:rPr>
              <w:t>NPH</w:t>
            </w:r>
            <w:r w:rsidR="00747057" w:rsidRPr="00A576B8">
              <w:rPr>
                <w:rFonts w:ascii="Calibri" w:hAnsi="Calibri" w:cs="Times New Roman"/>
                <w:lang w:val="sv-SE"/>
              </w:rPr>
              <w:t xml:space="preserve"> insulin</w:t>
            </w:r>
          </w:p>
        </w:tc>
        <w:tc>
          <w:tcPr>
            <w:tcW w:w="61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70,000</w:t>
            </w:r>
          </w:p>
        </w:tc>
        <w:tc>
          <w:tcPr>
            <w:tcW w:w="84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69,000</w:t>
            </w:r>
          </w:p>
        </w:tc>
        <w:tc>
          <w:tcPr>
            <w:tcW w:w="688"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39,000</w:t>
            </w:r>
          </w:p>
        </w:tc>
        <w:tc>
          <w:tcPr>
            <w:tcW w:w="107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484,000</w:t>
            </w:r>
          </w:p>
        </w:tc>
        <w:tc>
          <w:tcPr>
            <w:tcW w:w="81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156,000</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978" w:type="pct"/>
          </w:tcPr>
          <w:p w:rsidR="00747057" w:rsidRPr="00A576B8" w:rsidRDefault="00A669B2" w:rsidP="005A4219">
            <w:pPr>
              <w:jc w:val="both"/>
              <w:rPr>
                <w:rFonts w:ascii="Calibri" w:hAnsi="Calibri" w:cs="Times New Roman"/>
                <w:lang w:val="en-GB"/>
              </w:rPr>
            </w:pPr>
            <w:r w:rsidRPr="00A576B8">
              <w:rPr>
                <w:rFonts w:ascii="Calibri" w:hAnsi="Calibri" w:cs="Times New Roman"/>
                <w:lang w:val="en-GB"/>
              </w:rPr>
              <w:t>I</w:t>
            </w:r>
            <w:r w:rsidR="005A4219" w:rsidRPr="00A576B8">
              <w:rPr>
                <w:rFonts w:ascii="Calibri" w:hAnsi="Calibri" w:cs="Times New Roman"/>
                <w:lang w:val="en-GB"/>
              </w:rPr>
              <w:t xml:space="preserve">nsulin aspart added to </w:t>
            </w:r>
            <w:r w:rsidR="00747057" w:rsidRPr="00A576B8">
              <w:rPr>
                <w:rFonts w:ascii="Calibri" w:hAnsi="Calibri" w:cs="Times New Roman"/>
                <w:lang w:val="en-GB"/>
              </w:rPr>
              <w:t>insulin glargine</w:t>
            </w:r>
          </w:p>
        </w:tc>
        <w:tc>
          <w:tcPr>
            <w:tcW w:w="611"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841"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688"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1071"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811"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978" w:type="pct"/>
          </w:tcPr>
          <w:p w:rsidR="00747057" w:rsidRPr="00A576B8" w:rsidRDefault="00A669B2" w:rsidP="005A4219">
            <w:pPr>
              <w:jc w:val="both"/>
              <w:rPr>
                <w:rFonts w:ascii="Calibri" w:hAnsi="Calibri" w:cs="Times New Roman"/>
              </w:rPr>
            </w:pPr>
            <w:r w:rsidRPr="00A576B8">
              <w:rPr>
                <w:rFonts w:ascii="Calibri" w:hAnsi="Calibri" w:cs="Times New Roman"/>
              </w:rPr>
              <w:t>I</w:t>
            </w:r>
            <w:r w:rsidR="005A4219" w:rsidRPr="00A576B8">
              <w:rPr>
                <w:rFonts w:ascii="Calibri" w:hAnsi="Calibri" w:cs="Times New Roman"/>
              </w:rPr>
              <w:t xml:space="preserve">nsulin aspart added to </w:t>
            </w:r>
            <w:r w:rsidR="0067572E" w:rsidRPr="00A576B8">
              <w:rPr>
                <w:rFonts w:ascii="Calibri" w:hAnsi="Calibri" w:cs="Times New Roman"/>
              </w:rPr>
              <w:t>NPH</w:t>
            </w:r>
            <w:r w:rsidR="00747057" w:rsidRPr="00A576B8">
              <w:rPr>
                <w:rFonts w:ascii="Calibri" w:hAnsi="Calibri" w:cs="Times New Roman"/>
              </w:rPr>
              <w:t xml:space="preserve"> insulin </w:t>
            </w:r>
          </w:p>
        </w:tc>
        <w:tc>
          <w:tcPr>
            <w:tcW w:w="611"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841"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688"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1071"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811"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978" w:type="pct"/>
          </w:tcPr>
          <w:p w:rsidR="00747057" w:rsidRPr="00A576B8" w:rsidRDefault="00A669B2" w:rsidP="006325DA">
            <w:pPr>
              <w:jc w:val="both"/>
              <w:rPr>
                <w:rFonts w:ascii="Calibri" w:hAnsi="Calibri" w:cs="Times New Roman"/>
                <w:lang w:val="en-GB"/>
              </w:rPr>
            </w:pPr>
            <w:r w:rsidRPr="00A576B8">
              <w:rPr>
                <w:rFonts w:ascii="Calibri" w:hAnsi="Calibri" w:cs="Times New Roman"/>
                <w:lang w:val="en-GB"/>
              </w:rPr>
              <w:t>L</w:t>
            </w:r>
            <w:r w:rsidR="005A4219" w:rsidRPr="00A576B8">
              <w:rPr>
                <w:rFonts w:ascii="Calibri" w:hAnsi="Calibri" w:cs="Times New Roman"/>
                <w:lang w:val="en-GB"/>
              </w:rPr>
              <w:t xml:space="preserve">iraglutide 1.2 mg added to </w:t>
            </w:r>
            <w:r w:rsidR="00747057" w:rsidRPr="00A576B8">
              <w:rPr>
                <w:rFonts w:ascii="Calibri" w:hAnsi="Calibri" w:cs="Times New Roman"/>
                <w:lang w:val="en-GB"/>
              </w:rPr>
              <w:t>insulin glargine</w:t>
            </w:r>
            <w:r w:rsidR="006325DA" w:rsidRPr="00A576B8">
              <w:rPr>
                <w:rFonts w:ascii="Calibri" w:hAnsi="Calibri" w:cs="Times New Roman"/>
                <w:vertAlign w:val="superscript"/>
                <w:lang w:val="en-GB"/>
              </w:rPr>
              <w:t>†</w:t>
            </w:r>
          </w:p>
        </w:tc>
        <w:tc>
          <w:tcPr>
            <w:tcW w:w="61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84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688" w:type="pct"/>
          </w:tcPr>
          <w:p w:rsidR="00747057" w:rsidRPr="00A576B8" w:rsidRDefault="0074705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Dominant</w:t>
            </w:r>
          </w:p>
        </w:tc>
        <w:tc>
          <w:tcPr>
            <w:tcW w:w="1071" w:type="pct"/>
          </w:tcPr>
          <w:p w:rsidR="00747057" w:rsidRPr="00A576B8" w:rsidRDefault="005A4219" w:rsidP="005A4219">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liraglutide added to </w:t>
            </w:r>
            <w:r w:rsidR="00747057" w:rsidRPr="00A576B8">
              <w:rPr>
                <w:rFonts w:ascii="Calibri" w:hAnsi="Calibri" w:cs="Times New Roman"/>
              </w:rPr>
              <w:t>insulin glargine</w:t>
            </w:r>
            <w:r w:rsidRPr="00A576B8">
              <w:rPr>
                <w:rFonts w:ascii="Calibri" w:hAnsi="Calibri" w:cs="Times New Roman"/>
              </w:rPr>
              <w:t xml:space="preserve"> </w:t>
            </w:r>
            <w:r w:rsidR="00747057" w:rsidRPr="00A576B8">
              <w:rPr>
                <w:rFonts w:ascii="Calibri" w:hAnsi="Calibri" w:cs="Times New Roman"/>
              </w:rPr>
              <w:t>lower cost</w:t>
            </w:r>
          </w:p>
        </w:tc>
        <w:tc>
          <w:tcPr>
            <w:tcW w:w="81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30,000</w:t>
            </w:r>
          </w:p>
        </w:tc>
      </w:tr>
      <w:tr w:rsidR="00747057" w:rsidRPr="00A576B8" w:rsidTr="00A669B2">
        <w:tc>
          <w:tcPr>
            <w:cnfStyle w:val="001000000000" w:firstRow="0" w:lastRow="0" w:firstColumn="1" w:lastColumn="0" w:oddVBand="0" w:evenVBand="0" w:oddHBand="0" w:evenHBand="0" w:firstRowFirstColumn="0" w:firstRowLastColumn="0" w:lastRowFirstColumn="0" w:lastRowLastColumn="0"/>
            <w:tcW w:w="978" w:type="pct"/>
          </w:tcPr>
          <w:p w:rsidR="00747057" w:rsidRPr="00A576B8" w:rsidRDefault="00A669B2" w:rsidP="006102B9">
            <w:pPr>
              <w:jc w:val="both"/>
              <w:rPr>
                <w:rFonts w:ascii="Calibri" w:hAnsi="Calibri" w:cs="Times New Roman"/>
                <w:lang w:val="en-GB"/>
              </w:rPr>
            </w:pPr>
            <w:r w:rsidRPr="00A576B8">
              <w:rPr>
                <w:rFonts w:ascii="Calibri" w:hAnsi="Calibri" w:cs="Times New Roman"/>
                <w:lang w:val="en-GB"/>
              </w:rPr>
              <w:t>L</w:t>
            </w:r>
            <w:r w:rsidR="005A4219" w:rsidRPr="00A576B8">
              <w:rPr>
                <w:rFonts w:ascii="Calibri" w:hAnsi="Calibri" w:cs="Times New Roman"/>
                <w:lang w:val="en-GB"/>
              </w:rPr>
              <w:t xml:space="preserve">iraglutide 1.2 mg added to </w:t>
            </w:r>
            <w:r w:rsidR="0067572E" w:rsidRPr="00A576B8">
              <w:rPr>
                <w:rFonts w:ascii="Calibri" w:hAnsi="Calibri" w:cs="Times New Roman"/>
                <w:lang w:val="en-GB"/>
              </w:rPr>
              <w:t>NPH</w:t>
            </w:r>
            <w:r w:rsidR="00747057" w:rsidRPr="00A576B8">
              <w:rPr>
                <w:rFonts w:ascii="Calibri" w:hAnsi="Calibri" w:cs="Times New Roman"/>
                <w:lang w:val="en-GB"/>
              </w:rPr>
              <w:t xml:space="preserve"> insulin</w:t>
            </w:r>
            <w:r w:rsidR="006102B9" w:rsidRPr="00A576B8">
              <w:rPr>
                <w:rFonts w:ascii="Calibri" w:hAnsi="Calibri" w:cs="Times New Roman"/>
                <w:vertAlign w:val="superscript"/>
                <w:lang w:val="en-GB"/>
              </w:rPr>
              <w:t>†</w:t>
            </w:r>
          </w:p>
        </w:tc>
        <w:tc>
          <w:tcPr>
            <w:tcW w:w="61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60,000</w:t>
            </w:r>
          </w:p>
        </w:tc>
        <w:tc>
          <w:tcPr>
            <w:tcW w:w="84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57,000</w:t>
            </w:r>
          </w:p>
        </w:tc>
        <w:tc>
          <w:tcPr>
            <w:tcW w:w="688"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77,000</w:t>
            </w:r>
          </w:p>
        </w:tc>
        <w:tc>
          <w:tcPr>
            <w:tcW w:w="1071" w:type="pct"/>
          </w:tcPr>
          <w:p w:rsidR="00747057" w:rsidRPr="00A576B8" w:rsidRDefault="005A4219" w:rsidP="005A4219">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rPr>
            </w:pPr>
            <w:r w:rsidRPr="00A576B8">
              <w:rPr>
                <w:rFonts w:ascii="Calibri" w:hAnsi="Calibri" w:cs="Times New Roman"/>
              </w:rPr>
              <w:t xml:space="preserve">liraglutide added to </w:t>
            </w:r>
            <w:r w:rsidR="0067572E" w:rsidRPr="00A576B8">
              <w:rPr>
                <w:rFonts w:ascii="Calibri" w:hAnsi="Calibri" w:cs="Times New Roman"/>
              </w:rPr>
              <w:t>NPH</w:t>
            </w:r>
            <w:r w:rsidR="00747057" w:rsidRPr="00A576B8">
              <w:rPr>
                <w:rFonts w:ascii="Calibri" w:hAnsi="Calibri" w:cs="Times New Roman"/>
              </w:rPr>
              <w:t xml:space="preserve"> insulin</w:t>
            </w:r>
            <w:r w:rsidRPr="00A576B8">
              <w:rPr>
                <w:rFonts w:ascii="Calibri" w:hAnsi="Calibri" w:cs="Times New Roman"/>
              </w:rPr>
              <w:t xml:space="preserve"> </w:t>
            </w:r>
            <w:r w:rsidR="00747057" w:rsidRPr="00A576B8">
              <w:rPr>
                <w:rFonts w:ascii="Calibri" w:hAnsi="Calibri" w:cs="Times New Roman"/>
              </w:rPr>
              <w:t xml:space="preserve"> lower cost</w:t>
            </w:r>
          </w:p>
        </w:tc>
        <w:tc>
          <w:tcPr>
            <w:tcW w:w="811" w:type="pct"/>
          </w:tcPr>
          <w:p w:rsidR="00747057" w:rsidRPr="00A576B8" w:rsidRDefault="001C43E7" w:rsidP="003B5666">
            <w:pPr>
              <w:spacing w:after="0"/>
              <w:jc w:val="both"/>
              <w:cnfStyle w:val="000000000000" w:firstRow="0" w:lastRow="0" w:firstColumn="0" w:lastColumn="0" w:oddVBand="0" w:evenVBand="0" w:oddHBand="0" w:evenHBand="0" w:firstRowFirstColumn="0" w:firstRowLastColumn="0" w:lastRowFirstColumn="0" w:lastRowLastColumn="0"/>
              <w:rPr>
                <w:rFonts w:ascii="Calibri" w:hAnsi="Calibri" w:cs="Times New Roman"/>
                <w:lang w:val="sv-SE"/>
              </w:rPr>
            </w:pPr>
            <w:r w:rsidRPr="00A576B8">
              <w:rPr>
                <w:rFonts w:ascii="Calibri" w:hAnsi="Calibri" w:cs="Times New Roman"/>
                <w:lang w:val="sv-SE"/>
              </w:rPr>
              <w:t>149,000</w:t>
            </w:r>
          </w:p>
        </w:tc>
      </w:tr>
    </w:tbl>
    <w:p w:rsidR="00747057" w:rsidRPr="00A576B8" w:rsidRDefault="00987F33" w:rsidP="00DB38C4">
      <w:pPr>
        <w:spacing w:before="0" w:after="0" w:line="240" w:lineRule="auto"/>
        <w:rPr>
          <w:rFonts w:ascii="Calibri" w:eastAsia="Times New Roman" w:hAnsi="Calibri" w:cs="Times New Roman"/>
          <w:color w:val="4E5053"/>
          <w:sz w:val="18"/>
          <w:szCs w:val="20"/>
          <w:lang w:val="en-GB"/>
        </w:rPr>
      </w:pPr>
      <w:r w:rsidRPr="00A576B8">
        <w:rPr>
          <w:rFonts w:ascii="Calibri" w:eastAsia="Times New Roman" w:hAnsi="Calibri" w:cs="Times New Roman"/>
          <w:color w:val="4E5053"/>
          <w:sz w:val="18"/>
          <w:szCs w:val="20"/>
        </w:rPr>
        <w:t xml:space="preserve">EUR: euro; </w:t>
      </w:r>
      <w:r w:rsidRPr="00A576B8">
        <w:rPr>
          <w:rFonts w:ascii="Calibri" w:eastAsia="Times New Roman" w:hAnsi="Calibri" w:cs="Times New Roman"/>
          <w:color w:val="4E5053"/>
          <w:sz w:val="18"/>
          <w:szCs w:val="20"/>
          <w:lang w:val="en-GB"/>
        </w:rPr>
        <w:t xml:space="preserve">GBP: great British pound; </w:t>
      </w:r>
      <w:r w:rsidR="00ED4AFD" w:rsidRPr="00A576B8">
        <w:rPr>
          <w:rFonts w:ascii="Calibri" w:eastAsia="Times New Roman" w:hAnsi="Calibri" w:cs="Times New Roman"/>
          <w:color w:val="4E5053"/>
          <w:sz w:val="18"/>
          <w:szCs w:val="20"/>
          <w:lang w:val="en-GB"/>
        </w:rPr>
        <w:t>HbA1c: glycated h</w:t>
      </w:r>
      <w:r w:rsidR="00747057" w:rsidRPr="00A576B8">
        <w:rPr>
          <w:rFonts w:ascii="Calibri" w:eastAsia="Times New Roman" w:hAnsi="Calibri" w:cs="Times New Roman"/>
          <w:color w:val="4E5053"/>
          <w:sz w:val="18"/>
          <w:szCs w:val="20"/>
          <w:lang w:val="en-GB"/>
        </w:rPr>
        <w:t xml:space="preserve">aemoglobin; </w:t>
      </w:r>
      <w:r w:rsidR="00ED4AFD" w:rsidRPr="00A576B8">
        <w:rPr>
          <w:rFonts w:ascii="Calibri" w:eastAsia="Times New Roman" w:hAnsi="Calibri" w:cs="Times New Roman"/>
          <w:color w:val="4E5053"/>
          <w:sz w:val="18"/>
          <w:szCs w:val="20"/>
          <w:lang w:val="en-GB"/>
        </w:rPr>
        <w:t>ICER:</w:t>
      </w:r>
      <w:r w:rsidR="00A669B2" w:rsidRPr="00A576B8">
        <w:rPr>
          <w:rFonts w:ascii="Calibri" w:eastAsia="Times New Roman" w:hAnsi="Calibri" w:cs="Times New Roman"/>
          <w:color w:val="4E5053"/>
          <w:sz w:val="18"/>
          <w:szCs w:val="20"/>
          <w:lang w:val="en-GB"/>
        </w:rPr>
        <w:t xml:space="preserve"> incremental cost-effectiveness ratio; </w:t>
      </w:r>
      <w:r w:rsidR="00ED4AFD" w:rsidRPr="00A576B8">
        <w:rPr>
          <w:rFonts w:ascii="Calibri" w:eastAsia="Times New Roman" w:hAnsi="Calibri" w:cs="Times New Roman"/>
          <w:color w:val="4E5053"/>
          <w:sz w:val="18"/>
          <w:szCs w:val="20"/>
          <w:lang w:val="en-GB"/>
        </w:rPr>
        <w:t>mg:</w:t>
      </w:r>
      <w:r w:rsidR="00747057" w:rsidRPr="00A576B8">
        <w:rPr>
          <w:rFonts w:ascii="Calibri" w:eastAsia="Times New Roman" w:hAnsi="Calibri" w:cs="Times New Roman"/>
          <w:color w:val="4E5053"/>
          <w:sz w:val="18"/>
          <w:szCs w:val="20"/>
          <w:lang w:val="en-GB"/>
        </w:rPr>
        <w:t xml:space="preserve"> </w:t>
      </w:r>
      <w:r w:rsidR="00ED4AFD" w:rsidRPr="00A576B8">
        <w:rPr>
          <w:rFonts w:ascii="Calibri" w:eastAsia="Times New Roman" w:hAnsi="Calibri" w:cs="Times New Roman"/>
          <w:color w:val="4E5053"/>
          <w:sz w:val="18"/>
          <w:szCs w:val="20"/>
          <w:lang w:val="en-GB"/>
        </w:rPr>
        <w:t>milligrams, NPH:</w:t>
      </w:r>
      <w:r w:rsidR="00763E7C" w:rsidRPr="00A576B8">
        <w:rPr>
          <w:rFonts w:ascii="Calibri" w:eastAsia="Times New Roman" w:hAnsi="Calibri" w:cs="Times New Roman"/>
          <w:color w:val="4E5053"/>
          <w:sz w:val="18"/>
          <w:szCs w:val="20"/>
          <w:lang w:val="en-GB"/>
        </w:rPr>
        <w:t xml:space="preserve"> neutral protamine hagedorn</w:t>
      </w:r>
      <w:r w:rsidR="006325DA" w:rsidRPr="00A576B8">
        <w:rPr>
          <w:rFonts w:ascii="Calibri" w:eastAsia="Times New Roman" w:hAnsi="Calibri" w:cs="Times New Roman"/>
          <w:color w:val="4E5053"/>
          <w:sz w:val="18"/>
          <w:szCs w:val="20"/>
          <w:lang w:val="en-GB"/>
        </w:rPr>
        <w:t>; SEK</w:t>
      </w:r>
      <w:r w:rsidRPr="00A576B8">
        <w:rPr>
          <w:rFonts w:ascii="Calibri" w:eastAsia="Times New Roman" w:hAnsi="Calibri" w:cs="Times New Roman"/>
          <w:color w:val="4E5053"/>
          <w:sz w:val="18"/>
          <w:szCs w:val="20"/>
          <w:lang w:val="en-GB"/>
        </w:rPr>
        <w:t>:</w:t>
      </w:r>
      <w:r w:rsidR="006325DA" w:rsidRPr="00A576B8">
        <w:rPr>
          <w:rFonts w:ascii="Calibri" w:eastAsia="Times New Roman" w:hAnsi="Calibri" w:cs="Times New Roman"/>
          <w:color w:val="4E5053"/>
          <w:sz w:val="18"/>
          <w:szCs w:val="20"/>
          <w:lang w:val="en-GB"/>
        </w:rPr>
        <w:t xml:space="preserve"> </w:t>
      </w:r>
      <w:r w:rsidRPr="00A576B8">
        <w:rPr>
          <w:rFonts w:ascii="Calibri" w:eastAsia="Times New Roman" w:hAnsi="Calibri" w:cs="Times New Roman"/>
          <w:color w:val="4E5053"/>
          <w:sz w:val="18"/>
          <w:szCs w:val="20"/>
          <w:lang w:val="en-GB"/>
        </w:rPr>
        <w:t>Swedish krona</w:t>
      </w:r>
      <w:r w:rsidR="00763E7C" w:rsidRPr="00A576B8">
        <w:rPr>
          <w:rFonts w:ascii="Calibri" w:eastAsia="Times New Roman" w:hAnsi="Calibri" w:cs="Times New Roman"/>
          <w:color w:val="4E5053"/>
          <w:sz w:val="18"/>
          <w:szCs w:val="20"/>
          <w:lang w:val="en-GB"/>
        </w:rPr>
        <w:t>.</w:t>
      </w:r>
    </w:p>
    <w:p w:rsidR="006325DA" w:rsidRPr="00A576B8" w:rsidRDefault="006325DA" w:rsidP="00DB38C4">
      <w:pPr>
        <w:spacing w:before="0" w:after="0" w:line="240" w:lineRule="auto"/>
        <w:rPr>
          <w:rFonts w:ascii="Calibri" w:eastAsia="Times New Roman" w:hAnsi="Calibri" w:cs="Times New Roman"/>
          <w:color w:val="4E5053"/>
          <w:sz w:val="18"/>
          <w:szCs w:val="20"/>
          <w:lang w:val="en-GB"/>
        </w:rPr>
      </w:pPr>
      <w:r w:rsidRPr="00A576B8">
        <w:rPr>
          <w:rFonts w:ascii="Calibri" w:eastAsia="Times New Roman" w:hAnsi="Calibri" w:cs="Times New Roman"/>
          <w:color w:val="4E5053"/>
          <w:sz w:val="18"/>
          <w:szCs w:val="20"/>
          <w:lang w:val="en-GB"/>
        </w:rPr>
        <w:t xml:space="preserve">*At the time of manuscript submission, the SEK to GBP and SEK to EUR </w:t>
      </w:r>
      <w:r w:rsidR="00987F33" w:rsidRPr="00A576B8">
        <w:rPr>
          <w:rFonts w:ascii="Calibri" w:eastAsia="Times New Roman" w:hAnsi="Calibri" w:cs="Times New Roman"/>
          <w:color w:val="4E5053"/>
          <w:sz w:val="18"/>
          <w:szCs w:val="20"/>
          <w:lang w:val="en-GB"/>
        </w:rPr>
        <w:t xml:space="preserve">exchange rate </w:t>
      </w:r>
      <w:r w:rsidRPr="00A576B8">
        <w:rPr>
          <w:rFonts w:ascii="Calibri" w:eastAsia="Times New Roman" w:hAnsi="Calibri" w:cs="Times New Roman"/>
          <w:color w:val="4E5053"/>
          <w:sz w:val="18"/>
          <w:szCs w:val="20"/>
          <w:lang w:val="en-GB"/>
        </w:rPr>
        <w:t>w</w:t>
      </w:r>
      <w:r w:rsidR="00987F33" w:rsidRPr="00A576B8">
        <w:rPr>
          <w:rFonts w:ascii="Calibri" w:eastAsia="Times New Roman" w:hAnsi="Calibri" w:cs="Times New Roman"/>
          <w:color w:val="4E5053"/>
          <w:sz w:val="18"/>
          <w:szCs w:val="20"/>
          <w:lang w:val="en-GB"/>
        </w:rPr>
        <w:t>as</w:t>
      </w:r>
      <w:r w:rsidRPr="00A576B8">
        <w:rPr>
          <w:rFonts w:ascii="Calibri" w:eastAsia="Times New Roman" w:hAnsi="Calibri" w:cs="Times New Roman"/>
          <w:color w:val="4E5053"/>
          <w:sz w:val="18"/>
          <w:szCs w:val="20"/>
          <w:lang w:val="en-GB"/>
        </w:rPr>
        <w:t xml:space="preserve"> 0.086</w:t>
      </w:r>
      <w:r w:rsidR="00987F33" w:rsidRPr="00A576B8">
        <w:rPr>
          <w:rFonts w:ascii="Calibri" w:eastAsia="Times New Roman" w:hAnsi="Calibri" w:cs="Times New Roman"/>
          <w:color w:val="4E5053"/>
          <w:sz w:val="18"/>
          <w:szCs w:val="20"/>
          <w:lang w:val="en-GB"/>
        </w:rPr>
        <w:t>918</w:t>
      </w:r>
      <w:r w:rsidRPr="00A576B8">
        <w:rPr>
          <w:rFonts w:ascii="Calibri" w:eastAsia="Times New Roman" w:hAnsi="Calibri" w:cs="Times New Roman"/>
          <w:color w:val="4E5053"/>
          <w:sz w:val="18"/>
          <w:szCs w:val="20"/>
          <w:lang w:val="en-GB"/>
        </w:rPr>
        <w:t xml:space="preserve"> and 0.102</w:t>
      </w:r>
      <w:r w:rsidR="00987F33" w:rsidRPr="00A576B8">
        <w:rPr>
          <w:rFonts w:ascii="Calibri" w:eastAsia="Times New Roman" w:hAnsi="Calibri" w:cs="Times New Roman"/>
          <w:color w:val="4E5053"/>
          <w:sz w:val="18"/>
          <w:szCs w:val="20"/>
          <w:lang w:val="en-GB"/>
        </w:rPr>
        <w:t>420</w:t>
      </w:r>
      <w:r w:rsidRPr="00A576B8">
        <w:rPr>
          <w:rFonts w:ascii="Calibri" w:eastAsia="Times New Roman" w:hAnsi="Calibri" w:cs="Times New Roman"/>
          <w:color w:val="4E5053"/>
          <w:sz w:val="18"/>
          <w:szCs w:val="20"/>
          <w:lang w:val="en-GB"/>
        </w:rPr>
        <w:t>, respectively. For instance, 1,000 SEK is equivalen</w:t>
      </w:r>
      <w:r w:rsidR="00987F33" w:rsidRPr="00A576B8">
        <w:rPr>
          <w:rFonts w:ascii="Calibri" w:eastAsia="Times New Roman" w:hAnsi="Calibri" w:cs="Times New Roman"/>
          <w:color w:val="4E5053"/>
          <w:sz w:val="18"/>
          <w:szCs w:val="20"/>
          <w:lang w:val="en-GB"/>
        </w:rPr>
        <w:t>t to 86.91 GBP or 1,024.20 EUR</w:t>
      </w:r>
      <w:r w:rsidRPr="00A576B8">
        <w:rPr>
          <w:rFonts w:ascii="Calibri" w:eastAsia="Times New Roman" w:hAnsi="Calibri" w:cs="Times New Roman"/>
          <w:color w:val="4E5053"/>
          <w:sz w:val="18"/>
          <w:szCs w:val="20"/>
          <w:lang w:val="en-GB"/>
        </w:rPr>
        <w:t>.</w:t>
      </w:r>
      <w:r w:rsidR="00270983" w:rsidRPr="00A576B8">
        <w:rPr>
          <w:rFonts w:ascii="Calibri" w:eastAsia="Times New Roman" w:hAnsi="Calibri" w:cs="Times New Roman"/>
          <w:color w:val="4E5053"/>
          <w:sz w:val="18"/>
          <w:szCs w:val="20"/>
          <w:lang w:val="en-GB"/>
        </w:rPr>
        <w:fldChar w:fldCharType="begin"/>
      </w:r>
      <w:r w:rsidR="00270983" w:rsidRPr="00A576B8">
        <w:rPr>
          <w:rFonts w:ascii="Calibri" w:eastAsia="Times New Roman" w:hAnsi="Calibri" w:cs="Times New Roman"/>
          <w:color w:val="4E5053"/>
          <w:sz w:val="18"/>
          <w:szCs w:val="20"/>
          <w:lang w:val="en-GB"/>
        </w:rPr>
        <w:instrText xml:space="preserve"> ADDIN EN.CITE &lt;EndNote&gt;&lt;Cite&gt;&lt;Author&gt;X-Rates&lt;/Author&gt;&lt;Year&gt;2016&lt;/Year&gt;&lt;RecNum&gt;215&lt;/RecNum&gt;&lt;DisplayText&gt;(16)&lt;/DisplayText&gt;&lt;record&gt;&lt;rec-number&gt;215&lt;/rec-number&gt;&lt;foreign-keys&gt;&lt;key app="EN" db-id="5adtveztgpe2vpe9dd8xfexhrx2sefzpa0ze"&gt;215&lt;/key&gt;&lt;/foreign-keys&gt;&lt;ref-type name="Web Page"&gt;12&lt;/ref-type&gt;&lt;contributors&gt;&lt;authors&gt;&lt;author&gt;X-Rates&lt;/author&gt;&lt;/authors&gt;&lt;/contributors&gt;&lt;titles&gt;&lt;title&gt;Swedish krona historic exchange rates look-up&lt;/title&gt;&lt;/titles&gt;&lt;volume&gt;2016&lt;/volume&gt;&lt;number&gt;November&lt;/number&gt;&lt;dates&gt;&lt;year&gt;2016&lt;/year&gt;&lt;/dates&gt;&lt;urls&gt;&lt;related-urls&gt;&lt;url&gt;http://www.x-rates.com/historical/?from=SEK&amp;amp;amount=1&amp;amp;date=2016-11-24&lt;/url&gt;&lt;/related-urls&gt;&lt;/urls&gt;&lt;/record&gt;&lt;/Cite&gt;&lt;/EndNote&gt;</w:instrText>
      </w:r>
      <w:r w:rsidR="00270983" w:rsidRPr="00A576B8">
        <w:rPr>
          <w:rFonts w:ascii="Calibri" w:eastAsia="Times New Roman" w:hAnsi="Calibri" w:cs="Times New Roman"/>
          <w:color w:val="4E5053"/>
          <w:sz w:val="18"/>
          <w:szCs w:val="20"/>
          <w:lang w:val="en-GB"/>
        </w:rPr>
        <w:fldChar w:fldCharType="separate"/>
      </w:r>
      <w:r w:rsidR="00270983" w:rsidRPr="00A576B8">
        <w:rPr>
          <w:rFonts w:ascii="Calibri" w:eastAsia="Times New Roman" w:hAnsi="Calibri" w:cs="Times New Roman"/>
          <w:noProof/>
          <w:color w:val="4E5053"/>
          <w:sz w:val="18"/>
          <w:szCs w:val="20"/>
          <w:lang w:val="en-GB"/>
        </w:rPr>
        <w:t>(16)</w:t>
      </w:r>
      <w:r w:rsidR="00270983" w:rsidRPr="00A576B8">
        <w:rPr>
          <w:rFonts w:ascii="Calibri" w:eastAsia="Times New Roman" w:hAnsi="Calibri" w:cs="Times New Roman"/>
          <w:color w:val="4E5053"/>
          <w:sz w:val="18"/>
          <w:szCs w:val="20"/>
          <w:lang w:val="en-GB"/>
        </w:rPr>
        <w:fldChar w:fldCharType="end"/>
      </w:r>
    </w:p>
    <w:p w:rsidR="0069610E" w:rsidRPr="00A576B8" w:rsidRDefault="006325DA" w:rsidP="009C5C6D">
      <w:pPr>
        <w:spacing w:before="0" w:after="0" w:line="240" w:lineRule="auto"/>
        <w:rPr>
          <w:rFonts w:ascii="Calibri" w:eastAsia="Times New Roman" w:hAnsi="Calibri" w:cs="Times New Roman"/>
          <w:color w:val="4E5053"/>
          <w:sz w:val="18"/>
        </w:rPr>
      </w:pPr>
      <w:r w:rsidRPr="00A576B8">
        <w:rPr>
          <w:rFonts w:ascii="Calibri" w:eastAsia="Times New Roman" w:hAnsi="Calibri" w:cs="Times New Roman"/>
          <w:color w:val="4E5053"/>
          <w:sz w:val="18"/>
          <w:vertAlign w:val="superscript"/>
        </w:rPr>
        <w:t>†</w:t>
      </w:r>
      <w:r w:rsidR="009C5C6D" w:rsidRPr="00A576B8">
        <w:rPr>
          <w:rFonts w:ascii="Calibri" w:eastAsia="Times New Roman" w:hAnsi="Calibri" w:cs="Times New Roman"/>
          <w:color w:val="4E5053"/>
          <w:sz w:val="18"/>
        </w:rPr>
        <w:t xml:space="preserve">Given that the clinical trials included in the indirect treatment compared IDegLira to liraglutide 1.8 mg, data for this dose was applied to liraglutide 1.2 mg (more commonly used dose in Sweden). Thus, in the base case analysis we conservatively assumed the two doses have equivalent efficacy, but only used the price of the lower dose in the base case analysis. However, in the sensitivity analyses liraglutide 1.2 mg </w:t>
      </w:r>
      <w:r w:rsidR="00ED4AFD" w:rsidRPr="00A576B8">
        <w:rPr>
          <w:rFonts w:ascii="Calibri" w:eastAsia="Times New Roman" w:hAnsi="Calibri" w:cs="Times New Roman"/>
          <w:color w:val="4E5053"/>
          <w:sz w:val="18"/>
        </w:rPr>
        <w:t xml:space="preserve">was assumed to result in </w:t>
      </w:r>
      <w:proofErr w:type="gramStart"/>
      <w:r w:rsidR="00ED4AFD" w:rsidRPr="00A576B8">
        <w:rPr>
          <w:rFonts w:ascii="Calibri" w:eastAsia="Times New Roman" w:hAnsi="Calibri" w:cs="Times New Roman"/>
          <w:color w:val="4E5053"/>
          <w:sz w:val="18"/>
        </w:rPr>
        <w:t>a</w:t>
      </w:r>
      <w:proofErr w:type="gramEnd"/>
      <w:r w:rsidR="00ED4AFD" w:rsidRPr="00A576B8">
        <w:rPr>
          <w:rFonts w:ascii="Calibri" w:eastAsia="Times New Roman" w:hAnsi="Calibri" w:cs="Times New Roman"/>
          <w:color w:val="4E5053"/>
          <w:sz w:val="18"/>
        </w:rPr>
        <w:t xml:space="preserve"> HBA1c</w:t>
      </w:r>
      <w:r w:rsidR="009C5C6D" w:rsidRPr="00A576B8">
        <w:rPr>
          <w:rFonts w:ascii="Calibri" w:eastAsia="Times New Roman" w:hAnsi="Calibri" w:cs="Times New Roman"/>
          <w:color w:val="4E5053"/>
          <w:sz w:val="18"/>
        </w:rPr>
        <w:t xml:space="preserve"> reduction of 75% and a weight loss of 84% of that observed with liraglutide 1.8 mg.</w:t>
      </w:r>
    </w:p>
    <w:p w:rsidR="002B45C1" w:rsidRPr="00A576B8" w:rsidRDefault="002B45C1">
      <w:pPr>
        <w:spacing w:before="0" w:after="200"/>
        <w:rPr>
          <w:rFonts w:eastAsia="Times New Roman"/>
        </w:rPr>
      </w:pPr>
      <w:r w:rsidRPr="00A576B8">
        <w:rPr>
          <w:rFonts w:eastAsia="Times New Roman"/>
        </w:rPr>
        <w:br w:type="page"/>
      </w:r>
    </w:p>
    <w:p w:rsidR="00A636AA" w:rsidRPr="00A576B8" w:rsidRDefault="00A636AA" w:rsidP="00A636AA">
      <w:pPr>
        <w:pStyle w:val="Caption"/>
        <w:jc w:val="left"/>
        <w:rPr>
          <w:b w:val="0"/>
        </w:rPr>
      </w:pPr>
      <w:proofErr w:type="gramStart"/>
      <w:r w:rsidRPr="00A576B8">
        <w:lastRenderedPageBreak/>
        <w:t>Fig.</w:t>
      </w:r>
      <w:proofErr w:type="gramEnd"/>
      <w:r w:rsidRPr="00A576B8">
        <w:t xml:space="preserve"> S1 Schematic overview of model</w:t>
      </w:r>
    </w:p>
    <w:p w:rsidR="00D34C53" w:rsidRPr="00A576B8" w:rsidRDefault="00A636AA">
      <w:pPr>
        <w:spacing w:before="0" w:after="200"/>
      </w:pPr>
      <w:r w:rsidRPr="00A576B8">
        <w:rPr>
          <w:noProof/>
        </w:rPr>
        <w:drawing>
          <wp:inline distT="0" distB="0" distL="0" distR="0" wp14:anchorId="2EAAB047" wp14:editId="653959D9">
            <wp:extent cx="3818685" cy="3808675"/>
            <wp:effectExtent l="19050" t="19050" r="10795" b="209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2165" cy="3832094"/>
                    </a:xfrm>
                    <a:prstGeom prst="rect">
                      <a:avLst/>
                    </a:prstGeom>
                    <a:noFill/>
                    <a:ln>
                      <a:solidFill>
                        <a:schemeClr val="accent3"/>
                      </a:solidFill>
                    </a:ln>
                  </pic:spPr>
                </pic:pic>
              </a:graphicData>
            </a:graphic>
          </wp:inline>
        </w:drawing>
      </w:r>
    </w:p>
    <w:p w:rsidR="00A636AA" w:rsidRPr="00A576B8" w:rsidRDefault="00A636AA">
      <w:pPr>
        <w:spacing w:before="0" w:after="200"/>
        <w:rPr>
          <w:b/>
          <w:bCs/>
        </w:rPr>
      </w:pPr>
      <w:r w:rsidRPr="00A576B8">
        <w:br w:type="page"/>
      </w:r>
    </w:p>
    <w:p w:rsidR="007D2986" w:rsidRPr="00A576B8" w:rsidRDefault="00CF76C3" w:rsidP="009A14B5">
      <w:pPr>
        <w:pStyle w:val="Caption"/>
        <w:jc w:val="left"/>
        <w:rPr>
          <w:b w:val="0"/>
        </w:rPr>
      </w:pPr>
      <w:proofErr w:type="gramStart"/>
      <w:r w:rsidRPr="00A576B8">
        <w:lastRenderedPageBreak/>
        <w:t>Fig.</w:t>
      </w:r>
      <w:proofErr w:type="gramEnd"/>
      <w:r w:rsidR="0069610E" w:rsidRPr="00A576B8">
        <w:t xml:space="preserve"> S</w:t>
      </w:r>
      <w:r w:rsidR="00A636AA" w:rsidRPr="00A576B8">
        <w:t>2</w:t>
      </w:r>
      <w:r w:rsidR="0069610E" w:rsidRPr="00A576B8">
        <w:t xml:space="preserve"> Cost-effectiveness acceptability curve of IdegLira versus NPH insulin</w:t>
      </w:r>
      <w:r w:rsidR="002B45C1" w:rsidRPr="00A576B8">
        <w:t xml:space="preserve"> (</w:t>
      </w:r>
      <w:r w:rsidR="0090716D" w:rsidRPr="00A576B8">
        <w:t>3</w:t>
      </w:r>
      <w:r w:rsidR="002B45C1" w:rsidRPr="00A576B8">
        <w:t>% discount)</w:t>
      </w:r>
    </w:p>
    <w:p w:rsidR="007D2986" w:rsidRPr="00A576B8" w:rsidRDefault="007D2986" w:rsidP="0069610E">
      <w:pPr>
        <w:pStyle w:val="Caption"/>
      </w:pPr>
      <w:r w:rsidRPr="00A576B8">
        <w:rPr>
          <w:noProof/>
        </w:rPr>
        <w:drawing>
          <wp:inline distT="0" distB="0" distL="0" distR="0" wp14:anchorId="6438D3AA" wp14:editId="731D07EE">
            <wp:extent cx="5741670" cy="3636645"/>
            <wp:effectExtent l="19050" t="19050" r="11430" b="209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1670" cy="3636645"/>
                    </a:xfrm>
                    <a:prstGeom prst="rect">
                      <a:avLst/>
                    </a:prstGeom>
                    <a:noFill/>
                    <a:ln>
                      <a:solidFill>
                        <a:schemeClr val="accent3"/>
                      </a:solidFill>
                    </a:ln>
                  </pic:spPr>
                </pic:pic>
              </a:graphicData>
            </a:graphic>
          </wp:inline>
        </w:drawing>
      </w:r>
    </w:p>
    <w:p w:rsidR="002B45C1" w:rsidRPr="00A576B8" w:rsidRDefault="00CF76C3" w:rsidP="00CF76C3">
      <w:pPr>
        <w:spacing w:before="0" w:after="0"/>
        <w:rPr>
          <w:sz w:val="18"/>
        </w:rPr>
      </w:pPr>
      <w:r w:rsidRPr="00A576B8">
        <w:rPr>
          <w:sz w:val="18"/>
        </w:rPr>
        <w:t xml:space="preserve">KR: Swedish Krona; NPH: neutral protamine hagedorn. </w:t>
      </w:r>
      <w:r w:rsidR="002B45C1" w:rsidRPr="00A576B8">
        <w:rPr>
          <w:sz w:val="18"/>
        </w:rPr>
        <w:br w:type="page"/>
      </w:r>
    </w:p>
    <w:p w:rsidR="007D2986" w:rsidRPr="00A576B8" w:rsidRDefault="00CF76C3" w:rsidP="009A14B5">
      <w:pPr>
        <w:pStyle w:val="Caption"/>
        <w:jc w:val="left"/>
        <w:rPr>
          <w:noProof/>
        </w:rPr>
      </w:pPr>
      <w:proofErr w:type="gramStart"/>
      <w:r w:rsidRPr="00A576B8">
        <w:lastRenderedPageBreak/>
        <w:t>Fig.</w:t>
      </w:r>
      <w:proofErr w:type="gramEnd"/>
      <w:r w:rsidR="002B45C1" w:rsidRPr="00A576B8">
        <w:t xml:space="preserve"> S</w:t>
      </w:r>
      <w:r w:rsidR="00A636AA" w:rsidRPr="00A576B8">
        <w:t>3</w:t>
      </w:r>
      <w:r w:rsidR="002B45C1" w:rsidRPr="00A576B8">
        <w:t xml:space="preserve"> Cost-effectiveness acceptability curve of IdegLira versus </w:t>
      </w:r>
      <w:r w:rsidR="00E525AD" w:rsidRPr="00A576B8">
        <w:t>insulin glargine</w:t>
      </w:r>
      <w:r w:rsidR="002B45C1" w:rsidRPr="00A576B8">
        <w:t xml:space="preserve"> (</w:t>
      </w:r>
      <w:r w:rsidR="0090716D" w:rsidRPr="00A576B8">
        <w:t>3</w:t>
      </w:r>
      <w:r w:rsidR="002B45C1" w:rsidRPr="00A576B8">
        <w:t>% discount)</w:t>
      </w:r>
    </w:p>
    <w:p w:rsidR="007D2986" w:rsidRPr="00A576B8" w:rsidRDefault="00CF58B0" w:rsidP="007D2986">
      <w:pPr>
        <w:pStyle w:val="Caption"/>
        <w:rPr>
          <w:noProof/>
        </w:rPr>
      </w:pPr>
      <w:r w:rsidRPr="00A576B8">
        <w:rPr>
          <w:noProof/>
        </w:rPr>
        <w:drawing>
          <wp:inline distT="0" distB="0" distL="0" distR="0" wp14:anchorId="3BC63A3C" wp14:editId="3EB4E48B">
            <wp:extent cx="5741670" cy="3636645"/>
            <wp:effectExtent l="19050" t="19050" r="11430" b="209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1670" cy="3636645"/>
                    </a:xfrm>
                    <a:prstGeom prst="rect">
                      <a:avLst/>
                    </a:prstGeom>
                    <a:noFill/>
                    <a:ln>
                      <a:solidFill>
                        <a:schemeClr val="accent3"/>
                      </a:solidFill>
                    </a:ln>
                  </pic:spPr>
                </pic:pic>
              </a:graphicData>
            </a:graphic>
          </wp:inline>
        </w:drawing>
      </w:r>
    </w:p>
    <w:p w:rsidR="00B25700" w:rsidRPr="00A576B8" w:rsidRDefault="00CF76C3" w:rsidP="00CF76C3">
      <w:pPr>
        <w:spacing w:before="0" w:after="0"/>
        <w:rPr>
          <w:sz w:val="18"/>
        </w:rPr>
      </w:pPr>
      <w:r w:rsidRPr="00A576B8">
        <w:rPr>
          <w:sz w:val="18"/>
        </w:rPr>
        <w:t>KR: Swedish Krona.</w:t>
      </w:r>
      <w:r w:rsidR="00B25700" w:rsidRPr="00A576B8">
        <w:rPr>
          <w:sz w:val="18"/>
        </w:rPr>
        <w:br w:type="page"/>
      </w:r>
    </w:p>
    <w:p w:rsidR="002B45C1" w:rsidRPr="00A576B8" w:rsidRDefault="002B45C1" w:rsidP="009A14B5">
      <w:pPr>
        <w:pStyle w:val="Caption"/>
        <w:jc w:val="left"/>
      </w:pPr>
      <w:proofErr w:type="gramStart"/>
      <w:r w:rsidRPr="00A576B8">
        <w:lastRenderedPageBreak/>
        <w:t>Fig</w:t>
      </w:r>
      <w:r w:rsidR="00CF76C3" w:rsidRPr="00A576B8">
        <w:t>.</w:t>
      </w:r>
      <w:proofErr w:type="gramEnd"/>
      <w:r w:rsidRPr="00A576B8">
        <w:t xml:space="preserve"> S</w:t>
      </w:r>
      <w:r w:rsidR="00A636AA" w:rsidRPr="00A576B8">
        <w:t>4</w:t>
      </w:r>
      <w:r w:rsidR="00E525AD" w:rsidRPr="00A576B8">
        <w:t xml:space="preserve"> Cost-effectiveness acceptability curve of IdegLira versus insulin aspart added to NPH insulin (</w:t>
      </w:r>
      <w:r w:rsidR="0090716D" w:rsidRPr="00A576B8">
        <w:t>3</w:t>
      </w:r>
      <w:r w:rsidR="00E525AD" w:rsidRPr="00A576B8">
        <w:t>% discount)</w:t>
      </w:r>
    </w:p>
    <w:p w:rsidR="00E525AD" w:rsidRPr="00A576B8" w:rsidRDefault="00CF58B0" w:rsidP="00CF76C3">
      <w:pPr>
        <w:spacing w:before="0" w:after="0"/>
      </w:pPr>
      <w:r w:rsidRPr="00A576B8">
        <w:rPr>
          <w:noProof/>
        </w:rPr>
        <w:drawing>
          <wp:inline distT="0" distB="0" distL="0" distR="0" wp14:anchorId="3CB06CAE" wp14:editId="5746344A">
            <wp:extent cx="5741670" cy="3636645"/>
            <wp:effectExtent l="19050" t="19050" r="11430" b="209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1670" cy="3636645"/>
                    </a:xfrm>
                    <a:prstGeom prst="rect">
                      <a:avLst/>
                    </a:prstGeom>
                    <a:noFill/>
                    <a:ln>
                      <a:solidFill>
                        <a:schemeClr val="accent3"/>
                      </a:solidFill>
                    </a:ln>
                  </pic:spPr>
                </pic:pic>
              </a:graphicData>
            </a:graphic>
          </wp:inline>
        </w:drawing>
      </w:r>
      <w:r w:rsidR="00CF76C3" w:rsidRPr="00A576B8">
        <w:rPr>
          <w:sz w:val="18"/>
        </w:rPr>
        <w:t>KR: Swedish Krona; NPH: neutral protamine hagedorn.</w:t>
      </w:r>
      <w:r w:rsidR="00E525AD" w:rsidRPr="00A576B8">
        <w:br w:type="page"/>
      </w:r>
    </w:p>
    <w:p w:rsidR="00E525AD" w:rsidRPr="00A576B8" w:rsidRDefault="00E525AD" w:rsidP="009A14B5">
      <w:pPr>
        <w:pStyle w:val="Caption"/>
        <w:jc w:val="left"/>
      </w:pPr>
      <w:proofErr w:type="gramStart"/>
      <w:r w:rsidRPr="00A576B8">
        <w:lastRenderedPageBreak/>
        <w:t>Fig</w:t>
      </w:r>
      <w:r w:rsidR="00CF76C3" w:rsidRPr="00A576B8">
        <w:t>.</w:t>
      </w:r>
      <w:proofErr w:type="gramEnd"/>
      <w:r w:rsidRPr="00A576B8">
        <w:t xml:space="preserve"> S</w:t>
      </w:r>
      <w:r w:rsidR="00A636AA" w:rsidRPr="00A576B8">
        <w:t>5</w:t>
      </w:r>
      <w:r w:rsidRPr="00A576B8">
        <w:t xml:space="preserve"> Cost-effectiveness acceptability curve of IdegLira versus insulin aspart added to insulin glargine (</w:t>
      </w:r>
      <w:r w:rsidR="0090716D" w:rsidRPr="00A576B8">
        <w:t>3</w:t>
      </w:r>
      <w:r w:rsidRPr="00A576B8">
        <w:t>% discount)</w:t>
      </w:r>
    </w:p>
    <w:p w:rsidR="00D82C47" w:rsidRPr="00A576B8" w:rsidRDefault="007D2986" w:rsidP="007D2986">
      <w:pPr>
        <w:spacing w:before="0" w:after="0"/>
        <w:rPr>
          <w:sz w:val="18"/>
        </w:rPr>
      </w:pPr>
      <w:r w:rsidRPr="00A576B8">
        <w:rPr>
          <w:noProof/>
        </w:rPr>
        <w:drawing>
          <wp:inline distT="0" distB="0" distL="0" distR="0" wp14:anchorId="3B50D5FF" wp14:editId="272E6CAF">
            <wp:extent cx="5741670" cy="3540760"/>
            <wp:effectExtent l="19050" t="19050" r="11430" b="215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1670" cy="3540760"/>
                    </a:xfrm>
                    <a:prstGeom prst="rect">
                      <a:avLst/>
                    </a:prstGeom>
                    <a:noFill/>
                    <a:ln>
                      <a:solidFill>
                        <a:schemeClr val="accent3"/>
                      </a:solidFill>
                    </a:ln>
                  </pic:spPr>
                </pic:pic>
              </a:graphicData>
            </a:graphic>
          </wp:inline>
        </w:drawing>
      </w:r>
    </w:p>
    <w:p w:rsidR="00D82C47" w:rsidRPr="00A576B8" w:rsidRDefault="00CF76C3" w:rsidP="00CF76C3">
      <w:pPr>
        <w:spacing w:before="0" w:after="0"/>
        <w:rPr>
          <w:sz w:val="18"/>
        </w:rPr>
      </w:pPr>
      <w:r w:rsidRPr="00A576B8">
        <w:rPr>
          <w:sz w:val="18"/>
        </w:rPr>
        <w:t>KR: Swedish Krona.</w:t>
      </w:r>
      <w:r w:rsidR="00D82C47" w:rsidRPr="00A576B8">
        <w:rPr>
          <w:sz w:val="18"/>
        </w:rPr>
        <w:br w:type="page"/>
      </w:r>
    </w:p>
    <w:p w:rsidR="00D82C47" w:rsidRPr="00A576B8" w:rsidRDefault="00CF76C3" w:rsidP="009A14B5">
      <w:pPr>
        <w:pStyle w:val="Caption"/>
        <w:jc w:val="left"/>
      </w:pPr>
      <w:proofErr w:type="gramStart"/>
      <w:r w:rsidRPr="00A576B8">
        <w:lastRenderedPageBreak/>
        <w:t>Fig.</w:t>
      </w:r>
      <w:proofErr w:type="gramEnd"/>
      <w:r w:rsidR="00D82C47" w:rsidRPr="00A576B8">
        <w:t xml:space="preserve"> S</w:t>
      </w:r>
      <w:r w:rsidR="00A636AA" w:rsidRPr="00A576B8">
        <w:t>6</w:t>
      </w:r>
      <w:r w:rsidR="00D82C47" w:rsidRPr="00A576B8">
        <w:t xml:space="preserve"> Cost-effectiveness acceptability curve of IdegLira versus liraglutide added to NPH insulin (</w:t>
      </w:r>
      <w:r w:rsidR="0090716D" w:rsidRPr="00A576B8">
        <w:t>3</w:t>
      </w:r>
      <w:r w:rsidR="00D82C47" w:rsidRPr="00A576B8">
        <w:t>% discount)</w:t>
      </w:r>
    </w:p>
    <w:p w:rsidR="00D82C47" w:rsidRPr="00A576B8" w:rsidRDefault="00273418" w:rsidP="00273418">
      <w:pPr>
        <w:spacing w:before="0" w:after="0"/>
      </w:pPr>
      <w:r w:rsidRPr="00A576B8">
        <w:rPr>
          <w:noProof/>
        </w:rPr>
        <w:drawing>
          <wp:inline distT="0" distB="0" distL="0" distR="0" wp14:anchorId="3B0C2F45" wp14:editId="5D7E3EA9">
            <wp:extent cx="5742000" cy="3630220"/>
            <wp:effectExtent l="19050" t="19050" r="1143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2000" cy="3630220"/>
                    </a:xfrm>
                    <a:prstGeom prst="rect">
                      <a:avLst/>
                    </a:prstGeom>
                    <a:noFill/>
                    <a:ln>
                      <a:solidFill>
                        <a:schemeClr val="accent3"/>
                      </a:solidFill>
                    </a:ln>
                  </pic:spPr>
                </pic:pic>
              </a:graphicData>
            </a:graphic>
          </wp:inline>
        </w:drawing>
      </w:r>
      <w:r w:rsidR="00CF76C3" w:rsidRPr="00A576B8">
        <w:rPr>
          <w:sz w:val="18"/>
        </w:rPr>
        <w:t>KR: Swedish Krona; NPH: neutral protamine hagedorn.</w:t>
      </w:r>
      <w:r w:rsidR="00D82C47" w:rsidRPr="00A576B8">
        <w:rPr>
          <w:sz w:val="18"/>
        </w:rPr>
        <w:br w:type="page"/>
      </w:r>
    </w:p>
    <w:p w:rsidR="00D82C47" w:rsidRPr="00A576B8" w:rsidRDefault="00CF76C3" w:rsidP="009A14B5">
      <w:pPr>
        <w:pStyle w:val="Caption"/>
        <w:jc w:val="left"/>
      </w:pPr>
      <w:proofErr w:type="gramStart"/>
      <w:r w:rsidRPr="00A576B8">
        <w:lastRenderedPageBreak/>
        <w:t>Fig.</w:t>
      </w:r>
      <w:proofErr w:type="gramEnd"/>
      <w:r w:rsidR="00D82C47" w:rsidRPr="00A576B8">
        <w:t xml:space="preserve"> S</w:t>
      </w:r>
      <w:r w:rsidR="00A636AA" w:rsidRPr="00A576B8">
        <w:t>7</w:t>
      </w:r>
      <w:r w:rsidR="00D82C47" w:rsidRPr="00A576B8">
        <w:t xml:space="preserve"> Cost-effectiveness acceptability curve of IdegLira versus liraglutide added to insulin glargine (</w:t>
      </w:r>
      <w:r w:rsidR="0090716D" w:rsidRPr="00A576B8">
        <w:t>3</w:t>
      </w:r>
      <w:r w:rsidR="00D82C47" w:rsidRPr="00A576B8">
        <w:t>% discount)</w:t>
      </w:r>
    </w:p>
    <w:p w:rsidR="00747057" w:rsidRPr="00A576B8" w:rsidRDefault="00B25700" w:rsidP="00B25700">
      <w:pPr>
        <w:spacing w:before="0" w:after="0"/>
        <w:rPr>
          <w:sz w:val="18"/>
        </w:rPr>
      </w:pPr>
      <w:r w:rsidRPr="00A576B8">
        <w:rPr>
          <w:noProof/>
        </w:rPr>
        <w:drawing>
          <wp:inline distT="0" distB="0" distL="0" distR="0" wp14:anchorId="4F36B601" wp14:editId="00F131B0">
            <wp:extent cx="5741670" cy="3636645"/>
            <wp:effectExtent l="19050" t="19050" r="11430" b="209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1670" cy="3636645"/>
                    </a:xfrm>
                    <a:prstGeom prst="rect">
                      <a:avLst/>
                    </a:prstGeom>
                    <a:noFill/>
                    <a:ln>
                      <a:solidFill>
                        <a:schemeClr val="accent3"/>
                      </a:solidFill>
                    </a:ln>
                  </pic:spPr>
                </pic:pic>
              </a:graphicData>
            </a:graphic>
          </wp:inline>
        </w:drawing>
      </w:r>
      <w:r w:rsidR="00BF747F" w:rsidRPr="00A576B8">
        <w:rPr>
          <w:sz w:val="18"/>
        </w:rPr>
        <w:t xml:space="preserve"> </w:t>
      </w:r>
      <w:r w:rsidR="00CF76C3" w:rsidRPr="00A576B8">
        <w:rPr>
          <w:sz w:val="18"/>
        </w:rPr>
        <w:t>KR: Swedish Krona.</w:t>
      </w:r>
      <w:r w:rsidR="00747057" w:rsidRPr="00A576B8">
        <w:rPr>
          <w:sz w:val="18"/>
        </w:rPr>
        <w:br w:type="page"/>
      </w:r>
    </w:p>
    <w:p w:rsidR="00747057" w:rsidRPr="00A576B8" w:rsidRDefault="00747057" w:rsidP="00747057">
      <w:pPr>
        <w:pStyle w:val="Heading2"/>
        <w:numPr>
          <w:ilvl w:val="0"/>
          <w:numId w:val="0"/>
        </w:numPr>
        <w:ind w:left="576" w:hanging="576"/>
      </w:pPr>
      <w:r w:rsidRPr="00A576B8">
        <w:lastRenderedPageBreak/>
        <w:t>References</w:t>
      </w:r>
    </w:p>
    <w:p w:rsidR="00270983" w:rsidRPr="00A576B8" w:rsidRDefault="00270983" w:rsidP="00270983">
      <w:pPr>
        <w:pStyle w:val="EndNoteBibliography"/>
        <w:spacing w:after="0"/>
      </w:pPr>
      <w:r w:rsidRPr="00A576B8">
        <w:fldChar w:fldCharType="begin"/>
      </w:r>
      <w:r w:rsidRPr="00A576B8">
        <w:instrText xml:space="preserve"> ADDIN EN.REFLIST </w:instrText>
      </w:r>
      <w:r w:rsidRPr="00A576B8">
        <w:fldChar w:fldCharType="separate"/>
      </w:r>
      <w:r w:rsidRPr="00A576B8">
        <w:t>1.</w:t>
      </w:r>
      <w:r w:rsidRPr="00A576B8">
        <w:tab/>
        <w:t>Freemantle N, Mamdani M, Vilsboll T, Kongso JH, Kvist K, Bain SC. IDegLira Versus Alternative Intensification Strategies in Patients with Type 2 Diabetes Inadequately Controlled on Basal Insulin Therapy. Diabetes therapy : research, treatment and education of diabetes and related disorders. 2015;6(4):573-91.</w:t>
      </w:r>
    </w:p>
    <w:p w:rsidR="00270983" w:rsidRPr="00A576B8" w:rsidRDefault="00270983" w:rsidP="00270983">
      <w:pPr>
        <w:pStyle w:val="EndNoteBibliography"/>
        <w:spacing w:after="0"/>
      </w:pPr>
      <w:r w:rsidRPr="00A576B8">
        <w:t>2.</w:t>
      </w:r>
      <w:r w:rsidRPr="00A576B8">
        <w:tab/>
        <w:t>Steen Carlsson K, Persson U. Cost-effectiveness of add-on treatments to metformin in a Swedish setting: liraglutide vs sulphonylurea or sitagplitin. J Med Econ. 2014;17(9):658-69.</w:t>
      </w:r>
    </w:p>
    <w:p w:rsidR="00270983" w:rsidRPr="00A576B8" w:rsidRDefault="00270983" w:rsidP="00270983">
      <w:pPr>
        <w:pStyle w:val="EndNoteBibliography"/>
        <w:spacing w:after="0"/>
      </w:pPr>
      <w:r w:rsidRPr="00A576B8">
        <w:t>3.</w:t>
      </w:r>
      <w:r w:rsidRPr="00A576B8">
        <w:tab/>
        <w:t>Södra regionvårdsnämnden. Regionala priser och ersättningar för södra regionvårdsnämnden 2014. Available from: https://</w:t>
      </w:r>
      <w:hyperlink r:id="rId16" w:history="1">
        <w:r w:rsidRPr="00A576B8">
          <w:rPr>
            <w:rStyle w:val="Hyperlink"/>
          </w:rPr>
          <w:t>www.skane.se/Upload/Webbplatser/Sodra%20regionvardsnamnden/prislista/2014/helaprislistan2014.pdf</w:t>
        </w:r>
      </w:hyperlink>
      <w:r w:rsidRPr="00A576B8">
        <w:t>.</w:t>
      </w:r>
    </w:p>
    <w:p w:rsidR="00270983" w:rsidRPr="00A576B8" w:rsidRDefault="00270983" w:rsidP="00270983">
      <w:pPr>
        <w:pStyle w:val="EndNoteBibliography"/>
        <w:spacing w:after="0"/>
      </w:pPr>
      <w:r w:rsidRPr="00A576B8">
        <w:t>4.</w:t>
      </w:r>
      <w:r w:rsidRPr="00A576B8">
        <w:tab/>
        <w:t>Persson U, Willis M, Odegaard K. A case study of ex ante, value-based price and reimbursement decision-making: TLV and rimonabant in Sweden. Eur J Health Econ. 2010;11(2):195-203.</w:t>
      </w:r>
    </w:p>
    <w:p w:rsidR="00270983" w:rsidRPr="00A576B8" w:rsidRDefault="00270983" w:rsidP="00270983">
      <w:pPr>
        <w:pStyle w:val="EndNoteBibliography"/>
        <w:spacing w:after="0"/>
      </w:pPr>
      <w:r w:rsidRPr="00A576B8">
        <w:t>5.</w:t>
      </w:r>
      <w:r w:rsidRPr="00A576B8">
        <w:tab/>
        <w:t>Prompers L, Huijberts M, Schaper N, Apelqvist J, Bakker K, Edmonds M, et al. Resource utilisation and costs associated with the treatment of diabetic foot ulcers. Prospective data from the Eurodiale Study. Diabetologia. 2008;51(10):1826-34.</w:t>
      </w:r>
    </w:p>
    <w:p w:rsidR="00270983" w:rsidRPr="00A576B8" w:rsidRDefault="00270983" w:rsidP="00270983">
      <w:pPr>
        <w:pStyle w:val="EndNoteBibliography"/>
        <w:spacing w:after="0"/>
      </w:pPr>
      <w:r w:rsidRPr="00A576B8">
        <w:t>6.</w:t>
      </w:r>
      <w:r w:rsidRPr="00A576B8">
        <w:tab/>
        <w:t xml:space="preserve">Sveriges Kommuner och Landsting. KPP-databasen 2011. Available from: </w:t>
      </w:r>
      <w:hyperlink r:id="rId17" w:history="1">
        <w:r w:rsidRPr="00A576B8">
          <w:rPr>
            <w:rStyle w:val="Hyperlink"/>
          </w:rPr>
          <w:t>http://skl.se/ekonomijuridikstatistik/statistiknyckeltaljamforelser/kostnadperpatientkpp.1076.html</w:t>
        </w:r>
      </w:hyperlink>
      <w:r w:rsidRPr="00A576B8">
        <w:t>.</w:t>
      </w:r>
    </w:p>
    <w:p w:rsidR="00270983" w:rsidRPr="00A576B8" w:rsidRDefault="00270983" w:rsidP="00270983">
      <w:pPr>
        <w:pStyle w:val="EndNoteBibliography"/>
        <w:spacing w:after="0"/>
      </w:pPr>
      <w:r w:rsidRPr="00A576B8">
        <w:t>7.</w:t>
      </w:r>
      <w:r w:rsidRPr="00A576B8">
        <w:tab/>
        <w:t>Gerdtham UG, Clarke P, Hayes A, Gudbjornsdottir S. Estimating the cost of diabetes mellitus-related events from inpatient admissions in Sweden using administrative hospitalization data. PharmacoEconomics. 2009;27(1):81-90.</w:t>
      </w:r>
    </w:p>
    <w:p w:rsidR="00270983" w:rsidRPr="00A576B8" w:rsidRDefault="00270983" w:rsidP="00270983">
      <w:pPr>
        <w:pStyle w:val="EndNoteBibliography"/>
        <w:spacing w:after="0"/>
      </w:pPr>
      <w:r w:rsidRPr="00A576B8">
        <w:t>8.</w:t>
      </w:r>
      <w:r w:rsidRPr="00A576B8">
        <w:tab/>
        <w:t>Ghatnekar O, Willis M, Persson U. Cost-effectiveness of treating deep diabetic foot ulcers with Promogran in four European countries. J Wound Care. 2002;11(2):70-4.</w:t>
      </w:r>
    </w:p>
    <w:p w:rsidR="00270983" w:rsidRPr="00A576B8" w:rsidRDefault="00270983" w:rsidP="00270983">
      <w:pPr>
        <w:pStyle w:val="EndNoteBibliography"/>
        <w:spacing w:after="0"/>
      </w:pPr>
      <w:r w:rsidRPr="00A576B8">
        <w:t>9.</w:t>
      </w:r>
      <w:r w:rsidRPr="00A576B8">
        <w:tab/>
        <w:t>Turner R, Cull C, Holman R. United Kingdom Prospective Diabetes Study 17: a 9-year update of a randomized, controlled trial on the effect of improved metabolic control on complications in non-insulin-dependent diabetes mellitus. Annals of internal medicine. 1996;124(1 Pt 2):136-45.</w:t>
      </w:r>
    </w:p>
    <w:p w:rsidR="00270983" w:rsidRPr="00A576B8" w:rsidRDefault="00270983" w:rsidP="00270983">
      <w:pPr>
        <w:pStyle w:val="EndNoteBibliography"/>
        <w:spacing w:after="0"/>
      </w:pPr>
      <w:r w:rsidRPr="00A576B8">
        <w:t>10.</w:t>
      </w:r>
      <w:r w:rsidRPr="00A576B8">
        <w:tab/>
        <w:t>Ward AJ, Salas M, Caro JJ, Owens D. Health and economic impact of combining metformin with nateglinide to achieve glycemic control: Comparison of the lifetime costs of complications in the U.K. Cost effectiveness and resource allocation : C/E. 2004;2(1):2.</w:t>
      </w:r>
    </w:p>
    <w:p w:rsidR="00270983" w:rsidRPr="00A576B8" w:rsidRDefault="00270983" w:rsidP="00270983">
      <w:pPr>
        <w:pStyle w:val="EndNoteBibliography"/>
        <w:spacing w:after="0"/>
      </w:pPr>
      <w:r w:rsidRPr="00A576B8">
        <w:t>11.</w:t>
      </w:r>
      <w:r w:rsidRPr="00A576B8">
        <w:tab/>
        <w:t xml:space="preserve">Henry, R.R., et al., DURATION-1 extension: Efficacy and tolerability of exenatide once weekly (qw) over 6 years in patients with T2DM. Poster presentation 964-P. Presented at the American Diabetes Association 74nd Annual Scientific Sessions, San Francisco 13-17 June 2014: </w:t>
      </w:r>
      <w:hyperlink r:id="rId18" w:history="1">
        <w:r w:rsidRPr="00A576B8">
          <w:rPr>
            <w:rStyle w:val="Hyperlink"/>
          </w:rPr>
          <w:t>http://ada.scientificposters.com/epsAbstractADA.cfm?id=8</w:t>
        </w:r>
      </w:hyperlink>
      <w:r w:rsidRPr="00A576B8">
        <w:t>, 2014.</w:t>
      </w:r>
    </w:p>
    <w:p w:rsidR="00270983" w:rsidRPr="00A576B8" w:rsidRDefault="00270983" w:rsidP="00270983">
      <w:pPr>
        <w:pStyle w:val="EndNoteBibliography"/>
        <w:spacing w:after="0"/>
      </w:pPr>
      <w:r w:rsidRPr="00A576B8">
        <w:t>12.</w:t>
      </w:r>
      <w:r w:rsidRPr="00A576B8">
        <w:tab/>
        <w:t>Novo Nordisk, data on file 2014 – TTO analysis.</w:t>
      </w:r>
    </w:p>
    <w:p w:rsidR="00270983" w:rsidRPr="00A576B8" w:rsidRDefault="00270983" w:rsidP="00270983">
      <w:pPr>
        <w:pStyle w:val="EndNoteBibliography"/>
        <w:spacing w:after="0"/>
      </w:pPr>
      <w:r w:rsidRPr="00A576B8">
        <w:t>13.</w:t>
      </w:r>
      <w:r w:rsidRPr="00A576B8">
        <w:tab/>
        <w:t>Bagust A, Beale S. Modelling EuroQol health-related utility values for diabetic complications from CODE-2 data. Health Econ. 2005;14(3):217-30.</w:t>
      </w:r>
    </w:p>
    <w:p w:rsidR="00270983" w:rsidRPr="00A576B8" w:rsidRDefault="00270983" w:rsidP="00270983">
      <w:pPr>
        <w:pStyle w:val="EndNoteBibliography"/>
        <w:spacing w:after="0"/>
      </w:pPr>
      <w:r w:rsidRPr="00A576B8">
        <w:t>14.</w:t>
      </w:r>
      <w:r w:rsidRPr="00A576B8">
        <w:tab/>
        <w:t>Evans M, Khunti K, Mamdani M, Galbo-Jorgensen CB, Gundgaard J, Bogelund M, et al. Health-related quality of life associated with daytime and nocturnal hypoglycaemic events: a time trade-off survey in five countries. Health Qual Life Outcomes. 2013;11:90.</w:t>
      </w:r>
    </w:p>
    <w:p w:rsidR="00270983" w:rsidRPr="00A576B8" w:rsidRDefault="00270983" w:rsidP="00270983">
      <w:pPr>
        <w:pStyle w:val="EndNoteBibliography"/>
        <w:spacing w:after="0"/>
      </w:pPr>
      <w:r w:rsidRPr="00A576B8">
        <w:t>15.</w:t>
      </w:r>
      <w:r w:rsidRPr="00A576B8">
        <w:tab/>
        <w:t>Buse JB, Vilsboll T, Thurman J, Blevins TC, Langbakke IH, Bottcher SG, et al. Contribution of liraglutide in the fixed-ratio combination of insulin degludec and liraglutide (IDegLira). Diabetes care. 2014;37(11):2926-33.</w:t>
      </w:r>
    </w:p>
    <w:p w:rsidR="00270983" w:rsidRPr="00A576B8" w:rsidRDefault="00270983" w:rsidP="00270983">
      <w:pPr>
        <w:pStyle w:val="EndNoteBibliography"/>
      </w:pPr>
      <w:r w:rsidRPr="00A576B8">
        <w:lastRenderedPageBreak/>
        <w:t>16.</w:t>
      </w:r>
      <w:r w:rsidRPr="00A576B8">
        <w:tab/>
        <w:t xml:space="preserve">X-Rates. Swedish krona historic exchange rates look-up 2016 [cited 2016 November]. Available from: </w:t>
      </w:r>
      <w:hyperlink r:id="rId19" w:history="1">
        <w:r w:rsidRPr="00A576B8">
          <w:rPr>
            <w:rStyle w:val="Hyperlink"/>
          </w:rPr>
          <w:t>http://www.x-rates.com/historical/?from=SEK&amp;amount=1&amp;date=2016-11-24</w:t>
        </w:r>
      </w:hyperlink>
      <w:r w:rsidRPr="00A576B8">
        <w:t>.</w:t>
      </w:r>
    </w:p>
    <w:p w:rsidR="00FB010E" w:rsidRDefault="00270983" w:rsidP="00545736">
      <w:pPr>
        <w:pStyle w:val="EndNoteBibliography"/>
      </w:pPr>
      <w:r w:rsidRPr="00A576B8">
        <w:fldChar w:fldCharType="end"/>
      </w:r>
      <w:bookmarkStart w:id="2" w:name="_GoBack"/>
      <w:bookmarkEnd w:id="2"/>
    </w:p>
    <w:sectPr w:rsidR="00FB010E" w:rsidSect="00D1426D">
      <w:headerReference w:type="even" r:id="rId20"/>
      <w:headerReference w:type="default" r:id="rId21"/>
      <w:headerReference w:type="first" r:id="rId22"/>
      <w:pgSz w:w="11907" w:h="16839" w:code="9"/>
      <w:pgMar w:top="1418" w:right="1417" w:bottom="1276" w:left="1440" w:header="568" w:footer="3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A47" w:rsidRDefault="00E05A47" w:rsidP="002A06F5">
      <w:r>
        <w:separator/>
      </w:r>
    </w:p>
    <w:p w:rsidR="00E05A47" w:rsidRDefault="00E05A47"/>
    <w:p w:rsidR="00E05A47" w:rsidRDefault="00E05A47"/>
  </w:endnote>
  <w:endnote w:type="continuationSeparator" w:id="0">
    <w:p w:rsidR="00E05A47" w:rsidRDefault="00E05A47" w:rsidP="002A06F5">
      <w:r>
        <w:continuationSeparator/>
      </w:r>
    </w:p>
    <w:p w:rsidR="00E05A47" w:rsidRDefault="00E05A47"/>
    <w:p w:rsidR="00E05A47" w:rsidRDefault="00E05A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Italic">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A47" w:rsidRDefault="00E05A47" w:rsidP="002A06F5">
      <w:r>
        <w:separator/>
      </w:r>
    </w:p>
    <w:p w:rsidR="00E05A47" w:rsidRDefault="00E05A47"/>
    <w:p w:rsidR="00E05A47" w:rsidRDefault="00E05A47"/>
  </w:footnote>
  <w:footnote w:type="continuationSeparator" w:id="0">
    <w:p w:rsidR="00E05A47" w:rsidRDefault="00E05A47" w:rsidP="002A06F5">
      <w:r>
        <w:continuationSeparator/>
      </w:r>
    </w:p>
    <w:p w:rsidR="00E05A47" w:rsidRDefault="00E05A47"/>
    <w:p w:rsidR="00E05A47" w:rsidRDefault="00E05A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D2D" w:rsidRDefault="00A576B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260187" o:spid="_x0000_s2069" type="#_x0000_t75" style="position:absolute;left:0;text-align:left;margin-left:0;margin-top:0;width:429.35pt;height:607.8pt;z-index:-251640832;mso-position-horizontal:center;mso-position-horizontal-relative:margin;mso-position-vertical:center;mso-position-vertical-relative:margin" o:allowincell="f">
          <v:imagedata r:id="rId1" o:title="proposal image (Larg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C3" w:rsidRDefault="00CD55C3" w:rsidP="00594991">
    <w:pPr>
      <w:pStyle w:val="Header"/>
      <w:tabs>
        <w:tab w:val="clear" w:pos="9360"/>
        <w:tab w:val="right" w:pos="9072"/>
      </w:tabs>
      <w:jc w:val="right"/>
    </w:pPr>
  </w:p>
  <w:p w:rsidR="00CD55C3" w:rsidRDefault="00CD55C3"/>
  <w:p w:rsidR="00CD55C3" w:rsidRDefault="00CD55C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D2D" w:rsidRDefault="00A576B8">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260186" o:spid="_x0000_s2068" type="#_x0000_t75" style="position:absolute;left:0;text-align:left;margin-left:0;margin-top:0;width:429.35pt;height:607.8pt;z-index:-251641856;mso-position-horizontal:center;mso-position-horizontal-relative:margin;mso-position-vertical:center;mso-position-vertical-relative:margin" o:allowincell="f">
          <v:imagedata r:id="rId1" o:title="proposal image (Larg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66.65pt;height:470.35pt" o:bullet="t">
        <v:imagedata r:id="rId1" o:title="Green Double"/>
      </v:shape>
    </w:pict>
  </w:numPicBullet>
  <w:numPicBullet w:numPicBulletId="1">
    <w:pict>
      <v:shape id="_x0000_i1035" type="#_x0000_t75" style="width:281.45pt;height:470.35pt" o:bullet="t">
        <v:imagedata r:id="rId2" o:title="Green Single"/>
      </v:shape>
    </w:pict>
  </w:numPicBullet>
  <w:abstractNum w:abstractNumId="0">
    <w:nsid w:val="00EC10D2"/>
    <w:multiLevelType w:val="hybridMultilevel"/>
    <w:tmpl w:val="6CFA34D4"/>
    <w:lvl w:ilvl="0" w:tplc="17B6220E">
      <w:start w:val="1"/>
      <w:numFmt w:val="bullet"/>
      <w:pStyle w:val="Bullet2"/>
      <w:lvlText w:val="o"/>
      <w:lvlJc w:val="left"/>
      <w:pPr>
        <w:ind w:left="1400" w:hanging="360"/>
      </w:pPr>
      <w:rPr>
        <w:rFonts w:ascii="Courier New" w:hAnsi="Courier New" w:cs="Courier New" w:hint="default"/>
      </w:rPr>
    </w:lvl>
    <w:lvl w:ilvl="1" w:tplc="08090003" w:tentative="1">
      <w:start w:val="1"/>
      <w:numFmt w:val="bullet"/>
      <w:lvlText w:val="o"/>
      <w:lvlJc w:val="left"/>
      <w:pPr>
        <w:ind w:left="2120" w:hanging="360"/>
      </w:pPr>
      <w:rPr>
        <w:rFonts w:ascii="Courier New" w:hAnsi="Courier New" w:cs="Courier New" w:hint="default"/>
      </w:rPr>
    </w:lvl>
    <w:lvl w:ilvl="2" w:tplc="8648DBB4">
      <w:start w:val="1"/>
      <w:numFmt w:val="bullet"/>
      <w:pStyle w:val="Bullet3"/>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
    <w:nsid w:val="16881070"/>
    <w:multiLevelType w:val="multilevel"/>
    <w:tmpl w:val="2CFAFE7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1D1277FA"/>
    <w:multiLevelType w:val="hybridMultilevel"/>
    <w:tmpl w:val="81062186"/>
    <w:lvl w:ilvl="0" w:tplc="93B4040C">
      <w:start w:val="1"/>
      <w:numFmt w:val="bullet"/>
      <w:pStyle w:val="Bullet4"/>
      <w:lvlText w:val="▫"/>
      <w:lvlJc w:val="left"/>
      <w:pPr>
        <w:ind w:left="3920" w:hanging="360"/>
      </w:pPr>
      <w:rPr>
        <w:rFonts w:ascii="Calibri" w:hAnsi="Calibri" w:hint="default"/>
      </w:rPr>
    </w:lvl>
    <w:lvl w:ilvl="1" w:tplc="08090003" w:tentative="1">
      <w:start w:val="1"/>
      <w:numFmt w:val="bullet"/>
      <w:lvlText w:val="o"/>
      <w:lvlJc w:val="left"/>
      <w:pPr>
        <w:ind w:left="4640" w:hanging="360"/>
      </w:pPr>
      <w:rPr>
        <w:rFonts w:ascii="Courier New" w:hAnsi="Courier New" w:cs="Courier New" w:hint="default"/>
      </w:rPr>
    </w:lvl>
    <w:lvl w:ilvl="2" w:tplc="08090005" w:tentative="1">
      <w:start w:val="1"/>
      <w:numFmt w:val="bullet"/>
      <w:lvlText w:val=""/>
      <w:lvlJc w:val="left"/>
      <w:pPr>
        <w:ind w:left="5360" w:hanging="360"/>
      </w:pPr>
      <w:rPr>
        <w:rFonts w:ascii="Wingdings" w:hAnsi="Wingdings" w:hint="default"/>
      </w:rPr>
    </w:lvl>
    <w:lvl w:ilvl="3" w:tplc="08090001" w:tentative="1">
      <w:start w:val="1"/>
      <w:numFmt w:val="bullet"/>
      <w:lvlText w:val=""/>
      <w:lvlJc w:val="left"/>
      <w:pPr>
        <w:ind w:left="6080" w:hanging="360"/>
      </w:pPr>
      <w:rPr>
        <w:rFonts w:ascii="Symbol" w:hAnsi="Symbol" w:hint="default"/>
      </w:rPr>
    </w:lvl>
    <w:lvl w:ilvl="4" w:tplc="08090003" w:tentative="1">
      <w:start w:val="1"/>
      <w:numFmt w:val="bullet"/>
      <w:pStyle w:val="Bullet5"/>
      <w:lvlText w:val="o"/>
      <w:lvlJc w:val="left"/>
      <w:pPr>
        <w:ind w:left="6800" w:hanging="360"/>
      </w:pPr>
      <w:rPr>
        <w:rFonts w:ascii="Courier New" w:hAnsi="Courier New" w:cs="Courier New" w:hint="default"/>
      </w:rPr>
    </w:lvl>
    <w:lvl w:ilvl="5" w:tplc="08090005" w:tentative="1">
      <w:start w:val="1"/>
      <w:numFmt w:val="bullet"/>
      <w:lvlText w:val=""/>
      <w:lvlJc w:val="left"/>
      <w:pPr>
        <w:ind w:left="7520" w:hanging="360"/>
      </w:pPr>
      <w:rPr>
        <w:rFonts w:ascii="Wingdings" w:hAnsi="Wingdings" w:hint="default"/>
      </w:rPr>
    </w:lvl>
    <w:lvl w:ilvl="6" w:tplc="08090001" w:tentative="1">
      <w:start w:val="1"/>
      <w:numFmt w:val="bullet"/>
      <w:lvlText w:val=""/>
      <w:lvlJc w:val="left"/>
      <w:pPr>
        <w:ind w:left="8240" w:hanging="360"/>
      </w:pPr>
      <w:rPr>
        <w:rFonts w:ascii="Symbol" w:hAnsi="Symbol" w:hint="default"/>
      </w:rPr>
    </w:lvl>
    <w:lvl w:ilvl="7" w:tplc="08090003" w:tentative="1">
      <w:start w:val="1"/>
      <w:numFmt w:val="bullet"/>
      <w:lvlText w:val="o"/>
      <w:lvlJc w:val="left"/>
      <w:pPr>
        <w:ind w:left="8960" w:hanging="360"/>
      </w:pPr>
      <w:rPr>
        <w:rFonts w:ascii="Courier New" w:hAnsi="Courier New" w:cs="Courier New" w:hint="default"/>
      </w:rPr>
    </w:lvl>
    <w:lvl w:ilvl="8" w:tplc="08090005" w:tentative="1">
      <w:start w:val="1"/>
      <w:numFmt w:val="bullet"/>
      <w:lvlText w:val=""/>
      <w:lvlJc w:val="left"/>
      <w:pPr>
        <w:ind w:left="9680" w:hanging="360"/>
      </w:pPr>
      <w:rPr>
        <w:rFonts w:ascii="Wingdings" w:hAnsi="Wingdings" w:hint="default"/>
      </w:rPr>
    </w:lvl>
  </w:abstractNum>
  <w:abstractNum w:abstractNumId="3">
    <w:nsid w:val="474A1E1A"/>
    <w:multiLevelType w:val="hybridMultilevel"/>
    <w:tmpl w:val="B358EB42"/>
    <w:lvl w:ilvl="0" w:tplc="F6A4AED6">
      <w:start w:val="1"/>
      <w:numFmt w:val="bullet"/>
      <w:pStyle w:val="Table-Bullet1"/>
      <w:lvlText w:val=""/>
      <w:lvlJc w:val="left"/>
      <w:pPr>
        <w:ind w:left="360" w:hanging="360"/>
      </w:pPr>
      <w:rPr>
        <w:rFonts w:ascii="Symbol" w:hAnsi="Symbol" w:hint="default"/>
        <w:color w:val="auto"/>
        <w:u w:color="4E5053" w:themeColor="text2"/>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4">
    <w:nsid w:val="49CF400F"/>
    <w:multiLevelType w:val="multilevel"/>
    <w:tmpl w:val="A25C0C5A"/>
    <w:numStyleLink w:val="AVbulletstyle-green"/>
  </w:abstractNum>
  <w:abstractNum w:abstractNumId="5">
    <w:nsid w:val="54377945"/>
    <w:multiLevelType w:val="hybridMultilevel"/>
    <w:tmpl w:val="239678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65927170"/>
    <w:multiLevelType w:val="hybridMultilevel"/>
    <w:tmpl w:val="809EA4AC"/>
    <w:lvl w:ilvl="0" w:tplc="0BAE7F3A">
      <w:start w:val="1"/>
      <w:numFmt w:val="bullet"/>
      <w:pStyle w:val="Table-Bullet2"/>
      <w:lvlText w:val="o"/>
      <w:lvlJc w:val="left"/>
      <w:pPr>
        <w:ind w:left="633" w:hanging="360"/>
      </w:pPr>
      <w:rPr>
        <w:rFonts w:ascii="Courier New" w:hAnsi="Courier New" w:hint="default"/>
        <w:color w:val="4E5053"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81A458C"/>
    <w:multiLevelType w:val="hybridMultilevel"/>
    <w:tmpl w:val="53A68632"/>
    <w:lvl w:ilvl="0" w:tplc="CE80BD5E">
      <w:start w:val="1"/>
      <w:numFmt w:val="bullet"/>
      <w:pStyle w:val="ListParagraph"/>
      <w:lvlText w:val=""/>
      <w:lvlJc w:val="left"/>
      <w:pPr>
        <w:ind w:left="720" w:hanging="360"/>
      </w:pPr>
      <w:rPr>
        <w:rFonts w:ascii="Symbol" w:hAnsi="Symbol" w:hint="default"/>
        <w:color w:val="4E5053"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B663F1F"/>
    <w:multiLevelType w:val="multilevel"/>
    <w:tmpl w:val="A25C0C5A"/>
    <w:styleLink w:val="AVbulletstyle-green"/>
    <w:lvl w:ilvl="0">
      <w:start w:val="1"/>
      <w:numFmt w:val="bullet"/>
      <w:lvlText w:val=""/>
      <w:lvlPicBulletId w:val="0"/>
      <w:lvlJc w:val="left"/>
      <w:pPr>
        <w:ind w:left="680" w:hanging="323"/>
      </w:pPr>
      <w:rPr>
        <w:rFonts w:ascii="Symbol" w:hAnsi="Symbol" w:hint="default"/>
        <w:color w:val="auto"/>
      </w:rPr>
    </w:lvl>
    <w:lvl w:ilvl="1">
      <w:start w:val="1"/>
      <w:numFmt w:val="bullet"/>
      <w:lvlText w:val=""/>
      <w:lvlPicBulletId w:val="1"/>
      <w:lvlJc w:val="left"/>
      <w:pPr>
        <w:ind w:left="964" w:hanging="284"/>
      </w:pPr>
      <w:rPr>
        <w:rFonts w:ascii="Symbol" w:hAnsi="Symbol" w:hint="default"/>
        <w:color w:val="auto"/>
      </w:rPr>
    </w:lvl>
    <w:lvl w:ilvl="2">
      <w:start w:val="1"/>
      <w:numFmt w:val="bullet"/>
      <w:lvlText w:val="-"/>
      <w:lvlJc w:val="left"/>
      <w:pPr>
        <w:ind w:left="1247" w:hanging="283"/>
      </w:pPr>
      <w:rPr>
        <w:rFonts w:ascii="Calibri" w:hAnsi="Calibri" w:hint="default"/>
        <w:b/>
        <w:i w:val="0"/>
        <w:color w:val="68B937" w:themeColor="accent1"/>
      </w:rPr>
    </w:lvl>
    <w:lvl w:ilvl="3">
      <w:start w:val="1"/>
      <w:numFmt w:val="bullet"/>
      <w:lvlText w:val=""/>
      <w:lvlJc w:val="left"/>
      <w:pPr>
        <w:ind w:left="1531" w:hanging="284"/>
      </w:pPr>
      <w:rPr>
        <w:rFonts w:ascii="Wingdings" w:hAnsi="Wingdings" w:hint="default"/>
        <w:b/>
        <w:i w:val="0"/>
        <w:color w:val="68B937"/>
      </w:rPr>
    </w:lvl>
    <w:lvl w:ilvl="4">
      <w:start w:val="1"/>
      <w:numFmt w:val="bullet"/>
      <w:lvlText w:val="-"/>
      <w:lvlJc w:val="left"/>
      <w:pPr>
        <w:ind w:left="1814" w:hanging="283"/>
      </w:pPr>
      <w:rPr>
        <w:rFonts w:ascii="Calibri" w:hAnsi="Calibri" w:hint="default"/>
        <w:b/>
        <w:i w:val="0"/>
        <w:color w:val="68B937"/>
      </w:rPr>
    </w:lvl>
    <w:lvl w:ilvl="5">
      <w:start w:val="1"/>
      <w:numFmt w:val="bullet"/>
      <w:lvlText w:val="-"/>
      <w:lvlJc w:val="left"/>
      <w:pPr>
        <w:ind w:left="8217" w:hanging="284"/>
      </w:pPr>
      <w:rPr>
        <w:rFonts w:ascii="Calibri" w:hAnsi="Calibri" w:hint="default"/>
        <w:b/>
        <w:i w:val="0"/>
        <w:color w:val="EF7F04" w:themeColor="accent4"/>
      </w:rPr>
    </w:lvl>
    <w:lvl w:ilvl="6">
      <w:start w:val="1"/>
      <w:numFmt w:val="bullet"/>
      <w:lvlText w:val="-"/>
      <w:lvlJc w:val="left"/>
      <w:pPr>
        <w:ind w:left="8500" w:hanging="283"/>
      </w:pPr>
      <w:rPr>
        <w:rFonts w:ascii="Calibri" w:hAnsi="Calibri" w:hint="default"/>
        <w:color w:val="EF7F04" w:themeColor="accent4"/>
      </w:rPr>
    </w:lvl>
    <w:lvl w:ilvl="7">
      <w:start w:val="1"/>
      <w:numFmt w:val="lowerLetter"/>
      <w:lvlText w:val="%8."/>
      <w:lvlJc w:val="left"/>
      <w:pPr>
        <w:ind w:left="29279" w:hanging="360"/>
      </w:pPr>
      <w:rPr>
        <w:rFonts w:hint="default"/>
      </w:rPr>
    </w:lvl>
    <w:lvl w:ilvl="8">
      <w:start w:val="1"/>
      <w:numFmt w:val="lowerRoman"/>
      <w:lvlText w:val="%9."/>
      <w:lvlJc w:val="left"/>
      <w:pPr>
        <w:ind w:left="29639" w:hanging="360"/>
      </w:pPr>
      <w:rPr>
        <w:rFonts w:hint="default"/>
      </w:rPr>
    </w:lvl>
  </w:abstractNum>
  <w:num w:numId="1">
    <w:abstractNumId w:val="8"/>
  </w:num>
  <w:num w:numId="2">
    <w:abstractNumId w:val="4"/>
  </w:num>
  <w:num w:numId="3">
    <w:abstractNumId w:val="1"/>
  </w:num>
  <w:num w:numId="4">
    <w:abstractNumId w:val="6"/>
  </w:num>
  <w:num w:numId="5">
    <w:abstractNumId w:val="3"/>
  </w:num>
  <w:num w:numId="6">
    <w:abstractNumId w:val="0"/>
  </w:num>
  <w:num w:numId="7">
    <w:abstractNumId w:val="7"/>
  </w:num>
  <w:num w:numId="8">
    <w:abstractNumId w:val="2"/>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activeWritingStyle w:appName="MSWord" w:lang="en-GB" w:vendorID="64" w:dllVersion="131078" w:nlCheck="1" w:checkStyle="1"/>
  <w:activeWritingStyle w:appName="MSWord" w:lang="en-US"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dtveztgpe2vpe9dd8xfexhrx2sefzpa0ze&quot;&gt;NN7249A - Refs&lt;record-ids&gt;&lt;item&gt;4&lt;/item&gt;&lt;item&gt;5&lt;/item&gt;&lt;item&gt;11&lt;/item&gt;&lt;item&gt;15&lt;/item&gt;&lt;item&gt;16&lt;/item&gt;&lt;item&gt;36&lt;/item&gt;&lt;item&gt;38&lt;/item&gt;&lt;item&gt;41&lt;/item&gt;&lt;item&gt;43&lt;/item&gt;&lt;item&gt;47&lt;/item&gt;&lt;item&gt;55&lt;/item&gt;&lt;item&gt;56&lt;/item&gt;&lt;item&gt;178&lt;/item&gt;&lt;item&gt;179&lt;/item&gt;&lt;item&gt;190&lt;/item&gt;&lt;item&gt;215&lt;/item&gt;&lt;/record-ids&gt;&lt;/item&gt;&lt;/Libraries&gt;"/>
  </w:docVars>
  <w:rsids>
    <w:rsidRoot w:val="00747057"/>
    <w:rsid w:val="000034B0"/>
    <w:rsid w:val="00025709"/>
    <w:rsid w:val="000336BB"/>
    <w:rsid w:val="00033957"/>
    <w:rsid w:val="000339B9"/>
    <w:rsid w:val="00037184"/>
    <w:rsid w:val="00037EE7"/>
    <w:rsid w:val="00050A26"/>
    <w:rsid w:val="000568CB"/>
    <w:rsid w:val="0005794D"/>
    <w:rsid w:val="00064B70"/>
    <w:rsid w:val="00065B19"/>
    <w:rsid w:val="00072D7C"/>
    <w:rsid w:val="00080DA4"/>
    <w:rsid w:val="00082B8E"/>
    <w:rsid w:val="00083892"/>
    <w:rsid w:val="00084188"/>
    <w:rsid w:val="00086A92"/>
    <w:rsid w:val="00091044"/>
    <w:rsid w:val="000A1F57"/>
    <w:rsid w:val="000A2D51"/>
    <w:rsid w:val="000A4656"/>
    <w:rsid w:val="000C221C"/>
    <w:rsid w:val="000C4623"/>
    <w:rsid w:val="000C4ED2"/>
    <w:rsid w:val="000C5497"/>
    <w:rsid w:val="000C560A"/>
    <w:rsid w:val="000C58C2"/>
    <w:rsid w:val="000C5B85"/>
    <w:rsid w:val="000C7A0F"/>
    <w:rsid w:val="000D46C2"/>
    <w:rsid w:val="000D73F1"/>
    <w:rsid w:val="000D75FD"/>
    <w:rsid w:val="000E2EBA"/>
    <w:rsid w:val="000E4AA7"/>
    <w:rsid w:val="000E4DB1"/>
    <w:rsid w:val="000E5B6C"/>
    <w:rsid w:val="000F0A72"/>
    <w:rsid w:val="000F4F6F"/>
    <w:rsid w:val="000F558C"/>
    <w:rsid w:val="00100EC5"/>
    <w:rsid w:val="001017E3"/>
    <w:rsid w:val="001022F9"/>
    <w:rsid w:val="00102537"/>
    <w:rsid w:val="00102A6D"/>
    <w:rsid w:val="001041F1"/>
    <w:rsid w:val="00110E6D"/>
    <w:rsid w:val="001114BD"/>
    <w:rsid w:val="00114659"/>
    <w:rsid w:val="001176A6"/>
    <w:rsid w:val="00121A1F"/>
    <w:rsid w:val="00124B95"/>
    <w:rsid w:val="0012500C"/>
    <w:rsid w:val="00125EB9"/>
    <w:rsid w:val="00132BB6"/>
    <w:rsid w:val="00136A4A"/>
    <w:rsid w:val="001414EC"/>
    <w:rsid w:val="00142B5B"/>
    <w:rsid w:val="00146897"/>
    <w:rsid w:val="00152946"/>
    <w:rsid w:val="0015334B"/>
    <w:rsid w:val="001573DB"/>
    <w:rsid w:val="0016106A"/>
    <w:rsid w:val="00161B37"/>
    <w:rsid w:val="00162E9C"/>
    <w:rsid w:val="00170575"/>
    <w:rsid w:val="00171BDF"/>
    <w:rsid w:val="00171C51"/>
    <w:rsid w:val="00174D58"/>
    <w:rsid w:val="00184B61"/>
    <w:rsid w:val="00187D12"/>
    <w:rsid w:val="00190AA2"/>
    <w:rsid w:val="001A13F9"/>
    <w:rsid w:val="001B51BD"/>
    <w:rsid w:val="001C43E7"/>
    <w:rsid w:val="001C5280"/>
    <w:rsid w:val="001C77A7"/>
    <w:rsid w:val="001D0BB0"/>
    <w:rsid w:val="001D3D5D"/>
    <w:rsid w:val="001F15D0"/>
    <w:rsid w:val="0020147C"/>
    <w:rsid w:val="0020394F"/>
    <w:rsid w:val="00213599"/>
    <w:rsid w:val="00215D3C"/>
    <w:rsid w:val="00215EF4"/>
    <w:rsid w:val="00221E6B"/>
    <w:rsid w:val="002228BB"/>
    <w:rsid w:val="00227486"/>
    <w:rsid w:val="0023191E"/>
    <w:rsid w:val="0023394B"/>
    <w:rsid w:val="00233EFE"/>
    <w:rsid w:val="00240A57"/>
    <w:rsid w:val="0024311B"/>
    <w:rsid w:val="002441A9"/>
    <w:rsid w:val="00246888"/>
    <w:rsid w:val="002538C1"/>
    <w:rsid w:val="00253A56"/>
    <w:rsid w:val="00270983"/>
    <w:rsid w:val="00272A4C"/>
    <w:rsid w:val="00273418"/>
    <w:rsid w:val="002829F6"/>
    <w:rsid w:val="00283526"/>
    <w:rsid w:val="002840AB"/>
    <w:rsid w:val="002870CB"/>
    <w:rsid w:val="00296126"/>
    <w:rsid w:val="002A06F5"/>
    <w:rsid w:val="002B45C1"/>
    <w:rsid w:val="002B6C1C"/>
    <w:rsid w:val="002B7507"/>
    <w:rsid w:val="002C0CE7"/>
    <w:rsid w:val="002C2DA5"/>
    <w:rsid w:val="002D0D32"/>
    <w:rsid w:val="002D13CD"/>
    <w:rsid w:val="002D7138"/>
    <w:rsid w:val="002D7F2F"/>
    <w:rsid w:val="002E583C"/>
    <w:rsid w:val="002E795D"/>
    <w:rsid w:val="002F4DD2"/>
    <w:rsid w:val="00303F1E"/>
    <w:rsid w:val="00306638"/>
    <w:rsid w:val="00311630"/>
    <w:rsid w:val="0031296E"/>
    <w:rsid w:val="003136CE"/>
    <w:rsid w:val="003162B6"/>
    <w:rsid w:val="003207BD"/>
    <w:rsid w:val="00320E8D"/>
    <w:rsid w:val="00322D8B"/>
    <w:rsid w:val="00327231"/>
    <w:rsid w:val="003309F2"/>
    <w:rsid w:val="00330B56"/>
    <w:rsid w:val="003453B2"/>
    <w:rsid w:val="003534E5"/>
    <w:rsid w:val="003548BF"/>
    <w:rsid w:val="0035725D"/>
    <w:rsid w:val="003609A3"/>
    <w:rsid w:val="003613F5"/>
    <w:rsid w:val="00364CBF"/>
    <w:rsid w:val="00366AB8"/>
    <w:rsid w:val="003707FB"/>
    <w:rsid w:val="00374907"/>
    <w:rsid w:val="00375826"/>
    <w:rsid w:val="00382EB2"/>
    <w:rsid w:val="003A3BB7"/>
    <w:rsid w:val="003A6528"/>
    <w:rsid w:val="003A7080"/>
    <w:rsid w:val="003A7C6C"/>
    <w:rsid w:val="003B285D"/>
    <w:rsid w:val="003B5FE5"/>
    <w:rsid w:val="003B622E"/>
    <w:rsid w:val="003C153B"/>
    <w:rsid w:val="003D22F2"/>
    <w:rsid w:val="003D4FD0"/>
    <w:rsid w:val="003D68A1"/>
    <w:rsid w:val="003E3E27"/>
    <w:rsid w:val="003F058F"/>
    <w:rsid w:val="003F249F"/>
    <w:rsid w:val="003F3F1D"/>
    <w:rsid w:val="003F3F2F"/>
    <w:rsid w:val="003F5989"/>
    <w:rsid w:val="00401326"/>
    <w:rsid w:val="004015BC"/>
    <w:rsid w:val="004075E5"/>
    <w:rsid w:val="0041211B"/>
    <w:rsid w:val="004131B0"/>
    <w:rsid w:val="00416E98"/>
    <w:rsid w:val="00420D1A"/>
    <w:rsid w:val="0042351D"/>
    <w:rsid w:val="0042783D"/>
    <w:rsid w:val="0043326F"/>
    <w:rsid w:val="00435E6D"/>
    <w:rsid w:val="00436C5B"/>
    <w:rsid w:val="0044339D"/>
    <w:rsid w:val="004511D9"/>
    <w:rsid w:val="00451DE8"/>
    <w:rsid w:val="00452CAC"/>
    <w:rsid w:val="0046063D"/>
    <w:rsid w:val="00464ED8"/>
    <w:rsid w:val="004662F4"/>
    <w:rsid w:val="00470434"/>
    <w:rsid w:val="004720E5"/>
    <w:rsid w:val="00472A14"/>
    <w:rsid w:val="0047557F"/>
    <w:rsid w:val="0047653E"/>
    <w:rsid w:val="00477BBA"/>
    <w:rsid w:val="00477F03"/>
    <w:rsid w:val="00486016"/>
    <w:rsid w:val="00486305"/>
    <w:rsid w:val="0049288D"/>
    <w:rsid w:val="0049708C"/>
    <w:rsid w:val="004B1BD1"/>
    <w:rsid w:val="004B7ED4"/>
    <w:rsid w:val="004C24D1"/>
    <w:rsid w:val="004C46A5"/>
    <w:rsid w:val="004C4F70"/>
    <w:rsid w:val="004C61C5"/>
    <w:rsid w:val="004D0376"/>
    <w:rsid w:val="004D0969"/>
    <w:rsid w:val="004D0FBF"/>
    <w:rsid w:val="004D7D83"/>
    <w:rsid w:val="004D7E83"/>
    <w:rsid w:val="004E64BB"/>
    <w:rsid w:val="004E669C"/>
    <w:rsid w:val="004F2A0E"/>
    <w:rsid w:val="004F3538"/>
    <w:rsid w:val="004F5311"/>
    <w:rsid w:val="00503C5B"/>
    <w:rsid w:val="00507502"/>
    <w:rsid w:val="00516FE3"/>
    <w:rsid w:val="00524DFE"/>
    <w:rsid w:val="0053341C"/>
    <w:rsid w:val="00534FAC"/>
    <w:rsid w:val="00534FB5"/>
    <w:rsid w:val="00535519"/>
    <w:rsid w:val="00545736"/>
    <w:rsid w:val="00564061"/>
    <w:rsid w:val="005669F0"/>
    <w:rsid w:val="00570204"/>
    <w:rsid w:val="0057056A"/>
    <w:rsid w:val="00572731"/>
    <w:rsid w:val="005735C9"/>
    <w:rsid w:val="00576957"/>
    <w:rsid w:val="00576C38"/>
    <w:rsid w:val="00586BA0"/>
    <w:rsid w:val="00594966"/>
    <w:rsid w:val="00594991"/>
    <w:rsid w:val="005967CD"/>
    <w:rsid w:val="00597204"/>
    <w:rsid w:val="005978ED"/>
    <w:rsid w:val="005A0636"/>
    <w:rsid w:val="005A4219"/>
    <w:rsid w:val="005B051C"/>
    <w:rsid w:val="005C747C"/>
    <w:rsid w:val="005F19C8"/>
    <w:rsid w:val="00601DCD"/>
    <w:rsid w:val="00607D05"/>
    <w:rsid w:val="006102B9"/>
    <w:rsid w:val="00611AE1"/>
    <w:rsid w:val="00617737"/>
    <w:rsid w:val="006240B9"/>
    <w:rsid w:val="00627904"/>
    <w:rsid w:val="006325DA"/>
    <w:rsid w:val="00637505"/>
    <w:rsid w:val="006432D9"/>
    <w:rsid w:val="006434ED"/>
    <w:rsid w:val="00644349"/>
    <w:rsid w:val="00644804"/>
    <w:rsid w:val="00647C7B"/>
    <w:rsid w:val="006562CA"/>
    <w:rsid w:val="0065752F"/>
    <w:rsid w:val="0066741E"/>
    <w:rsid w:val="0067572E"/>
    <w:rsid w:val="00681B51"/>
    <w:rsid w:val="0068356A"/>
    <w:rsid w:val="0068480E"/>
    <w:rsid w:val="0069610E"/>
    <w:rsid w:val="00696E87"/>
    <w:rsid w:val="006A0281"/>
    <w:rsid w:val="006A118C"/>
    <w:rsid w:val="006A2C5A"/>
    <w:rsid w:val="006A67B6"/>
    <w:rsid w:val="006C0B69"/>
    <w:rsid w:val="006C4CF5"/>
    <w:rsid w:val="006D249C"/>
    <w:rsid w:val="006D329E"/>
    <w:rsid w:val="006D5F57"/>
    <w:rsid w:val="006E2CE4"/>
    <w:rsid w:val="006E3ABD"/>
    <w:rsid w:val="006E4A31"/>
    <w:rsid w:val="006F04EC"/>
    <w:rsid w:val="006F06EA"/>
    <w:rsid w:val="006F6F8B"/>
    <w:rsid w:val="00702402"/>
    <w:rsid w:val="00715275"/>
    <w:rsid w:val="0071565B"/>
    <w:rsid w:val="00721607"/>
    <w:rsid w:val="007220DD"/>
    <w:rsid w:val="00722E75"/>
    <w:rsid w:val="00724CD0"/>
    <w:rsid w:val="00725FC3"/>
    <w:rsid w:val="00731989"/>
    <w:rsid w:val="00732C04"/>
    <w:rsid w:val="00744AD2"/>
    <w:rsid w:val="00747057"/>
    <w:rsid w:val="00747C33"/>
    <w:rsid w:val="00763E7C"/>
    <w:rsid w:val="007659E8"/>
    <w:rsid w:val="0078126B"/>
    <w:rsid w:val="0078203B"/>
    <w:rsid w:val="00783095"/>
    <w:rsid w:val="007844B6"/>
    <w:rsid w:val="00784515"/>
    <w:rsid w:val="00784B7F"/>
    <w:rsid w:val="007859F9"/>
    <w:rsid w:val="00785BE0"/>
    <w:rsid w:val="00790F19"/>
    <w:rsid w:val="00793BCC"/>
    <w:rsid w:val="0079572B"/>
    <w:rsid w:val="00795D96"/>
    <w:rsid w:val="007960C7"/>
    <w:rsid w:val="007A0ED5"/>
    <w:rsid w:val="007A1191"/>
    <w:rsid w:val="007C0A5A"/>
    <w:rsid w:val="007D158A"/>
    <w:rsid w:val="007D2986"/>
    <w:rsid w:val="007D5804"/>
    <w:rsid w:val="007E3838"/>
    <w:rsid w:val="007F297B"/>
    <w:rsid w:val="007F5CFC"/>
    <w:rsid w:val="00801FF5"/>
    <w:rsid w:val="00804C20"/>
    <w:rsid w:val="00805AB0"/>
    <w:rsid w:val="00806DDA"/>
    <w:rsid w:val="00811855"/>
    <w:rsid w:val="008118E0"/>
    <w:rsid w:val="00814F21"/>
    <w:rsid w:val="00815949"/>
    <w:rsid w:val="00827426"/>
    <w:rsid w:val="008323B2"/>
    <w:rsid w:val="00835897"/>
    <w:rsid w:val="00836A08"/>
    <w:rsid w:val="00843DFD"/>
    <w:rsid w:val="0084469F"/>
    <w:rsid w:val="00845EDF"/>
    <w:rsid w:val="00846301"/>
    <w:rsid w:val="0084701F"/>
    <w:rsid w:val="00850D85"/>
    <w:rsid w:val="00860E78"/>
    <w:rsid w:val="00867FD4"/>
    <w:rsid w:val="0087640D"/>
    <w:rsid w:val="00882D7F"/>
    <w:rsid w:val="00885352"/>
    <w:rsid w:val="00885BF5"/>
    <w:rsid w:val="008945F0"/>
    <w:rsid w:val="008A7FBE"/>
    <w:rsid w:val="008B3A64"/>
    <w:rsid w:val="008C10BA"/>
    <w:rsid w:val="008D1A7A"/>
    <w:rsid w:val="008E0937"/>
    <w:rsid w:val="008E597A"/>
    <w:rsid w:val="008F2536"/>
    <w:rsid w:val="008F5B4E"/>
    <w:rsid w:val="00903CE6"/>
    <w:rsid w:val="00905909"/>
    <w:rsid w:val="00906511"/>
    <w:rsid w:val="009069F5"/>
    <w:rsid w:val="0090716D"/>
    <w:rsid w:val="0090717B"/>
    <w:rsid w:val="009144D7"/>
    <w:rsid w:val="00920A58"/>
    <w:rsid w:val="0092276B"/>
    <w:rsid w:val="00925310"/>
    <w:rsid w:val="00930126"/>
    <w:rsid w:val="009346CB"/>
    <w:rsid w:val="00940D74"/>
    <w:rsid w:val="00941E34"/>
    <w:rsid w:val="00945394"/>
    <w:rsid w:val="00953757"/>
    <w:rsid w:val="0096146A"/>
    <w:rsid w:val="00962642"/>
    <w:rsid w:val="00964245"/>
    <w:rsid w:val="0097343C"/>
    <w:rsid w:val="009827EC"/>
    <w:rsid w:val="00984694"/>
    <w:rsid w:val="009846D1"/>
    <w:rsid w:val="00987F33"/>
    <w:rsid w:val="00990D14"/>
    <w:rsid w:val="00990D52"/>
    <w:rsid w:val="009978A2"/>
    <w:rsid w:val="009A036F"/>
    <w:rsid w:val="009A14B5"/>
    <w:rsid w:val="009A3125"/>
    <w:rsid w:val="009B12C7"/>
    <w:rsid w:val="009B3E0D"/>
    <w:rsid w:val="009C1F48"/>
    <w:rsid w:val="009C4BD4"/>
    <w:rsid w:val="009C5C6D"/>
    <w:rsid w:val="009C60F5"/>
    <w:rsid w:val="009C750D"/>
    <w:rsid w:val="009D2F99"/>
    <w:rsid w:val="009D4659"/>
    <w:rsid w:val="009E02C3"/>
    <w:rsid w:val="009E04B9"/>
    <w:rsid w:val="009E2EE6"/>
    <w:rsid w:val="009F1B3C"/>
    <w:rsid w:val="00A02C2F"/>
    <w:rsid w:val="00A038F3"/>
    <w:rsid w:val="00A05ADC"/>
    <w:rsid w:val="00A0640B"/>
    <w:rsid w:val="00A12DA0"/>
    <w:rsid w:val="00A176A2"/>
    <w:rsid w:val="00A22A36"/>
    <w:rsid w:val="00A23EAD"/>
    <w:rsid w:val="00A23F7C"/>
    <w:rsid w:val="00A40A71"/>
    <w:rsid w:val="00A41A07"/>
    <w:rsid w:val="00A43DE9"/>
    <w:rsid w:val="00A501F0"/>
    <w:rsid w:val="00A504F4"/>
    <w:rsid w:val="00A567E7"/>
    <w:rsid w:val="00A576B8"/>
    <w:rsid w:val="00A608A5"/>
    <w:rsid w:val="00A62049"/>
    <w:rsid w:val="00A636AA"/>
    <w:rsid w:val="00A669B2"/>
    <w:rsid w:val="00A7205D"/>
    <w:rsid w:val="00A72590"/>
    <w:rsid w:val="00A731DB"/>
    <w:rsid w:val="00A74EC3"/>
    <w:rsid w:val="00A75398"/>
    <w:rsid w:val="00A76A2A"/>
    <w:rsid w:val="00A771AD"/>
    <w:rsid w:val="00A83EDE"/>
    <w:rsid w:val="00A85E83"/>
    <w:rsid w:val="00A91041"/>
    <w:rsid w:val="00A92E25"/>
    <w:rsid w:val="00A9550E"/>
    <w:rsid w:val="00A95D95"/>
    <w:rsid w:val="00A95F7D"/>
    <w:rsid w:val="00A9710E"/>
    <w:rsid w:val="00A97A46"/>
    <w:rsid w:val="00AA1670"/>
    <w:rsid w:val="00AA168E"/>
    <w:rsid w:val="00AA3A9E"/>
    <w:rsid w:val="00AB2F8E"/>
    <w:rsid w:val="00AB48E5"/>
    <w:rsid w:val="00AB51C5"/>
    <w:rsid w:val="00AB51D9"/>
    <w:rsid w:val="00AB5878"/>
    <w:rsid w:val="00AC31E3"/>
    <w:rsid w:val="00AC3922"/>
    <w:rsid w:val="00AD1106"/>
    <w:rsid w:val="00AD576E"/>
    <w:rsid w:val="00AD66BF"/>
    <w:rsid w:val="00AD7A42"/>
    <w:rsid w:val="00AE70D1"/>
    <w:rsid w:val="00AF6B62"/>
    <w:rsid w:val="00B01984"/>
    <w:rsid w:val="00B0448C"/>
    <w:rsid w:val="00B0762A"/>
    <w:rsid w:val="00B10693"/>
    <w:rsid w:val="00B11909"/>
    <w:rsid w:val="00B15B6A"/>
    <w:rsid w:val="00B25700"/>
    <w:rsid w:val="00B27E52"/>
    <w:rsid w:val="00B31AE7"/>
    <w:rsid w:val="00B33CFD"/>
    <w:rsid w:val="00B34EC4"/>
    <w:rsid w:val="00B35375"/>
    <w:rsid w:val="00B3700E"/>
    <w:rsid w:val="00B42AA2"/>
    <w:rsid w:val="00B4618E"/>
    <w:rsid w:val="00B46B48"/>
    <w:rsid w:val="00B4796C"/>
    <w:rsid w:val="00B47DFD"/>
    <w:rsid w:val="00B546D5"/>
    <w:rsid w:val="00B5684F"/>
    <w:rsid w:val="00B573CD"/>
    <w:rsid w:val="00B62BBA"/>
    <w:rsid w:val="00B70E70"/>
    <w:rsid w:val="00B813E3"/>
    <w:rsid w:val="00B825EC"/>
    <w:rsid w:val="00B96FD3"/>
    <w:rsid w:val="00BA199C"/>
    <w:rsid w:val="00BA6C5A"/>
    <w:rsid w:val="00BC1930"/>
    <w:rsid w:val="00BC286E"/>
    <w:rsid w:val="00BC734A"/>
    <w:rsid w:val="00BD22D0"/>
    <w:rsid w:val="00BD68B0"/>
    <w:rsid w:val="00BD695E"/>
    <w:rsid w:val="00BF090A"/>
    <w:rsid w:val="00BF747F"/>
    <w:rsid w:val="00C0486C"/>
    <w:rsid w:val="00C06112"/>
    <w:rsid w:val="00C210A0"/>
    <w:rsid w:val="00C2186F"/>
    <w:rsid w:val="00C23A24"/>
    <w:rsid w:val="00C24773"/>
    <w:rsid w:val="00C31130"/>
    <w:rsid w:val="00C324C2"/>
    <w:rsid w:val="00C3318C"/>
    <w:rsid w:val="00C3486E"/>
    <w:rsid w:val="00C35F54"/>
    <w:rsid w:val="00C37BCA"/>
    <w:rsid w:val="00C42B7A"/>
    <w:rsid w:val="00C52E6D"/>
    <w:rsid w:val="00C55D9B"/>
    <w:rsid w:val="00C61189"/>
    <w:rsid w:val="00C618D6"/>
    <w:rsid w:val="00C64F3F"/>
    <w:rsid w:val="00C66EC1"/>
    <w:rsid w:val="00C71ADE"/>
    <w:rsid w:val="00C8255C"/>
    <w:rsid w:val="00C94D0E"/>
    <w:rsid w:val="00CA1C6C"/>
    <w:rsid w:val="00CA3262"/>
    <w:rsid w:val="00CA790B"/>
    <w:rsid w:val="00CC043C"/>
    <w:rsid w:val="00CC2CF0"/>
    <w:rsid w:val="00CC2F90"/>
    <w:rsid w:val="00CC4D24"/>
    <w:rsid w:val="00CD55C3"/>
    <w:rsid w:val="00CD6DE8"/>
    <w:rsid w:val="00CE396D"/>
    <w:rsid w:val="00CE5AAC"/>
    <w:rsid w:val="00CE75CE"/>
    <w:rsid w:val="00CF00CC"/>
    <w:rsid w:val="00CF4EFE"/>
    <w:rsid w:val="00CF5186"/>
    <w:rsid w:val="00CF58B0"/>
    <w:rsid w:val="00CF5B1A"/>
    <w:rsid w:val="00CF5C74"/>
    <w:rsid w:val="00CF76C3"/>
    <w:rsid w:val="00CF77E2"/>
    <w:rsid w:val="00D05C11"/>
    <w:rsid w:val="00D068CD"/>
    <w:rsid w:val="00D12F4D"/>
    <w:rsid w:val="00D1426D"/>
    <w:rsid w:val="00D17F9B"/>
    <w:rsid w:val="00D20676"/>
    <w:rsid w:val="00D217C1"/>
    <w:rsid w:val="00D22A92"/>
    <w:rsid w:val="00D273A3"/>
    <w:rsid w:val="00D30A8B"/>
    <w:rsid w:val="00D34C53"/>
    <w:rsid w:val="00D378CB"/>
    <w:rsid w:val="00D43D7E"/>
    <w:rsid w:val="00D471C8"/>
    <w:rsid w:val="00D53373"/>
    <w:rsid w:val="00D543FD"/>
    <w:rsid w:val="00D571E1"/>
    <w:rsid w:val="00D60A56"/>
    <w:rsid w:val="00D70D53"/>
    <w:rsid w:val="00D72EC0"/>
    <w:rsid w:val="00D743EB"/>
    <w:rsid w:val="00D82C47"/>
    <w:rsid w:val="00D83CCD"/>
    <w:rsid w:val="00D86A23"/>
    <w:rsid w:val="00DA27F7"/>
    <w:rsid w:val="00DB149C"/>
    <w:rsid w:val="00DB38C4"/>
    <w:rsid w:val="00DB5C64"/>
    <w:rsid w:val="00DB634A"/>
    <w:rsid w:val="00DC27EE"/>
    <w:rsid w:val="00DC4BC9"/>
    <w:rsid w:val="00DC5572"/>
    <w:rsid w:val="00DC7AFC"/>
    <w:rsid w:val="00DC7B69"/>
    <w:rsid w:val="00DD3A20"/>
    <w:rsid w:val="00DD508F"/>
    <w:rsid w:val="00DE0926"/>
    <w:rsid w:val="00DE37AA"/>
    <w:rsid w:val="00DE4DDB"/>
    <w:rsid w:val="00DE5EA2"/>
    <w:rsid w:val="00DF2802"/>
    <w:rsid w:val="00DF31B9"/>
    <w:rsid w:val="00E01791"/>
    <w:rsid w:val="00E0263C"/>
    <w:rsid w:val="00E05A47"/>
    <w:rsid w:val="00E06D9E"/>
    <w:rsid w:val="00E10116"/>
    <w:rsid w:val="00E20995"/>
    <w:rsid w:val="00E309C6"/>
    <w:rsid w:val="00E32F1D"/>
    <w:rsid w:val="00E3600D"/>
    <w:rsid w:val="00E4005B"/>
    <w:rsid w:val="00E40D18"/>
    <w:rsid w:val="00E42B40"/>
    <w:rsid w:val="00E43363"/>
    <w:rsid w:val="00E5018E"/>
    <w:rsid w:val="00E50A3C"/>
    <w:rsid w:val="00E525AD"/>
    <w:rsid w:val="00E60F2C"/>
    <w:rsid w:val="00E677E6"/>
    <w:rsid w:val="00E72602"/>
    <w:rsid w:val="00E72FA3"/>
    <w:rsid w:val="00E73B7C"/>
    <w:rsid w:val="00E73C47"/>
    <w:rsid w:val="00E753A8"/>
    <w:rsid w:val="00E75932"/>
    <w:rsid w:val="00E76FB4"/>
    <w:rsid w:val="00E8350A"/>
    <w:rsid w:val="00E847C8"/>
    <w:rsid w:val="00E942B5"/>
    <w:rsid w:val="00E9621C"/>
    <w:rsid w:val="00EB0534"/>
    <w:rsid w:val="00EC5D2D"/>
    <w:rsid w:val="00ED0EF8"/>
    <w:rsid w:val="00ED4AFD"/>
    <w:rsid w:val="00EE26B9"/>
    <w:rsid w:val="00EE4A30"/>
    <w:rsid w:val="00EE63A9"/>
    <w:rsid w:val="00EF3115"/>
    <w:rsid w:val="00F01DE5"/>
    <w:rsid w:val="00F05E97"/>
    <w:rsid w:val="00F06DAC"/>
    <w:rsid w:val="00F1697F"/>
    <w:rsid w:val="00F16AA9"/>
    <w:rsid w:val="00F173C2"/>
    <w:rsid w:val="00F20D87"/>
    <w:rsid w:val="00F327F2"/>
    <w:rsid w:val="00F3360A"/>
    <w:rsid w:val="00F367DA"/>
    <w:rsid w:val="00F3700C"/>
    <w:rsid w:val="00F4457C"/>
    <w:rsid w:val="00F501EB"/>
    <w:rsid w:val="00F54B41"/>
    <w:rsid w:val="00F54B76"/>
    <w:rsid w:val="00F727AF"/>
    <w:rsid w:val="00F72E4B"/>
    <w:rsid w:val="00F73846"/>
    <w:rsid w:val="00F75594"/>
    <w:rsid w:val="00F85CA0"/>
    <w:rsid w:val="00F86D88"/>
    <w:rsid w:val="00F94792"/>
    <w:rsid w:val="00F97504"/>
    <w:rsid w:val="00FB010E"/>
    <w:rsid w:val="00FB1D6D"/>
    <w:rsid w:val="00FB2BDA"/>
    <w:rsid w:val="00FC4595"/>
    <w:rsid w:val="00FD01D0"/>
    <w:rsid w:val="00FD29B6"/>
    <w:rsid w:val="00FD52C4"/>
    <w:rsid w:val="00FD77E2"/>
    <w:rsid w:val="00FE6798"/>
    <w:rsid w:val="00FE691F"/>
    <w:rsid w:val="00FE72EF"/>
    <w:rsid w:val="00FF4262"/>
    <w:rsid w:val="00FF7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4E5053" w:themeColor="text1"/>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C10BA"/>
    <w:pPr>
      <w:spacing w:before="120" w:after="120"/>
    </w:pPr>
  </w:style>
  <w:style w:type="paragraph" w:styleId="Heading1">
    <w:name w:val="heading 1"/>
    <w:basedOn w:val="Normal"/>
    <w:next w:val="Normal"/>
    <w:link w:val="Heading1Char"/>
    <w:uiPriority w:val="9"/>
    <w:qFormat/>
    <w:rsid w:val="000D46C2"/>
    <w:pPr>
      <w:keepNext/>
      <w:keepLines/>
      <w:pageBreakBefore/>
      <w:numPr>
        <w:numId w:val="3"/>
      </w:numPr>
      <w:pBdr>
        <w:bottom w:val="single" w:sz="4" w:space="1" w:color="003569" w:themeColor="accent3"/>
      </w:pBdr>
      <w:spacing w:after="240" w:line="240" w:lineRule="auto"/>
      <w:ind w:left="431" w:hanging="431"/>
      <w:jc w:val="left"/>
      <w:outlineLvl w:val="0"/>
    </w:pPr>
    <w:rPr>
      <w:rFonts w:ascii="Calibri" w:eastAsiaTheme="majorEastAsia" w:hAnsi="Calibri" w:cstheme="majorBidi"/>
      <w:b/>
      <w:bCs/>
      <w:sz w:val="48"/>
      <w:szCs w:val="28"/>
    </w:rPr>
  </w:style>
  <w:style w:type="paragraph" w:styleId="Heading2">
    <w:name w:val="heading 2"/>
    <w:basedOn w:val="Normal"/>
    <w:next w:val="Normal"/>
    <w:link w:val="Heading2Char"/>
    <w:uiPriority w:val="9"/>
    <w:unhideWhenUsed/>
    <w:qFormat/>
    <w:rsid w:val="00793BCC"/>
    <w:pPr>
      <w:keepNext/>
      <w:keepLines/>
      <w:numPr>
        <w:ilvl w:val="1"/>
        <w:numId w:val="3"/>
      </w:numPr>
      <w:spacing w:before="200" w:line="240" w:lineRule="auto"/>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793BCC"/>
    <w:pPr>
      <w:keepNext/>
      <w:keepLines/>
      <w:numPr>
        <w:ilvl w:val="2"/>
        <w:numId w:val="3"/>
      </w:numPr>
      <w:spacing w:before="200"/>
      <w:outlineLvl w:val="2"/>
    </w:pPr>
    <w:rPr>
      <w:rFonts w:ascii="Calibri" w:eastAsiaTheme="majorEastAsia" w:hAnsi="Calibri" w:cstheme="majorBidi"/>
      <w:b/>
      <w:bCs/>
      <w:sz w:val="26"/>
      <w:szCs w:val="26"/>
    </w:rPr>
  </w:style>
  <w:style w:type="paragraph" w:styleId="Heading4">
    <w:name w:val="heading 4"/>
    <w:basedOn w:val="Normal"/>
    <w:next w:val="Normal"/>
    <w:link w:val="Heading4Char"/>
    <w:uiPriority w:val="9"/>
    <w:unhideWhenUsed/>
    <w:qFormat/>
    <w:rsid w:val="00793BCC"/>
    <w:pPr>
      <w:keepNext/>
      <w:keepLines/>
      <w:numPr>
        <w:ilvl w:val="3"/>
        <w:numId w:val="3"/>
      </w:num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8C10BA"/>
    <w:pPr>
      <w:keepNext/>
      <w:keepLines/>
      <w:numPr>
        <w:ilvl w:val="4"/>
        <w:numId w:val="3"/>
      </w:numPr>
      <w:spacing w:before="200"/>
      <w:outlineLvl w:val="4"/>
    </w:pPr>
    <w:rPr>
      <w:rFonts w:ascii="Calibri" w:eastAsiaTheme="majorEastAsia" w:hAnsi="Calibri" w:cstheme="majorBidi"/>
      <w:i/>
    </w:rPr>
  </w:style>
  <w:style w:type="paragraph" w:styleId="Heading6">
    <w:name w:val="heading 6"/>
    <w:basedOn w:val="Normal"/>
    <w:next w:val="Normal"/>
    <w:link w:val="Heading6Char"/>
    <w:uiPriority w:val="9"/>
    <w:unhideWhenUsed/>
    <w:rsid w:val="008C10BA"/>
    <w:pPr>
      <w:keepNext/>
      <w:keepLines/>
      <w:numPr>
        <w:ilvl w:val="5"/>
        <w:numId w:val="3"/>
      </w:numPr>
      <w:spacing w:before="200"/>
      <w:outlineLvl w:val="5"/>
    </w:pPr>
    <w:rPr>
      <w:rFonts w:ascii="Calibri" w:eastAsiaTheme="majorEastAsia" w:hAnsi="Calibri" w:cstheme="majorBidi"/>
      <w:i/>
      <w:iCs/>
    </w:rPr>
  </w:style>
  <w:style w:type="paragraph" w:styleId="Heading7">
    <w:name w:val="heading 7"/>
    <w:basedOn w:val="Normal"/>
    <w:next w:val="Normal"/>
    <w:link w:val="Heading7Char"/>
    <w:uiPriority w:val="9"/>
    <w:semiHidden/>
    <w:unhideWhenUsed/>
    <w:rsid w:val="008C10BA"/>
    <w:pPr>
      <w:keepNext/>
      <w:keepLines/>
      <w:numPr>
        <w:ilvl w:val="6"/>
        <w:numId w:val="3"/>
      </w:numPr>
      <w:spacing w:before="200"/>
      <w:outlineLvl w:val="6"/>
    </w:pPr>
    <w:rPr>
      <w:rFonts w:ascii="Calibri" w:eastAsiaTheme="majorEastAsia" w:hAnsi="Calibri" w:cstheme="majorBidi"/>
      <w:i/>
      <w:iCs/>
    </w:rPr>
  </w:style>
  <w:style w:type="paragraph" w:styleId="Heading8">
    <w:name w:val="heading 8"/>
    <w:basedOn w:val="Normal"/>
    <w:next w:val="Normal"/>
    <w:link w:val="Heading8Char"/>
    <w:uiPriority w:val="9"/>
    <w:unhideWhenUsed/>
    <w:rsid w:val="008C10BA"/>
    <w:pPr>
      <w:keepNext/>
      <w:keepLines/>
      <w:numPr>
        <w:ilvl w:val="7"/>
        <w:numId w:val="3"/>
      </w:numPr>
      <w:spacing w:before="200"/>
      <w:outlineLvl w:val="7"/>
    </w:pPr>
    <w:rPr>
      <w:rFonts w:ascii="Calibri" w:eastAsiaTheme="majorEastAsia" w:hAnsi="Calibri" w:cstheme="majorBidi"/>
      <w:sz w:val="20"/>
      <w:szCs w:val="20"/>
    </w:rPr>
  </w:style>
  <w:style w:type="paragraph" w:styleId="Heading9">
    <w:name w:val="heading 9"/>
    <w:basedOn w:val="Normal"/>
    <w:next w:val="Normal"/>
    <w:link w:val="Heading9Char"/>
    <w:uiPriority w:val="9"/>
    <w:unhideWhenUsed/>
    <w:rsid w:val="008C10BA"/>
    <w:pPr>
      <w:keepNext/>
      <w:keepLines/>
      <w:numPr>
        <w:ilvl w:val="8"/>
        <w:numId w:val="3"/>
      </w:numPr>
      <w:spacing w:before="200"/>
      <w:outlineLvl w:val="8"/>
    </w:pPr>
    <w:rPr>
      <w:rFonts w:ascii="Calibri" w:eastAsiaTheme="majorEastAsia" w:hAnsi="Calibri" w:cstheme="majorBidi"/>
      <w:i/>
      <w:iCs/>
      <w:color w:val="4E5053"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6C2"/>
    <w:rPr>
      <w:rFonts w:ascii="Calibri" w:eastAsiaTheme="majorEastAsia" w:hAnsi="Calibri" w:cstheme="majorBidi"/>
      <w:b/>
      <w:bCs/>
      <w:sz w:val="48"/>
      <w:szCs w:val="28"/>
    </w:rPr>
  </w:style>
  <w:style w:type="character" w:customStyle="1" w:styleId="Heading2Char">
    <w:name w:val="Heading 2 Char"/>
    <w:basedOn w:val="DefaultParagraphFont"/>
    <w:link w:val="Heading2"/>
    <w:uiPriority w:val="9"/>
    <w:rsid w:val="00793BCC"/>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793BCC"/>
    <w:rPr>
      <w:rFonts w:ascii="Calibri" w:eastAsiaTheme="majorEastAsia" w:hAnsi="Calibri" w:cstheme="majorBidi"/>
      <w:b/>
      <w:bCs/>
      <w:sz w:val="26"/>
      <w:szCs w:val="26"/>
    </w:rPr>
  </w:style>
  <w:style w:type="character" w:customStyle="1" w:styleId="Heading4Char">
    <w:name w:val="Heading 4 Char"/>
    <w:basedOn w:val="DefaultParagraphFont"/>
    <w:link w:val="Heading4"/>
    <w:uiPriority w:val="9"/>
    <w:rsid w:val="00793BCC"/>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8C10BA"/>
    <w:rPr>
      <w:rFonts w:ascii="Calibri" w:eastAsiaTheme="majorEastAsia" w:hAnsi="Calibri" w:cstheme="majorBidi"/>
      <w:i/>
    </w:rPr>
  </w:style>
  <w:style w:type="character" w:customStyle="1" w:styleId="Heading6Char">
    <w:name w:val="Heading 6 Char"/>
    <w:basedOn w:val="DefaultParagraphFont"/>
    <w:link w:val="Heading6"/>
    <w:uiPriority w:val="9"/>
    <w:rsid w:val="008C10BA"/>
    <w:rPr>
      <w:rFonts w:ascii="Calibri" w:eastAsiaTheme="majorEastAsia" w:hAnsi="Calibri" w:cstheme="majorBidi"/>
      <w:i/>
      <w:iCs/>
    </w:rPr>
  </w:style>
  <w:style w:type="character" w:customStyle="1" w:styleId="Heading7Char">
    <w:name w:val="Heading 7 Char"/>
    <w:basedOn w:val="DefaultParagraphFont"/>
    <w:link w:val="Heading7"/>
    <w:uiPriority w:val="9"/>
    <w:semiHidden/>
    <w:rsid w:val="008C10BA"/>
    <w:rPr>
      <w:rFonts w:ascii="Calibri" w:eastAsiaTheme="majorEastAsia" w:hAnsi="Calibri" w:cstheme="majorBidi"/>
      <w:i/>
      <w:iCs/>
    </w:rPr>
  </w:style>
  <w:style w:type="character" w:customStyle="1" w:styleId="Heading8Char">
    <w:name w:val="Heading 8 Char"/>
    <w:basedOn w:val="DefaultParagraphFont"/>
    <w:link w:val="Heading8"/>
    <w:uiPriority w:val="9"/>
    <w:rsid w:val="008C10BA"/>
    <w:rPr>
      <w:rFonts w:ascii="Calibri" w:eastAsiaTheme="majorEastAsia" w:hAnsi="Calibri" w:cstheme="majorBidi"/>
      <w:sz w:val="20"/>
      <w:szCs w:val="20"/>
    </w:rPr>
  </w:style>
  <w:style w:type="character" w:customStyle="1" w:styleId="Heading9Char">
    <w:name w:val="Heading 9 Char"/>
    <w:basedOn w:val="DefaultParagraphFont"/>
    <w:link w:val="Heading9"/>
    <w:uiPriority w:val="9"/>
    <w:semiHidden/>
    <w:rsid w:val="008C10BA"/>
    <w:rPr>
      <w:rFonts w:ascii="Calibri" w:eastAsiaTheme="majorEastAsia" w:hAnsi="Calibri" w:cstheme="majorBidi"/>
      <w:i/>
      <w:iCs/>
      <w:color w:val="4E5053" w:themeColor="text2"/>
      <w:sz w:val="20"/>
      <w:szCs w:val="20"/>
    </w:rPr>
  </w:style>
  <w:style w:type="paragraph" w:styleId="Caption">
    <w:name w:val="caption"/>
    <w:basedOn w:val="Normal"/>
    <w:next w:val="Normal"/>
    <w:uiPriority w:val="35"/>
    <w:unhideWhenUsed/>
    <w:qFormat/>
    <w:rsid w:val="007960C7"/>
    <w:pPr>
      <w:keepNext/>
      <w:spacing w:before="0" w:after="0" w:line="240" w:lineRule="auto"/>
    </w:pPr>
    <w:rPr>
      <w:b/>
      <w:bCs/>
    </w:rPr>
  </w:style>
  <w:style w:type="paragraph" w:styleId="Title">
    <w:name w:val="Title"/>
    <w:basedOn w:val="Normal"/>
    <w:next w:val="Normal"/>
    <w:link w:val="TitleChar"/>
    <w:uiPriority w:val="10"/>
    <w:rsid w:val="00A83EDE"/>
    <w:pPr>
      <w:pBdr>
        <w:bottom w:val="single" w:sz="8" w:space="4" w:color="68B937"/>
      </w:pBdr>
      <w:spacing w:after="300" w:line="240" w:lineRule="auto"/>
      <w:contextualSpacing/>
    </w:pPr>
    <w:rPr>
      <w:rFonts w:ascii="Calibri" w:eastAsiaTheme="majorEastAsia" w:hAnsi="Calibri" w:cstheme="majorBidi"/>
      <w:b/>
      <w:color w:val="EF7F04" w:themeColor="accent4"/>
      <w:spacing w:val="5"/>
      <w:kern w:val="28"/>
      <w:sz w:val="48"/>
      <w:szCs w:val="52"/>
    </w:rPr>
  </w:style>
  <w:style w:type="character" w:customStyle="1" w:styleId="TitleChar">
    <w:name w:val="Title Char"/>
    <w:basedOn w:val="DefaultParagraphFont"/>
    <w:link w:val="Title"/>
    <w:uiPriority w:val="10"/>
    <w:rsid w:val="00A83EDE"/>
    <w:rPr>
      <w:rFonts w:ascii="Calibri" w:eastAsiaTheme="majorEastAsia" w:hAnsi="Calibri" w:cstheme="majorBidi"/>
      <w:b/>
      <w:color w:val="EF7F04" w:themeColor="accent4"/>
      <w:spacing w:val="5"/>
      <w:kern w:val="28"/>
      <w:sz w:val="48"/>
      <w:szCs w:val="52"/>
    </w:rPr>
  </w:style>
  <w:style w:type="paragraph" w:styleId="Subtitle">
    <w:name w:val="Subtitle"/>
    <w:basedOn w:val="Normal"/>
    <w:next w:val="Normal"/>
    <w:link w:val="SubtitleChar"/>
    <w:uiPriority w:val="11"/>
    <w:rsid w:val="000E5B6C"/>
    <w:pPr>
      <w:numPr>
        <w:ilvl w:val="1"/>
      </w:numPr>
    </w:pPr>
    <w:rPr>
      <w:rFonts w:ascii="Calibri" w:eastAsiaTheme="majorEastAsia" w:hAnsi="Calibri" w:cstheme="majorBidi"/>
      <w:i/>
      <w:iCs/>
      <w:color w:val="auto"/>
      <w:spacing w:val="15"/>
      <w:sz w:val="24"/>
      <w:szCs w:val="24"/>
    </w:rPr>
  </w:style>
  <w:style w:type="character" w:customStyle="1" w:styleId="SubtitleChar">
    <w:name w:val="Subtitle Char"/>
    <w:basedOn w:val="DefaultParagraphFont"/>
    <w:link w:val="Subtitle"/>
    <w:uiPriority w:val="11"/>
    <w:rsid w:val="000E5B6C"/>
    <w:rPr>
      <w:rFonts w:ascii="Calibri" w:eastAsiaTheme="majorEastAsia" w:hAnsi="Calibri" w:cstheme="majorBidi"/>
      <w:i/>
      <w:iCs/>
      <w:spacing w:val="15"/>
      <w:sz w:val="24"/>
      <w:szCs w:val="24"/>
    </w:rPr>
  </w:style>
  <w:style w:type="character" w:styleId="Strong">
    <w:name w:val="Strong"/>
    <w:basedOn w:val="DefaultParagraphFont"/>
    <w:uiPriority w:val="22"/>
    <w:rsid w:val="00E5018E"/>
    <w:rPr>
      <w:b/>
      <w:bCs/>
    </w:rPr>
  </w:style>
  <w:style w:type="character" w:styleId="Emphasis">
    <w:name w:val="Emphasis"/>
    <w:basedOn w:val="DefaultParagraphFont"/>
    <w:uiPriority w:val="20"/>
    <w:rsid w:val="000E5B6C"/>
    <w:rPr>
      <w:rFonts w:ascii="Calibri" w:hAnsi="Calibri"/>
      <w:i/>
      <w:iCs/>
      <w:color w:val="auto"/>
      <w:sz w:val="22"/>
    </w:rPr>
  </w:style>
  <w:style w:type="paragraph" w:styleId="NoSpacing">
    <w:name w:val="No Spacing"/>
    <w:link w:val="NoSpacingChar"/>
    <w:uiPriority w:val="1"/>
    <w:rsid w:val="000E5B6C"/>
    <w:pPr>
      <w:spacing w:after="0" w:line="240" w:lineRule="auto"/>
    </w:pPr>
  </w:style>
  <w:style w:type="paragraph" w:styleId="ListParagraph">
    <w:name w:val="List Paragraph"/>
    <w:aliases w:val="Bullet1"/>
    <w:basedOn w:val="Normal"/>
    <w:link w:val="ListParagraphChar"/>
    <w:uiPriority w:val="10"/>
    <w:qFormat/>
    <w:rsid w:val="00F06DAC"/>
    <w:pPr>
      <w:numPr>
        <w:numId w:val="7"/>
      </w:numPr>
    </w:pPr>
    <w:rPr>
      <w:rFonts w:eastAsiaTheme="majorEastAsia"/>
    </w:rPr>
  </w:style>
  <w:style w:type="paragraph" w:styleId="Quote">
    <w:name w:val="Quote"/>
    <w:basedOn w:val="Normal"/>
    <w:next w:val="Normal"/>
    <w:link w:val="QuoteChar"/>
    <w:uiPriority w:val="29"/>
    <w:rsid w:val="000E5B6C"/>
    <w:rPr>
      <w:i/>
      <w:iCs/>
      <w:color w:val="EF7F04"/>
    </w:rPr>
  </w:style>
  <w:style w:type="character" w:customStyle="1" w:styleId="QuoteChar">
    <w:name w:val="Quote Char"/>
    <w:basedOn w:val="DefaultParagraphFont"/>
    <w:link w:val="Quote"/>
    <w:uiPriority w:val="29"/>
    <w:rsid w:val="000E5B6C"/>
    <w:rPr>
      <w:i/>
      <w:iCs/>
      <w:color w:val="EF7F04"/>
    </w:rPr>
  </w:style>
  <w:style w:type="paragraph" w:styleId="IntenseQuote">
    <w:name w:val="Intense Quote"/>
    <w:basedOn w:val="Normal"/>
    <w:next w:val="Normal"/>
    <w:link w:val="IntenseQuoteChar"/>
    <w:uiPriority w:val="30"/>
    <w:rsid w:val="000E5B6C"/>
    <w:pPr>
      <w:pBdr>
        <w:bottom w:val="single" w:sz="4" w:space="4" w:color="68B937" w:themeColor="accent1"/>
      </w:pBdr>
      <w:spacing w:before="200" w:after="280"/>
      <w:ind w:left="936" w:right="936"/>
    </w:pPr>
    <w:rPr>
      <w:b/>
      <w:bCs/>
      <w:i/>
      <w:iCs/>
      <w:color w:val="EF7F04"/>
    </w:rPr>
  </w:style>
  <w:style w:type="character" w:customStyle="1" w:styleId="IntenseQuoteChar">
    <w:name w:val="Intense Quote Char"/>
    <w:basedOn w:val="DefaultParagraphFont"/>
    <w:link w:val="IntenseQuote"/>
    <w:uiPriority w:val="30"/>
    <w:rsid w:val="000E5B6C"/>
    <w:rPr>
      <w:b/>
      <w:bCs/>
      <w:i/>
      <w:iCs/>
      <w:color w:val="EF7F04"/>
    </w:rPr>
  </w:style>
  <w:style w:type="character" w:styleId="SubtleEmphasis">
    <w:name w:val="Subtle Emphasis"/>
    <w:basedOn w:val="DefaultParagraphFont"/>
    <w:uiPriority w:val="19"/>
    <w:rsid w:val="006562CA"/>
    <w:rPr>
      <w:rFonts w:ascii="Calibri" w:hAnsi="Calibri"/>
      <w:i/>
      <w:iCs/>
      <w:color w:val="4E5053"/>
    </w:rPr>
  </w:style>
  <w:style w:type="character" w:styleId="IntenseEmphasis">
    <w:name w:val="Intense Emphasis"/>
    <w:basedOn w:val="DefaultParagraphFont"/>
    <w:uiPriority w:val="21"/>
    <w:rsid w:val="000E5B6C"/>
    <w:rPr>
      <w:rFonts w:asciiTheme="minorHAnsi" w:hAnsiTheme="minorHAnsi"/>
      <w:b/>
      <w:bCs/>
      <w:i/>
      <w:iCs/>
      <w:color w:val="EF7F04" w:themeColor="accent4"/>
      <w:sz w:val="22"/>
    </w:rPr>
  </w:style>
  <w:style w:type="character" w:styleId="SubtleReference">
    <w:name w:val="Subtle Reference"/>
    <w:basedOn w:val="DefaultParagraphFont"/>
    <w:uiPriority w:val="31"/>
    <w:rsid w:val="008323B2"/>
    <w:rPr>
      <w:rFonts w:ascii="Calibri" w:hAnsi="Calibri"/>
      <w:smallCaps/>
      <w:color w:val="E52126"/>
      <w:u w:val="single"/>
    </w:rPr>
  </w:style>
  <w:style w:type="character" w:styleId="IntenseReference">
    <w:name w:val="Intense Reference"/>
    <w:basedOn w:val="DefaultParagraphFont"/>
    <w:uiPriority w:val="32"/>
    <w:rsid w:val="008323B2"/>
    <w:rPr>
      <w:rFonts w:ascii="Calibri" w:hAnsi="Calibri"/>
      <w:b/>
      <w:bCs/>
      <w:smallCaps/>
      <w:color w:val="E52126"/>
      <w:spacing w:val="5"/>
      <w:u w:val="single"/>
    </w:rPr>
  </w:style>
  <w:style w:type="character" w:styleId="BookTitle">
    <w:name w:val="Book Title"/>
    <w:basedOn w:val="DefaultParagraphFont"/>
    <w:uiPriority w:val="33"/>
    <w:rsid w:val="008323B2"/>
    <w:rPr>
      <w:rFonts w:ascii="Calibri" w:hAnsi="Calibri"/>
      <w:b/>
      <w:bCs/>
      <w:smallCaps/>
      <w:spacing w:val="5"/>
    </w:rPr>
  </w:style>
  <w:style w:type="paragraph" w:styleId="TOCHeading">
    <w:name w:val="TOC Heading"/>
    <w:basedOn w:val="Heading1"/>
    <w:next w:val="Normal"/>
    <w:uiPriority w:val="39"/>
    <w:unhideWhenUsed/>
    <w:qFormat/>
    <w:rsid w:val="002D13CD"/>
    <w:pPr>
      <w:pageBreakBefore w:val="0"/>
      <w:numPr>
        <w:numId w:val="0"/>
      </w:numPr>
      <w:spacing w:before="480" w:after="960"/>
      <w:outlineLvl w:val="9"/>
    </w:pPr>
    <w:rPr>
      <w:lang w:eastAsia="ja-JP"/>
    </w:rPr>
  </w:style>
  <w:style w:type="paragraph" w:styleId="BalloonText">
    <w:name w:val="Balloon Text"/>
    <w:basedOn w:val="Normal"/>
    <w:link w:val="BalloonTextChar"/>
    <w:uiPriority w:val="99"/>
    <w:semiHidden/>
    <w:unhideWhenUsed/>
    <w:rsid w:val="00E501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8E"/>
    <w:rPr>
      <w:rFonts w:ascii="Tahoma" w:hAnsi="Tahoma" w:cs="Tahoma"/>
      <w:sz w:val="16"/>
      <w:szCs w:val="16"/>
    </w:rPr>
  </w:style>
  <w:style w:type="paragraph" w:customStyle="1" w:styleId="Coverproposalcode">
    <w:name w:val="Cover proposal code"/>
    <w:basedOn w:val="Normal"/>
    <w:uiPriority w:val="99"/>
    <w:rsid w:val="00611AE1"/>
    <w:pPr>
      <w:tabs>
        <w:tab w:val="num" w:pos="284"/>
      </w:tabs>
      <w:spacing w:before="60" w:after="60" w:line="240" w:lineRule="auto"/>
      <w:ind w:left="290" w:right="-5608" w:hanging="6"/>
    </w:pPr>
    <w:rPr>
      <w:rFonts w:ascii="Calibri" w:eastAsia="Times New Roman" w:hAnsi="Calibri" w:cs="Calibri"/>
      <w:b/>
      <w:bCs/>
      <w:color w:val="FFFFFF"/>
      <w:sz w:val="30"/>
      <w:szCs w:val="30"/>
      <w:lang w:eastAsia="ja-JP"/>
    </w:rPr>
  </w:style>
  <w:style w:type="paragraph" w:styleId="Header">
    <w:name w:val="header"/>
    <w:basedOn w:val="Normal"/>
    <w:link w:val="HeaderChar"/>
    <w:uiPriority w:val="99"/>
    <w:unhideWhenUsed/>
    <w:rsid w:val="004D0376"/>
    <w:pPr>
      <w:tabs>
        <w:tab w:val="center" w:pos="4680"/>
        <w:tab w:val="right" w:pos="9360"/>
      </w:tabs>
      <w:spacing w:line="240" w:lineRule="auto"/>
    </w:pPr>
  </w:style>
  <w:style w:type="character" w:customStyle="1" w:styleId="HeaderChar">
    <w:name w:val="Header Char"/>
    <w:basedOn w:val="DefaultParagraphFont"/>
    <w:link w:val="Header"/>
    <w:uiPriority w:val="99"/>
    <w:rsid w:val="004D0376"/>
    <w:rPr>
      <w:color w:val="4E5053"/>
    </w:rPr>
  </w:style>
  <w:style w:type="paragraph" w:styleId="Footer">
    <w:name w:val="footer"/>
    <w:basedOn w:val="Normal"/>
    <w:link w:val="FooterChar"/>
    <w:unhideWhenUsed/>
    <w:rsid w:val="00611AE1"/>
    <w:pPr>
      <w:tabs>
        <w:tab w:val="center" w:pos="4680"/>
        <w:tab w:val="right" w:pos="9360"/>
      </w:tabs>
      <w:spacing w:line="240" w:lineRule="auto"/>
    </w:pPr>
    <w:rPr>
      <w:rFonts w:ascii="Calibri" w:hAnsi="Calibri"/>
      <w:sz w:val="18"/>
    </w:rPr>
  </w:style>
  <w:style w:type="character" w:customStyle="1" w:styleId="FooterChar">
    <w:name w:val="Footer Char"/>
    <w:basedOn w:val="DefaultParagraphFont"/>
    <w:link w:val="Footer"/>
    <w:rsid w:val="00611AE1"/>
    <w:rPr>
      <w:rFonts w:ascii="Calibri" w:hAnsi="Calibri"/>
      <w:sz w:val="18"/>
    </w:rPr>
  </w:style>
  <w:style w:type="paragraph" w:styleId="TOC1">
    <w:name w:val="toc 1"/>
    <w:basedOn w:val="Normal"/>
    <w:next w:val="Normal"/>
    <w:autoRedefine/>
    <w:uiPriority w:val="39"/>
    <w:unhideWhenUsed/>
    <w:rsid w:val="003A6528"/>
    <w:pPr>
      <w:tabs>
        <w:tab w:val="left" w:pos="440"/>
        <w:tab w:val="right" w:leader="dot" w:pos="9072"/>
      </w:tabs>
      <w:spacing w:before="0" w:after="0" w:line="240" w:lineRule="auto"/>
    </w:pPr>
    <w:rPr>
      <w:rFonts w:ascii="Calibri" w:hAnsi="Calibri"/>
    </w:rPr>
  </w:style>
  <w:style w:type="paragraph" w:styleId="TOC2">
    <w:name w:val="toc 2"/>
    <w:basedOn w:val="Normal"/>
    <w:next w:val="Normal"/>
    <w:autoRedefine/>
    <w:uiPriority w:val="39"/>
    <w:unhideWhenUsed/>
    <w:rsid w:val="003A6528"/>
    <w:pPr>
      <w:tabs>
        <w:tab w:val="right" w:leader="dot" w:pos="9072"/>
      </w:tabs>
      <w:spacing w:before="0" w:after="0" w:line="240" w:lineRule="auto"/>
      <w:ind w:left="1134" w:right="737" w:hanging="709"/>
    </w:pPr>
    <w:rPr>
      <w:rFonts w:ascii="Calibri" w:hAnsi="Calibri"/>
    </w:rPr>
  </w:style>
  <w:style w:type="paragraph" w:styleId="TOC3">
    <w:name w:val="toc 3"/>
    <w:basedOn w:val="Normal"/>
    <w:next w:val="Normal"/>
    <w:autoRedefine/>
    <w:uiPriority w:val="39"/>
    <w:unhideWhenUsed/>
    <w:rsid w:val="003A6528"/>
    <w:pPr>
      <w:tabs>
        <w:tab w:val="left" w:pos="1985"/>
        <w:tab w:val="right" w:leader="dot" w:pos="9072"/>
      </w:tabs>
      <w:spacing w:before="0" w:after="0" w:line="240" w:lineRule="auto"/>
      <w:ind w:left="1985" w:right="737" w:hanging="851"/>
    </w:pPr>
    <w:rPr>
      <w:rFonts w:ascii="Calibri" w:hAnsi="Calibri"/>
    </w:rPr>
  </w:style>
  <w:style w:type="paragraph" w:styleId="TOC4">
    <w:name w:val="toc 4"/>
    <w:basedOn w:val="Normal"/>
    <w:next w:val="Normal"/>
    <w:autoRedefine/>
    <w:uiPriority w:val="39"/>
    <w:semiHidden/>
    <w:unhideWhenUsed/>
    <w:rsid w:val="003A6528"/>
    <w:pPr>
      <w:spacing w:before="0" w:after="0" w:line="240" w:lineRule="auto"/>
      <w:ind w:left="658"/>
    </w:pPr>
    <w:rPr>
      <w:rFonts w:ascii="Calibri" w:hAnsi="Calibri"/>
    </w:rPr>
  </w:style>
  <w:style w:type="paragraph" w:styleId="TOC5">
    <w:name w:val="toc 5"/>
    <w:basedOn w:val="Normal"/>
    <w:next w:val="Normal"/>
    <w:autoRedefine/>
    <w:uiPriority w:val="39"/>
    <w:semiHidden/>
    <w:unhideWhenUsed/>
    <w:rsid w:val="00470434"/>
    <w:pPr>
      <w:spacing w:after="100"/>
      <w:ind w:left="880"/>
    </w:pPr>
    <w:rPr>
      <w:rFonts w:ascii="Calibri" w:hAnsi="Calibri"/>
    </w:rPr>
  </w:style>
  <w:style w:type="paragraph" w:styleId="TOC6">
    <w:name w:val="toc 6"/>
    <w:basedOn w:val="Normal"/>
    <w:next w:val="Normal"/>
    <w:autoRedefine/>
    <w:uiPriority w:val="39"/>
    <w:semiHidden/>
    <w:unhideWhenUsed/>
    <w:rsid w:val="00470434"/>
    <w:pPr>
      <w:spacing w:after="100"/>
      <w:ind w:left="1100"/>
    </w:pPr>
  </w:style>
  <w:style w:type="table" w:styleId="TableGrid">
    <w:name w:val="Table Grid"/>
    <w:basedOn w:val="TableNormal"/>
    <w:uiPriority w:val="59"/>
    <w:rsid w:val="00B35375"/>
    <w:pPr>
      <w:spacing w:before="120" w:after="120" w:line="240" w:lineRule="auto"/>
      <w:jc w:val="left"/>
    </w:p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styleId="MediumShading2-Accent1">
    <w:name w:val="Medium Shading 2 Accent 1"/>
    <w:basedOn w:val="TableNormal"/>
    <w:uiPriority w:val="64"/>
    <w:rsid w:val="00E7260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93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937" w:themeFill="accent1"/>
      </w:tcPr>
    </w:tblStylePr>
    <w:tblStylePr w:type="lastCol">
      <w:rPr>
        <w:b/>
        <w:bCs/>
        <w:color w:val="FFFFFF" w:themeColor="background1"/>
      </w:rPr>
      <w:tblPr/>
      <w:tcPr>
        <w:tcBorders>
          <w:left w:val="nil"/>
          <w:right w:val="nil"/>
          <w:insideH w:val="nil"/>
          <w:insideV w:val="nil"/>
        </w:tcBorders>
        <w:shd w:val="clear" w:color="auto" w:fill="68B93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576C38"/>
    <w:pPr>
      <w:spacing w:before="120" w:after="12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tblBorders>
    </w:tblPr>
    <w:tcPr>
      <w:shd w:val="clear" w:color="auto" w:fill="auto"/>
    </w:tcPr>
    <w:tblStylePr w:type="firstRow">
      <w:pPr>
        <w:wordWrap/>
        <w:spacing w:beforeLines="0" w:before="120" w:beforeAutospacing="0" w:afterLines="0" w:after="120" w:afterAutospacing="0" w:line="240" w:lineRule="auto"/>
        <w:jc w:val="left"/>
      </w:pPr>
      <w:rPr>
        <w:rFonts w:asciiTheme="minorHAnsi" w:hAnsiTheme="minorHAnsi"/>
        <w:b/>
        <w:bCs/>
        <w:color w:val="FFFFFF" w:themeColor="background1"/>
        <w:sz w:val="22"/>
      </w:rPr>
      <w:tblPr/>
      <w:tcPr>
        <w:tcBorders>
          <w:top w:val="nil"/>
          <w:left w:val="single" w:sz="4" w:space="0" w:color="68B937" w:themeColor="accent1"/>
          <w:bottom w:val="nil"/>
          <w:right w:val="nil"/>
          <w:insideH w:val="nil"/>
          <w:insideV w:val="nil"/>
          <w:tl2br w:val="nil"/>
          <w:tr2bl w:val="nil"/>
        </w:tcBorders>
        <w:shd w:val="clear" w:color="auto" w:fill="68B937" w:themeFill="accent1"/>
      </w:tcPr>
    </w:tblStylePr>
    <w:tblStylePr w:type="lastRow">
      <w:pPr>
        <w:spacing w:before="0" w:after="0" w:line="240" w:lineRule="auto"/>
      </w:pPr>
      <w:rPr>
        <w:b/>
        <w:bCs/>
      </w:rPr>
      <w:tblPr/>
      <w:tcPr>
        <w:tcBorders>
          <w:top w:val="single" w:sz="8" w:space="0" w:color="68B937" w:themeColor="accent1"/>
          <w:left w:val="nil"/>
          <w:bottom w:val="single" w:sz="8" w:space="0" w:color="68B937"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basedOn w:val="TableNormal"/>
    <w:uiPriority w:val="60"/>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A6CB" w:themeFill="accent2"/>
      </w:tcPr>
    </w:tblStylePr>
    <w:tblStylePr w:type="lastRow">
      <w:pPr>
        <w:spacing w:before="0" w:after="0" w:line="240" w:lineRule="auto"/>
      </w:pPr>
      <w:rPr>
        <w:b/>
        <w:bCs/>
      </w:rPr>
      <w:tblPr/>
      <w:tcPr>
        <w:tcBorders>
          <w:top w:val="single" w:sz="8" w:space="0" w:color="00A6CB" w:themeColor="accent2"/>
          <w:left w:val="nil"/>
          <w:bottom w:val="single" w:sz="8" w:space="0" w:color="00A6CB" w:themeColor="accent2"/>
          <w:right w:val="nil"/>
          <w:insideH w:val="nil"/>
          <w:insideV w:val="nil"/>
        </w:tcBorders>
      </w:tcPr>
    </w:tblStylePr>
    <w:tblStylePr w:type="firstCol">
      <w:rPr>
        <w:b w:val="0"/>
        <w:bCs/>
      </w:rPr>
    </w:tblStylePr>
    <w:tblStylePr w:type="lastCol">
      <w:rPr>
        <w:b w:val="0"/>
        <w:bCs/>
      </w:rPr>
    </w:tblStylePr>
  </w:style>
  <w:style w:type="table" w:styleId="LightShading-Accent3">
    <w:name w:val="Light Shading Accent 3"/>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3569" w:themeFill="accent3"/>
      </w:tcPr>
    </w:tblStylePr>
    <w:tblStylePr w:type="lastRow">
      <w:pPr>
        <w:spacing w:before="0" w:after="0" w:line="240" w:lineRule="auto"/>
      </w:pPr>
      <w:rPr>
        <w:b/>
        <w:bCs/>
      </w:rPr>
      <w:tblPr/>
      <w:tcPr>
        <w:tcBorders>
          <w:top w:val="single" w:sz="8" w:space="0" w:color="003569" w:themeColor="accent3"/>
          <w:left w:val="nil"/>
          <w:bottom w:val="single" w:sz="8" w:space="0" w:color="003569" w:themeColor="accent3"/>
          <w:right w:val="nil"/>
          <w:insideH w:val="nil"/>
          <w:insideV w:val="nil"/>
        </w:tcBorders>
      </w:tcPr>
    </w:tblStylePr>
    <w:tblStylePr w:type="firstCol">
      <w:rPr>
        <w:b w:val="0"/>
        <w:bCs/>
      </w:rPr>
    </w:tblStylePr>
    <w:tblStylePr w:type="lastCol">
      <w:rPr>
        <w:b w:val="0"/>
        <w:bCs/>
      </w:rPr>
    </w:tblStylePr>
  </w:style>
  <w:style w:type="table" w:styleId="LightShading-Accent4">
    <w:name w:val="Light Shading Accent 4"/>
    <w:basedOn w:val="TableNormal"/>
    <w:uiPriority w:val="60"/>
    <w:rsid w:val="00576C38"/>
    <w:pPr>
      <w:spacing w:before="120" w:after="120" w:line="240" w:lineRule="auto"/>
      <w:jc w:val="left"/>
    </w:pPr>
    <w:rPr>
      <w:color w:val="003569"/>
    </w:r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EF7F04" w:themeFill="accent4"/>
      </w:tcPr>
    </w:tblStylePr>
    <w:tblStylePr w:type="lastRow">
      <w:pPr>
        <w:spacing w:before="0" w:after="0" w:line="240" w:lineRule="auto"/>
      </w:pPr>
      <w:rPr>
        <w:b/>
        <w:bCs/>
      </w:rPr>
      <w:tblPr/>
      <w:tcPr>
        <w:tcBorders>
          <w:top w:val="single" w:sz="8" w:space="0" w:color="EF7F04" w:themeColor="accent4"/>
          <w:left w:val="nil"/>
          <w:bottom w:val="single" w:sz="8" w:space="0" w:color="EF7F04" w:themeColor="accent4"/>
          <w:right w:val="nil"/>
          <w:insideH w:val="nil"/>
          <w:insideV w:val="nil"/>
        </w:tcBorders>
      </w:tcPr>
    </w:tblStylePr>
    <w:tblStylePr w:type="firstCol">
      <w:rPr>
        <w:b w:val="0"/>
        <w:bCs/>
      </w:rPr>
    </w:tblStylePr>
    <w:tblStylePr w:type="lastCol">
      <w:rPr>
        <w:b/>
        <w:bCs/>
      </w:rPr>
    </w:tblStylePr>
  </w:style>
  <w:style w:type="table" w:styleId="LightShading-Accent5">
    <w:name w:val="Light Shading Accent 5"/>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4E5053" w:themeFill="text1"/>
      </w:tcPr>
    </w:tblStylePr>
    <w:tblStylePr w:type="lastRow">
      <w:pPr>
        <w:spacing w:before="0" w:after="0" w:line="240" w:lineRule="auto"/>
      </w:pPr>
      <w:rPr>
        <w:b/>
        <w:bCs/>
      </w:rPr>
      <w:tblPr/>
      <w:tcPr>
        <w:tcBorders>
          <w:top w:val="single" w:sz="8" w:space="0" w:color="008380" w:themeColor="accent5"/>
          <w:left w:val="nil"/>
          <w:bottom w:val="single" w:sz="8" w:space="0" w:color="008380" w:themeColor="accent5"/>
          <w:right w:val="nil"/>
          <w:insideH w:val="nil"/>
          <w:insideV w:val="nil"/>
        </w:tcBorders>
      </w:tcPr>
    </w:tblStylePr>
    <w:tblStylePr w:type="firstCol">
      <w:rPr>
        <w:b w:val="0"/>
        <w:bCs/>
      </w:rPr>
    </w:tblStylePr>
    <w:tblStylePr w:type="lastCol">
      <w:rPr>
        <w:b w:val="0"/>
        <w:bCs/>
      </w:rPr>
    </w:tblStylePr>
  </w:style>
  <w:style w:type="table" w:styleId="LightShading-Accent6">
    <w:name w:val="Light Shading Accent 6"/>
    <w:basedOn w:val="TableNormal"/>
    <w:uiPriority w:val="60"/>
    <w:rsid w:val="00576C38"/>
    <w:pPr>
      <w:spacing w:before="120" w:after="120" w:line="240" w:lineRule="auto"/>
      <w:jc w:val="left"/>
    </w:pPr>
    <w:tblPr>
      <w:tblStyleRowBandSize w:val="1"/>
      <w:tblStyleColBandSize w:val="1"/>
      <w:tblBorders>
        <w:top w:val="single" w:sz="4" w:space="0" w:color="FFBB2D" w:themeColor="accent6"/>
        <w:left w:val="single" w:sz="4" w:space="0" w:color="FFBB2D" w:themeColor="accent6"/>
        <w:bottom w:val="single" w:sz="4" w:space="0" w:color="FFBB2D" w:themeColor="accent6"/>
        <w:right w:val="single" w:sz="4" w:space="0" w:color="FFBB2D" w:themeColor="accent6"/>
        <w:insideH w:val="single" w:sz="4" w:space="0" w:color="FFBB2D" w:themeColor="accent6"/>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single" w:sz="8" w:space="0" w:color="FFBB2D" w:themeColor="accent6"/>
          <w:left w:val="nil"/>
          <w:bottom w:val="single" w:sz="8" w:space="0" w:color="FFBB2D" w:themeColor="accent6"/>
          <w:right w:val="nil"/>
          <w:insideH w:val="nil"/>
          <w:insideV w:val="nil"/>
        </w:tcBorders>
      </w:tcPr>
    </w:tblStylePr>
    <w:tblStylePr w:type="firstCol">
      <w:rPr>
        <w:b w:val="0"/>
        <w:bCs/>
      </w:rPr>
    </w:tblStylePr>
    <w:tblStylePr w:type="lastCol">
      <w:rPr>
        <w:b w:val="0"/>
        <w:bCs/>
      </w:rPr>
    </w:tblStylePr>
  </w:style>
  <w:style w:type="table" w:styleId="LightList">
    <w:name w:val="Light List"/>
    <w:basedOn w:val="TableNormal"/>
    <w:uiPriority w:val="61"/>
    <w:rsid w:val="00A97A46"/>
    <w:pPr>
      <w:spacing w:before="120" w:after="120" w:line="240" w:lineRule="auto"/>
      <w:jc w:val="left"/>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2"/>
          <w:insideV w:val="single" w:sz="4" w:space="0" w:color="FFFFFF" w:themeColor="background2"/>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val="0"/>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nwCell">
      <w:tblPr/>
      <w:tcPr>
        <w:tcBorders>
          <w:left w:val="single" w:sz="4" w:space="0" w:color="4E5053" w:themeColor="text1"/>
        </w:tcBorders>
      </w:tcPr>
    </w:tblStylePr>
  </w:style>
  <w:style w:type="paragraph" w:styleId="Index1">
    <w:name w:val="index 1"/>
    <w:basedOn w:val="Normal"/>
    <w:next w:val="Normal"/>
    <w:autoRedefine/>
    <w:uiPriority w:val="99"/>
    <w:semiHidden/>
    <w:unhideWhenUsed/>
    <w:rsid w:val="00470434"/>
    <w:pPr>
      <w:spacing w:line="240" w:lineRule="auto"/>
      <w:ind w:left="220" w:hanging="220"/>
    </w:pPr>
  </w:style>
  <w:style w:type="paragraph" w:styleId="TableofFigures">
    <w:name w:val="table of figures"/>
    <w:basedOn w:val="Normal"/>
    <w:next w:val="Normal"/>
    <w:uiPriority w:val="99"/>
    <w:semiHidden/>
    <w:unhideWhenUsed/>
    <w:rsid w:val="00A43DE9"/>
  </w:style>
  <w:style w:type="character" w:styleId="Hyperlink">
    <w:name w:val="Hyperlink"/>
    <w:basedOn w:val="DefaultParagraphFont"/>
    <w:uiPriority w:val="99"/>
    <w:unhideWhenUsed/>
    <w:rsid w:val="00516FE3"/>
    <w:rPr>
      <w:color w:val="00A6CB" w:themeColor="hyperlink"/>
      <w:u w:val="single"/>
    </w:rPr>
  </w:style>
  <w:style w:type="table" w:styleId="MediumGrid2">
    <w:name w:val="Medium Grid 2"/>
    <w:basedOn w:val="TableNormal"/>
    <w:uiPriority w:val="68"/>
    <w:rsid w:val="00E72602"/>
    <w:pPr>
      <w:spacing w:after="0" w:line="240" w:lineRule="auto"/>
    </w:pPr>
    <w:rPr>
      <w:rFonts w:asciiTheme="majorHAnsi" w:eastAsiaTheme="majorEastAsia" w:hAnsiTheme="majorHAnsi" w:cstheme="majorBidi"/>
    </w:r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cPr>
      <w:shd w:val="clear" w:color="auto" w:fill="auto"/>
    </w:tcPr>
    <w:tblStylePr w:type="firstRow">
      <w:rPr>
        <w:b/>
        <w:bCs/>
        <w:color w:val="4E5053" w:themeColor="text1"/>
      </w:rPr>
      <w:tblPr/>
      <w:tcPr>
        <w:shd w:val="clear" w:color="auto" w:fill="EDEDEE" w:themeFill="text1" w:themeFillTint="19"/>
      </w:tcPr>
    </w:tblStylePr>
    <w:tblStylePr w:type="lastRow">
      <w:rPr>
        <w:b/>
        <w:bCs/>
        <w:color w:val="4E5053" w:themeColor="text1"/>
      </w:rPr>
      <w:tblPr/>
      <w:tcPr>
        <w:tcBorders>
          <w:top w:val="single" w:sz="12" w:space="0" w:color="4E5053" w:themeColor="text1"/>
          <w:left w:val="nil"/>
          <w:bottom w:val="nil"/>
          <w:right w:val="nil"/>
          <w:insideH w:val="nil"/>
          <w:insideV w:val="nil"/>
        </w:tcBorders>
        <w:shd w:val="clear" w:color="auto" w:fill="FFFFFF" w:themeFill="background1"/>
      </w:tcPr>
    </w:tblStylePr>
    <w:tblStylePr w:type="firstCol">
      <w:rPr>
        <w:b/>
        <w:bCs/>
        <w:color w:val="4E50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E5053" w:themeColor="text1"/>
      </w:rPr>
      <w:tblPr/>
      <w:tcPr>
        <w:tcBorders>
          <w:top w:val="nil"/>
          <w:left w:val="nil"/>
          <w:bottom w:val="nil"/>
          <w:right w:val="nil"/>
          <w:insideH w:val="nil"/>
          <w:insideV w:val="nil"/>
        </w:tcBorders>
        <w:shd w:val="clear" w:color="auto" w:fill="DADBDD" w:themeFill="text1" w:themeFillTint="33"/>
      </w:tcPr>
    </w:tblStylePr>
    <w:tblStylePr w:type="band1Vert">
      <w:tblPr/>
      <w:tcPr>
        <w:shd w:val="clear" w:color="auto" w:fill="A5A7AA" w:themeFill="text1" w:themeFillTint="7F"/>
      </w:tcPr>
    </w:tblStylePr>
    <w:tblStylePr w:type="band1Horz">
      <w:tblPr/>
      <w:tcPr>
        <w:tcBorders>
          <w:insideH w:val="single" w:sz="6" w:space="0" w:color="4E5053" w:themeColor="text1"/>
          <w:insideV w:val="single" w:sz="6" w:space="0" w:color="4E5053" w:themeColor="text1"/>
        </w:tcBorders>
        <w:shd w:val="clear" w:color="auto" w:fill="A5A7AA" w:themeFill="text1"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576C38"/>
    <w:pPr>
      <w:spacing w:after="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nil"/>
          <w:left w:val="single" w:sz="4" w:space="0" w:color="FFFFFF" w:themeColor="background2"/>
          <w:bottom w:val="nil"/>
          <w:right w:val="nil"/>
          <w:insideH w:val="single" w:sz="4" w:space="0" w:color="FFFFFF" w:themeColor="background2"/>
          <w:insideV w:val="single" w:sz="4" w:space="0" w:color="FFFFFF" w:themeColor="background2"/>
        </w:tcBorders>
        <w:shd w:val="clear" w:color="auto" w:fill="68B937" w:themeFill="accent1"/>
        <w:vAlign w:val="center"/>
      </w:tcPr>
    </w:tblStylePr>
    <w:tblStylePr w:type="lastRow">
      <w:pPr>
        <w:spacing w:before="0" w:after="0" w:line="240" w:lineRule="auto"/>
      </w:pPr>
      <w:rPr>
        <w:b/>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l2br w:val="nil"/>
          <w:tr2bl w:val="nil"/>
        </w:tcBorders>
      </w:tcPr>
    </w:tblStylePr>
    <w:tblStylePr w:type="fir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la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themeColor="accent1"/>
          <w:bottom w:val="nil"/>
          <w:right w:val="nil"/>
          <w:insideH w:val="nil"/>
          <w:insideV w:val="nil"/>
        </w:tcBorders>
      </w:tcPr>
    </w:tblStylePr>
    <w:tblStylePr w:type="seCell">
      <w:pPr>
        <w:wordWrap/>
        <w:contextualSpacing w:val="0"/>
        <w:mirrorIndents w:val="0"/>
      </w:p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swCell">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style>
  <w:style w:type="table" w:styleId="MediumShading2-Accent2">
    <w:name w:val="Medium Shading 2 Accent 2"/>
    <w:basedOn w:val="TableNormal"/>
    <w:uiPriority w:val="64"/>
    <w:rsid w:val="00FD77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6C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6CB" w:themeFill="accent2"/>
      </w:tcPr>
    </w:tblStylePr>
    <w:tblStylePr w:type="lastCol">
      <w:rPr>
        <w:b/>
        <w:bCs/>
        <w:color w:val="FFFFFF" w:themeColor="background1"/>
      </w:rPr>
      <w:tblPr/>
      <w:tcPr>
        <w:tcBorders>
          <w:left w:val="nil"/>
          <w:right w:val="nil"/>
          <w:insideH w:val="nil"/>
          <w:insideV w:val="nil"/>
        </w:tcBorders>
        <w:shd w:val="clear" w:color="auto" w:fill="00A6C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FD77E2"/>
    <w:pPr>
      <w:spacing w:after="0" w:line="240" w:lineRule="auto"/>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hemeColor="text1" w:themeTint="BF"/>
        </w:tcBorders>
      </w:tcPr>
    </w:tblStylePr>
    <w:tblStylePr w:type="firstCol">
      <w:rPr>
        <w:b/>
        <w:bCs/>
      </w:rPr>
    </w:tblStylePr>
    <w:tblStylePr w:type="lastCol">
      <w:rPr>
        <w:b/>
        <w:bCs/>
      </w:rPr>
    </w:tblStylePr>
    <w:tblStylePr w:type="band1Vert">
      <w:rPr>
        <w:rFonts w:asciiTheme="minorHAnsi" w:hAnsiTheme="minorHAnsi"/>
      </w:rPr>
      <w:tblPr/>
      <w:tcPr>
        <w:shd w:val="clear" w:color="auto" w:fill="FFFFFF" w:themeFill="background1"/>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hemeFill="background1"/>
      </w:tcPr>
    </w:tblStylePr>
    <w:tblStylePr w:type="band2Horz">
      <w:rPr>
        <w:rFonts w:asciiTheme="minorHAnsi" w:hAnsiTheme="minorHAns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hemeFill="background1"/>
      </w:tcPr>
    </w:tblStylePr>
  </w:style>
  <w:style w:type="table" w:styleId="LightShading">
    <w:name w:val="Light Shading"/>
    <w:basedOn w:val="TableNormal"/>
    <w:uiPriority w:val="60"/>
    <w:rsid w:val="00B35375"/>
    <w:pPr>
      <w:spacing w:before="120" w:after="120" w:line="240" w:lineRule="auto"/>
      <w:jc w:val="left"/>
    </w:pPr>
    <w:rPr>
      <w:color w:val="008380"/>
    </w:rPr>
    <w:tblPr>
      <w:tblStyleRowBandSize w:val="1"/>
      <w:tblStyleColBandSize w:val="1"/>
    </w:tblPr>
    <w:tcPr>
      <w:shd w:val="clear" w:color="auto" w:fill="FFFFFF" w:themeFill="background1"/>
    </w:tcPr>
    <w:tblStylePr w:type="firstRow">
      <w:pPr>
        <w:wordWrap/>
        <w:spacing w:beforeLines="0" w:before="120" w:beforeAutospacing="0" w:afterLines="0" w:after="12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lastRow">
      <w:pPr>
        <w:spacing w:before="0" w:after="0" w:line="240" w:lineRule="auto"/>
      </w:pPr>
      <w:rPr>
        <w:b/>
        <w:bCs/>
      </w:rPr>
      <w:tblPr/>
      <w:tcPr>
        <w:tcBorders>
          <w:top w:val="single" w:sz="8" w:space="0" w:color="4E5053" w:themeColor="text1"/>
          <w:left w:val="nil"/>
          <w:bottom w:val="single" w:sz="8" w:space="0" w:color="4E5053" w:themeColor="text1"/>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hemeFill="background1"/>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style>
  <w:style w:type="table" w:styleId="LightList-Accent6">
    <w:name w:val="Light List Accent 6"/>
    <w:basedOn w:val="TableNormal"/>
    <w:uiPriority w:val="61"/>
    <w:rsid w:val="00503C5B"/>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styleId="LightGrid">
    <w:name w:val="Light Grid"/>
    <w:basedOn w:val="TableNormal"/>
    <w:uiPriority w:val="62"/>
    <w:rsid w:val="00B35375"/>
    <w:pPr>
      <w:spacing w:before="120" w:after="120" w:line="240" w:lineRule="auto"/>
      <w:jc w:val="left"/>
    </w:p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blStylePr w:type="firstRow">
      <w:pPr>
        <w:wordWrap/>
        <w:spacing w:beforeLines="0" w:before="120" w:beforeAutospacing="0" w:afterLines="0" w:after="120" w:afterAutospacing="0" w:line="240" w:lineRule="auto"/>
        <w:jc w:val="left"/>
      </w:pPr>
      <w:rPr>
        <w:rFonts w:asciiTheme="minorHAnsi" w:eastAsiaTheme="majorEastAsia" w:hAnsiTheme="minorHAnsi" w:cstheme="majorBidi"/>
        <w:b/>
        <w:bCs/>
      </w:rPr>
      <w:tblPr/>
      <w:tcPr>
        <w:tcBorders>
          <w:top w:val="single" w:sz="8" w:space="0" w:color="4E5053" w:themeColor="text1"/>
          <w:left w:val="single" w:sz="8" w:space="0" w:color="4E5053" w:themeColor="text1"/>
          <w:bottom w:val="single" w:sz="18" w:space="0" w:color="4E5053" w:themeColor="text1"/>
          <w:right w:val="single" w:sz="8" w:space="0" w:color="4E5053" w:themeColor="text1"/>
          <w:insideH w:val="nil"/>
          <w:insideV w:val="single" w:sz="8" w:space="0" w:color="4E505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insideH w:val="nil"/>
          <w:insideV w:val="single" w:sz="8" w:space="0" w:color="4E5053" w:themeColor="text1"/>
        </w:tcBorders>
      </w:tcPr>
    </w:tblStylePr>
    <w:tblStylePr w:type="firstCol">
      <w:rPr>
        <w:rFonts w:asciiTheme="minorHAnsi" w:eastAsiaTheme="majorEastAsia" w:hAnsiTheme="minorHAnsi" w:cstheme="majorBidi"/>
        <w:b w:val="0"/>
        <w:bCs/>
      </w:rPr>
    </w:tblStylePr>
    <w:tblStylePr w:type="lastCol">
      <w:rPr>
        <w:rFonts w:asciiTheme="minorHAnsi" w:eastAsiaTheme="majorEastAsia" w:hAnsiTheme="minorHAnsi" w:cstheme="majorBidi"/>
        <w:b w:val="0"/>
        <w:bCs/>
      </w:rPr>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tcBorders>
          <w:top w:val="single" w:sz="8" w:space="0" w:color="4E5053" w:themeColor="text1"/>
          <w:left w:val="single" w:sz="8" w:space="0" w:color="4E5053" w:themeColor="text1"/>
          <w:bottom w:val="single" w:sz="8" w:space="0" w:color="4E5053" w:themeColor="text1"/>
          <w:right w:val="single" w:sz="8" w:space="0" w:color="4E5053" w:themeColor="text1"/>
          <w:insideV w:val="single" w:sz="8" w:space="0" w:color="4E5053" w:themeColor="text1"/>
        </w:tcBorders>
      </w:tcPr>
    </w:tblStylePr>
  </w:style>
  <w:style w:type="table" w:styleId="MediumShading1">
    <w:name w:val="Medium Shading 1"/>
    <w:basedOn w:val="TableNormal"/>
    <w:uiPriority w:val="63"/>
    <w:rsid w:val="00607D05"/>
    <w:pPr>
      <w:spacing w:before="120" w:after="120" w:line="240" w:lineRule="auto"/>
      <w:jc w:val="left"/>
    </w:pPr>
    <w:tblPr>
      <w:tblStyleRowBandSize w:val="1"/>
      <w:tblStyleColBandSize w:val="1"/>
      <w:tbl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single" w:sz="8" w:space="0" w:color="787B7F" w:themeColor="tex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shd w:val="clear" w:color="auto" w:fill="4E5053" w:themeFill="text1"/>
      </w:tcPr>
    </w:tblStylePr>
    <w:tblStylePr w:type="lastRow">
      <w:pPr>
        <w:spacing w:before="0" w:after="0" w:line="240" w:lineRule="auto"/>
      </w:pPr>
      <w:rPr>
        <w:b/>
        <w:bCs/>
      </w:rPr>
      <w:tblPr/>
      <w:tcPr>
        <w:tcBorders>
          <w:top w:val="double" w:sz="6"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tcPr>
    </w:tblStylePr>
    <w:tblStylePr w:type="firstCol">
      <w:rPr>
        <w:b w:val="0"/>
        <w:bCs/>
      </w:rPr>
    </w:tblStylePr>
    <w:tblStylePr w:type="lastCol">
      <w:rPr>
        <w:b w:val="0"/>
        <w:bCs/>
      </w:rPr>
    </w:tblStylePr>
    <w:tblStylePr w:type="band1Vert">
      <w:tblPr/>
      <w:tcPr>
        <w:shd w:val="clear" w:color="auto" w:fill="D2D3D5" w:themeFill="text1" w:themeFillTint="3F"/>
      </w:tcPr>
    </w:tblStylePr>
    <w:tblStylePr w:type="band1Horz">
      <w:tblPr/>
      <w:tcPr>
        <w:tcBorders>
          <w:insideH w:val="nil"/>
          <w:insideV w:val="nil"/>
        </w:tcBorders>
        <w:shd w:val="clear" w:color="auto" w:fill="D2D3D5" w:themeFill="tex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07D05"/>
    <w:pPr>
      <w:spacing w:before="120" w:after="120" w:line="240" w:lineRule="auto"/>
      <w:jc w:val="left"/>
    </w:pPr>
    <w:tblPr>
      <w:tblStyleRowBandSize w:val="1"/>
      <w:tblStyleColBandSize w:val="1"/>
      <w:tbl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single" w:sz="8" w:space="0" w:color="0067CE" w:themeColor="accent3"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shd w:val="clear" w:color="auto" w:fill="003569" w:themeFill="accent3"/>
      </w:tcPr>
    </w:tblStylePr>
    <w:tblStylePr w:type="lastRow">
      <w:pPr>
        <w:spacing w:before="0" w:after="0" w:line="240" w:lineRule="auto"/>
      </w:pPr>
      <w:rPr>
        <w:b/>
        <w:bCs/>
      </w:rPr>
      <w:tblPr/>
      <w:tcPr>
        <w:tcBorders>
          <w:top w:val="double" w:sz="6"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tcPr>
    </w:tblStylePr>
    <w:tblStylePr w:type="firstCol">
      <w:rPr>
        <w:b w:val="0"/>
        <w:bCs/>
      </w:rPr>
    </w:tblStylePr>
    <w:tblStylePr w:type="lastCol">
      <w:rPr>
        <w:b w:val="0"/>
        <w:bCs/>
      </w:rPr>
    </w:tblStylePr>
    <w:tblStylePr w:type="band1Vert">
      <w:tblPr/>
      <w:tcPr>
        <w:shd w:val="clear" w:color="auto" w:fill="9ACDFF" w:themeFill="accent3" w:themeFillTint="3F"/>
      </w:tcPr>
    </w:tblStylePr>
    <w:tblStylePr w:type="band1Horz">
      <w:tblPr/>
      <w:tcPr>
        <w:tcBorders>
          <w:insideH w:val="nil"/>
          <w:insideV w:val="nil"/>
        </w:tcBorders>
        <w:shd w:val="clear" w:color="auto" w:fill="9AC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07D05"/>
    <w:pPr>
      <w:spacing w:before="120" w:after="120" w:line="240" w:lineRule="auto"/>
      <w:jc w:val="left"/>
    </w:pPr>
    <w:tblPr>
      <w:tblStyleRowBandSize w:val="1"/>
      <w:tblStyleColBandSize w:val="1"/>
      <w:tbl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single" w:sz="8" w:space="0" w:color="FB9F3A" w:themeColor="accent4"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shd w:val="clear" w:color="auto" w:fill="EF7F04" w:themeFill="accent4"/>
      </w:tcPr>
    </w:tblStylePr>
    <w:tblStylePr w:type="lastRow">
      <w:pPr>
        <w:spacing w:before="0" w:after="0" w:line="240" w:lineRule="auto"/>
      </w:pPr>
      <w:rPr>
        <w:b/>
        <w:bCs/>
      </w:rPr>
      <w:tblPr/>
      <w:tcPr>
        <w:tcBorders>
          <w:top w:val="double" w:sz="6"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tcPr>
    </w:tblStylePr>
    <w:tblStylePr w:type="firstCol">
      <w:rPr>
        <w:b w:val="0"/>
        <w:bCs/>
      </w:rPr>
    </w:tblStylePr>
    <w:tblStylePr w:type="lastCol">
      <w:rPr>
        <w:b w:val="0"/>
        <w:bCs/>
      </w:rPr>
    </w:tblStylePr>
    <w:tblStylePr w:type="band1Vert">
      <w:tblPr/>
      <w:tcPr>
        <w:shd w:val="clear" w:color="auto" w:fill="FEDFBE" w:themeFill="accent4" w:themeFillTint="3F"/>
      </w:tcPr>
    </w:tblStylePr>
    <w:tblStylePr w:type="band1Horz">
      <w:tblPr/>
      <w:tcPr>
        <w:tcBorders>
          <w:insideH w:val="nil"/>
          <w:insideV w:val="nil"/>
        </w:tcBorders>
        <w:shd w:val="clear" w:color="auto" w:fill="FEDFBE" w:themeFill="accent4"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8F2536"/>
    <w:pPr>
      <w:spacing w:after="0" w:line="240" w:lineRule="auto"/>
    </w:pPr>
    <w:rPr>
      <w:rFonts w:asciiTheme="majorHAnsi" w:eastAsiaTheme="majorEastAsia" w:hAnsiTheme="majorHAnsi" w:cstheme="majorBidi"/>
    </w:r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blStylePr w:type="firstRow">
      <w:rPr>
        <w:sz w:val="24"/>
        <w:szCs w:val="24"/>
      </w:rPr>
      <w:tblPr/>
      <w:tcPr>
        <w:tcBorders>
          <w:top w:val="nil"/>
          <w:left w:val="nil"/>
          <w:bottom w:val="single" w:sz="24" w:space="0" w:color="FFBB2D" w:themeColor="accent6"/>
          <w:right w:val="nil"/>
          <w:insideH w:val="nil"/>
          <w:insideV w:val="nil"/>
        </w:tcBorders>
        <w:shd w:val="clear" w:color="auto" w:fill="FFFFFF" w:themeFill="background1"/>
      </w:tcPr>
    </w:tblStylePr>
    <w:tblStylePr w:type="lastRow">
      <w:tblPr/>
      <w:tcPr>
        <w:tcBorders>
          <w:top w:val="single" w:sz="8" w:space="0" w:color="FFBB2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B2D" w:themeColor="accent6"/>
          <w:insideH w:val="nil"/>
          <w:insideV w:val="nil"/>
        </w:tcBorders>
        <w:shd w:val="clear" w:color="auto" w:fill="FFFFFF" w:themeFill="background1"/>
      </w:tcPr>
    </w:tblStylePr>
    <w:tblStylePr w:type="lastCol">
      <w:tblPr/>
      <w:tcPr>
        <w:tcBorders>
          <w:top w:val="nil"/>
          <w:left w:val="single" w:sz="8" w:space="0" w:color="FFB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CB" w:themeFill="accent6" w:themeFillTint="3F"/>
      </w:tcPr>
    </w:tblStylePr>
    <w:tblStylePr w:type="band1Horz">
      <w:tblPr/>
      <w:tcPr>
        <w:tcBorders>
          <w:top w:val="nil"/>
          <w:bottom w:val="nil"/>
          <w:insideH w:val="nil"/>
          <w:insideV w:val="nil"/>
        </w:tcBorders>
        <w:shd w:val="clear" w:color="auto" w:fill="FFE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2">
    <w:name w:val="Colorful Grid Accent 2"/>
    <w:basedOn w:val="TableNormal"/>
    <w:uiPriority w:val="73"/>
    <w:rsid w:val="008F2536"/>
    <w:pPr>
      <w:spacing w:after="0" w:line="240" w:lineRule="auto"/>
    </w:pPr>
    <w:tblPr>
      <w:tblStyleRowBandSize w:val="1"/>
      <w:tblStyleColBandSize w:val="1"/>
      <w:tblBorders>
        <w:insideH w:val="single" w:sz="4" w:space="0" w:color="FFFFFF" w:themeColor="background1"/>
      </w:tblBorders>
    </w:tblPr>
    <w:tcPr>
      <w:shd w:val="clear" w:color="auto" w:fill="C1F3FF" w:themeFill="accent2" w:themeFillTint="33"/>
    </w:tcPr>
    <w:tblStylePr w:type="firstRow">
      <w:rPr>
        <w:b/>
        <w:bCs/>
      </w:rPr>
      <w:tblPr/>
      <w:tcPr>
        <w:shd w:val="clear" w:color="auto" w:fill="84E8FF" w:themeFill="accent2" w:themeFillTint="66"/>
      </w:tcPr>
    </w:tblStylePr>
    <w:tblStylePr w:type="lastRow">
      <w:rPr>
        <w:b/>
        <w:bCs/>
        <w:color w:val="4E5053" w:themeColor="text1"/>
      </w:rPr>
      <w:tblPr/>
      <w:tcPr>
        <w:shd w:val="clear" w:color="auto" w:fill="84E8FF" w:themeFill="accent2" w:themeFillTint="66"/>
      </w:tcPr>
    </w:tblStylePr>
    <w:tblStylePr w:type="firstCol">
      <w:rPr>
        <w:color w:val="FFFFFF" w:themeColor="background1"/>
      </w:rPr>
      <w:tblPr/>
      <w:tcPr>
        <w:shd w:val="clear" w:color="auto" w:fill="007B98" w:themeFill="accent2" w:themeFillShade="BF"/>
      </w:tcPr>
    </w:tblStylePr>
    <w:tblStylePr w:type="lastCol">
      <w:rPr>
        <w:color w:val="FFFFFF" w:themeColor="background1"/>
      </w:rPr>
      <w:tblPr/>
      <w:tcPr>
        <w:shd w:val="clear" w:color="auto" w:fill="007B98" w:themeFill="accent2" w:themeFillShade="BF"/>
      </w:tcPr>
    </w:tblStylePr>
    <w:tblStylePr w:type="band1Vert">
      <w:tblPr/>
      <w:tcPr>
        <w:shd w:val="clear" w:color="auto" w:fill="66E2FF" w:themeFill="accent2" w:themeFillTint="7F"/>
      </w:tcPr>
    </w:tblStylePr>
    <w:tblStylePr w:type="band1Horz">
      <w:tblPr/>
      <w:tcPr>
        <w:shd w:val="clear" w:color="auto" w:fill="66E2FF" w:themeFill="accent2" w:themeFillTint="7F"/>
      </w:tcPr>
    </w:tblStylePr>
  </w:style>
  <w:style w:type="table" w:styleId="LightGrid-Accent5">
    <w:name w:val="Light Grid Accent 5"/>
    <w:basedOn w:val="TableNormal"/>
    <w:uiPriority w:val="62"/>
    <w:rsid w:val="00B35375"/>
    <w:pPr>
      <w:spacing w:before="120" w:after="120" w:line="240" w:lineRule="auto"/>
      <w:jc w:val="left"/>
    </w:pPr>
    <w:tblPr>
      <w:tblStyleRowBandSize w:val="1"/>
      <w:tblStyleColBandSize w:val="1"/>
      <w:tblBorders>
        <w:top w:val="single" w:sz="8" w:space="0" w:color="008380" w:themeColor="accent5"/>
        <w:left w:val="single" w:sz="8" w:space="0" w:color="008380" w:themeColor="accent5"/>
        <w:bottom w:val="single" w:sz="8" w:space="0" w:color="008380" w:themeColor="accent5"/>
        <w:right w:val="single" w:sz="8" w:space="0" w:color="008380" w:themeColor="accent5"/>
        <w:insideH w:val="single" w:sz="8" w:space="0" w:color="008380" w:themeColor="accent5"/>
        <w:insideV w:val="single" w:sz="8" w:space="0" w:color="008380" w:themeColor="accent5"/>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8380" w:themeColor="accent5"/>
          <w:left w:val="single" w:sz="8" w:space="0" w:color="008380" w:themeColor="accent5"/>
          <w:bottom w:val="single" w:sz="18" w:space="0" w:color="008380" w:themeColor="accent5"/>
          <w:right w:val="single" w:sz="8" w:space="0" w:color="008380" w:themeColor="accent5"/>
          <w:insideH w:val="nil"/>
          <w:insideV w:val="single" w:sz="8" w:space="0" w:color="00838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insideH w:val="nil"/>
          <w:insideV w:val="single" w:sz="8" w:space="0" w:color="008380"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shd w:val="clear" w:color="auto" w:fill="A1FFFC" w:themeFill="accent5" w:themeFillTint="3F"/>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shd w:val="clear" w:color="auto" w:fill="A1FFFC" w:themeFill="accent5" w:themeFillTint="3F"/>
      </w:tcPr>
    </w:tblStylePr>
    <w:tblStylePr w:type="band2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tcPr>
    </w:tblStylePr>
  </w:style>
  <w:style w:type="table" w:styleId="LightList-Accent4">
    <w:name w:val="Light List Accent 4"/>
    <w:basedOn w:val="TableNormal"/>
    <w:uiPriority w:val="61"/>
    <w:rsid w:val="00576C38"/>
    <w:pPr>
      <w:spacing w:before="120" w:after="120" w:line="240" w:lineRule="auto"/>
      <w:jc w:val="left"/>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val="0"/>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nwCell">
      <w:tblPr/>
      <w:tcPr>
        <w:tcBorders>
          <w:left w:val="single" w:sz="4" w:space="0" w:color="EF7F04" w:themeColor="accent4"/>
        </w:tcBorders>
      </w:tcPr>
    </w:tblStylePr>
  </w:style>
  <w:style w:type="table" w:styleId="MediumShading2-Accent6">
    <w:name w:val="Medium Shading 2 Accent 6"/>
    <w:basedOn w:val="TableNormal"/>
    <w:uiPriority w:val="64"/>
    <w:rsid w:val="005705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B2D" w:themeFill="accent6"/>
      </w:tcPr>
    </w:tblStylePr>
    <w:tblStylePr w:type="lastCol">
      <w:rPr>
        <w:b/>
        <w:bCs/>
        <w:color w:val="FFFFFF" w:themeColor="background1"/>
      </w:rPr>
      <w:tblPr/>
      <w:tcPr>
        <w:tcBorders>
          <w:left w:val="nil"/>
          <w:right w:val="nil"/>
          <w:insideH w:val="nil"/>
          <w:insideV w:val="nil"/>
        </w:tcBorders>
        <w:shd w:val="clear" w:color="auto" w:fill="FFB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FFFFFF" w:themeColor="background1"/>
          <w:insideV w:val="single" w:sz="4" w:space="0" w:color="FFFFFF" w:themeColor="background1"/>
          <w:tl2br w:val="nil"/>
          <w:tr2bl w:val="nil"/>
        </w:tcBorders>
        <w:shd w:val="clear" w:color="auto" w:fill="00A6CB" w:themeFill="accent2"/>
      </w:tcPr>
    </w:tblStylePr>
    <w:tblStylePr w:type="lastRow">
      <w:pPr>
        <w:spacing w:before="0" w:after="0" w:line="240" w:lineRule="auto"/>
      </w:pPr>
      <w:rPr>
        <w:b/>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tcBorders>
      </w:tcPr>
    </w:tblStylePr>
    <w:tblStylePr w:type="fir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la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hemeColor="accent2"/>
        </w:tcBorders>
      </w:tcPr>
    </w:tblStylePr>
    <w:tblStylePr w:type="se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sw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style>
  <w:style w:type="table" w:styleId="LightGrid-Accent3">
    <w:name w:val="Light Grid Accent 3"/>
    <w:basedOn w:val="TableNormal"/>
    <w:uiPriority w:val="62"/>
    <w:rsid w:val="00B35375"/>
    <w:pPr>
      <w:spacing w:before="120" w:after="120" w:line="240" w:lineRule="auto"/>
      <w:jc w:val="left"/>
    </w:pPr>
    <w:tblPr>
      <w:tblStyleRowBandSize w:val="1"/>
      <w:tblStyleColBandSize w:val="1"/>
      <w:tblBorders>
        <w:top w:val="single" w:sz="8" w:space="0" w:color="003569" w:themeColor="accent3"/>
        <w:left w:val="single" w:sz="8" w:space="0" w:color="003569" w:themeColor="accent3"/>
        <w:bottom w:val="single" w:sz="8" w:space="0" w:color="003569" w:themeColor="accent3"/>
        <w:right w:val="single" w:sz="8" w:space="0" w:color="003569" w:themeColor="accent3"/>
        <w:insideH w:val="single" w:sz="8" w:space="0" w:color="003569" w:themeColor="accent3"/>
        <w:insideV w:val="single" w:sz="8" w:space="0" w:color="003569" w:themeColor="accent3"/>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3569" w:themeColor="accent3"/>
          <w:left w:val="single" w:sz="8" w:space="0" w:color="003569" w:themeColor="accent3"/>
          <w:bottom w:val="single" w:sz="18" w:space="0" w:color="003569" w:themeColor="accent3"/>
          <w:right w:val="single" w:sz="8" w:space="0" w:color="003569" w:themeColor="accent3"/>
          <w:insideH w:val="nil"/>
          <w:insideV w:val="single" w:sz="8" w:space="0" w:color="00356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insideH w:val="nil"/>
          <w:insideV w:val="single" w:sz="8" w:space="0" w:color="003569" w:themeColor="accent3"/>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shd w:val="clear" w:color="auto" w:fill="9ACDFF" w:themeFill="accent3" w:themeFillTint="3F"/>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shd w:val="clear" w:color="auto" w:fill="9ACDFF" w:themeFill="accent3" w:themeFillTint="3F"/>
      </w:tcPr>
    </w:tblStylePr>
    <w:tblStylePr w:type="band2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tcPr>
    </w:tblStylePr>
  </w:style>
  <w:style w:type="table" w:styleId="LightList-Accent3">
    <w:name w:val="Light List Accent 3"/>
    <w:basedOn w:val="TableNormal"/>
    <w:uiPriority w:val="61"/>
    <w:rsid w:val="00FD29B6"/>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numbering" w:customStyle="1" w:styleId="AVbulletstyle-green">
    <w:name w:val="AV bullet style - green"/>
    <w:uiPriority w:val="99"/>
    <w:rsid w:val="00731989"/>
    <w:pPr>
      <w:numPr>
        <w:numId w:val="1"/>
      </w:numPr>
    </w:pPr>
  </w:style>
  <w:style w:type="paragraph" w:customStyle="1" w:styleId="Bullet2">
    <w:name w:val="Bullet2"/>
    <w:basedOn w:val="Normal"/>
    <w:link w:val="Bullet2Char"/>
    <w:uiPriority w:val="10"/>
    <w:qFormat/>
    <w:rsid w:val="00F06DAC"/>
    <w:pPr>
      <w:numPr>
        <w:numId w:val="6"/>
      </w:numPr>
      <w:ind w:left="1134" w:hanging="425"/>
    </w:pPr>
  </w:style>
  <w:style w:type="character" w:customStyle="1" w:styleId="ListParagraphChar">
    <w:name w:val="List Paragraph Char"/>
    <w:aliases w:val="Bullet1 Char"/>
    <w:basedOn w:val="DefaultParagraphFont"/>
    <w:link w:val="ListParagraph"/>
    <w:uiPriority w:val="10"/>
    <w:rsid w:val="00F06DAC"/>
    <w:rPr>
      <w:rFonts w:eastAsiaTheme="majorEastAsia"/>
    </w:rPr>
  </w:style>
  <w:style w:type="paragraph" w:customStyle="1" w:styleId="Bullet3">
    <w:name w:val="Bullet3"/>
    <w:basedOn w:val="Bullet2"/>
    <w:link w:val="Bullet3Char"/>
    <w:uiPriority w:val="10"/>
    <w:qFormat/>
    <w:rsid w:val="00F06DAC"/>
    <w:pPr>
      <w:numPr>
        <w:ilvl w:val="2"/>
      </w:numPr>
      <w:ind w:left="1418" w:hanging="284"/>
    </w:pPr>
  </w:style>
  <w:style w:type="character" w:customStyle="1" w:styleId="Bullet2Char">
    <w:name w:val="Bullet2 Char"/>
    <w:basedOn w:val="DefaultParagraphFont"/>
    <w:link w:val="Bullet2"/>
    <w:uiPriority w:val="10"/>
    <w:rsid w:val="00F06DAC"/>
  </w:style>
  <w:style w:type="paragraph" w:customStyle="1" w:styleId="Bullet4">
    <w:name w:val="Bullet4"/>
    <w:basedOn w:val="Bullet3"/>
    <w:link w:val="Bullet4Char"/>
    <w:uiPriority w:val="10"/>
    <w:qFormat/>
    <w:rsid w:val="00F06DAC"/>
    <w:pPr>
      <w:numPr>
        <w:ilvl w:val="0"/>
        <w:numId w:val="8"/>
      </w:numPr>
      <w:ind w:left="1843"/>
    </w:pPr>
  </w:style>
  <w:style w:type="character" w:customStyle="1" w:styleId="Bullet3Char">
    <w:name w:val="Bullet3 Char"/>
    <w:basedOn w:val="Bullet2Char"/>
    <w:link w:val="Bullet3"/>
    <w:uiPriority w:val="10"/>
    <w:rsid w:val="00F06DAC"/>
  </w:style>
  <w:style w:type="paragraph" w:customStyle="1" w:styleId="Bullet5">
    <w:name w:val="Bullet5"/>
    <w:basedOn w:val="Bullet4"/>
    <w:link w:val="Bullet5Char"/>
    <w:uiPriority w:val="10"/>
    <w:rsid w:val="00731989"/>
    <w:pPr>
      <w:numPr>
        <w:ilvl w:val="4"/>
      </w:numPr>
    </w:pPr>
  </w:style>
  <w:style w:type="character" w:customStyle="1" w:styleId="Bullet4Char">
    <w:name w:val="Bullet4 Char"/>
    <w:basedOn w:val="Bullet3Char"/>
    <w:link w:val="Bullet4"/>
    <w:uiPriority w:val="10"/>
    <w:rsid w:val="00F06DAC"/>
  </w:style>
  <w:style w:type="character" w:customStyle="1" w:styleId="NoSpacingChar">
    <w:name w:val="No Spacing Char"/>
    <w:basedOn w:val="DefaultParagraphFont"/>
    <w:link w:val="NoSpacing"/>
    <w:uiPriority w:val="1"/>
    <w:rsid w:val="00F4457C"/>
    <w:rPr>
      <w:color w:val="4E5053"/>
    </w:rPr>
  </w:style>
  <w:style w:type="character" w:customStyle="1" w:styleId="Bullet5Char">
    <w:name w:val="Bullet5 Char"/>
    <w:basedOn w:val="Bullet4Char"/>
    <w:link w:val="Bullet5"/>
    <w:uiPriority w:val="10"/>
    <w:rsid w:val="00731989"/>
  </w:style>
  <w:style w:type="paragraph" w:customStyle="1" w:styleId="BasicParagraph">
    <w:name w:val="[Basic Paragraph]"/>
    <w:basedOn w:val="Normal"/>
    <w:uiPriority w:val="99"/>
    <w:rsid w:val="00DB634A"/>
    <w:pPr>
      <w:widowControl w:val="0"/>
      <w:autoSpaceDE w:val="0"/>
      <w:autoSpaceDN w:val="0"/>
      <w:adjustRightInd w:val="0"/>
      <w:spacing w:after="0" w:line="288" w:lineRule="auto"/>
      <w:jc w:val="left"/>
      <w:textAlignment w:val="center"/>
    </w:pPr>
    <w:rPr>
      <w:rFonts w:ascii="Times-Italic" w:hAnsi="Times-Italic" w:cs="Times-Italic"/>
      <w:color w:val="000000"/>
      <w:sz w:val="24"/>
      <w:szCs w:val="24"/>
    </w:rPr>
  </w:style>
  <w:style w:type="paragraph" w:customStyle="1" w:styleId="BodyText1">
    <w:name w:val="Body Text1"/>
    <w:rsid w:val="00E4005B"/>
    <w:pPr>
      <w:spacing w:line="240" w:lineRule="auto"/>
    </w:pPr>
    <w:rPr>
      <w:bCs/>
    </w:rPr>
  </w:style>
  <w:style w:type="table" w:styleId="MediumShading1-Accent1">
    <w:name w:val="Medium Shading 1 Accent 1"/>
    <w:basedOn w:val="TableNormal"/>
    <w:uiPriority w:val="63"/>
    <w:rsid w:val="00835897"/>
    <w:pPr>
      <w:spacing w:before="120" w:after="120" w:line="240" w:lineRule="auto"/>
      <w:jc w:val="left"/>
    </w:pPr>
    <w:tblPr>
      <w:tblStyleRowBandSize w:val="1"/>
      <w:tblStyleColBandSize w:val="1"/>
      <w:tbl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single" w:sz="8" w:space="0" w:color="8CD063" w:themeColor="accen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shd w:val="clear" w:color="auto" w:fill="68B937" w:themeFill="accent1"/>
      </w:tcPr>
    </w:tblStylePr>
    <w:tblStylePr w:type="lastRow">
      <w:pPr>
        <w:spacing w:before="0" w:after="0" w:line="240" w:lineRule="auto"/>
      </w:pPr>
      <w:rPr>
        <w:b/>
        <w:bCs/>
      </w:rPr>
      <w:tblPr/>
      <w:tcPr>
        <w:tcBorders>
          <w:top w:val="double" w:sz="6"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tcPr>
    </w:tblStylePr>
    <w:tblStylePr w:type="firstCol">
      <w:rPr>
        <w:b w:val="0"/>
        <w:bCs/>
      </w:rPr>
    </w:tblStylePr>
    <w:tblStylePr w:type="lastCol">
      <w:rPr>
        <w:b w:val="0"/>
        <w:bCs/>
      </w:rPr>
    </w:tblStylePr>
    <w:tblStylePr w:type="band1Vert">
      <w:tblPr/>
      <w:tcPr>
        <w:shd w:val="clear" w:color="auto" w:fill="D9EFCB" w:themeFill="accent1" w:themeFillTint="3F"/>
      </w:tcPr>
    </w:tblStylePr>
    <w:tblStylePr w:type="band1Horz">
      <w:tblPr/>
      <w:tcPr>
        <w:tcBorders>
          <w:insideH w:val="nil"/>
          <w:insideV w:val="nil"/>
        </w:tcBorders>
        <w:shd w:val="clear" w:color="auto" w:fill="D9EFCB"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B35375"/>
    <w:pPr>
      <w:spacing w:before="120" w:after="120" w:line="240" w:lineRule="auto"/>
      <w:jc w:val="left"/>
    </w:pPr>
    <w:tblPr>
      <w:tblStyleRowBandSize w:val="1"/>
      <w:tblStyleColBandSize w:val="1"/>
      <w:tblBorders>
        <w:top w:val="single" w:sz="8" w:space="0" w:color="68B937" w:themeColor="accent1"/>
        <w:left w:val="single" w:sz="8" w:space="0" w:color="68B937" w:themeColor="accent1"/>
        <w:bottom w:val="single" w:sz="8" w:space="0" w:color="68B937" w:themeColor="accent1"/>
        <w:right w:val="single" w:sz="8" w:space="0" w:color="68B937" w:themeColor="accent1"/>
        <w:insideH w:val="single" w:sz="8" w:space="0" w:color="68B937" w:themeColor="accent1"/>
        <w:insideV w:val="single" w:sz="8" w:space="0" w:color="68B937" w:themeColor="accent1"/>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68B937" w:themeColor="accent1"/>
          <w:left w:val="single" w:sz="8" w:space="0" w:color="68B937" w:themeColor="accent1"/>
          <w:bottom w:val="single" w:sz="18" w:space="0" w:color="68B937" w:themeColor="accent1"/>
          <w:right w:val="single" w:sz="8" w:space="0" w:color="68B937" w:themeColor="accent1"/>
          <w:insideH w:val="nil"/>
          <w:insideV w:val="single" w:sz="8" w:space="0" w:color="68B9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937" w:themeColor="accent1"/>
          <w:left w:val="single" w:sz="8" w:space="0" w:color="68B937" w:themeColor="accent1"/>
          <w:bottom w:val="single" w:sz="8" w:space="0" w:color="68B937" w:themeColor="accent1"/>
          <w:right w:val="single" w:sz="8" w:space="0" w:color="68B937" w:themeColor="accent1"/>
          <w:insideH w:val="nil"/>
          <w:insideV w:val="single" w:sz="8" w:space="0" w:color="68B937" w:themeColor="accent1"/>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tcPr>
    </w:tblStylePr>
    <w:tblStylePr w:type="band1Vert">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shd w:val="clear" w:color="auto" w:fill="D9EFCB" w:themeFill="accent1" w:themeFillTint="3F"/>
      </w:tcPr>
    </w:tblStylePr>
    <w:tblStylePr w:type="band1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shd w:val="clear" w:color="auto" w:fill="D9EFCB" w:themeFill="accent1" w:themeFillTint="3F"/>
      </w:tcPr>
    </w:tblStylePr>
    <w:tblStylePr w:type="band2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tcPr>
    </w:tblStylePr>
  </w:style>
  <w:style w:type="table" w:styleId="LightGrid-Accent2">
    <w:name w:val="Light Grid Accent 2"/>
    <w:basedOn w:val="TableNormal"/>
    <w:uiPriority w:val="62"/>
    <w:rsid w:val="00B35375"/>
    <w:pPr>
      <w:spacing w:before="120" w:after="120" w:line="240" w:lineRule="auto"/>
      <w:jc w:val="left"/>
    </w:pPr>
    <w:tblPr>
      <w:tblStyleRowBandSize w:val="1"/>
      <w:tblStyleColBandSize w:val="1"/>
      <w:tblBorders>
        <w:top w:val="single" w:sz="8" w:space="0" w:color="00A6CB" w:themeColor="accent2"/>
        <w:left w:val="single" w:sz="8" w:space="0" w:color="00A6CB" w:themeColor="accent2"/>
        <w:bottom w:val="single" w:sz="8" w:space="0" w:color="00A6CB" w:themeColor="accent2"/>
        <w:right w:val="single" w:sz="8" w:space="0" w:color="00A6CB" w:themeColor="accent2"/>
        <w:insideH w:val="single" w:sz="8" w:space="0" w:color="00A6CB" w:themeColor="accent2"/>
        <w:insideV w:val="single" w:sz="8" w:space="0" w:color="00A6CB" w:themeColor="accent2"/>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A6CB" w:themeColor="accent2"/>
          <w:left w:val="single" w:sz="8" w:space="0" w:color="00A6CB" w:themeColor="accent2"/>
          <w:bottom w:val="single" w:sz="18" w:space="0" w:color="00A6CB" w:themeColor="accent2"/>
          <w:right w:val="single" w:sz="8" w:space="0" w:color="00A6CB" w:themeColor="accent2"/>
          <w:insideH w:val="nil"/>
          <w:insideV w:val="single" w:sz="8" w:space="0" w:color="00A6C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insideH w:val="nil"/>
          <w:insideV w:val="single" w:sz="8" w:space="0" w:color="00A6CB" w:themeColor="accent2"/>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shd w:val="clear" w:color="auto" w:fill="B3F0FF" w:themeFill="accent2" w:themeFillTint="3F"/>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shd w:val="clear" w:color="auto" w:fill="B3F0FF" w:themeFill="accent2" w:themeFillTint="3F"/>
      </w:tcPr>
    </w:tblStylePr>
    <w:tblStylePr w:type="band2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tcPr>
    </w:tblStylePr>
  </w:style>
  <w:style w:type="table" w:styleId="LightGrid-Accent4">
    <w:name w:val="Light Grid Accent 4"/>
    <w:basedOn w:val="TableNormal"/>
    <w:uiPriority w:val="62"/>
    <w:rsid w:val="00B35375"/>
    <w:pPr>
      <w:spacing w:before="120" w:after="120" w:line="240" w:lineRule="auto"/>
      <w:jc w:val="left"/>
    </w:pPr>
    <w:tblPr>
      <w:tblStyleRowBandSize w:val="1"/>
      <w:tblStyleColBandSize w:val="1"/>
      <w:tblBorders>
        <w:top w:val="single" w:sz="8" w:space="0" w:color="EF7F04" w:themeColor="accent4"/>
        <w:left w:val="single" w:sz="8" w:space="0" w:color="EF7F04" w:themeColor="accent4"/>
        <w:bottom w:val="single" w:sz="8" w:space="0" w:color="EF7F04" w:themeColor="accent4"/>
        <w:right w:val="single" w:sz="8" w:space="0" w:color="EF7F04" w:themeColor="accent4"/>
        <w:insideH w:val="single" w:sz="8" w:space="0" w:color="EF7F04" w:themeColor="accent4"/>
        <w:insideV w:val="single" w:sz="8" w:space="0" w:color="EF7F04" w:themeColor="accent4"/>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EF7F04" w:themeColor="accent4"/>
          <w:left w:val="single" w:sz="8" w:space="0" w:color="EF7F04" w:themeColor="accent4"/>
          <w:bottom w:val="single" w:sz="18" w:space="0" w:color="EF7F04" w:themeColor="accent4"/>
          <w:right w:val="single" w:sz="8" w:space="0" w:color="EF7F04" w:themeColor="accent4"/>
          <w:insideH w:val="nil"/>
          <w:insideV w:val="single" w:sz="8" w:space="0" w:color="EF7F0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insideH w:val="nil"/>
          <w:insideV w:val="single" w:sz="8" w:space="0" w:color="EF7F04" w:themeColor="accent4"/>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shd w:val="clear" w:color="auto" w:fill="FEDFBE" w:themeFill="accent4" w:themeFillTint="3F"/>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shd w:val="clear" w:color="auto" w:fill="FEDFBE" w:themeFill="accent4" w:themeFillTint="3F"/>
      </w:tcPr>
    </w:tblStylePr>
    <w:tblStylePr w:type="band2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tcPr>
    </w:tblStylePr>
  </w:style>
  <w:style w:type="table" w:styleId="LightGrid-Accent6">
    <w:name w:val="Light Grid Accent 6"/>
    <w:basedOn w:val="TableNormal"/>
    <w:uiPriority w:val="62"/>
    <w:rsid w:val="00B35375"/>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insideH w:val="single" w:sz="8" w:space="0" w:color="FFBB2D" w:themeColor="accent6"/>
        <w:insideV w:val="single" w:sz="8" w:space="0" w:color="FFBB2D" w:themeColor="accent6"/>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FFBB2D" w:themeColor="accent6"/>
          <w:left w:val="single" w:sz="8" w:space="0" w:color="FFBB2D" w:themeColor="accent6"/>
          <w:bottom w:val="single" w:sz="18" w:space="0" w:color="FFBB2D" w:themeColor="accent6"/>
          <w:right w:val="single" w:sz="8" w:space="0" w:color="FFBB2D" w:themeColor="accent6"/>
          <w:insideH w:val="nil"/>
          <w:insideV w:val="single" w:sz="8" w:space="0" w:color="FFB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insideH w:val="nil"/>
          <w:insideV w:val="single" w:sz="8" w:space="0" w:color="FFBB2D" w:themeColor="accent6"/>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shd w:val="clear" w:color="auto" w:fill="FFEECB" w:themeFill="accent6" w:themeFillTint="3F"/>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shd w:val="clear" w:color="auto" w:fill="FFEECB" w:themeFill="accent6" w:themeFillTint="3F"/>
      </w:tcPr>
    </w:tblStylePr>
    <w:tblStylePr w:type="band2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tcPr>
    </w:tblStylePr>
  </w:style>
  <w:style w:type="table" w:styleId="MediumShading1-Accent2">
    <w:name w:val="Medium Shading 1 Accent 2"/>
    <w:basedOn w:val="TableNormal"/>
    <w:uiPriority w:val="63"/>
    <w:rsid w:val="00835897"/>
    <w:pPr>
      <w:spacing w:before="120" w:after="120" w:line="240" w:lineRule="auto"/>
      <w:jc w:val="left"/>
    </w:pPr>
    <w:tblPr>
      <w:tblStyleRowBandSize w:val="1"/>
      <w:tblStyleColBandSize w:val="1"/>
      <w:tbl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single" w:sz="8" w:space="0" w:color="19D4FF" w:themeColor="accent2"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shd w:val="clear" w:color="auto" w:fill="00A6CB" w:themeFill="accent2"/>
      </w:tcPr>
    </w:tblStylePr>
    <w:tblStylePr w:type="lastRow">
      <w:pPr>
        <w:spacing w:before="0" w:after="0" w:line="240" w:lineRule="auto"/>
      </w:pPr>
      <w:rPr>
        <w:b/>
        <w:bCs/>
      </w:rPr>
      <w:tblPr/>
      <w:tcPr>
        <w:tcBorders>
          <w:top w:val="double" w:sz="6"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tcPr>
    </w:tblStylePr>
    <w:tblStylePr w:type="firstCol">
      <w:rPr>
        <w:b w:val="0"/>
        <w:bCs/>
      </w:rPr>
    </w:tblStylePr>
    <w:tblStylePr w:type="lastCol">
      <w:rPr>
        <w:b w:val="0"/>
        <w:bCs/>
      </w:rPr>
    </w:tblStylePr>
    <w:tblStylePr w:type="band1Vert">
      <w:tblPr/>
      <w:tcPr>
        <w:shd w:val="clear" w:color="auto" w:fill="B3F0FF" w:themeFill="accent2" w:themeFillTint="3F"/>
      </w:tcPr>
    </w:tblStylePr>
    <w:tblStylePr w:type="band1Horz">
      <w:tblPr/>
      <w:tcPr>
        <w:tcBorders>
          <w:insideH w:val="nil"/>
          <w:insideV w:val="nil"/>
        </w:tcBorders>
        <w:shd w:val="clear" w:color="auto" w:fill="B3F0FF"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35897"/>
    <w:pPr>
      <w:spacing w:before="120" w:after="120" w:line="240" w:lineRule="auto"/>
      <w:jc w:val="left"/>
    </w:pPr>
    <w:tblPr>
      <w:tblStyleRowBandSize w:val="1"/>
      <w:tblStyleColBandSize w:val="1"/>
      <w:tbl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single" w:sz="8" w:space="0" w:color="00E2DC" w:themeColor="accent5"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shd w:val="clear" w:color="auto" w:fill="008380" w:themeFill="accent5"/>
      </w:tcPr>
    </w:tblStylePr>
    <w:tblStylePr w:type="lastRow">
      <w:pPr>
        <w:spacing w:before="0" w:after="0" w:line="240" w:lineRule="auto"/>
      </w:pPr>
      <w:rPr>
        <w:b/>
        <w:bCs/>
      </w:rPr>
      <w:tblPr/>
      <w:tcPr>
        <w:tcBorders>
          <w:top w:val="double" w:sz="6"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hemeFill="accent5" w:themeFillTint="3F"/>
      </w:tcPr>
    </w:tblStylePr>
    <w:tblStylePr w:type="band1Horz">
      <w:tblPr/>
      <w:tcPr>
        <w:tcBorders>
          <w:insideH w:val="nil"/>
          <w:insideV w:val="nil"/>
        </w:tcBorders>
        <w:shd w:val="clear" w:color="auto" w:fill="A1FF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46888"/>
    <w:pPr>
      <w:spacing w:before="120" w:after="120" w:line="240" w:lineRule="auto"/>
      <w:jc w:val="left"/>
    </w:pPr>
    <w:tblPr>
      <w:tblStyleRowBandSize w:val="1"/>
      <w:tblStyleColBandSize w:val="1"/>
      <w:tbl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single" w:sz="8" w:space="0" w:color="FFCB61" w:themeColor="accent6"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shd w:val="clear" w:color="auto" w:fill="FFBB2D" w:themeFill="accent6"/>
      </w:tcPr>
    </w:tblStylePr>
    <w:tblStylePr w:type="lastRow">
      <w:pPr>
        <w:spacing w:before="0" w:after="0" w:line="240" w:lineRule="auto"/>
      </w:pPr>
      <w:rPr>
        <w:b/>
        <w:bCs/>
      </w:rPr>
      <w:tblPr/>
      <w:tcPr>
        <w:tcBorders>
          <w:top w:val="double" w:sz="6"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tcPr>
    </w:tblStylePr>
    <w:tblStylePr w:type="firstCol">
      <w:rPr>
        <w:b w:val="0"/>
        <w:bCs/>
      </w:rPr>
    </w:tblStylePr>
    <w:tblStylePr w:type="lastCol">
      <w:rPr>
        <w:b w:val="0"/>
        <w:bCs/>
      </w:rPr>
    </w:tblStylePr>
    <w:tblStylePr w:type="band1Vert">
      <w:tblPr/>
      <w:tcPr>
        <w:shd w:val="clear" w:color="auto" w:fill="FFEECB" w:themeFill="accent6" w:themeFillTint="3F"/>
      </w:tcPr>
    </w:tblStylePr>
    <w:tblStylePr w:type="band1Horz">
      <w:tblPr/>
      <w:tcPr>
        <w:tcBorders>
          <w:insideH w:val="nil"/>
          <w:insideV w:val="nil"/>
        </w:tcBorders>
        <w:shd w:val="clear" w:color="auto" w:fill="FFEECB" w:themeFill="accent6" w:themeFillTint="3F"/>
      </w:tcPr>
    </w:tblStylePr>
    <w:tblStylePr w:type="band2Horz">
      <w:tblPr/>
      <w:tcPr>
        <w:tcBorders>
          <w:insideH w:val="nil"/>
          <w:insideV w:val="nil"/>
        </w:tcBorders>
      </w:tcPr>
    </w:tblStylePr>
  </w:style>
  <w:style w:type="paragraph" w:customStyle="1" w:styleId="Table-Normal">
    <w:name w:val="Table - Normal"/>
    <w:basedOn w:val="Normal"/>
    <w:qFormat/>
    <w:rsid w:val="004C61C5"/>
    <w:pPr>
      <w:spacing w:before="0" w:after="0" w:line="240" w:lineRule="auto"/>
      <w:jc w:val="left"/>
    </w:pPr>
    <w:rPr>
      <w:bCs/>
    </w:rPr>
  </w:style>
  <w:style w:type="paragraph" w:styleId="EndnoteText">
    <w:name w:val="endnote text"/>
    <w:basedOn w:val="Normal"/>
    <w:link w:val="EndnoteTextChar"/>
    <w:uiPriority w:val="99"/>
    <w:unhideWhenUsed/>
    <w:qFormat/>
    <w:rsid w:val="00FF7B16"/>
    <w:pPr>
      <w:spacing w:before="0" w:after="0" w:line="240" w:lineRule="auto"/>
    </w:pPr>
    <w:rPr>
      <w:sz w:val="18"/>
      <w:szCs w:val="20"/>
    </w:rPr>
  </w:style>
  <w:style w:type="character" w:customStyle="1" w:styleId="EndnoteTextChar">
    <w:name w:val="Endnote Text Char"/>
    <w:basedOn w:val="DefaultParagraphFont"/>
    <w:link w:val="EndnoteText"/>
    <w:uiPriority w:val="99"/>
    <w:rsid w:val="00FF7B16"/>
    <w:rPr>
      <w:sz w:val="18"/>
      <w:szCs w:val="20"/>
      <w:lang w:val="en-GB"/>
    </w:rPr>
  </w:style>
  <w:style w:type="paragraph" w:styleId="FootnoteText">
    <w:name w:val="footnote text"/>
    <w:basedOn w:val="Normal"/>
    <w:link w:val="FootnoteTextChar"/>
    <w:uiPriority w:val="99"/>
    <w:semiHidden/>
    <w:unhideWhenUsed/>
    <w:rsid w:val="00FF7B16"/>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FF7B16"/>
    <w:rPr>
      <w:sz w:val="18"/>
      <w:szCs w:val="20"/>
      <w:lang w:val="en-GB"/>
    </w:rPr>
  </w:style>
  <w:style w:type="character" w:styleId="FootnoteReference">
    <w:name w:val="footnote reference"/>
    <w:basedOn w:val="DefaultParagraphFont"/>
    <w:uiPriority w:val="99"/>
    <w:semiHidden/>
    <w:unhideWhenUsed/>
    <w:rsid w:val="00FF7B16"/>
    <w:rPr>
      <w:rFonts w:asciiTheme="minorHAnsi" w:hAnsiTheme="minorHAnsi"/>
      <w:vertAlign w:val="superscript"/>
    </w:rPr>
  </w:style>
  <w:style w:type="paragraph" w:customStyle="1" w:styleId="Table-Bullet2">
    <w:name w:val="Table-Bullet2"/>
    <w:basedOn w:val="Bullet2"/>
    <w:qFormat/>
    <w:rsid w:val="00F06DAC"/>
    <w:pPr>
      <w:numPr>
        <w:numId w:val="4"/>
      </w:numPr>
      <w:spacing w:before="0" w:after="0" w:line="240" w:lineRule="auto"/>
      <w:ind w:hanging="349"/>
      <w:jc w:val="left"/>
    </w:pPr>
  </w:style>
  <w:style w:type="paragraph" w:customStyle="1" w:styleId="Table-Bullet1">
    <w:name w:val="Table-Bullet1"/>
    <w:basedOn w:val="Table-Bullet2"/>
    <w:qFormat/>
    <w:rsid w:val="00F06DAC"/>
    <w:pPr>
      <w:numPr>
        <w:numId w:val="5"/>
      </w:numPr>
      <w:ind w:left="284"/>
    </w:pPr>
  </w:style>
  <w:style w:type="table" w:styleId="LightList-Accent5">
    <w:name w:val="Light List Accent 5"/>
    <w:basedOn w:val="TableNormal"/>
    <w:uiPriority w:val="61"/>
    <w:rsid w:val="00576C38"/>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paragraph" w:customStyle="1" w:styleId="Footertext">
    <w:name w:val="Footer text"/>
    <w:basedOn w:val="Footer"/>
    <w:link w:val="FootertextChar"/>
    <w:rsid w:val="002D13CD"/>
    <w:rPr>
      <w:rFonts w:eastAsiaTheme="minorHAnsi"/>
      <w:color w:val="4E5053"/>
      <w:lang w:val="en-GB"/>
    </w:rPr>
  </w:style>
  <w:style w:type="character" w:customStyle="1" w:styleId="FootertextChar">
    <w:name w:val="Footer text Char"/>
    <w:basedOn w:val="FooterChar"/>
    <w:link w:val="Footertext"/>
    <w:rsid w:val="002D13CD"/>
    <w:rPr>
      <w:rFonts w:ascii="Calibri" w:eastAsiaTheme="minorHAnsi" w:hAnsi="Calibri"/>
      <w:color w:val="4E5053"/>
      <w:sz w:val="18"/>
      <w:lang w:val="en-GB"/>
    </w:rPr>
  </w:style>
  <w:style w:type="table" w:customStyle="1" w:styleId="LightShading-Accent31">
    <w:name w:val="Light Shading - Accent 31"/>
    <w:basedOn w:val="TableNormal"/>
    <w:next w:val="LightShading-Accent3"/>
    <w:uiPriority w:val="60"/>
    <w:rsid w:val="00747057"/>
    <w:pPr>
      <w:spacing w:before="120" w:after="120" w:line="240" w:lineRule="auto"/>
      <w:jc w:val="left"/>
    </w:pPr>
    <w:rPr>
      <w:rFonts w:eastAsia="Times New Roman"/>
      <w:color w:val="4E5053"/>
    </w:rPr>
    <w:tblPr>
      <w:tblStyleRowBandSize w:val="1"/>
      <w:tblStyleColBandSize w:val="1"/>
      <w:tblBorders>
        <w:top w:val="single" w:sz="4" w:space="0" w:color="003569"/>
        <w:left w:val="single" w:sz="4" w:space="0" w:color="003569"/>
        <w:bottom w:val="single" w:sz="4" w:space="0" w:color="003569"/>
        <w:right w:val="single" w:sz="4" w:space="0" w:color="003569"/>
        <w:insideH w:val="single" w:sz="4" w:space="0" w:color="003569"/>
      </w:tblBorders>
    </w:tblPr>
    <w:tblStylePr w:type="firstRow">
      <w:pPr>
        <w:wordWrap/>
        <w:spacing w:beforeLines="0" w:before="120" w:beforeAutospacing="0" w:afterLines="0" w:after="12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32">
    <w:name w:val="Light Shading - Accent 32"/>
    <w:basedOn w:val="TableNormal"/>
    <w:next w:val="LightShading-Accent3"/>
    <w:uiPriority w:val="60"/>
    <w:rsid w:val="00747057"/>
    <w:pPr>
      <w:spacing w:before="120" w:after="120" w:line="240" w:lineRule="auto"/>
      <w:jc w:val="left"/>
    </w:pPr>
    <w:rPr>
      <w:rFonts w:eastAsia="Times New Roman"/>
      <w:color w:val="4E5053"/>
    </w:rPr>
    <w:tblPr>
      <w:tblStyleRowBandSize w:val="1"/>
      <w:tblStyleColBandSize w:val="1"/>
      <w:tblBorders>
        <w:top w:val="single" w:sz="4" w:space="0" w:color="003569"/>
        <w:left w:val="single" w:sz="4" w:space="0" w:color="003569"/>
        <w:bottom w:val="single" w:sz="4" w:space="0" w:color="003569"/>
        <w:right w:val="single" w:sz="4" w:space="0" w:color="003569"/>
        <w:insideH w:val="single" w:sz="4" w:space="0" w:color="003569"/>
      </w:tblBorders>
    </w:tblPr>
    <w:tblStylePr w:type="firstRow">
      <w:pPr>
        <w:wordWrap/>
        <w:spacing w:beforeLines="0" w:before="120" w:beforeAutospacing="0" w:afterLines="0" w:after="12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33">
    <w:name w:val="Light Shading - Accent 33"/>
    <w:basedOn w:val="TableNormal"/>
    <w:next w:val="LightShading-Accent3"/>
    <w:uiPriority w:val="60"/>
    <w:rsid w:val="00747057"/>
    <w:pPr>
      <w:spacing w:before="120" w:after="120" w:line="240" w:lineRule="auto"/>
      <w:jc w:val="left"/>
    </w:pPr>
    <w:rPr>
      <w:rFonts w:eastAsia="Times New Roman"/>
      <w:color w:val="4E5053"/>
    </w:rPr>
    <w:tblPr>
      <w:tblStyleRowBandSize w:val="1"/>
      <w:tblStyleColBandSize w:val="1"/>
      <w:tblBorders>
        <w:top w:val="single" w:sz="4" w:space="0" w:color="003569"/>
        <w:left w:val="single" w:sz="4" w:space="0" w:color="003569"/>
        <w:bottom w:val="single" w:sz="4" w:space="0" w:color="003569"/>
        <w:right w:val="single" w:sz="4" w:space="0" w:color="003569"/>
        <w:insideH w:val="single" w:sz="4" w:space="0" w:color="003569"/>
      </w:tblBorders>
    </w:tblPr>
    <w:tblStylePr w:type="firstRow">
      <w:pPr>
        <w:wordWrap/>
        <w:spacing w:beforeLines="0" w:before="120" w:beforeAutospacing="0" w:afterLines="0" w:after="12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paragraph" w:customStyle="1" w:styleId="EndNoteBibliographyTitle">
    <w:name w:val="EndNote Bibliography Title"/>
    <w:basedOn w:val="Normal"/>
    <w:link w:val="EndNoteBibliographyTitleChar"/>
    <w:rsid w:val="00747057"/>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747057"/>
    <w:rPr>
      <w:rFonts w:ascii="Calibri" w:hAnsi="Calibri"/>
      <w:noProof/>
    </w:rPr>
  </w:style>
  <w:style w:type="paragraph" w:customStyle="1" w:styleId="EndNoteBibliography">
    <w:name w:val="EndNote Bibliography"/>
    <w:basedOn w:val="Normal"/>
    <w:link w:val="EndNoteBibliographyChar"/>
    <w:rsid w:val="00747057"/>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747057"/>
    <w:rPr>
      <w:rFonts w:ascii="Calibri" w:hAnsi="Calibri"/>
      <w:noProof/>
    </w:rPr>
  </w:style>
  <w:style w:type="character" w:styleId="CommentReference">
    <w:name w:val="annotation reference"/>
    <w:basedOn w:val="DefaultParagraphFont"/>
    <w:uiPriority w:val="99"/>
    <w:semiHidden/>
    <w:unhideWhenUsed/>
    <w:rsid w:val="005A4219"/>
    <w:rPr>
      <w:sz w:val="16"/>
      <w:szCs w:val="16"/>
    </w:rPr>
  </w:style>
  <w:style w:type="paragraph" w:styleId="CommentText">
    <w:name w:val="annotation text"/>
    <w:basedOn w:val="Normal"/>
    <w:link w:val="CommentTextChar"/>
    <w:uiPriority w:val="99"/>
    <w:semiHidden/>
    <w:unhideWhenUsed/>
    <w:rsid w:val="005A4219"/>
    <w:pPr>
      <w:spacing w:line="240" w:lineRule="auto"/>
    </w:pPr>
    <w:rPr>
      <w:sz w:val="20"/>
      <w:szCs w:val="20"/>
    </w:rPr>
  </w:style>
  <w:style w:type="character" w:customStyle="1" w:styleId="CommentTextChar">
    <w:name w:val="Comment Text Char"/>
    <w:basedOn w:val="DefaultParagraphFont"/>
    <w:link w:val="CommentText"/>
    <w:uiPriority w:val="99"/>
    <w:semiHidden/>
    <w:rsid w:val="005A4219"/>
    <w:rPr>
      <w:sz w:val="20"/>
      <w:szCs w:val="20"/>
    </w:rPr>
  </w:style>
  <w:style w:type="paragraph" w:styleId="CommentSubject">
    <w:name w:val="annotation subject"/>
    <w:basedOn w:val="CommentText"/>
    <w:next w:val="CommentText"/>
    <w:link w:val="CommentSubjectChar"/>
    <w:uiPriority w:val="99"/>
    <w:semiHidden/>
    <w:unhideWhenUsed/>
    <w:rsid w:val="005A4219"/>
    <w:rPr>
      <w:b/>
      <w:bCs/>
    </w:rPr>
  </w:style>
  <w:style w:type="character" w:customStyle="1" w:styleId="CommentSubjectChar">
    <w:name w:val="Comment Subject Char"/>
    <w:basedOn w:val="CommentTextChar"/>
    <w:link w:val="CommentSubject"/>
    <w:uiPriority w:val="99"/>
    <w:semiHidden/>
    <w:rsid w:val="005A421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4E5053" w:themeColor="text1"/>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C10BA"/>
    <w:pPr>
      <w:spacing w:before="120" w:after="120"/>
    </w:pPr>
  </w:style>
  <w:style w:type="paragraph" w:styleId="Heading1">
    <w:name w:val="heading 1"/>
    <w:basedOn w:val="Normal"/>
    <w:next w:val="Normal"/>
    <w:link w:val="Heading1Char"/>
    <w:uiPriority w:val="9"/>
    <w:qFormat/>
    <w:rsid w:val="000D46C2"/>
    <w:pPr>
      <w:keepNext/>
      <w:keepLines/>
      <w:pageBreakBefore/>
      <w:numPr>
        <w:numId w:val="3"/>
      </w:numPr>
      <w:pBdr>
        <w:bottom w:val="single" w:sz="4" w:space="1" w:color="003569" w:themeColor="accent3"/>
      </w:pBdr>
      <w:spacing w:after="240" w:line="240" w:lineRule="auto"/>
      <w:ind w:left="431" w:hanging="431"/>
      <w:jc w:val="left"/>
      <w:outlineLvl w:val="0"/>
    </w:pPr>
    <w:rPr>
      <w:rFonts w:ascii="Calibri" w:eastAsiaTheme="majorEastAsia" w:hAnsi="Calibri" w:cstheme="majorBidi"/>
      <w:b/>
      <w:bCs/>
      <w:sz w:val="48"/>
      <w:szCs w:val="28"/>
    </w:rPr>
  </w:style>
  <w:style w:type="paragraph" w:styleId="Heading2">
    <w:name w:val="heading 2"/>
    <w:basedOn w:val="Normal"/>
    <w:next w:val="Normal"/>
    <w:link w:val="Heading2Char"/>
    <w:uiPriority w:val="9"/>
    <w:unhideWhenUsed/>
    <w:qFormat/>
    <w:rsid w:val="00793BCC"/>
    <w:pPr>
      <w:keepNext/>
      <w:keepLines/>
      <w:numPr>
        <w:ilvl w:val="1"/>
        <w:numId w:val="3"/>
      </w:numPr>
      <w:spacing w:before="200" w:line="240" w:lineRule="auto"/>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793BCC"/>
    <w:pPr>
      <w:keepNext/>
      <w:keepLines/>
      <w:numPr>
        <w:ilvl w:val="2"/>
        <w:numId w:val="3"/>
      </w:numPr>
      <w:spacing w:before="200"/>
      <w:outlineLvl w:val="2"/>
    </w:pPr>
    <w:rPr>
      <w:rFonts w:ascii="Calibri" w:eastAsiaTheme="majorEastAsia" w:hAnsi="Calibri" w:cstheme="majorBidi"/>
      <w:b/>
      <w:bCs/>
      <w:sz w:val="26"/>
      <w:szCs w:val="26"/>
    </w:rPr>
  </w:style>
  <w:style w:type="paragraph" w:styleId="Heading4">
    <w:name w:val="heading 4"/>
    <w:basedOn w:val="Normal"/>
    <w:next w:val="Normal"/>
    <w:link w:val="Heading4Char"/>
    <w:uiPriority w:val="9"/>
    <w:unhideWhenUsed/>
    <w:qFormat/>
    <w:rsid w:val="00793BCC"/>
    <w:pPr>
      <w:keepNext/>
      <w:keepLines/>
      <w:numPr>
        <w:ilvl w:val="3"/>
        <w:numId w:val="3"/>
      </w:num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8C10BA"/>
    <w:pPr>
      <w:keepNext/>
      <w:keepLines/>
      <w:numPr>
        <w:ilvl w:val="4"/>
        <w:numId w:val="3"/>
      </w:numPr>
      <w:spacing w:before="200"/>
      <w:outlineLvl w:val="4"/>
    </w:pPr>
    <w:rPr>
      <w:rFonts w:ascii="Calibri" w:eastAsiaTheme="majorEastAsia" w:hAnsi="Calibri" w:cstheme="majorBidi"/>
      <w:i/>
    </w:rPr>
  </w:style>
  <w:style w:type="paragraph" w:styleId="Heading6">
    <w:name w:val="heading 6"/>
    <w:basedOn w:val="Normal"/>
    <w:next w:val="Normal"/>
    <w:link w:val="Heading6Char"/>
    <w:uiPriority w:val="9"/>
    <w:unhideWhenUsed/>
    <w:rsid w:val="008C10BA"/>
    <w:pPr>
      <w:keepNext/>
      <w:keepLines/>
      <w:numPr>
        <w:ilvl w:val="5"/>
        <w:numId w:val="3"/>
      </w:numPr>
      <w:spacing w:before="200"/>
      <w:outlineLvl w:val="5"/>
    </w:pPr>
    <w:rPr>
      <w:rFonts w:ascii="Calibri" w:eastAsiaTheme="majorEastAsia" w:hAnsi="Calibri" w:cstheme="majorBidi"/>
      <w:i/>
      <w:iCs/>
    </w:rPr>
  </w:style>
  <w:style w:type="paragraph" w:styleId="Heading7">
    <w:name w:val="heading 7"/>
    <w:basedOn w:val="Normal"/>
    <w:next w:val="Normal"/>
    <w:link w:val="Heading7Char"/>
    <w:uiPriority w:val="9"/>
    <w:semiHidden/>
    <w:unhideWhenUsed/>
    <w:rsid w:val="008C10BA"/>
    <w:pPr>
      <w:keepNext/>
      <w:keepLines/>
      <w:numPr>
        <w:ilvl w:val="6"/>
        <w:numId w:val="3"/>
      </w:numPr>
      <w:spacing w:before="200"/>
      <w:outlineLvl w:val="6"/>
    </w:pPr>
    <w:rPr>
      <w:rFonts w:ascii="Calibri" w:eastAsiaTheme="majorEastAsia" w:hAnsi="Calibri" w:cstheme="majorBidi"/>
      <w:i/>
      <w:iCs/>
    </w:rPr>
  </w:style>
  <w:style w:type="paragraph" w:styleId="Heading8">
    <w:name w:val="heading 8"/>
    <w:basedOn w:val="Normal"/>
    <w:next w:val="Normal"/>
    <w:link w:val="Heading8Char"/>
    <w:uiPriority w:val="9"/>
    <w:unhideWhenUsed/>
    <w:rsid w:val="008C10BA"/>
    <w:pPr>
      <w:keepNext/>
      <w:keepLines/>
      <w:numPr>
        <w:ilvl w:val="7"/>
        <w:numId w:val="3"/>
      </w:numPr>
      <w:spacing w:before="200"/>
      <w:outlineLvl w:val="7"/>
    </w:pPr>
    <w:rPr>
      <w:rFonts w:ascii="Calibri" w:eastAsiaTheme="majorEastAsia" w:hAnsi="Calibri" w:cstheme="majorBidi"/>
      <w:sz w:val="20"/>
      <w:szCs w:val="20"/>
    </w:rPr>
  </w:style>
  <w:style w:type="paragraph" w:styleId="Heading9">
    <w:name w:val="heading 9"/>
    <w:basedOn w:val="Normal"/>
    <w:next w:val="Normal"/>
    <w:link w:val="Heading9Char"/>
    <w:uiPriority w:val="9"/>
    <w:unhideWhenUsed/>
    <w:rsid w:val="008C10BA"/>
    <w:pPr>
      <w:keepNext/>
      <w:keepLines/>
      <w:numPr>
        <w:ilvl w:val="8"/>
        <w:numId w:val="3"/>
      </w:numPr>
      <w:spacing w:before="200"/>
      <w:outlineLvl w:val="8"/>
    </w:pPr>
    <w:rPr>
      <w:rFonts w:ascii="Calibri" w:eastAsiaTheme="majorEastAsia" w:hAnsi="Calibri" w:cstheme="majorBidi"/>
      <w:i/>
      <w:iCs/>
      <w:color w:val="4E5053"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6C2"/>
    <w:rPr>
      <w:rFonts w:ascii="Calibri" w:eastAsiaTheme="majorEastAsia" w:hAnsi="Calibri" w:cstheme="majorBidi"/>
      <w:b/>
      <w:bCs/>
      <w:sz w:val="48"/>
      <w:szCs w:val="28"/>
    </w:rPr>
  </w:style>
  <w:style w:type="character" w:customStyle="1" w:styleId="Heading2Char">
    <w:name w:val="Heading 2 Char"/>
    <w:basedOn w:val="DefaultParagraphFont"/>
    <w:link w:val="Heading2"/>
    <w:uiPriority w:val="9"/>
    <w:rsid w:val="00793BCC"/>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793BCC"/>
    <w:rPr>
      <w:rFonts w:ascii="Calibri" w:eastAsiaTheme="majorEastAsia" w:hAnsi="Calibri" w:cstheme="majorBidi"/>
      <w:b/>
      <w:bCs/>
      <w:sz w:val="26"/>
      <w:szCs w:val="26"/>
    </w:rPr>
  </w:style>
  <w:style w:type="character" w:customStyle="1" w:styleId="Heading4Char">
    <w:name w:val="Heading 4 Char"/>
    <w:basedOn w:val="DefaultParagraphFont"/>
    <w:link w:val="Heading4"/>
    <w:uiPriority w:val="9"/>
    <w:rsid w:val="00793BCC"/>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8C10BA"/>
    <w:rPr>
      <w:rFonts w:ascii="Calibri" w:eastAsiaTheme="majorEastAsia" w:hAnsi="Calibri" w:cstheme="majorBidi"/>
      <w:i/>
    </w:rPr>
  </w:style>
  <w:style w:type="character" w:customStyle="1" w:styleId="Heading6Char">
    <w:name w:val="Heading 6 Char"/>
    <w:basedOn w:val="DefaultParagraphFont"/>
    <w:link w:val="Heading6"/>
    <w:uiPriority w:val="9"/>
    <w:rsid w:val="008C10BA"/>
    <w:rPr>
      <w:rFonts w:ascii="Calibri" w:eastAsiaTheme="majorEastAsia" w:hAnsi="Calibri" w:cstheme="majorBidi"/>
      <w:i/>
      <w:iCs/>
    </w:rPr>
  </w:style>
  <w:style w:type="character" w:customStyle="1" w:styleId="Heading7Char">
    <w:name w:val="Heading 7 Char"/>
    <w:basedOn w:val="DefaultParagraphFont"/>
    <w:link w:val="Heading7"/>
    <w:uiPriority w:val="9"/>
    <w:semiHidden/>
    <w:rsid w:val="008C10BA"/>
    <w:rPr>
      <w:rFonts w:ascii="Calibri" w:eastAsiaTheme="majorEastAsia" w:hAnsi="Calibri" w:cstheme="majorBidi"/>
      <w:i/>
      <w:iCs/>
    </w:rPr>
  </w:style>
  <w:style w:type="character" w:customStyle="1" w:styleId="Heading8Char">
    <w:name w:val="Heading 8 Char"/>
    <w:basedOn w:val="DefaultParagraphFont"/>
    <w:link w:val="Heading8"/>
    <w:uiPriority w:val="9"/>
    <w:rsid w:val="008C10BA"/>
    <w:rPr>
      <w:rFonts w:ascii="Calibri" w:eastAsiaTheme="majorEastAsia" w:hAnsi="Calibri" w:cstheme="majorBidi"/>
      <w:sz w:val="20"/>
      <w:szCs w:val="20"/>
    </w:rPr>
  </w:style>
  <w:style w:type="character" w:customStyle="1" w:styleId="Heading9Char">
    <w:name w:val="Heading 9 Char"/>
    <w:basedOn w:val="DefaultParagraphFont"/>
    <w:link w:val="Heading9"/>
    <w:uiPriority w:val="9"/>
    <w:semiHidden/>
    <w:rsid w:val="008C10BA"/>
    <w:rPr>
      <w:rFonts w:ascii="Calibri" w:eastAsiaTheme="majorEastAsia" w:hAnsi="Calibri" w:cstheme="majorBidi"/>
      <w:i/>
      <w:iCs/>
      <w:color w:val="4E5053" w:themeColor="text2"/>
      <w:sz w:val="20"/>
      <w:szCs w:val="20"/>
    </w:rPr>
  </w:style>
  <w:style w:type="paragraph" w:styleId="Caption">
    <w:name w:val="caption"/>
    <w:basedOn w:val="Normal"/>
    <w:next w:val="Normal"/>
    <w:uiPriority w:val="35"/>
    <w:unhideWhenUsed/>
    <w:qFormat/>
    <w:rsid w:val="007960C7"/>
    <w:pPr>
      <w:keepNext/>
      <w:spacing w:before="0" w:after="0" w:line="240" w:lineRule="auto"/>
    </w:pPr>
    <w:rPr>
      <w:b/>
      <w:bCs/>
    </w:rPr>
  </w:style>
  <w:style w:type="paragraph" w:styleId="Title">
    <w:name w:val="Title"/>
    <w:basedOn w:val="Normal"/>
    <w:next w:val="Normal"/>
    <w:link w:val="TitleChar"/>
    <w:uiPriority w:val="10"/>
    <w:rsid w:val="00A83EDE"/>
    <w:pPr>
      <w:pBdr>
        <w:bottom w:val="single" w:sz="8" w:space="4" w:color="68B937"/>
      </w:pBdr>
      <w:spacing w:after="300" w:line="240" w:lineRule="auto"/>
      <w:contextualSpacing/>
    </w:pPr>
    <w:rPr>
      <w:rFonts w:ascii="Calibri" w:eastAsiaTheme="majorEastAsia" w:hAnsi="Calibri" w:cstheme="majorBidi"/>
      <w:b/>
      <w:color w:val="EF7F04" w:themeColor="accent4"/>
      <w:spacing w:val="5"/>
      <w:kern w:val="28"/>
      <w:sz w:val="48"/>
      <w:szCs w:val="52"/>
    </w:rPr>
  </w:style>
  <w:style w:type="character" w:customStyle="1" w:styleId="TitleChar">
    <w:name w:val="Title Char"/>
    <w:basedOn w:val="DefaultParagraphFont"/>
    <w:link w:val="Title"/>
    <w:uiPriority w:val="10"/>
    <w:rsid w:val="00A83EDE"/>
    <w:rPr>
      <w:rFonts w:ascii="Calibri" w:eastAsiaTheme="majorEastAsia" w:hAnsi="Calibri" w:cstheme="majorBidi"/>
      <w:b/>
      <w:color w:val="EF7F04" w:themeColor="accent4"/>
      <w:spacing w:val="5"/>
      <w:kern w:val="28"/>
      <w:sz w:val="48"/>
      <w:szCs w:val="52"/>
    </w:rPr>
  </w:style>
  <w:style w:type="paragraph" w:styleId="Subtitle">
    <w:name w:val="Subtitle"/>
    <w:basedOn w:val="Normal"/>
    <w:next w:val="Normal"/>
    <w:link w:val="SubtitleChar"/>
    <w:uiPriority w:val="11"/>
    <w:rsid w:val="000E5B6C"/>
    <w:pPr>
      <w:numPr>
        <w:ilvl w:val="1"/>
      </w:numPr>
    </w:pPr>
    <w:rPr>
      <w:rFonts w:ascii="Calibri" w:eastAsiaTheme="majorEastAsia" w:hAnsi="Calibri" w:cstheme="majorBidi"/>
      <w:i/>
      <w:iCs/>
      <w:color w:val="auto"/>
      <w:spacing w:val="15"/>
      <w:sz w:val="24"/>
      <w:szCs w:val="24"/>
    </w:rPr>
  </w:style>
  <w:style w:type="character" w:customStyle="1" w:styleId="SubtitleChar">
    <w:name w:val="Subtitle Char"/>
    <w:basedOn w:val="DefaultParagraphFont"/>
    <w:link w:val="Subtitle"/>
    <w:uiPriority w:val="11"/>
    <w:rsid w:val="000E5B6C"/>
    <w:rPr>
      <w:rFonts w:ascii="Calibri" w:eastAsiaTheme="majorEastAsia" w:hAnsi="Calibri" w:cstheme="majorBidi"/>
      <w:i/>
      <w:iCs/>
      <w:spacing w:val="15"/>
      <w:sz w:val="24"/>
      <w:szCs w:val="24"/>
    </w:rPr>
  </w:style>
  <w:style w:type="character" w:styleId="Strong">
    <w:name w:val="Strong"/>
    <w:basedOn w:val="DefaultParagraphFont"/>
    <w:uiPriority w:val="22"/>
    <w:rsid w:val="00E5018E"/>
    <w:rPr>
      <w:b/>
      <w:bCs/>
    </w:rPr>
  </w:style>
  <w:style w:type="character" w:styleId="Emphasis">
    <w:name w:val="Emphasis"/>
    <w:basedOn w:val="DefaultParagraphFont"/>
    <w:uiPriority w:val="20"/>
    <w:rsid w:val="000E5B6C"/>
    <w:rPr>
      <w:rFonts w:ascii="Calibri" w:hAnsi="Calibri"/>
      <w:i/>
      <w:iCs/>
      <w:color w:val="auto"/>
      <w:sz w:val="22"/>
    </w:rPr>
  </w:style>
  <w:style w:type="paragraph" w:styleId="NoSpacing">
    <w:name w:val="No Spacing"/>
    <w:link w:val="NoSpacingChar"/>
    <w:uiPriority w:val="1"/>
    <w:rsid w:val="000E5B6C"/>
    <w:pPr>
      <w:spacing w:after="0" w:line="240" w:lineRule="auto"/>
    </w:pPr>
  </w:style>
  <w:style w:type="paragraph" w:styleId="ListParagraph">
    <w:name w:val="List Paragraph"/>
    <w:aliases w:val="Bullet1"/>
    <w:basedOn w:val="Normal"/>
    <w:link w:val="ListParagraphChar"/>
    <w:uiPriority w:val="10"/>
    <w:qFormat/>
    <w:rsid w:val="00F06DAC"/>
    <w:pPr>
      <w:numPr>
        <w:numId w:val="7"/>
      </w:numPr>
    </w:pPr>
    <w:rPr>
      <w:rFonts w:eastAsiaTheme="majorEastAsia"/>
    </w:rPr>
  </w:style>
  <w:style w:type="paragraph" w:styleId="Quote">
    <w:name w:val="Quote"/>
    <w:basedOn w:val="Normal"/>
    <w:next w:val="Normal"/>
    <w:link w:val="QuoteChar"/>
    <w:uiPriority w:val="29"/>
    <w:rsid w:val="000E5B6C"/>
    <w:rPr>
      <w:i/>
      <w:iCs/>
      <w:color w:val="EF7F04"/>
    </w:rPr>
  </w:style>
  <w:style w:type="character" w:customStyle="1" w:styleId="QuoteChar">
    <w:name w:val="Quote Char"/>
    <w:basedOn w:val="DefaultParagraphFont"/>
    <w:link w:val="Quote"/>
    <w:uiPriority w:val="29"/>
    <w:rsid w:val="000E5B6C"/>
    <w:rPr>
      <w:i/>
      <w:iCs/>
      <w:color w:val="EF7F04"/>
    </w:rPr>
  </w:style>
  <w:style w:type="paragraph" w:styleId="IntenseQuote">
    <w:name w:val="Intense Quote"/>
    <w:basedOn w:val="Normal"/>
    <w:next w:val="Normal"/>
    <w:link w:val="IntenseQuoteChar"/>
    <w:uiPriority w:val="30"/>
    <w:rsid w:val="000E5B6C"/>
    <w:pPr>
      <w:pBdr>
        <w:bottom w:val="single" w:sz="4" w:space="4" w:color="68B937" w:themeColor="accent1"/>
      </w:pBdr>
      <w:spacing w:before="200" w:after="280"/>
      <w:ind w:left="936" w:right="936"/>
    </w:pPr>
    <w:rPr>
      <w:b/>
      <w:bCs/>
      <w:i/>
      <w:iCs/>
      <w:color w:val="EF7F04"/>
    </w:rPr>
  </w:style>
  <w:style w:type="character" w:customStyle="1" w:styleId="IntenseQuoteChar">
    <w:name w:val="Intense Quote Char"/>
    <w:basedOn w:val="DefaultParagraphFont"/>
    <w:link w:val="IntenseQuote"/>
    <w:uiPriority w:val="30"/>
    <w:rsid w:val="000E5B6C"/>
    <w:rPr>
      <w:b/>
      <w:bCs/>
      <w:i/>
      <w:iCs/>
      <w:color w:val="EF7F04"/>
    </w:rPr>
  </w:style>
  <w:style w:type="character" w:styleId="SubtleEmphasis">
    <w:name w:val="Subtle Emphasis"/>
    <w:basedOn w:val="DefaultParagraphFont"/>
    <w:uiPriority w:val="19"/>
    <w:rsid w:val="006562CA"/>
    <w:rPr>
      <w:rFonts w:ascii="Calibri" w:hAnsi="Calibri"/>
      <w:i/>
      <w:iCs/>
      <w:color w:val="4E5053"/>
    </w:rPr>
  </w:style>
  <w:style w:type="character" w:styleId="IntenseEmphasis">
    <w:name w:val="Intense Emphasis"/>
    <w:basedOn w:val="DefaultParagraphFont"/>
    <w:uiPriority w:val="21"/>
    <w:rsid w:val="000E5B6C"/>
    <w:rPr>
      <w:rFonts w:asciiTheme="minorHAnsi" w:hAnsiTheme="minorHAnsi"/>
      <w:b/>
      <w:bCs/>
      <w:i/>
      <w:iCs/>
      <w:color w:val="EF7F04" w:themeColor="accent4"/>
      <w:sz w:val="22"/>
    </w:rPr>
  </w:style>
  <w:style w:type="character" w:styleId="SubtleReference">
    <w:name w:val="Subtle Reference"/>
    <w:basedOn w:val="DefaultParagraphFont"/>
    <w:uiPriority w:val="31"/>
    <w:rsid w:val="008323B2"/>
    <w:rPr>
      <w:rFonts w:ascii="Calibri" w:hAnsi="Calibri"/>
      <w:smallCaps/>
      <w:color w:val="E52126"/>
      <w:u w:val="single"/>
    </w:rPr>
  </w:style>
  <w:style w:type="character" w:styleId="IntenseReference">
    <w:name w:val="Intense Reference"/>
    <w:basedOn w:val="DefaultParagraphFont"/>
    <w:uiPriority w:val="32"/>
    <w:rsid w:val="008323B2"/>
    <w:rPr>
      <w:rFonts w:ascii="Calibri" w:hAnsi="Calibri"/>
      <w:b/>
      <w:bCs/>
      <w:smallCaps/>
      <w:color w:val="E52126"/>
      <w:spacing w:val="5"/>
      <w:u w:val="single"/>
    </w:rPr>
  </w:style>
  <w:style w:type="character" w:styleId="BookTitle">
    <w:name w:val="Book Title"/>
    <w:basedOn w:val="DefaultParagraphFont"/>
    <w:uiPriority w:val="33"/>
    <w:rsid w:val="008323B2"/>
    <w:rPr>
      <w:rFonts w:ascii="Calibri" w:hAnsi="Calibri"/>
      <w:b/>
      <w:bCs/>
      <w:smallCaps/>
      <w:spacing w:val="5"/>
    </w:rPr>
  </w:style>
  <w:style w:type="paragraph" w:styleId="TOCHeading">
    <w:name w:val="TOC Heading"/>
    <w:basedOn w:val="Heading1"/>
    <w:next w:val="Normal"/>
    <w:uiPriority w:val="39"/>
    <w:unhideWhenUsed/>
    <w:qFormat/>
    <w:rsid w:val="002D13CD"/>
    <w:pPr>
      <w:pageBreakBefore w:val="0"/>
      <w:numPr>
        <w:numId w:val="0"/>
      </w:numPr>
      <w:spacing w:before="480" w:after="960"/>
      <w:outlineLvl w:val="9"/>
    </w:pPr>
    <w:rPr>
      <w:lang w:eastAsia="ja-JP"/>
    </w:rPr>
  </w:style>
  <w:style w:type="paragraph" w:styleId="BalloonText">
    <w:name w:val="Balloon Text"/>
    <w:basedOn w:val="Normal"/>
    <w:link w:val="BalloonTextChar"/>
    <w:uiPriority w:val="99"/>
    <w:semiHidden/>
    <w:unhideWhenUsed/>
    <w:rsid w:val="00E501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8E"/>
    <w:rPr>
      <w:rFonts w:ascii="Tahoma" w:hAnsi="Tahoma" w:cs="Tahoma"/>
      <w:sz w:val="16"/>
      <w:szCs w:val="16"/>
    </w:rPr>
  </w:style>
  <w:style w:type="paragraph" w:customStyle="1" w:styleId="Coverproposalcode">
    <w:name w:val="Cover proposal code"/>
    <w:basedOn w:val="Normal"/>
    <w:uiPriority w:val="99"/>
    <w:rsid w:val="00611AE1"/>
    <w:pPr>
      <w:tabs>
        <w:tab w:val="num" w:pos="284"/>
      </w:tabs>
      <w:spacing w:before="60" w:after="60" w:line="240" w:lineRule="auto"/>
      <w:ind w:left="290" w:right="-5608" w:hanging="6"/>
    </w:pPr>
    <w:rPr>
      <w:rFonts w:ascii="Calibri" w:eastAsia="Times New Roman" w:hAnsi="Calibri" w:cs="Calibri"/>
      <w:b/>
      <w:bCs/>
      <w:color w:val="FFFFFF"/>
      <w:sz w:val="30"/>
      <w:szCs w:val="30"/>
      <w:lang w:eastAsia="ja-JP"/>
    </w:rPr>
  </w:style>
  <w:style w:type="paragraph" w:styleId="Header">
    <w:name w:val="header"/>
    <w:basedOn w:val="Normal"/>
    <w:link w:val="HeaderChar"/>
    <w:uiPriority w:val="99"/>
    <w:unhideWhenUsed/>
    <w:rsid w:val="004D0376"/>
    <w:pPr>
      <w:tabs>
        <w:tab w:val="center" w:pos="4680"/>
        <w:tab w:val="right" w:pos="9360"/>
      </w:tabs>
      <w:spacing w:line="240" w:lineRule="auto"/>
    </w:pPr>
  </w:style>
  <w:style w:type="character" w:customStyle="1" w:styleId="HeaderChar">
    <w:name w:val="Header Char"/>
    <w:basedOn w:val="DefaultParagraphFont"/>
    <w:link w:val="Header"/>
    <w:uiPriority w:val="99"/>
    <w:rsid w:val="004D0376"/>
    <w:rPr>
      <w:color w:val="4E5053"/>
    </w:rPr>
  </w:style>
  <w:style w:type="paragraph" w:styleId="Footer">
    <w:name w:val="footer"/>
    <w:basedOn w:val="Normal"/>
    <w:link w:val="FooterChar"/>
    <w:unhideWhenUsed/>
    <w:rsid w:val="00611AE1"/>
    <w:pPr>
      <w:tabs>
        <w:tab w:val="center" w:pos="4680"/>
        <w:tab w:val="right" w:pos="9360"/>
      </w:tabs>
      <w:spacing w:line="240" w:lineRule="auto"/>
    </w:pPr>
    <w:rPr>
      <w:rFonts w:ascii="Calibri" w:hAnsi="Calibri"/>
      <w:sz w:val="18"/>
    </w:rPr>
  </w:style>
  <w:style w:type="character" w:customStyle="1" w:styleId="FooterChar">
    <w:name w:val="Footer Char"/>
    <w:basedOn w:val="DefaultParagraphFont"/>
    <w:link w:val="Footer"/>
    <w:rsid w:val="00611AE1"/>
    <w:rPr>
      <w:rFonts w:ascii="Calibri" w:hAnsi="Calibri"/>
      <w:sz w:val="18"/>
    </w:rPr>
  </w:style>
  <w:style w:type="paragraph" w:styleId="TOC1">
    <w:name w:val="toc 1"/>
    <w:basedOn w:val="Normal"/>
    <w:next w:val="Normal"/>
    <w:autoRedefine/>
    <w:uiPriority w:val="39"/>
    <w:unhideWhenUsed/>
    <w:rsid w:val="003A6528"/>
    <w:pPr>
      <w:tabs>
        <w:tab w:val="left" w:pos="440"/>
        <w:tab w:val="right" w:leader="dot" w:pos="9072"/>
      </w:tabs>
      <w:spacing w:before="0" w:after="0" w:line="240" w:lineRule="auto"/>
    </w:pPr>
    <w:rPr>
      <w:rFonts w:ascii="Calibri" w:hAnsi="Calibri"/>
    </w:rPr>
  </w:style>
  <w:style w:type="paragraph" w:styleId="TOC2">
    <w:name w:val="toc 2"/>
    <w:basedOn w:val="Normal"/>
    <w:next w:val="Normal"/>
    <w:autoRedefine/>
    <w:uiPriority w:val="39"/>
    <w:unhideWhenUsed/>
    <w:rsid w:val="003A6528"/>
    <w:pPr>
      <w:tabs>
        <w:tab w:val="right" w:leader="dot" w:pos="9072"/>
      </w:tabs>
      <w:spacing w:before="0" w:after="0" w:line="240" w:lineRule="auto"/>
      <w:ind w:left="1134" w:right="737" w:hanging="709"/>
    </w:pPr>
    <w:rPr>
      <w:rFonts w:ascii="Calibri" w:hAnsi="Calibri"/>
    </w:rPr>
  </w:style>
  <w:style w:type="paragraph" w:styleId="TOC3">
    <w:name w:val="toc 3"/>
    <w:basedOn w:val="Normal"/>
    <w:next w:val="Normal"/>
    <w:autoRedefine/>
    <w:uiPriority w:val="39"/>
    <w:unhideWhenUsed/>
    <w:rsid w:val="003A6528"/>
    <w:pPr>
      <w:tabs>
        <w:tab w:val="left" w:pos="1985"/>
        <w:tab w:val="right" w:leader="dot" w:pos="9072"/>
      </w:tabs>
      <w:spacing w:before="0" w:after="0" w:line="240" w:lineRule="auto"/>
      <w:ind w:left="1985" w:right="737" w:hanging="851"/>
    </w:pPr>
    <w:rPr>
      <w:rFonts w:ascii="Calibri" w:hAnsi="Calibri"/>
    </w:rPr>
  </w:style>
  <w:style w:type="paragraph" w:styleId="TOC4">
    <w:name w:val="toc 4"/>
    <w:basedOn w:val="Normal"/>
    <w:next w:val="Normal"/>
    <w:autoRedefine/>
    <w:uiPriority w:val="39"/>
    <w:semiHidden/>
    <w:unhideWhenUsed/>
    <w:rsid w:val="003A6528"/>
    <w:pPr>
      <w:spacing w:before="0" w:after="0" w:line="240" w:lineRule="auto"/>
      <w:ind w:left="658"/>
    </w:pPr>
    <w:rPr>
      <w:rFonts w:ascii="Calibri" w:hAnsi="Calibri"/>
    </w:rPr>
  </w:style>
  <w:style w:type="paragraph" w:styleId="TOC5">
    <w:name w:val="toc 5"/>
    <w:basedOn w:val="Normal"/>
    <w:next w:val="Normal"/>
    <w:autoRedefine/>
    <w:uiPriority w:val="39"/>
    <w:semiHidden/>
    <w:unhideWhenUsed/>
    <w:rsid w:val="00470434"/>
    <w:pPr>
      <w:spacing w:after="100"/>
      <w:ind w:left="880"/>
    </w:pPr>
    <w:rPr>
      <w:rFonts w:ascii="Calibri" w:hAnsi="Calibri"/>
    </w:rPr>
  </w:style>
  <w:style w:type="paragraph" w:styleId="TOC6">
    <w:name w:val="toc 6"/>
    <w:basedOn w:val="Normal"/>
    <w:next w:val="Normal"/>
    <w:autoRedefine/>
    <w:uiPriority w:val="39"/>
    <w:semiHidden/>
    <w:unhideWhenUsed/>
    <w:rsid w:val="00470434"/>
    <w:pPr>
      <w:spacing w:after="100"/>
      <w:ind w:left="1100"/>
    </w:pPr>
  </w:style>
  <w:style w:type="table" w:styleId="TableGrid">
    <w:name w:val="Table Grid"/>
    <w:basedOn w:val="TableNormal"/>
    <w:uiPriority w:val="59"/>
    <w:rsid w:val="00B35375"/>
    <w:pPr>
      <w:spacing w:before="120" w:after="120" w:line="240" w:lineRule="auto"/>
      <w:jc w:val="left"/>
    </w:p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styleId="MediumShading2-Accent1">
    <w:name w:val="Medium Shading 2 Accent 1"/>
    <w:basedOn w:val="TableNormal"/>
    <w:uiPriority w:val="64"/>
    <w:rsid w:val="00E7260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93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937" w:themeFill="accent1"/>
      </w:tcPr>
    </w:tblStylePr>
    <w:tblStylePr w:type="lastCol">
      <w:rPr>
        <w:b/>
        <w:bCs/>
        <w:color w:val="FFFFFF" w:themeColor="background1"/>
      </w:rPr>
      <w:tblPr/>
      <w:tcPr>
        <w:tcBorders>
          <w:left w:val="nil"/>
          <w:right w:val="nil"/>
          <w:insideH w:val="nil"/>
          <w:insideV w:val="nil"/>
        </w:tcBorders>
        <w:shd w:val="clear" w:color="auto" w:fill="68B93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576C38"/>
    <w:pPr>
      <w:spacing w:before="120" w:after="12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tblBorders>
    </w:tblPr>
    <w:tcPr>
      <w:shd w:val="clear" w:color="auto" w:fill="auto"/>
    </w:tcPr>
    <w:tblStylePr w:type="firstRow">
      <w:pPr>
        <w:wordWrap/>
        <w:spacing w:beforeLines="0" w:before="120" w:beforeAutospacing="0" w:afterLines="0" w:after="120" w:afterAutospacing="0" w:line="240" w:lineRule="auto"/>
        <w:jc w:val="left"/>
      </w:pPr>
      <w:rPr>
        <w:rFonts w:asciiTheme="minorHAnsi" w:hAnsiTheme="minorHAnsi"/>
        <w:b/>
        <w:bCs/>
        <w:color w:val="FFFFFF" w:themeColor="background1"/>
        <w:sz w:val="22"/>
      </w:rPr>
      <w:tblPr/>
      <w:tcPr>
        <w:tcBorders>
          <w:top w:val="nil"/>
          <w:left w:val="single" w:sz="4" w:space="0" w:color="68B937" w:themeColor="accent1"/>
          <w:bottom w:val="nil"/>
          <w:right w:val="nil"/>
          <w:insideH w:val="nil"/>
          <w:insideV w:val="nil"/>
          <w:tl2br w:val="nil"/>
          <w:tr2bl w:val="nil"/>
        </w:tcBorders>
        <w:shd w:val="clear" w:color="auto" w:fill="68B937" w:themeFill="accent1"/>
      </w:tcPr>
    </w:tblStylePr>
    <w:tblStylePr w:type="lastRow">
      <w:pPr>
        <w:spacing w:before="0" w:after="0" w:line="240" w:lineRule="auto"/>
      </w:pPr>
      <w:rPr>
        <w:b/>
        <w:bCs/>
      </w:rPr>
      <w:tblPr/>
      <w:tcPr>
        <w:tcBorders>
          <w:top w:val="single" w:sz="8" w:space="0" w:color="68B937" w:themeColor="accent1"/>
          <w:left w:val="nil"/>
          <w:bottom w:val="single" w:sz="8" w:space="0" w:color="68B937"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basedOn w:val="TableNormal"/>
    <w:uiPriority w:val="60"/>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A6CB" w:themeFill="accent2"/>
      </w:tcPr>
    </w:tblStylePr>
    <w:tblStylePr w:type="lastRow">
      <w:pPr>
        <w:spacing w:before="0" w:after="0" w:line="240" w:lineRule="auto"/>
      </w:pPr>
      <w:rPr>
        <w:b/>
        <w:bCs/>
      </w:rPr>
      <w:tblPr/>
      <w:tcPr>
        <w:tcBorders>
          <w:top w:val="single" w:sz="8" w:space="0" w:color="00A6CB" w:themeColor="accent2"/>
          <w:left w:val="nil"/>
          <w:bottom w:val="single" w:sz="8" w:space="0" w:color="00A6CB" w:themeColor="accent2"/>
          <w:right w:val="nil"/>
          <w:insideH w:val="nil"/>
          <w:insideV w:val="nil"/>
        </w:tcBorders>
      </w:tcPr>
    </w:tblStylePr>
    <w:tblStylePr w:type="firstCol">
      <w:rPr>
        <w:b w:val="0"/>
        <w:bCs/>
      </w:rPr>
    </w:tblStylePr>
    <w:tblStylePr w:type="lastCol">
      <w:rPr>
        <w:b w:val="0"/>
        <w:bCs/>
      </w:rPr>
    </w:tblStylePr>
  </w:style>
  <w:style w:type="table" w:styleId="LightShading-Accent3">
    <w:name w:val="Light Shading Accent 3"/>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3569" w:themeFill="accent3"/>
      </w:tcPr>
    </w:tblStylePr>
    <w:tblStylePr w:type="lastRow">
      <w:pPr>
        <w:spacing w:before="0" w:after="0" w:line="240" w:lineRule="auto"/>
      </w:pPr>
      <w:rPr>
        <w:b/>
        <w:bCs/>
      </w:rPr>
      <w:tblPr/>
      <w:tcPr>
        <w:tcBorders>
          <w:top w:val="single" w:sz="8" w:space="0" w:color="003569" w:themeColor="accent3"/>
          <w:left w:val="nil"/>
          <w:bottom w:val="single" w:sz="8" w:space="0" w:color="003569" w:themeColor="accent3"/>
          <w:right w:val="nil"/>
          <w:insideH w:val="nil"/>
          <w:insideV w:val="nil"/>
        </w:tcBorders>
      </w:tcPr>
    </w:tblStylePr>
    <w:tblStylePr w:type="firstCol">
      <w:rPr>
        <w:b w:val="0"/>
        <w:bCs/>
      </w:rPr>
    </w:tblStylePr>
    <w:tblStylePr w:type="lastCol">
      <w:rPr>
        <w:b w:val="0"/>
        <w:bCs/>
      </w:rPr>
    </w:tblStylePr>
  </w:style>
  <w:style w:type="table" w:styleId="LightShading-Accent4">
    <w:name w:val="Light Shading Accent 4"/>
    <w:basedOn w:val="TableNormal"/>
    <w:uiPriority w:val="60"/>
    <w:rsid w:val="00576C38"/>
    <w:pPr>
      <w:spacing w:before="120" w:after="120" w:line="240" w:lineRule="auto"/>
      <w:jc w:val="left"/>
    </w:pPr>
    <w:rPr>
      <w:color w:val="003569"/>
    </w:r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EF7F04" w:themeFill="accent4"/>
      </w:tcPr>
    </w:tblStylePr>
    <w:tblStylePr w:type="lastRow">
      <w:pPr>
        <w:spacing w:before="0" w:after="0" w:line="240" w:lineRule="auto"/>
      </w:pPr>
      <w:rPr>
        <w:b/>
        <w:bCs/>
      </w:rPr>
      <w:tblPr/>
      <w:tcPr>
        <w:tcBorders>
          <w:top w:val="single" w:sz="8" w:space="0" w:color="EF7F04" w:themeColor="accent4"/>
          <w:left w:val="nil"/>
          <w:bottom w:val="single" w:sz="8" w:space="0" w:color="EF7F04" w:themeColor="accent4"/>
          <w:right w:val="nil"/>
          <w:insideH w:val="nil"/>
          <w:insideV w:val="nil"/>
        </w:tcBorders>
      </w:tcPr>
    </w:tblStylePr>
    <w:tblStylePr w:type="firstCol">
      <w:rPr>
        <w:b w:val="0"/>
        <w:bCs/>
      </w:rPr>
    </w:tblStylePr>
    <w:tblStylePr w:type="lastCol">
      <w:rPr>
        <w:b/>
        <w:bCs/>
      </w:rPr>
    </w:tblStylePr>
  </w:style>
  <w:style w:type="table" w:styleId="LightShading-Accent5">
    <w:name w:val="Light Shading Accent 5"/>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4E5053" w:themeFill="text1"/>
      </w:tcPr>
    </w:tblStylePr>
    <w:tblStylePr w:type="lastRow">
      <w:pPr>
        <w:spacing w:before="0" w:after="0" w:line="240" w:lineRule="auto"/>
      </w:pPr>
      <w:rPr>
        <w:b/>
        <w:bCs/>
      </w:rPr>
      <w:tblPr/>
      <w:tcPr>
        <w:tcBorders>
          <w:top w:val="single" w:sz="8" w:space="0" w:color="008380" w:themeColor="accent5"/>
          <w:left w:val="nil"/>
          <w:bottom w:val="single" w:sz="8" w:space="0" w:color="008380" w:themeColor="accent5"/>
          <w:right w:val="nil"/>
          <w:insideH w:val="nil"/>
          <w:insideV w:val="nil"/>
        </w:tcBorders>
      </w:tcPr>
    </w:tblStylePr>
    <w:tblStylePr w:type="firstCol">
      <w:rPr>
        <w:b w:val="0"/>
        <w:bCs/>
      </w:rPr>
    </w:tblStylePr>
    <w:tblStylePr w:type="lastCol">
      <w:rPr>
        <w:b w:val="0"/>
        <w:bCs/>
      </w:rPr>
    </w:tblStylePr>
  </w:style>
  <w:style w:type="table" w:styleId="LightShading-Accent6">
    <w:name w:val="Light Shading Accent 6"/>
    <w:basedOn w:val="TableNormal"/>
    <w:uiPriority w:val="60"/>
    <w:rsid w:val="00576C38"/>
    <w:pPr>
      <w:spacing w:before="120" w:after="120" w:line="240" w:lineRule="auto"/>
      <w:jc w:val="left"/>
    </w:pPr>
    <w:tblPr>
      <w:tblStyleRowBandSize w:val="1"/>
      <w:tblStyleColBandSize w:val="1"/>
      <w:tblBorders>
        <w:top w:val="single" w:sz="4" w:space="0" w:color="FFBB2D" w:themeColor="accent6"/>
        <w:left w:val="single" w:sz="4" w:space="0" w:color="FFBB2D" w:themeColor="accent6"/>
        <w:bottom w:val="single" w:sz="4" w:space="0" w:color="FFBB2D" w:themeColor="accent6"/>
        <w:right w:val="single" w:sz="4" w:space="0" w:color="FFBB2D" w:themeColor="accent6"/>
        <w:insideH w:val="single" w:sz="4" w:space="0" w:color="FFBB2D" w:themeColor="accent6"/>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single" w:sz="8" w:space="0" w:color="FFBB2D" w:themeColor="accent6"/>
          <w:left w:val="nil"/>
          <w:bottom w:val="single" w:sz="8" w:space="0" w:color="FFBB2D" w:themeColor="accent6"/>
          <w:right w:val="nil"/>
          <w:insideH w:val="nil"/>
          <w:insideV w:val="nil"/>
        </w:tcBorders>
      </w:tcPr>
    </w:tblStylePr>
    <w:tblStylePr w:type="firstCol">
      <w:rPr>
        <w:b w:val="0"/>
        <w:bCs/>
      </w:rPr>
    </w:tblStylePr>
    <w:tblStylePr w:type="lastCol">
      <w:rPr>
        <w:b w:val="0"/>
        <w:bCs/>
      </w:rPr>
    </w:tblStylePr>
  </w:style>
  <w:style w:type="table" w:styleId="LightList">
    <w:name w:val="Light List"/>
    <w:basedOn w:val="TableNormal"/>
    <w:uiPriority w:val="61"/>
    <w:rsid w:val="00A97A46"/>
    <w:pPr>
      <w:spacing w:before="120" w:after="120" w:line="240" w:lineRule="auto"/>
      <w:jc w:val="left"/>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2"/>
          <w:insideV w:val="single" w:sz="4" w:space="0" w:color="FFFFFF" w:themeColor="background2"/>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val="0"/>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nwCell">
      <w:tblPr/>
      <w:tcPr>
        <w:tcBorders>
          <w:left w:val="single" w:sz="4" w:space="0" w:color="4E5053" w:themeColor="text1"/>
        </w:tcBorders>
      </w:tcPr>
    </w:tblStylePr>
  </w:style>
  <w:style w:type="paragraph" w:styleId="Index1">
    <w:name w:val="index 1"/>
    <w:basedOn w:val="Normal"/>
    <w:next w:val="Normal"/>
    <w:autoRedefine/>
    <w:uiPriority w:val="99"/>
    <w:semiHidden/>
    <w:unhideWhenUsed/>
    <w:rsid w:val="00470434"/>
    <w:pPr>
      <w:spacing w:line="240" w:lineRule="auto"/>
      <w:ind w:left="220" w:hanging="220"/>
    </w:pPr>
  </w:style>
  <w:style w:type="paragraph" w:styleId="TableofFigures">
    <w:name w:val="table of figures"/>
    <w:basedOn w:val="Normal"/>
    <w:next w:val="Normal"/>
    <w:uiPriority w:val="99"/>
    <w:semiHidden/>
    <w:unhideWhenUsed/>
    <w:rsid w:val="00A43DE9"/>
  </w:style>
  <w:style w:type="character" w:styleId="Hyperlink">
    <w:name w:val="Hyperlink"/>
    <w:basedOn w:val="DefaultParagraphFont"/>
    <w:uiPriority w:val="99"/>
    <w:unhideWhenUsed/>
    <w:rsid w:val="00516FE3"/>
    <w:rPr>
      <w:color w:val="00A6CB" w:themeColor="hyperlink"/>
      <w:u w:val="single"/>
    </w:rPr>
  </w:style>
  <w:style w:type="table" w:styleId="MediumGrid2">
    <w:name w:val="Medium Grid 2"/>
    <w:basedOn w:val="TableNormal"/>
    <w:uiPriority w:val="68"/>
    <w:rsid w:val="00E72602"/>
    <w:pPr>
      <w:spacing w:after="0" w:line="240" w:lineRule="auto"/>
    </w:pPr>
    <w:rPr>
      <w:rFonts w:asciiTheme="majorHAnsi" w:eastAsiaTheme="majorEastAsia" w:hAnsiTheme="majorHAnsi" w:cstheme="majorBidi"/>
    </w:r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cPr>
      <w:shd w:val="clear" w:color="auto" w:fill="auto"/>
    </w:tcPr>
    <w:tblStylePr w:type="firstRow">
      <w:rPr>
        <w:b/>
        <w:bCs/>
        <w:color w:val="4E5053" w:themeColor="text1"/>
      </w:rPr>
      <w:tblPr/>
      <w:tcPr>
        <w:shd w:val="clear" w:color="auto" w:fill="EDEDEE" w:themeFill="text1" w:themeFillTint="19"/>
      </w:tcPr>
    </w:tblStylePr>
    <w:tblStylePr w:type="lastRow">
      <w:rPr>
        <w:b/>
        <w:bCs/>
        <w:color w:val="4E5053" w:themeColor="text1"/>
      </w:rPr>
      <w:tblPr/>
      <w:tcPr>
        <w:tcBorders>
          <w:top w:val="single" w:sz="12" w:space="0" w:color="4E5053" w:themeColor="text1"/>
          <w:left w:val="nil"/>
          <w:bottom w:val="nil"/>
          <w:right w:val="nil"/>
          <w:insideH w:val="nil"/>
          <w:insideV w:val="nil"/>
        </w:tcBorders>
        <w:shd w:val="clear" w:color="auto" w:fill="FFFFFF" w:themeFill="background1"/>
      </w:tcPr>
    </w:tblStylePr>
    <w:tblStylePr w:type="firstCol">
      <w:rPr>
        <w:b/>
        <w:bCs/>
        <w:color w:val="4E50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E5053" w:themeColor="text1"/>
      </w:rPr>
      <w:tblPr/>
      <w:tcPr>
        <w:tcBorders>
          <w:top w:val="nil"/>
          <w:left w:val="nil"/>
          <w:bottom w:val="nil"/>
          <w:right w:val="nil"/>
          <w:insideH w:val="nil"/>
          <w:insideV w:val="nil"/>
        </w:tcBorders>
        <w:shd w:val="clear" w:color="auto" w:fill="DADBDD" w:themeFill="text1" w:themeFillTint="33"/>
      </w:tcPr>
    </w:tblStylePr>
    <w:tblStylePr w:type="band1Vert">
      <w:tblPr/>
      <w:tcPr>
        <w:shd w:val="clear" w:color="auto" w:fill="A5A7AA" w:themeFill="text1" w:themeFillTint="7F"/>
      </w:tcPr>
    </w:tblStylePr>
    <w:tblStylePr w:type="band1Horz">
      <w:tblPr/>
      <w:tcPr>
        <w:tcBorders>
          <w:insideH w:val="single" w:sz="6" w:space="0" w:color="4E5053" w:themeColor="text1"/>
          <w:insideV w:val="single" w:sz="6" w:space="0" w:color="4E5053" w:themeColor="text1"/>
        </w:tcBorders>
        <w:shd w:val="clear" w:color="auto" w:fill="A5A7AA" w:themeFill="text1"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576C38"/>
    <w:pPr>
      <w:spacing w:after="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nil"/>
          <w:left w:val="single" w:sz="4" w:space="0" w:color="FFFFFF" w:themeColor="background2"/>
          <w:bottom w:val="nil"/>
          <w:right w:val="nil"/>
          <w:insideH w:val="single" w:sz="4" w:space="0" w:color="FFFFFF" w:themeColor="background2"/>
          <w:insideV w:val="single" w:sz="4" w:space="0" w:color="FFFFFF" w:themeColor="background2"/>
        </w:tcBorders>
        <w:shd w:val="clear" w:color="auto" w:fill="68B937" w:themeFill="accent1"/>
        <w:vAlign w:val="center"/>
      </w:tcPr>
    </w:tblStylePr>
    <w:tblStylePr w:type="lastRow">
      <w:pPr>
        <w:spacing w:before="0" w:after="0" w:line="240" w:lineRule="auto"/>
      </w:pPr>
      <w:rPr>
        <w:b/>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l2br w:val="nil"/>
          <w:tr2bl w:val="nil"/>
        </w:tcBorders>
      </w:tcPr>
    </w:tblStylePr>
    <w:tblStylePr w:type="fir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la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themeColor="accent1"/>
          <w:bottom w:val="nil"/>
          <w:right w:val="nil"/>
          <w:insideH w:val="nil"/>
          <w:insideV w:val="nil"/>
        </w:tcBorders>
      </w:tcPr>
    </w:tblStylePr>
    <w:tblStylePr w:type="seCell">
      <w:pPr>
        <w:wordWrap/>
        <w:contextualSpacing w:val="0"/>
        <w:mirrorIndents w:val="0"/>
      </w:p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swCell">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style>
  <w:style w:type="table" w:styleId="MediumShading2-Accent2">
    <w:name w:val="Medium Shading 2 Accent 2"/>
    <w:basedOn w:val="TableNormal"/>
    <w:uiPriority w:val="64"/>
    <w:rsid w:val="00FD77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6C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6CB" w:themeFill="accent2"/>
      </w:tcPr>
    </w:tblStylePr>
    <w:tblStylePr w:type="lastCol">
      <w:rPr>
        <w:b/>
        <w:bCs/>
        <w:color w:val="FFFFFF" w:themeColor="background1"/>
      </w:rPr>
      <w:tblPr/>
      <w:tcPr>
        <w:tcBorders>
          <w:left w:val="nil"/>
          <w:right w:val="nil"/>
          <w:insideH w:val="nil"/>
          <w:insideV w:val="nil"/>
        </w:tcBorders>
        <w:shd w:val="clear" w:color="auto" w:fill="00A6C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FD77E2"/>
    <w:pPr>
      <w:spacing w:after="0" w:line="240" w:lineRule="auto"/>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hemeColor="text1" w:themeTint="BF"/>
        </w:tcBorders>
      </w:tcPr>
    </w:tblStylePr>
    <w:tblStylePr w:type="firstCol">
      <w:rPr>
        <w:b/>
        <w:bCs/>
      </w:rPr>
    </w:tblStylePr>
    <w:tblStylePr w:type="lastCol">
      <w:rPr>
        <w:b/>
        <w:bCs/>
      </w:rPr>
    </w:tblStylePr>
    <w:tblStylePr w:type="band1Vert">
      <w:rPr>
        <w:rFonts w:asciiTheme="minorHAnsi" w:hAnsiTheme="minorHAnsi"/>
      </w:rPr>
      <w:tblPr/>
      <w:tcPr>
        <w:shd w:val="clear" w:color="auto" w:fill="FFFFFF" w:themeFill="background1"/>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hemeFill="background1"/>
      </w:tcPr>
    </w:tblStylePr>
    <w:tblStylePr w:type="band2Horz">
      <w:rPr>
        <w:rFonts w:asciiTheme="minorHAnsi" w:hAnsiTheme="minorHAns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hemeFill="background1"/>
      </w:tcPr>
    </w:tblStylePr>
  </w:style>
  <w:style w:type="table" w:styleId="LightShading">
    <w:name w:val="Light Shading"/>
    <w:basedOn w:val="TableNormal"/>
    <w:uiPriority w:val="60"/>
    <w:rsid w:val="00B35375"/>
    <w:pPr>
      <w:spacing w:before="120" w:after="120" w:line="240" w:lineRule="auto"/>
      <w:jc w:val="left"/>
    </w:pPr>
    <w:rPr>
      <w:color w:val="008380"/>
    </w:rPr>
    <w:tblPr>
      <w:tblStyleRowBandSize w:val="1"/>
      <w:tblStyleColBandSize w:val="1"/>
    </w:tblPr>
    <w:tcPr>
      <w:shd w:val="clear" w:color="auto" w:fill="FFFFFF" w:themeFill="background1"/>
    </w:tcPr>
    <w:tblStylePr w:type="firstRow">
      <w:pPr>
        <w:wordWrap/>
        <w:spacing w:beforeLines="0" w:before="120" w:beforeAutospacing="0" w:afterLines="0" w:after="12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lastRow">
      <w:pPr>
        <w:spacing w:before="0" w:after="0" w:line="240" w:lineRule="auto"/>
      </w:pPr>
      <w:rPr>
        <w:b/>
        <w:bCs/>
      </w:rPr>
      <w:tblPr/>
      <w:tcPr>
        <w:tcBorders>
          <w:top w:val="single" w:sz="8" w:space="0" w:color="4E5053" w:themeColor="text1"/>
          <w:left w:val="nil"/>
          <w:bottom w:val="single" w:sz="8" w:space="0" w:color="4E5053" w:themeColor="text1"/>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hemeFill="background1"/>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style>
  <w:style w:type="table" w:styleId="LightList-Accent6">
    <w:name w:val="Light List Accent 6"/>
    <w:basedOn w:val="TableNormal"/>
    <w:uiPriority w:val="61"/>
    <w:rsid w:val="00503C5B"/>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styleId="LightGrid">
    <w:name w:val="Light Grid"/>
    <w:basedOn w:val="TableNormal"/>
    <w:uiPriority w:val="62"/>
    <w:rsid w:val="00B35375"/>
    <w:pPr>
      <w:spacing w:before="120" w:after="120" w:line="240" w:lineRule="auto"/>
      <w:jc w:val="left"/>
    </w:p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blStylePr w:type="firstRow">
      <w:pPr>
        <w:wordWrap/>
        <w:spacing w:beforeLines="0" w:before="120" w:beforeAutospacing="0" w:afterLines="0" w:after="120" w:afterAutospacing="0" w:line="240" w:lineRule="auto"/>
        <w:jc w:val="left"/>
      </w:pPr>
      <w:rPr>
        <w:rFonts w:asciiTheme="minorHAnsi" w:eastAsiaTheme="majorEastAsia" w:hAnsiTheme="minorHAnsi" w:cstheme="majorBidi"/>
        <w:b/>
        <w:bCs/>
      </w:rPr>
      <w:tblPr/>
      <w:tcPr>
        <w:tcBorders>
          <w:top w:val="single" w:sz="8" w:space="0" w:color="4E5053" w:themeColor="text1"/>
          <w:left w:val="single" w:sz="8" w:space="0" w:color="4E5053" w:themeColor="text1"/>
          <w:bottom w:val="single" w:sz="18" w:space="0" w:color="4E5053" w:themeColor="text1"/>
          <w:right w:val="single" w:sz="8" w:space="0" w:color="4E5053" w:themeColor="text1"/>
          <w:insideH w:val="nil"/>
          <w:insideV w:val="single" w:sz="8" w:space="0" w:color="4E505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insideH w:val="nil"/>
          <w:insideV w:val="single" w:sz="8" w:space="0" w:color="4E5053" w:themeColor="text1"/>
        </w:tcBorders>
      </w:tcPr>
    </w:tblStylePr>
    <w:tblStylePr w:type="firstCol">
      <w:rPr>
        <w:rFonts w:asciiTheme="minorHAnsi" w:eastAsiaTheme="majorEastAsia" w:hAnsiTheme="minorHAnsi" w:cstheme="majorBidi"/>
        <w:b w:val="0"/>
        <w:bCs/>
      </w:rPr>
    </w:tblStylePr>
    <w:tblStylePr w:type="lastCol">
      <w:rPr>
        <w:rFonts w:asciiTheme="minorHAnsi" w:eastAsiaTheme="majorEastAsia" w:hAnsiTheme="minorHAnsi" w:cstheme="majorBidi"/>
        <w:b w:val="0"/>
        <w:bCs/>
      </w:rPr>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tcBorders>
          <w:top w:val="single" w:sz="8" w:space="0" w:color="4E5053" w:themeColor="text1"/>
          <w:left w:val="single" w:sz="8" w:space="0" w:color="4E5053" w:themeColor="text1"/>
          <w:bottom w:val="single" w:sz="8" w:space="0" w:color="4E5053" w:themeColor="text1"/>
          <w:right w:val="single" w:sz="8" w:space="0" w:color="4E5053" w:themeColor="text1"/>
          <w:insideV w:val="single" w:sz="8" w:space="0" w:color="4E5053" w:themeColor="text1"/>
        </w:tcBorders>
      </w:tcPr>
    </w:tblStylePr>
  </w:style>
  <w:style w:type="table" w:styleId="MediumShading1">
    <w:name w:val="Medium Shading 1"/>
    <w:basedOn w:val="TableNormal"/>
    <w:uiPriority w:val="63"/>
    <w:rsid w:val="00607D05"/>
    <w:pPr>
      <w:spacing w:before="120" w:after="120" w:line="240" w:lineRule="auto"/>
      <w:jc w:val="left"/>
    </w:pPr>
    <w:tblPr>
      <w:tblStyleRowBandSize w:val="1"/>
      <w:tblStyleColBandSize w:val="1"/>
      <w:tbl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single" w:sz="8" w:space="0" w:color="787B7F" w:themeColor="tex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shd w:val="clear" w:color="auto" w:fill="4E5053" w:themeFill="text1"/>
      </w:tcPr>
    </w:tblStylePr>
    <w:tblStylePr w:type="lastRow">
      <w:pPr>
        <w:spacing w:before="0" w:after="0" w:line="240" w:lineRule="auto"/>
      </w:pPr>
      <w:rPr>
        <w:b/>
        <w:bCs/>
      </w:rPr>
      <w:tblPr/>
      <w:tcPr>
        <w:tcBorders>
          <w:top w:val="double" w:sz="6"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tcPr>
    </w:tblStylePr>
    <w:tblStylePr w:type="firstCol">
      <w:rPr>
        <w:b w:val="0"/>
        <w:bCs/>
      </w:rPr>
    </w:tblStylePr>
    <w:tblStylePr w:type="lastCol">
      <w:rPr>
        <w:b w:val="0"/>
        <w:bCs/>
      </w:rPr>
    </w:tblStylePr>
    <w:tblStylePr w:type="band1Vert">
      <w:tblPr/>
      <w:tcPr>
        <w:shd w:val="clear" w:color="auto" w:fill="D2D3D5" w:themeFill="text1" w:themeFillTint="3F"/>
      </w:tcPr>
    </w:tblStylePr>
    <w:tblStylePr w:type="band1Horz">
      <w:tblPr/>
      <w:tcPr>
        <w:tcBorders>
          <w:insideH w:val="nil"/>
          <w:insideV w:val="nil"/>
        </w:tcBorders>
        <w:shd w:val="clear" w:color="auto" w:fill="D2D3D5" w:themeFill="tex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07D05"/>
    <w:pPr>
      <w:spacing w:before="120" w:after="120" w:line="240" w:lineRule="auto"/>
      <w:jc w:val="left"/>
    </w:pPr>
    <w:tblPr>
      <w:tblStyleRowBandSize w:val="1"/>
      <w:tblStyleColBandSize w:val="1"/>
      <w:tbl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single" w:sz="8" w:space="0" w:color="0067CE" w:themeColor="accent3"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shd w:val="clear" w:color="auto" w:fill="003569" w:themeFill="accent3"/>
      </w:tcPr>
    </w:tblStylePr>
    <w:tblStylePr w:type="lastRow">
      <w:pPr>
        <w:spacing w:before="0" w:after="0" w:line="240" w:lineRule="auto"/>
      </w:pPr>
      <w:rPr>
        <w:b/>
        <w:bCs/>
      </w:rPr>
      <w:tblPr/>
      <w:tcPr>
        <w:tcBorders>
          <w:top w:val="double" w:sz="6"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tcPr>
    </w:tblStylePr>
    <w:tblStylePr w:type="firstCol">
      <w:rPr>
        <w:b w:val="0"/>
        <w:bCs/>
      </w:rPr>
    </w:tblStylePr>
    <w:tblStylePr w:type="lastCol">
      <w:rPr>
        <w:b w:val="0"/>
        <w:bCs/>
      </w:rPr>
    </w:tblStylePr>
    <w:tblStylePr w:type="band1Vert">
      <w:tblPr/>
      <w:tcPr>
        <w:shd w:val="clear" w:color="auto" w:fill="9ACDFF" w:themeFill="accent3" w:themeFillTint="3F"/>
      </w:tcPr>
    </w:tblStylePr>
    <w:tblStylePr w:type="band1Horz">
      <w:tblPr/>
      <w:tcPr>
        <w:tcBorders>
          <w:insideH w:val="nil"/>
          <w:insideV w:val="nil"/>
        </w:tcBorders>
        <w:shd w:val="clear" w:color="auto" w:fill="9AC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07D05"/>
    <w:pPr>
      <w:spacing w:before="120" w:after="120" w:line="240" w:lineRule="auto"/>
      <w:jc w:val="left"/>
    </w:pPr>
    <w:tblPr>
      <w:tblStyleRowBandSize w:val="1"/>
      <w:tblStyleColBandSize w:val="1"/>
      <w:tbl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single" w:sz="8" w:space="0" w:color="FB9F3A" w:themeColor="accent4"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shd w:val="clear" w:color="auto" w:fill="EF7F04" w:themeFill="accent4"/>
      </w:tcPr>
    </w:tblStylePr>
    <w:tblStylePr w:type="lastRow">
      <w:pPr>
        <w:spacing w:before="0" w:after="0" w:line="240" w:lineRule="auto"/>
      </w:pPr>
      <w:rPr>
        <w:b/>
        <w:bCs/>
      </w:rPr>
      <w:tblPr/>
      <w:tcPr>
        <w:tcBorders>
          <w:top w:val="double" w:sz="6"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tcPr>
    </w:tblStylePr>
    <w:tblStylePr w:type="firstCol">
      <w:rPr>
        <w:b w:val="0"/>
        <w:bCs/>
      </w:rPr>
    </w:tblStylePr>
    <w:tblStylePr w:type="lastCol">
      <w:rPr>
        <w:b w:val="0"/>
        <w:bCs/>
      </w:rPr>
    </w:tblStylePr>
    <w:tblStylePr w:type="band1Vert">
      <w:tblPr/>
      <w:tcPr>
        <w:shd w:val="clear" w:color="auto" w:fill="FEDFBE" w:themeFill="accent4" w:themeFillTint="3F"/>
      </w:tcPr>
    </w:tblStylePr>
    <w:tblStylePr w:type="band1Horz">
      <w:tblPr/>
      <w:tcPr>
        <w:tcBorders>
          <w:insideH w:val="nil"/>
          <w:insideV w:val="nil"/>
        </w:tcBorders>
        <w:shd w:val="clear" w:color="auto" w:fill="FEDFBE" w:themeFill="accent4"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8F2536"/>
    <w:pPr>
      <w:spacing w:after="0" w:line="240" w:lineRule="auto"/>
    </w:pPr>
    <w:rPr>
      <w:rFonts w:asciiTheme="majorHAnsi" w:eastAsiaTheme="majorEastAsia" w:hAnsiTheme="majorHAnsi" w:cstheme="majorBidi"/>
    </w:r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blStylePr w:type="firstRow">
      <w:rPr>
        <w:sz w:val="24"/>
        <w:szCs w:val="24"/>
      </w:rPr>
      <w:tblPr/>
      <w:tcPr>
        <w:tcBorders>
          <w:top w:val="nil"/>
          <w:left w:val="nil"/>
          <w:bottom w:val="single" w:sz="24" w:space="0" w:color="FFBB2D" w:themeColor="accent6"/>
          <w:right w:val="nil"/>
          <w:insideH w:val="nil"/>
          <w:insideV w:val="nil"/>
        </w:tcBorders>
        <w:shd w:val="clear" w:color="auto" w:fill="FFFFFF" w:themeFill="background1"/>
      </w:tcPr>
    </w:tblStylePr>
    <w:tblStylePr w:type="lastRow">
      <w:tblPr/>
      <w:tcPr>
        <w:tcBorders>
          <w:top w:val="single" w:sz="8" w:space="0" w:color="FFBB2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B2D" w:themeColor="accent6"/>
          <w:insideH w:val="nil"/>
          <w:insideV w:val="nil"/>
        </w:tcBorders>
        <w:shd w:val="clear" w:color="auto" w:fill="FFFFFF" w:themeFill="background1"/>
      </w:tcPr>
    </w:tblStylePr>
    <w:tblStylePr w:type="lastCol">
      <w:tblPr/>
      <w:tcPr>
        <w:tcBorders>
          <w:top w:val="nil"/>
          <w:left w:val="single" w:sz="8" w:space="0" w:color="FFB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CB" w:themeFill="accent6" w:themeFillTint="3F"/>
      </w:tcPr>
    </w:tblStylePr>
    <w:tblStylePr w:type="band1Horz">
      <w:tblPr/>
      <w:tcPr>
        <w:tcBorders>
          <w:top w:val="nil"/>
          <w:bottom w:val="nil"/>
          <w:insideH w:val="nil"/>
          <w:insideV w:val="nil"/>
        </w:tcBorders>
        <w:shd w:val="clear" w:color="auto" w:fill="FFE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2">
    <w:name w:val="Colorful Grid Accent 2"/>
    <w:basedOn w:val="TableNormal"/>
    <w:uiPriority w:val="73"/>
    <w:rsid w:val="008F2536"/>
    <w:pPr>
      <w:spacing w:after="0" w:line="240" w:lineRule="auto"/>
    </w:pPr>
    <w:tblPr>
      <w:tblStyleRowBandSize w:val="1"/>
      <w:tblStyleColBandSize w:val="1"/>
      <w:tblBorders>
        <w:insideH w:val="single" w:sz="4" w:space="0" w:color="FFFFFF" w:themeColor="background1"/>
      </w:tblBorders>
    </w:tblPr>
    <w:tcPr>
      <w:shd w:val="clear" w:color="auto" w:fill="C1F3FF" w:themeFill="accent2" w:themeFillTint="33"/>
    </w:tcPr>
    <w:tblStylePr w:type="firstRow">
      <w:rPr>
        <w:b/>
        <w:bCs/>
      </w:rPr>
      <w:tblPr/>
      <w:tcPr>
        <w:shd w:val="clear" w:color="auto" w:fill="84E8FF" w:themeFill="accent2" w:themeFillTint="66"/>
      </w:tcPr>
    </w:tblStylePr>
    <w:tblStylePr w:type="lastRow">
      <w:rPr>
        <w:b/>
        <w:bCs/>
        <w:color w:val="4E5053" w:themeColor="text1"/>
      </w:rPr>
      <w:tblPr/>
      <w:tcPr>
        <w:shd w:val="clear" w:color="auto" w:fill="84E8FF" w:themeFill="accent2" w:themeFillTint="66"/>
      </w:tcPr>
    </w:tblStylePr>
    <w:tblStylePr w:type="firstCol">
      <w:rPr>
        <w:color w:val="FFFFFF" w:themeColor="background1"/>
      </w:rPr>
      <w:tblPr/>
      <w:tcPr>
        <w:shd w:val="clear" w:color="auto" w:fill="007B98" w:themeFill="accent2" w:themeFillShade="BF"/>
      </w:tcPr>
    </w:tblStylePr>
    <w:tblStylePr w:type="lastCol">
      <w:rPr>
        <w:color w:val="FFFFFF" w:themeColor="background1"/>
      </w:rPr>
      <w:tblPr/>
      <w:tcPr>
        <w:shd w:val="clear" w:color="auto" w:fill="007B98" w:themeFill="accent2" w:themeFillShade="BF"/>
      </w:tcPr>
    </w:tblStylePr>
    <w:tblStylePr w:type="band1Vert">
      <w:tblPr/>
      <w:tcPr>
        <w:shd w:val="clear" w:color="auto" w:fill="66E2FF" w:themeFill="accent2" w:themeFillTint="7F"/>
      </w:tcPr>
    </w:tblStylePr>
    <w:tblStylePr w:type="band1Horz">
      <w:tblPr/>
      <w:tcPr>
        <w:shd w:val="clear" w:color="auto" w:fill="66E2FF" w:themeFill="accent2" w:themeFillTint="7F"/>
      </w:tcPr>
    </w:tblStylePr>
  </w:style>
  <w:style w:type="table" w:styleId="LightGrid-Accent5">
    <w:name w:val="Light Grid Accent 5"/>
    <w:basedOn w:val="TableNormal"/>
    <w:uiPriority w:val="62"/>
    <w:rsid w:val="00B35375"/>
    <w:pPr>
      <w:spacing w:before="120" w:after="120" w:line="240" w:lineRule="auto"/>
      <w:jc w:val="left"/>
    </w:pPr>
    <w:tblPr>
      <w:tblStyleRowBandSize w:val="1"/>
      <w:tblStyleColBandSize w:val="1"/>
      <w:tblBorders>
        <w:top w:val="single" w:sz="8" w:space="0" w:color="008380" w:themeColor="accent5"/>
        <w:left w:val="single" w:sz="8" w:space="0" w:color="008380" w:themeColor="accent5"/>
        <w:bottom w:val="single" w:sz="8" w:space="0" w:color="008380" w:themeColor="accent5"/>
        <w:right w:val="single" w:sz="8" w:space="0" w:color="008380" w:themeColor="accent5"/>
        <w:insideH w:val="single" w:sz="8" w:space="0" w:color="008380" w:themeColor="accent5"/>
        <w:insideV w:val="single" w:sz="8" w:space="0" w:color="008380" w:themeColor="accent5"/>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8380" w:themeColor="accent5"/>
          <w:left w:val="single" w:sz="8" w:space="0" w:color="008380" w:themeColor="accent5"/>
          <w:bottom w:val="single" w:sz="18" w:space="0" w:color="008380" w:themeColor="accent5"/>
          <w:right w:val="single" w:sz="8" w:space="0" w:color="008380" w:themeColor="accent5"/>
          <w:insideH w:val="nil"/>
          <w:insideV w:val="single" w:sz="8" w:space="0" w:color="00838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insideH w:val="nil"/>
          <w:insideV w:val="single" w:sz="8" w:space="0" w:color="008380"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shd w:val="clear" w:color="auto" w:fill="A1FFFC" w:themeFill="accent5" w:themeFillTint="3F"/>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shd w:val="clear" w:color="auto" w:fill="A1FFFC" w:themeFill="accent5" w:themeFillTint="3F"/>
      </w:tcPr>
    </w:tblStylePr>
    <w:tblStylePr w:type="band2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tcPr>
    </w:tblStylePr>
  </w:style>
  <w:style w:type="table" w:styleId="LightList-Accent4">
    <w:name w:val="Light List Accent 4"/>
    <w:basedOn w:val="TableNormal"/>
    <w:uiPriority w:val="61"/>
    <w:rsid w:val="00576C38"/>
    <w:pPr>
      <w:spacing w:before="120" w:after="120" w:line="240" w:lineRule="auto"/>
      <w:jc w:val="left"/>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val="0"/>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nwCell">
      <w:tblPr/>
      <w:tcPr>
        <w:tcBorders>
          <w:left w:val="single" w:sz="4" w:space="0" w:color="EF7F04" w:themeColor="accent4"/>
        </w:tcBorders>
      </w:tcPr>
    </w:tblStylePr>
  </w:style>
  <w:style w:type="table" w:styleId="MediumShading2-Accent6">
    <w:name w:val="Medium Shading 2 Accent 6"/>
    <w:basedOn w:val="TableNormal"/>
    <w:uiPriority w:val="64"/>
    <w:rsid w:val="005705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B2D" w:themeFill="accent6"/>
      </w:tcPr>
    </w:tblStylePr>
    <w:tblStylePr w:type="lastCol">
      <w:rPr>
        <w:b/>
        <w:bCs/>
        <w:color w:val="FFFFFF" w:themeColor="background1"/>
      </w:rPr>
      <w:tblPr/>
      <w:tcPr>
        <w:tcBorders>
          <w:left w:val="nil"/>
          <w:right w:val="nil"/>
          <w:insideH w:val="nil"/>
          <w:insideV w:val="nil"/>
        </w:tcBorders>
        <w:shd w:val="clear" w:color="auto" w:fill="FFB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FFFFFF" w:themeColor="background1"/>
          <w:insideV w:val="single" w:sz="4" w:space="0" w:color="FFFFFF" w:themeColor="background1"/>
          <w:tl2br w:val="nil"/>
          <w:tr2bl w:val="nil"/>
        </w:tcBorders>
        <w:shd w:val="clear" w:color="auto" w:fill="00A6CB" w:themeFill="accent2"/>
      </w:tcPr>
    </w:tblStylePr>
    <w:tblStylePr w:type="lastRow">
      <w:pPr>
        <w:spacing w:before="0" w:after="0" w:line="240" w:lineRule="auto"/>
      </w:pPr>
      <w:rPr>
        <w:b/>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tcBorders>
      </w:tcPr>
    </w:tblStylePr>
    <w:tblStylePr w:type="fir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la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hemeColor="accent2"/>
        </w:tcBorders>
      </w:tcPr>
    </w:tblStylePr>
    <w:tblStylePr w:type="se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sw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style>
  <w:style w:type="table" w:styleId="LightGrid-Accent3">
    <w:name w:val="Light Grid Accent 3"/>
    <w:basedOn w:val="TableNormal"/>
    <w:uiPriority w:val="62"/>
    <w:rsid w:val="00B35375"/>
    <w:pPr>
      <w:spacing w:before="120" w:after="120" w:line="240" w:lineRule="auto"/>
      <w:jc w:val="left"/>
    </w:pPr>
    <w:tblPr>
      <w:tblStyleRowBandSize w:val="1"/>
      <w:tblStyleColBandSize w:val="1"/>
      <w:tblBorders>
        <w:top w:val="single" w:sz="8" w:space="0" w:color="003569" w:themeColor="accent3"/>
        <w:left w:val="single" w:sz="8" w:space="0" w:color="003569" w:themeColor="accent3"/>
        <w:bottom w:val="single" w:sz="8" w:space="0" w:color="003569" w:themeColor="accent3"/>
        <w:right w:val="single" w:sz="8" w:space="0" w:color="003569" w:themeColor="accent3"/>
        <w:insideH w:val="single" w:sz="8" w:space="0" w:color="003569" w:themeColor="accent3"/>
        <w:insideV w:val="single" w:sz="8" w:space="0" w:color="003569" w:themeColor="accent3"/>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3569" w:themeColor="accent3"/>
          <w:left w:val="single" w:sz="8" w:space="0" w:color="003569" w:themeColor="accent3"/>
          <w:bottom w:val="single" w:sz="18" w:space="0" w:color="003569" w:themeColor="accent3"/>
          <w:right w:val="single" w:sz="8" w:space="0" w:color="003569" w:themeColor="accent3"/>
          <w:insideH w:val="nil"/>
          <w:insideV w:val="single" w:sz="8" w:space="0" w:color="00356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insideH w:val="nil"/>
          <w:insideV w:val="single" w:sz="8" w:space="0" w:color="003569" w:themeColor="accent3"/>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shd w:val="clear" w:color="auto" w:fill="9ACDFF" w:themeFill="accent3" w:themeFillTint="3F"/>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shd w:val="clear" w:color="auto" w:fill="9ACDFF" w:themeFill="accent3" w:themeFillTint="3F"/>
      </w:tcPr>
    </w:tblStylePr>
    <w:tblStylePr w:type="band2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tcPr>
    </w:tblStylePr>
  </w:style>
  <w:style w:type="table" w:styleId="LightList-Accent3">
    <w:name w:val="Light List Accent 3"/>
    <w:basedOn w:val="TableNormal"/>
    <w:uiPriority w:val="61"/>
    <w:rsid w:val="00FD29B6"/>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numbering" w:customStyle="1" w:styleId="AVbulletstyle-green">
    <w:name w:val="AV bullet style - green"/>
    <w:uiPriority w:val="99"/>
    <w:rsid w:val="00731989"/>
    <w:pPr>
      <w:numPr>
        <w:numId w:val="1"/>
      </w:numPr>
    </w:pPr>
  </w:style>
  <w:style w:type="paragraph" w:customStyle="1" w:styleId="Bullet2">
    <w:name w:val="Bullet2"/>
    <w:basedOn w:val="Normal"/>
    <w:link w:val="Bullet2Char"/>
    <w:uiPriority w:val="10"/>
    <w:qFormat/>
    <w:rsid w:val="00F06DAC"/>
    <w:pPr>
      <w:numPr>
        <w:numId w:val="6"/>
      </w:numPr>
      <w:ind w:left="1134" w:hanging="425"/>
    </w:pPr>
  </w:style>
  <w:style w:type="character" w:customStyle="1" w:styleId="ListParagraphChar">
    <w:name w:val="List Paragraph Char"/>
    <w:aliases w:val="Bullet1 Char"/>
    <w:basedOn w:val="DefaultParagraphFont"/>
    <w:link w:val="ListParagraph"/>
    <w:uiPriority w:val="10"/>
    <w:rsid w:val="00F06DAC"/>
    <w:rPr>
      <w:rFonts w:eastAsiaTheme="majorEastAsia"/>
    </w:rPr>
  </w:style>
  <w:style w:type="paragraph" w:customStyle="1" w:styleId="Bullet3">
    <w:name w:val="Bullet3"/>
    <w:basedOn w:val="Bullet2"/>
    <w:link w:val="Bullet3Char"/>
    <w:uiPriority w:val="10"/>
    <w:qFormat/>
    <w:rsid w:val="00F06DAC"/>
    <w:pPr>
      <w:numPr>
        <w:ilvl w:val="2"/>
      </w:numPr>
      <w:ind w:left="1418" w:hanging="284"/>
    </w:pPr>
  </w:style>
  <w:style w:type="character" w:customStyle="1" w:styleId="Bullet2Char">
    <w:name w:val="Bullet2 Char"/>
    <w:basedOn w:val="DefaultParagraphFont"/>
    <w:link w:val="Bullet2"/>
    <w:uiPriority w:val="10"/>
    <w:rsid w:val="00F06DAC"/>
  </w:style>
  <w:style w:type="paragraph" w:customStyle="1" w:styleId="Bullet4">
    <w:name w:val="Bullet4"/>
    <w:basedOn w:val="Bullet3"/>
    <w:link w:val="Bullet4Char"/>
    <w:uiPriority w:val="10"/>
    <w:qFormat/>
    <w:rsid w:val="00F06DAC"/>
    <w:pPr>
      <w:numPr>
        <w:ilvl w:val="0"/>
        <w:numId w:val="8"/>
      </w:numPr>
      <w:ind w:left="1843"/>
    </w:pPr>
  </w:style>
  <w:style w:type="character" w:customStyle="1" w:styleId="Bullet3Char">
    <w:name w:val="Bullet3 Char"/>
    <w:basedOn w:val="Bullet2Char"/>
    <w:link w:val="Bullet3"/>
    <w:uiPriority w:val="10"/>
    <w:rsid w:val="00F06DAC"/>
  </w:style>
  <w:style w:type="paragraph" w:customStyle="1" w:styleId="Bullet5">
    <w:name w:val="Bullet5"/>
    <w:basedOn w:val="Bullet4"/>
    <w:link w:val="Bullet5Char"/>
    <w:uiPriority w:val="10"/>
    <w:rsid w:val="00731989"/>
    <w:pPr>
      <w:numPr>
        <w:ilvl w:val="4"/>
      </w:numPr>
    </w:pPr>
  </w:style>
  <w:style w:type="character" w:customStyle="1" w:styleId="Bullet4Char">
    <w:name w:val="Bullet4 Char"/>
    <w:basedOn w:val="Bullet3Char"/>
    <w:link w:val="Bullet4"/>
    <w:uiPriority w:val="10"/>
    <w:rsid w:val="00F06DAC"/>
  </w:style>
  <w:style w:type="character" w:customStyle="1" w:styleId="NoSpacingChar">
    <w:name w:val="No Spacing Char"/>
    <w:basedOn w:val="DefaultParagraphFont"/>
    <w:link w:val="NoSpacing"/>
    <w:uiPriority w:val="1"/>
    <w:rsid w:val="00F4457C"/>
    <w:rPr>
      <w:color w:val="4E5053"/>
    </w:rPr>
  </w:style>
  <w:style w:type="character" w:customStyle="1" w:styleId="Bullet5Char">
    <w:name w:val="Bullet5 Char"/>
    <w:basedOn w:val="Bullet4Char"/>
    <w:link w:val="Bullet5"/>
    <w:uiPriority w:val="10"/>
    <w:rsid w:val="00731989"/>
  </w:style>
  <w:style w:type="paragraph" w:customStyle="1" w:styleId="BasicParagraph">
    <w:name w:val="[Basic Paragraph]"/>
    <w:basedOn w:val="Normal"/>
    <w:uiPriority w:val="99"/>
    <w:rsid w:val="00DB634A"/>
    <w:pPr>
      <w:widowControl w:val="0"/>
      <w:autoSpaceDE w:val="0"/>
      <w:autoSpaceDN w:val="0"/>
      <w:adjustRightInd w:val="0"/>
      <w:spacing w:after="0" w:line="288" w:lineRule="auto"/>
      <w:jc w:val="left"/>
      <w:textAlignment w:val="center"/>
    </w:pPr>
    <w:rPr>
      <w:rFonts w:ascii="Times-Italic" w:hAnsi="Times-Italic" w:cs="Times-Italic"/>
      <w:color w:val="000000"/>
      <w:sz w:val="24"/>
      <w:szCs w:val="24"/>
    </w:rPr>
  </w:style>
  <w:style w:type="paragraph" w:customStyle="1" w:styleId="BodyText1">
    <w:name w:val="Body Text1"/>
    <w:rsid w:val="00E4005B"/>
    <w:pPr>
      <w:spacing w:line="240" w:lineRule="auto"/>
    </w:pPr>
    <w:rPr>
      <w:bCs/>
    </w:rPr>
  </w:style>
  <w:style w:type="table" w:styleId="MediumShading1-Accent1">
    <w:name w:val="Medium Shading 1 Accent 1"/>
    <w:basedOn w:val="TableNormal"/>
    <w:uiPriority w:val="63"/>
    <w:rsid w:val="00835897"/>
    <w:pPr>
      <w:spacing w:before="120" w:after="120" w:line="240" w:lineRule="auto"/>
      <w:jc w:val="left"/>
    </w:pPr>
    <w:tblPr>
      <w:tblStyleRowBandSize w:val="1"/>
      <w:tblStyleColBandSize w:val="1"/>
      <w:tbl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single" w:sz="8" w:space="0" w:color="8CD063" w:themeColor="accen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shd w:val="clear" w:color="auto" w:fill="68B937" w:themeFill="accent1"/>
      </w:tcPr>
    </w:tblStylePr>
    <w:tblStylePr w:type="lastRow">
      <w:pPr>
        <w:spacing w:before="0" w:after="0" w:line="240" w:lineRule="auto"/>
      </w:pPr>
      <w:rPr>
        <w:b/>
        <w:bCs/>
      </w:rPr>
      <w:tblPr/>
      <w:tcPr>
        <w:tcBorders>
          <w:top w:val="double" w:sz="6"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tcPr>
    </w:tblStylePr>
    <w:tblStylePr w:type="firstCol">
      <w:rPr>
        <w:b w:val="0"/>
        <w:bCs/>
      </w:rPr>
    </w:tblStylePr>
    <w:tblStylePr w:type="lastCol">
      <w:rPr>
        <w:b w:val="0"/>
        <w:bCs/>
      </w:rPr>
    </w:tblStylePr>
    <w:tblStylePr w:type="band1Vert">
      <w:tblPr/>
      <w:tcPr>
        <w:shd w:val="clear" w:color="auto" w:fill="D9EFCB" w:themeFill="accent1" w:themeFillTint="3F"/>
      </w:tcPr>
    </w:tblStylePr>
    <w:tblStylePr w:type="band1Horz">
      <w:tblPr/>
      <w:tcPr>
        <w:tcBorders>
          <w:insideH w:val="nil"/>
          <w:insideV w:val="nil"/>
        </w:tcBorders>
        <w:shd w:val="clear" w:color="auto" w:fill="D9EFCB"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B35375"/>
    <w:pPr>
      <w:spacing w:before="120" w:after="120" w:line="240" w:lineRule="auto"/>
      <w:jc w:val="left"/>
    </w:pPr>
    <w:tblPr>
      <w:tblStyleRowBandSize w:val="1"/>
      <w:tblStyleColBandSize w:val="1"/>
      <w:tblBorders>
        <w:top w:val="single" w:sz="8" w:space="0" w:color="68B937" w:themeColor="accent1"/>
        <w:left w:val="single" w:sz="8" w:space="0" w:color="68B937" w:themeColor="accent1"/>
        <w:bottom w:val="single" w:sz="8" w:space="0" w:color="68B937" w:themeColor="accent1"/>
        <w:right w:val="single" w:sz="8" w:space="0" w:color="68B937" w:themeColor="accent1"/>
        <w:insideH w:val="single" w:sz="8" w:space="0" w:color="68B937" w:themeColor="accent1"/>
        <w:insideV w:val="single" w:sz="8" w:space="0" w:color="68B937" w:themeColor="accent1"/>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68B937" w:themeColor="accent1"/>
          <w:left w:val="single" w:sz="8" w:space="0" w:color="68B937" w:themeColor="accent1"/>
          <w:bottom w:val="single" w:sz="18" w:space="0" w:color="68B937" w:themeColor="accent1"/>
          <w:right w:val="single" w:sz="8" w:space="0" w:color="68B937" w:themeColor="accent1"/>
          <w:insideH w:val="nil"/>
          <w:insideV w:val="single" w:sz="8" w:space="0" w:color="68B9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937" w:themeColor="accent1"/>
          <w:left w:val="single" w:sz="8" w:space="0" w:color="68B937" w:themeColor="accent1"/>
          <w:bottom w:val="single" w:sz="8" w:space="0" w:color="68B937" w:themeColor="accent1"/>
          <w:right w:val="single" w:sz="8" w:space="0" w:color="68B937" w:themeColor="accent1"/>
          <w:insideH w:val="nil"/>
          <w:insideV w:val="single" w:sz="8" w:space="0" w:color="68B937" w:themeColor="accent1"/>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tcPr>
    </w:tblStylePr>
    <w:tblStylePr w:type="band1Vert">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shd w:val="clear" w:color="auto" w:fill="D9EFCB" w:themeFill="accent1" w:themeFillTint="3F"/>
      </w:tcPr>
    </w:tblStylePr>
    <w:tblStylePr w:type="band1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shd w:val="clear" w:color="auto" w:fill="D9EFCB" w:themeFill="accent1" w:themeFillTint="3F"/>
      </w:tcPr>
    </w:tblStylePr>
    <w:tblStylePr w:type="band2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tcPr>
    </w:tblStylePr>
  </w:style>
  <w:style w:type="table" w:styleId="LightGrid-Accent2">
    <w:name w:val="Light Grid Accent 2"/>
    <w:basedOn w:val="TableNormal"/>
    <w:uiPriority w:val="62"/>
    <w:rsid w:val="00B35375"/>
    <w:pPr>
      <w:spacing w:before="120" w:after="120" w:line="240" w:lineRule="auto"/>
      <w:jc w:val="left"/>
    </w:pPr>
    <w:tblPr>
      <w:tblStyleRowBandSize w:val="1"/>
      <w:tblStyleColBandSize w:val="1"/>
      <w:tblBorders>
        <w:top w:val="single" w:sz="8" w:space="0" w:color="00A6CB" w:themeColor="accent2"/>
        <w:left w:val="single" w:sz="8" w:space="0" w:color="00A6CB" w:themeColor="accent2"/>
        <w:bottom w:val="single" w:sz="8" w:space="0" w:color="00A6CB" w:themeColor="accent2"/>
        <w:right w:val="single" w:sz="8" w:space="0" w:color="00A6CB" w:themeColor="accent2"/>
        <w:insideH w:val="single" w:sz="8" w:space="0" w:color="00A6CB" w:themeColor="accent2"/>
        <w:insideV w:val="single" w:sz="8" w:space="0" w:color="00A6CB" w:themeColor="accent2"/>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A6CB" w:themeColor="accent2"/>
          <w:left w:val="single" w:sz="8" w:space="0" w:color="00A6CB" w:themeColor="accent2"/>
          <w:bottom w:val="single" w:sz="18" w:space="0" w:color="00A6CB" w:themeColor="accent2"/>
          <w:right w:val="single" w:sz="8" w:space="0" w:color="00A6CB" w:themeColor="accent2"/>
          <w:insideH w:val="nil"/>
          <w:insideV w:val="single" w:sz="8" w:space="0" w:color="00A6C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insideH w:val="nil"/>
          <w:insideV w:val="single" w:sz="8" w:space="0" w:color="00A6CB" w:themeColor="accent2"/>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shd w:val="clear" w:color="auto" w:fill="B3F0FF" w:themeFill="accent2" w:themeFillTint="3F"/>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shd w:val="clear" w:color="auto" w:fill="B3F0FF" w:themeFill="accent2" w:themeFillTint="3F"/>
      </w:tcPr>
    </w:tblStylePr>
    <w:tblStylePr w:type="band2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tcPr>
    </w:tblStylePr>
  </w:style>
  <w:style w:type="table" w:styleId="LightGrid-Accent4">
    <w:name w:val="Light Grid Accent 4"/>
    <w:basedOn w:val="TableNormal"/>
    <w:uiPriority w:val="62"/>
    <w:rsid w:val="00B35375"/>
    <w:pPr>
      <w:spacing w:before="120" w:after="120" w:line="240" w:lineRule="auto"/>
      <w:jc w:val="left"/>
    </w:pPr>
    <w:tblPr>
      <w:tblStyleRowBandSize w:val="1"/>
      <w:tblStyleColBandSize w:val="1"/>
      <w:tblBorders>
        <w:top w:val="single" w:sz="8" w:space="0" w:color="EF7F04" w:themeColor="accent4"/>
        <w:left w:val="single" w:sz="8" w:space="0" w:color="EF7F04" w:themeColor="accent4"/>
        <w:bottom w:val="single" w:sz="8" w:space="0" w:color="EF7F04" w:themeColor="accent4"/>
        <w:right w:val="single" w:sz="8" w:space="0" w:color="EF7F04" w:themeColor="accent4"/>
        <w:insideH w:val="single" w:sz="8" w:space="0" w:color="EF7F04" w:themeColor="accent4"/>
        <w:insideV w:val="single" w:sz="8" w:space="0" w:color="EF7F04" w:themeColor="accent4"/>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EF7F04" w:themeColor="accent4"/>
          <w:left w:val="single" w:sz="8" w:space="0" w:color="EF7F04" w:themeColor="accent4"/>
          <w:bottom w:val="single" w:sz="18" w:space="0" w:color="EF7F04" w:themeColor="accent4"/>
          <w:right w:val="single" w:sz="8" w:space="0" w:color="EF7F04" w:themeColor="accent4"/>
          <w:insideH w:val="nil"/>
          <w:insideV w:val="single" w:sz="8" w:space="0" w:color="EF7F0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insideH w:val="nil"/>
          <w:insideV w:val="single" w:sz="8" w:space="0" w:color="EF7F04" w:themeColor="accent4"/>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shd w:val="clear" w:color="auto" w:fill="FEDFBE" w:themeFill="accent4" w:themeFillTint="3F"/>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shd w:val="clear" w:color="auto" w:fill="FEDFBE" w:themeFill="accent4" w:themeFillTint="3F"/>
      </w:tcPr>
    </w:tblStylePr>
    <w:tblStylePr w:type="band2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tcPr>
    </w:tblStylePr>
  </w:style>
  <w:style w:type="table" w:styleId="LightGrid-Accent6">
    <w:name w:val="Light Grid Accent 6"/>
    <w:basedOn w:val="TableNormal"/>
    <w:uiPriority w:val="62"/>
    <w:rsid w:val="00B35375"/>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insideH w:val="single" w:sz="8" w:space="0" w:color="FFBB2D" w:themeColor="accent6"/>
        <w:insideV w:val="single" w:sz="8" w:space="0" w:color="FFBB2D" w:themeColor="accent6"/>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FFBB2D" w:themeColor="accent6"/>
          <w:left w:val="single" w:sz="8" w:space="0" w:color="FFBB2D" w:themeColor="accent6"/>
          <w:bottom w:val="single" w:sz="18" w:space="0" w:color="FFBB2D" w:themeColor="accent6"/>
          <w:right w:val="single" w:sz="8" w:space="0" w:color="FFBB2D" w:themeColor="accent6"/>
          <w:insideH w:val="nil"/>
          <w:insideV w:val="single" w:sz="8" w:space="0" w:color="FFB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insideH w:val="nil"/>
          <w:insideV w:val="single" w:sz="8" w:space="0" w:color="FFBB2D" w:themeColor="accent6"/>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shd w:val="clear" w:color="auto" w:fill="FFEECB" w:themeFill="accent6" w:themeFillTint="3F"/>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shd w:val="clear" w:color="auto" w:fill="FFEECB" w:themeFill="accent6" w:themeFillTint="3F"/>
      </w:tcPr>
    </w:tblStylePr>
    <w:tblStylePr w:type="band2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tcPr>
    </w:tblStylePr>
  </w:style>
  <w:style w:type="table" w:styleId="MediumShading1-Accent2">
    <w:name w:val="Medium Shading 1 Accent 2"/>
    <w:basedOn w:val="TableNormal"/>
    <w:uiPriority w:val="63"/>
    <w:rsid w:val="00835897"/>
    <w:pPr>
      <w:spacing w:before="120" w:after="120" w:line="240" w:lineRule="auto"/>
      <w:jc w:val="left"/>
    </w:pPr>
    <w:tblPr>
      <w:tblStyleRowBandSize w:val="1"/>
      <w:tblStyleColBandSize w:val="1"/>
      <w:tbl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single" w:sz="8" w:space="0" w:color="19D4FF" w:themeColor="accent2"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shd w:val="clear" w:color="auto" w:fill="00A6CB" w:themeFill="accent2"/>
      </w:tcPr>
    </w:tblStylePr>
    <w:tblStylePr w:type="lastRow">
      <w:pPr>
        <w:spacing w:before="0" w:after="0" w:line="240" w:lineRule="auto"/>
      </w:pPr>
      <w:rPr>
        <w:b/>
        <w:bCs/>
      </w:rPr>
      <w:tblPr/>
      <w:tcPr>
        <w:tcBorders>
          <w:top w:val="double" w:sz="6"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tcPr>
    </w:tblStylePr>
    <w:tblStylePr w:type="firstCol">
      <w:rPr>
        <w:b w:val="0"/>
        <w:bCs/>
      </w:rPr>
    </w:tblStylePr>
    <w:tblStylePr w:type="lastCol">
      <w:rPr>
        <w:b w:val="0"/>
        <w:bCs/>
      </w:rPr>
    </w:tblStylePr>
    <w:tblStylePr w:type="band1Vert">
      <w:tblPr/>
      <w:tcPr>
        <w:shd w:val="clear" w:color="auto" w:fill="B3F0FF" w:themeFill="accent2" w:themeFillTint="3F"/>
      </w:tcPr>
    </w:tblStylePr>
    <w:tblStylePr w:type="band1Horz">
      <w:tblPr/>
      <w:tcPr>
        <w:tcBorders>
          <w:insideH w:val="nil"/>
          <w:insideV w:val="nil"/>
        </w:tcBorders>
        <w:shd w:val="clear" w:color="auto" w:fill="B3F0FF"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35897"/>
    <w:pPr>
      <w:spacing w:before="120" w:after="120" w:line="240" w:lineRule="auto"/>
      <w:jc w:val="left"/>
    </w:pPr>
    <w:tblPr>
      <w:tblStyleRowBandSize w:val="1"/>
      <w:tblStyleColBandSize w:val="1"/>
      <w:tbl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single" w:sz="8" w:space="0" w:color="00E2DC" w:themeColor="accent5"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shd w:val="clear" w:color="auto" w:fill="008380" w:themeFill="accent5"/>
      </w:tcPr>
    </w:tblStylePr>
    <w:tblStylePr w:type="lastRow">
      <w:pPr>
        <w:spacing w:before="0" w:after="0" w:line="240" w:lineRule="auto"/>
      </w:pPr>
      <w:rPr>
        <w:b/>
        <w:bCs/>
      </w:rPr>
      <w:tblPr/>
      <w:tcPr>
        <w:tcBorders>
          <w:top w:val="double" w:sz="6"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hemeFill="accent5" w:themeFillTint="3F"/>
      </w:tcPr>
    </w:tblStylePr>
    <w:tblStylePr w:type="band1Horz">
      <w:tblPr/>
      <w:tcPr>
        <w:tcBorders>
          <w:insideH w:val="nil"/>
          <w:insideV w:val="nil"/>
        </w:tcBorders>
        <w:shd w:val="clear" w:color="auto" w:fill="A1FF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46888"/>
    <w:pPr>
      <w:spacing w:before="120" w:after="120" w:line="240" w:lineRule="auto"/>
      <w:jc w:val="left"/>
    </w:pPr>
    <w:tblPr>
      <w:tblStyleRowBandSize w:val="1"/>
      <w:tblStyleColBandSize w:val="1"/>
      <w:tbl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single" w:sz="8" w:space="0" w:color="FFCB61" w:themeColor="accent6"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shd w:val="clear" w:color="auto" w:fill="FFBB2D" w:themeFill="accent6"/>
      </w:tcPr>
    </w:tblStylePr>
    <w:tblStylePr w:type="lastRow">
      <w:pPr>
        <w:spacing w:before="0" w:after="0" w:line="240" w:lineRule="auto"/>
      </w:pPr>
      <w:rPr>
        <w:b/>
        <w:bCs/>
      </w:rPr>
      <w:tblPr/>
      <w:tcPr>
        <w:tcBorders>
          <w:top w:val="double" w:sz="6"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tcPr>
    </w:tblStylePr>
    <w:tblStylePr w:type="firstCol">
      <w:rPr>
        <w:b w:val="0"/>
        <w:bCs/>
      </w:rPr>
    </w:tblStylePr>
    <w:tblStylePr w:type="lastCol">
      <w:rPr>
        <w:b w:val="0"/>
        <w:bCs/>
      </w:rPr>
    </w:tblStylePr>
    <w:tblStylePr w:type="band1Vert">
      <w:tblPr/>
      <w:tcPr>
        <w:shd w:val="clear" w:color="auto" w:fill="FFEECB" w:themeFill="accent6" w:themeFillTint="3F"/>
      </w:tcPr>
    </w:tblStylePr>
    <w:tblStylePr w:type="band1Horz">
      <w:tblPr/>
      <w:tcPr>
        <w:tcBorders>
          <w:insideH w:val="nil"/>
          <w:insideV w:val="nil"/>
        </w:tcBorders>
        <w:shd w:val="clear" w:color="auto" w:fill="FFEECB" w:themeFill="accent6" w:themeFillTint="3F"/>
      </w:tcPr>
    </w:tblStylePr>
    <w:tblStylePr w:type="band2Horz">
      <w:tblPr/>
      <w:tcPr>
        <w:tcBorders>
          <w:insideH w:val="nil"/>
          <w:insideV w:val="nil"/>
        </w:tcBorders>
      </w:tcPr>
    </w:tblStylePr>
  </w:style>
  <w:style w:type="paragraph" w:customStyle="1" w:styleId="Table-Normal">
    <w:name w:val="Table - Normal"/>
    <w:basedOn w:val="Normal"/>
    <w:qFormat/>
    <w:rsid w:val="004C61C5"/>
    <w:pPr>
      <w:spacing w:before="0" w:after="0" w:line="240" w:lineRule="auto"/>
      <w:jc w:val="left"/>
    </w:pPr>
    <w:rPr>
      <w:bCs/>
    </w:rPr>
  </w:style>
  <w:style w:type="paragraph" w:styleId="EndnoteText">
    <w:name w:val="endnote text"/>
    <w:basedOn w:val="Normal"/>
    <w:link w:val="EndnoteTextChar"/>
    <w:uiPriority w:val="99"/>
    <w:unhideWhenUsed/>
    <w:qFormat/>
    <w:rsid w:val="00FF7B16"/>
    <w:pPr>
      <w:spacing w:before="0" w:after="0" w:line="240" w:lineRule="auto"/>
    </w:pPr>
    <w:rPr>
      <w:sz w:val="18"/>
      <w:szCs w:val="20"/>
    </w:rPr>
  </w:style>
  <w:style w:type="character" w:customStyle="1" w:styleId="EndnoteTextChar">
    <w:name w:val="Endnote Text Char"/>
    <w:basedOn w:val="DefaultParagraphFont"/>
    <w:link w:val="EndnoteText"/>
    <w:uiPriority w:val="99"/>
    <w:rsid w:val="00FF7B16"/>
    <w:rPr>
      <w:sz w:val="18"/>
      <w:szCs w:val="20"/>
      <w:lang w:val="en-GB"/>
    </w:rPr>
  </w:style>
  <w:style w:type="paragraph" w:styleId="FootnoteText">
    <w:name w:val="footnote text"/>
    <w:basedOn w:val="Normal"/>
    <w:link w:val="FootnoteTextChar"/>
    <w:uiPriority w:val="99"/>
    <w:semiHidden/>
    <w:unhideWhenUsed/>
    <w:rsid w:val="00FF7B16"/>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FF7B16"/>
    <w:rPr>
      <w:sz w:val="18"/>
      <w:szCs w:val="20"/>
      <w:lang w:val="en-GB"/>
    </w:rPr>
  </w:style>
  <w:style w:type="character" w:styleId="FootnoteReference">
    <w:name w:val="footnote reference"/>
    <w:basedOn w:val="DefaultParagraphFont"/>
    <w:uiPriority w:val="99"/>
    <w:semiHidden/>
    <w:unhideWhenUsed/>
    <w:rsid w:val="00FF7B16"/>
    <w:rPr>
      <w:rFonts w:asciiTheme="minorHAnsi" w:hAnsiTheme="minorHAnsi"/>
      <w:vertAlign w:val="superscript"/>
    </w:rPr>
  </w:style>
  <w:style w:type="paragraph" w:customStyle="1" w:styleId="Table-Bullet2">
    <w:name w:val="Table-Bullet2"/>
    <w:basedOn w:val="Bullet2"/>
    <w:qFormat/>
    <w:rsid w:val="00F06DAC"/>
    <w:pPr>
      <w:numPr>
        <w:numId w:val="4"/>
      </w:numPr>
      <w:spacing w:before="0" w:after="0" w:line="240" w:lineRule="auto"/>
      <w:ind w:hanging="349"/>
      <w:jc w:val="left"/>
    </w:pPr>
  </w:style>
  <w:style w:type="paragraph" w:customStyle="1" w:styleId="Table-Bullet1">
    <w:name w:val="Table-Bullet1"/>
    <w:basedOn w:val="Table-Bullet2"/>
    <w:qFormat/>
    <w:rsid w:val="00F06DAC"/>
    <w:pPr>
      <w:numPr>
        <w:numId w:val="5"/>
      </w:numPr>
      <w:ind w:left="284"/>
    </w:pPr>
  </w:style>
  <w:style w:type="table" w:styleId="LightList-Accent5">
    <w:name w:val="Light List Accent 5"/>
    <w:basedOn w:val="TableNormal"/>
    <w:uiPriority w:val="61"/>
    <w:rsid w:val="00576C38"/>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paragraph" w:customStyle="1" w:styleId="Footertext">
    <w:name w:val="Footer text"/>
    <w:basedOn w:val="Footer"/>
    <w:link w:val="FootertextChar"/>
    <w:rsid w:val="002D13CD"/>
    <w:rPr>
      <w:rFonts w:eastAsiaTheme="minorHAnsi"/>
      <w:color w:val="4E5053"/>
      <w:lang w:val="en-GB"/>
    </w:rPr>
  </w:style>
  <w:style w:type="character" w:customStyle="1" w:styleId="FootertextChar">
    <w:name w:val="Footer text Char"/>
    <w:basedOn w:val="FooterChar"/>
    <w:link w:val="Footertext"/>
    <w:rsid w:val="002D13CD"/>
    <w:rPr>
      <w:rFonts w:ascii="Calibri" w:eastAsiaTheme="minorHAnsi" w:hAnsi="Calibri"/>
      <w:color w:val="4E5053"/>
      <w:sz w:val="18"/>
      <w:lang w:val="en-GB"/>
    </w:rPr>
  </w:style>
  <w:style w:type="table" w:customStyle="1" w:styleId="LightShading-Accent31">
    <w:name w:val="Light Shading - Accent 31"/>
    <w:basedOn w:val="TableNormal"/>
    <w:next w:val="LightShading-Accent3"/>
    <w:uiPriority w:val="60"/>
    <w:rsid w:val="00747057"/>
    <w:pPr>
      <w:spacing w:before="120" w:after="120" w:line="240" w:lineRule="auto"/>
      <w:jc w:val="left"/>
    </w:pPr>
    <w:rPr>
      <w:rFonts w:eastAsia="Times New Roman"/>
      <w:color w:val="4E5053"/>
    </w:rPr>
    <w:tblPr>
      <w:tblStyleRowBandSize w:val="1"/>
      <w:tblStyleColBandSize w:val="1"/>
      <w:tblBorders>
        <w:top w:val="single" w:sz="4" w:space="0" w:color="003569"/>
        <w:left w:val="single" w:sz="4" w:space="0" w:color="003569"/>
        <w:bottom w:val="single" w:sz="4" w:space="0" w:color="003569"/>
        <w:right w:val="single" w:sz="4" w:space="0" w:color="003569"/>
        <w:insideH w:val="single" w:sz="4" w:space="0" w:color="003569"/>
      </w:tblBorders>
    </w:tblPr>
    <w:tblStylePr w:type="firstRow">
      <w:pPr>
        <w:wordWrap/>
        <w:spacing w:beforeLines="0" w:before="120" w:beforeAutospacing="0" w:afterLines="0" w:after="12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32">
    <w:name w:val="Light Shading - Accent 32"/>
    <w:basedOn w:val="TableNormal"/>
    <w:next w:val="LightShading-Accent3"/>
    <w:uiPriority w:val="60"/>
    <w:rsid w:val="00747057"/>
    <w:pPr>
      <w:spacing w:before="120" w:after="120" w:line="240" w:lineRule="auto"/>
      <w:jc w:val="left"/>
    </w:pPr>
    <w:rPr>
      <w:rFonts w:eastAsia="Times New Roman"/>
      <w:color w:val="4E5053"/>
    </w:rPr>
    <w:tblPr>
      <w:tblStyleRowBandSize w:val="1"/>
      <w:tblStyleColBandSize w:val="1"/>
      <w:tblBorders>
        <w:top w:val="single" w:sz="4" w:space="0" w:color="003569"/>
        <w:left w:val="single" w:sz="4" w:space="0" w:color="003569"/>
        <w:bottom w:val="single" w:sz="4" w:space="0" w:color="003569"/>
        <w:right w:val="single" w:sz="4" w:space="0" w:color="003569"/>
        <w:insideH w:val="single" w:sz="4" w:space="0" w:color="003569"/>
      </w:tblBorders>
    </w:tblPr>
    <w:tblStylePr w:type="firstRow">
      <w:pPr>
        <w:wordWrap/>
        <w:spacing w:beforeLines="0" w:before="120" w:beforeAutospacing="0" w:afterLines="0" w:after="12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table" w:customStyle="1" w:styleId="LightShading-Accent33">
    <w:name w:val="Light Shading - Accent 33"/>
    <w:basedOn w:val="TableNormal"/>
    <w:next w:val="LightShading-Accent3"/>
    <w:uiPriority w:val="60"/>
    <w:rsid w:val="00747057"/>
    <w:pPr>
      <w:spacing w:before="120" w:after="120" w:line="240" w:lineRule="auto"/>
      <w:jc w:val="left"/>
    </w:pPr>
    <w:rPr>
      <w:rFonts w:eastAsia="Times New Roman"/>
      <w:color w:val="4E5053"/>
    </w:rPr>
    <w:tblPr>
      <w:tblStyleRowBandSize w:val="1"/>
      <w:tblStyleColBandSize w:val="1"/>
      <w:tblBorders>
        <w:top w:val="single" w:sz="4" w:space="0" w:color="003569"/>
        <w:left w:val="single" w:sz="4" w:space="0" w:color="003569"/>
        <w:bottom w:val="single" w:sz="4" w:space="0" w:color="003569"/>
        <w:right w:val="single" w:sz="4" w:space="0" w:color="003569"/>
        <w:insideH w:val="single" w:sz="4" w:space="0" w:color="003569"/>
      </w:tblBorders>
    </w:tblPr>
    <w:tblStylePr w:type="firstRow">
      <w:pPr>
        <w:wordWrap/>
        <w:spacing w:beforeLines="0" w:before="120" w:beforeAutospacing="0" w:afterLines="0" w:after="120" w:afterAutospacing="0" w:line="240" w:lineRule="auto"/>
        <w:jc w:val="left"/>
      </w:pPr>
      <w:rPr>
        <w:b/>
        <w:bCs/>
        <w:color w:val="FFFFFF"/>
      </w:rPr>
      <w:tblPr/>
      <w:tcPr>
        <w:shd w:val="clear" w:color="auto" w:fill="003569"/>
      </w:tcPr>
    </w:tblStylePr>
    <w:tblStylePr w:type="lastRow">
      <w:pPr>
        <w:spacing w:before="0" w:after="0" w:line="240" w:lineRule="auto"/>
      </w:pPr>
      <w:rPr>
        <w:b/>
        <w:bCs/>
      </w:rPr>
      <w:tblPr/>
      <w:tcPr>
        <w:tcBorders>
          <w:top w:val="single" w:sz="8" w:space="0" w:color="003569"/>
          <w:left w:val="nil"/>
          <w:bottom w:val="single" w:sz="8" w:space="0" w:color="003569"/>
          <w:right w:val="nil"/>
          <w:insideH w:val="nil"/>
          <w:insideV w:val="nil"/>
        </w:tcBorders>
      </w:tcPr>
    </w:tblStylePr>
    <w:tblStylePr w:type="firstCol">
      <w:rPr>
        <w:b w:val="0"/>
        <w:bCs/>
      </w:rPr>
    </w:tblStylePr>
    <w:tblStylePr w:type="lastCol">
      <w:rPr>
        <w:b w:val="0"/>
        <w:bCs/>
      </w:rPr>
    </w:tblStylePr>
  </w:style>
  <w:style w:type="paragraph" w:customStyle="1" w:styleId="EndNoteBibliographyTitle">
    <w:name w:val="EndNote Bibliography Title"/>
    <w:basedOn w:val="Normal"/>
    <w:link w:val="EndNoteBibliographyTitleChar"/>
    <w:rsid w:val="00747057"/>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747057"/>
    <w:rPr>
      <w:rFonts w:ascii="Calibri" w:hAnsi="Calibri"/>
      <w:noProof/>
    </w:rPr>
  </w:style>
  <w:style w:type="paragraph" w:customStyle="1" w:styleId="EndNoteBibliography">
    <w:name w:val="EndNote Bibliography"/>
    <w:basedOn w:val="Normal"/>
    <w:link w:val="EndNoteBibliographyChar"/>
    <w:rsid w:val="00747057"/>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747057"/>
    <w:rPr>
      <w:rFonts w:ascii="Calibri" w:hAnsi="Calibri"/>
      <w:noProof/>
    </w:rPr>
  </w:style>
  <w:style w:type="character" w:styleId="CommentReference">
    <w:name w:val="annotation reference"/>
    <w:basedOn w:val="DefaultParagraphFont"/>
    <w:uiPriority w:val="99"/>
    <w:semiHidden/>
    <w:unhideWhenUsed/>
    <w:rsid w:val="005A4219"/>
    <w:rPr>
      <w:sz w:val="16"/>
      <w:szCs w:val="16"/>
    </w:rPr>
  </w:style>
  <w:style w:type="paragraph" w:styleId="CommentText">
    <w:name w:val="annotation text"/>
    <w:basedOn w:val="Normal"/>
    <w:link w:val="CommentTextChar"/>
    <w:uiPriority w:val="99"/>
    <w:semiHidden/>
    <w:unhideWhenUsed/>
    <w:rsid w:val="005A4219"/>
    <w:pPr>
      <w:spacing w:line="240" w:lineRule="auto"/>
    </w:pPr>
    <w:rPr>
      <w:sz w:val="20"/>
      <w:szCs w:val="20"/>
    </w:rPr>
  </w:style>
  <w:style w:type="character" w:customStyle="1" w:styleId="CommentTextChar">
    <w:name w:val="Comment Text Char"/>
    <w:basedOn w:val="DefaultParagraphFont"/>
    <w:link w:val="CommentText"/>
    <w:uiPriority w:val="99"/>
    <w:semiHidden/>
    <w:rsid w:val="005A4219"/>
    <w:rPr>
      <w:sz w:val="20"/>
      <w:szCs w:val="20"/>
    </w:rPr>
  </w:style>
  <w:style w:type="paragraph" w:styleId="CommentSubject">
    <w:name w:val="annotation subject"/>
    <w:basedOn w:val="CommentText"/>
    <w:next w:val="CommentText"/>
    <w:link w:val="CommentSubjectChar"/>
    <w:uiPriority w:val="99"/>
    <w:semiHidden/>
    <w:unhideWhenUsed/>
    <w:rsid w:val="005A4219"/>
    <w:rPr>
      <w:b/>
      <w:bCs/>
    </w:rPr>
  </w:style>
  <w:style w:type="character" w:customStyle="1" w:styleId="CommentSubjectChar">
    <w:name w:val="Comment Subject Char"/>
    <w:basedOn w:val="CommentTextChar"/>
    <w:link w:val="CommentSubject"/>
    <w:uiPriority w:val="99"/>
    <w:semiHidden/>
    <w:rsid w:val="005A42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602449">
      <w:bodyDiv w:val="1"/>
      <w:marLeft w:val="0"/>
      <w:marRight w:val="0"/>
      <w:marTop w:val="0"/>
      <w:marBottom w:val="0"/>
      <w:divBdr>
        <w:top w:val="none" w:sz="0" w:space="0" w:color="auto"/>
        <w:left w:val="none" w:sz="0" w:space="0" w:color="auto"/>
        <w:bottom w:val="none" w:sz="0" w:space="0" w:color="auto"/>
        <w:right w:val="none" w:sz="0" w:space="0" w:color="auto"/>
      </w:divBdr>
      <w:divsChild>
        <w:div w:id="1916931704">
          <w:marLeft w:val="1123"/>
          <w:marRight w:val="0"/>
          <w:marTop w:val="144"/>
          <w:marBottom w:val="0"/>
          <w:divBdr>
            <w:top w:val="none" w:sz="0" w:space="0" w:color="auto"/>
            <w:left w:val="none" w:sz="0" w:space="0" w:color="auto"/>
            <w:bottom w:val="none" w:sz="0" w:space="0" w:color="auto"/>
            <w:right w:val="none" w:sz="0" w:space="0" w:color="auto"/>
          </w:divBdr>
        </w:div>
        <w:div w:id="1622153101">
          <w:marLeft w:val="1555"/>
          <w:marRight w:val="0"/>
          <w:marTop w:val="125"/>
          <w:marBottom w:val="0"/>
          <w:divBdr>
            <w:top w:val="none" w:sz="0" w:space="0" w:color="auto"/>
            <w:left w:val="none" w:sz="0" w:space="0" w:color="auto"/>
            <w:bottom w:val="none" w:sz="0" w:space="0" w:color="auto"/>
            <w:right w:val="none" w:sz="0" w:space="0" w:color="auto"/>
          </w:divBdr>
        </w:div>
        <w:div w:id="841824102">
          <w:marLeft w:val="2117"/>
          <w:marRight w:val="0"/>
          <w:marTop w:val="106"/>
          <w:marBottom w:val="0"/>
          <w:divBdr>
            <w:top w:val="none" w:sz="0" w:space="0" w:color="auto"/>
            <w:left w:val="none" w:sz="0" w:space="0" w:color="auto"/>
            <w:bottom w:val="none" w:sz="0" w:space="0" w:color="auto"/>
            <w:right w:val="none" w:sz="0" w:space="0" w:color="auto"/>
          </w:divBdr>
        </w:div>
        <w:div w:id="27416812">
          <w:marLeft w:val="2520"/>
          <w:marRight w:val="0"/>
          <w:marTop w:val="86"/>
          <w:marBottom w:val="0"/>
          <w:divBdr>
            <w:top w:val="none" w:sz="0" w:space="0" w:color="auto"/>
            <w:left w:val="none" w:sz="0" w:space="0" w:color="auto"/>
            <w:bottom w:val="none" w:sz="0" w:space="0" w:color="auto"/>
            <w:right w:val="none" w:sz="0" w:space="0" w:color="auto"/>
          </w:divBdr>
        </w:div>
        <w:div w:id="1855798552">
          <w:marLeft w:val="324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18" Type="http://schemas.openxmlformats.org/officeDocument/2006/relationships/hyperlink" Target="http://ada.scientificposters.com/epsAbstractADA.cfm?id=8"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hyperlink" Target="http://skl.se/ekonomijuridikstatistik/statistiknyckeltaljamforelser/kostnadperpatientkpp.1076.html" TargetMode="External"/><Relationship Id="rId2" Type="http://schemas.openxmlformats.org/officeDocument/2006/relationships/numbering" Target="numbering.xml"/><Relationship Id="rId16" Type="http://schemas.openxmlformats.org/officeDocument/2006/relationships/hyperlink" Target="http://www.skane.se/Upload/Webbplatser/Sodra%20regionvardsnamnden/prislista/2014/helaprislistan2014.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www.x-rates.com/historical/?from=SEK&amp;amount=1&amp;date=2016-11-24" TargetMode="External"/><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Adelphi">
  <a:themeElements>
    <a:clrScheme name="Adelphi">
      <a:dk1>
        <a:srgbClr val="4E5053"/>
      </a:dk1>
      <a:lt1>
        <a:srgbClr val="FFFFFF"/>
      </a:lt1>
      <a:dk2>
        <a:srgbClr val="4E5053"/>
      </a:dk2>
      <a:lt2>
        <a:srgbClr val="FFFFFF"/>
      </a:lt2>
      <a:accent1>
        <a:srgbClr val="68B937"/>
      </a:accent1>
      <a:accent2>
        <a:srgbClr val="00A6CB"/>
      </a:accent2>
      <a:accent3>
        <a:srgbClr val="003569"/>
      </a:accent3>
      <a:accent4>
        <a:srgbClr val="EF7F04"/>
      </a:accent4>
      <a:accent5>
        <a:srgbClr val="008380"/>
      </a:accent5>
      <a:accent6>
        <a:srgbClr val="FFBB2D"/>
      </a:accent6>
      <a:hlink>
        <a:srgbClr val="00A6CB"/>
      </a:hlink>
      <a:folHlink>
        <a:srgbClr val="FF6433"/>
      </a:folHlink>
    </a:clrScheme>
    <a:fontScheme name="Adelphi Values fon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solidFill>
      </a:spPr>
      <a:bodyPr rot="0" spcFirstLastPara="0" vertOverflow="overflow" horzOverflow="overflow" vert="horz" wrap="square" lIns="91440" tIns="45720" rIns="91440" bIns="45720" numCol="1" spcCol="0" rtlCol="0" fromWordArt="0" anchor="ctr" anchorCtr="0" forceAA="0" compatLnSpc="1">
        <a:prstTxWarp prst="textNoShape">
          <a:avLst/>
        </a:prstTxWarp>
        <a:spAutoFit/>
      </a:bodyPr>
      <a:lstStyle/>
      <a:style>
        <a:lnRef idx="2">
          <a:schemeClr val="accent3">
            <a:shade val="50000"/>
          </a:schemeClr>
        </a:lnRef>
        <a:fillRef idx="1">
          <a:schemeClr val="accent3"/>
        </a:fillRef>
        <a:effectRef idx="0">
          <a:schemeClr val="accent3"/>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5451B-B364-43B8-B698-AD4D1DF37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5025</Words>
  <Characters>28644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adelphi</Company>
  <LinksUpToDate>false</LinksUpToDate>
  <CharactersWithSpaces>33602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Canty</dc:creator>
  <cp:lastModifiedBy>Adelphi Values</cp:lastModifiedBy>
  <cp:revision>3</cp:revision>
  <cp:lastPrinted>2016-09-13T09:38:00Z</cp:lastPrinted>
  <dcterms:created xsi:type="dcterms:W3CDTF">2016-11-25T10:59:00Z</dcterms:created>
  <dcterms:modified xsi:type="dcterms:W3CDTF">2016-11-25T14:08:00Z</dcterms:modified>
</cp:coreProperties>
</file>