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D68" w:rsidRDefault="00850D68" w:rsidP="00850D68">
      <w:pPr>
        <w:rPr>
          <w:b/>
        </w:rPr>
      </w:pPr>
      <w:r>
        <w:rPr>
          <w:b/>
        </w:rPr>
        <w:t>Applied Health Economics and Health Policy</w:t>
      </w:r>
    </w:p>
    <w:p w:rsidR="00850D68" w:rsidRDefault="00850D68" w:rsidP="00850D68">
      <w:pPr>
        <w:rPr>
          <w:b/>
        </w:rPr>
      </w:pPr>
      <w:r>
        <w:rPr>
          <w:b/>
        </w:rPr>
        <w:t xml:space="preserve">Striving </w:t>
      </w:r>
      <w:bookmarkStart w:id="0" w:name="_GoBack"/>
      <w:bookmarkEnd w:id="0"/>
      <w:r>
        <w:rPr>
          <w:b/>
        </w:rPr>
        <w:t xml:space="preserve">for a societal perspective: </w:t>
      </w:r>
      <w:r w:rsidRPr="00E92944">
        <w:rPr>
          <w:b/>
        </w:rPr>
        <w:t xml:space="preserve"> </w:t>
      </w:r>
      <w:r>
        <w:rPr>
          <w:b/>
        </w:rPr>
        <w:t>a</w:t>
      </w:r>
      <w:r w:rsidRPr="00E92944">
        <w:rPr>
          <w:b/>
        </w:rPr>
        <w:t xml:space="preserve"> framework for economic evaluations </w:t>
      </w:r>
      <w:r>
        <w:rPr>
          <w:b/>
        </w:rPr>
        <w:t>when</w:t>
      </w:r>
      <w:r w:rsidRPr="00E92944">
        <w:rPr>
          <w:b/>
        </w:rPr>
        <w:t xml:space="preserve"> costs and effects fall</w:t>
      </w:r>
      <w:r>
        <w:rPr>
          <w:b/>
        </w:rPr>
        <w:t xml:space="preserve"> </w:t>
      </w:r>
      <w:r w:rsidRPr="00E92944">
        <w:rPr>
          <w:b/>
        </w:rPr>
        <w:t xml:space="preserve">on multiple sectors and </w:t>
      </w:r>
      <w:r>
        <w:rPr>
          <w:b/>
        </w:rPr>
        <w:t>decision-maker</w:t>
      </w:r>
      <w:r w:rsidRPr="00E92944">
        <w:rPr>
          <w:b/>
        </w:rPr>
        <w:t>s</w:t>
      </w:r>
    </w:p>
    <w:p w:rsidR="00850D68" w:rsidRDefault="00850D68" w:rsidP="00850D68">
      <w:pPr>
        <w:rPr>
          <w:b/>
        </w:rPr>
      </w:pPr>
      <w:r>
        <w:rPr>
          <w:b/>
        </w:rPr>
        <w:t>SUPPLEMENTARY MATERIAL</w:t>
      </w:r>
    </w:p>
    <w:p w:rsidR="00850D68" w:rsidRPr="002021F6" w:rsidRDefault="00850D68" w:rsidP="00850D68">
      <w:r w:rsidRPr="002021F6">
        <w:t>Authors: Simon Walker</w:t>
      </w:r>
      <w:r w:rsidRPr="00BE300E">
        <w:rPr>
          <w:vertAlign w:val="superscript"/>
        </w:rPr>
        <w:t>1</w:t>
      </w:r>
      <w:r w:rsidRPr="002021F6">
        <w:t>, Susan Griffin</w:t>
      </w:r>
      <w:r w:rsidRPr="00BE300E">
        <w:rPr>
          <w:vertAlign w:val="superscript"/>
        </w:rPr>
        <w:t>1</w:t>
      </w:r>
      <w:r w:rsidRPr="002021F6">
        <w:t>, Miqdad Asaria</w:t>
      </w:r>
      <w:r w:rsidRPr="00BE300E">
        <w:rPr>
          <w:vertAlign w:val="superscript"/>
        </w:rPr>
        <w:t>2</w:t>
      </w:r>
      <w:r w:rsidRPr="002021F6">
        <w:t xml:space="preserve">, </w:t>
      </w:r>
      <w:r>
        <w:t>Aki Tsuchiya</w:t>
      </w:r>
      <w:r w:rsidRPr="00BE300E">
        <w:rPr>
          <w:vertAlign w:val="superscript"/>
        </w:rPr>
        <w:t>3</w:t>
      </w:r>
      <w:r>
        <w:t xml:space="preserve">, </w:t>
      </w:r>
      <w:r w:rsidRPr="002021F6">
        <w:t>Mark Sculpher</w:t>
      </w:r>
      <w:r w:rsidRPr="00BE300E">
        <w:rPr>
          <w:vertAlign w:val="superscript"/>
        </w:rPr>
        <w:t>1</w:t>
      </w:r>
      <w:r>
        <w:t xml:space="preserve"> </w:t>
      </w:r>
    </w:p>
    <w:p w:rsidR="00850D68" w:rsidRDefault="00850D68" w:rsidP="00850D68">
      <w:r w:rsidRPr="002021F6">
        <w:t>Affiliation</w:t>
      </w:r>
      <w:r>
        <w:t>s</w:t>
      </w:r>
      <w:r w:rsidRPr="002021F6">
        <w:t xml:space="preserve">: </w:t>
      </w:r>
      <w:r>
        <w:t xml:space="preserve">1 </w:t>
      </w:r>
      <w:r w:rsidRPr="002021F6">
        <w:t>Centre for Health Economics, University of York, York, UK</w:t>
      </w:r>
    </w:p>
    <w:p w:rsidR="00850D68" w:rsidRDefault="00850D68" w:rsidP="00850D68">
      <w:r>
        <w:t>2 LSE Health, London School of Economics</w:t>
      </w:r>
    </w:p>
    <w:p w:rsidR="00850D68" w:rsidRDefault="00850D68" w:rsidP="00850D68">
      <w:r>
        <w:t>3 School of Health and Related Research (ScHARR) and the Department of Economics, University of Sheffield</w:t>
      </w:r>
    </w:p>
    <w:p w:rsidR="00850D68" w:rsidRDefault="00850D68" w:rsidP="00850D68"/>
    <w:p w:rsidR="00850D68" w:rsidRPr="005C6900" w:rsidRDefault="00850D68" w:rsidP="00850D68">
      <w:pPr>
        <w:rPr>
          <w:u w:val="double"/>
        </w:rPr>
      </w:pPr>
      <w:r>
        <w:t xml:space="preserve">Corresponding author: Simon Walker, Centre for Health Economics, Alcuin A Block, University of York, York, </w:t>
      </w:r>
      <w:r w:rsidRPr="005C6900">
        <w:t>YO10 5DD. Tel: 44 01904321451. Email: simon.walker@york.ac.uk</w:t>
      </w:r>
    </w:p>
    <w:p w:rsidR="00850D68" w:rsidRDefault="00850D68" w:rsidP="00E05FE0">
      <w:pPr>
        <w:spacing w:line="360" w:lineRule="auto"/>
        <w:rPr>
          <w:rFonts w:asciiTheme="minorHAnsi" w:hAnsiTheme="minorHAnsi"/>
          <w:b/>
        </w:rPr>
      </w:pPr>
    </w:p>
    <w:p w:rsidR="00850D68" w:rsidRDefault="00850D68" w:rsidP="00E05FE0">
      <w:pPr>
        <w:spacing w:line="360" w:lineRule="auto"/>
        <w:rPr>
          <w:rFonts w:asciiTheme="minorHAnsi" w:hAnsiTheme="minorHAnsi"/>
          <w:b/>
        </w:rPr>
      </w:pPr>
    </w:p>
    <w:p w:rsidR="00850D68" w:rsidRDefault="00850D68" w:rsidP="00E05FE0">
      <w:pPr>
        <w:spacing w:line="360" w:lineRule="auto"/>
        <w:rPr>
          <w:rFonts w:asciiTheme="minorHAnsi" w:hAnsiTheme="minorHAnsi"/>
          <w:b/>
        </w:rPr>
      </w:pPr>
    </w:p>
    <w:p w:rsidR="00E05FE0" w:rsidRPr="00545ED4" w:rsidRDefault="001E55F3" w:rsidP="00E05FE0">
      <w:pPr>
        <w:spacing w:line="360" w:lineRule="auto"/>
        <w:rPr>
          <w:rFonts w:asciiTheme="minorHAnsi" w:hAnsiTheme="minorHAnsi"/>
          <w:b/>
        </w:rPr>
      </w:pPr>
      <w:r w:rsidRPr="00545ED4">
        <w:rPr>
          <w:rFonts w:asciiTheme="minorHAnsi" w:hAnsiTheme="minorHAnsi"/>
          <w:b/>
        </w:rPr>
        <w:t>A1.1</w:t>
      </w:r>
      <w:r w:rsidR="00E05FE0" w:rsidRPr="00545ED4">
        <w:rPr>
          <w:rFonts w:asciiTheme="minorHAnsi" w:hAnsiTheme="minorHAnsi"/>
          <w:b/>
        </w:rPr>
        <w:t xml:space="preserve"> Operationalising the impact </w:t>
      </w:r>
      <w:r w:rsidR="00545ED4">
        <w:rPr>
          <w:rFonts w:asciiTheme="minorHAnsi" w:hAnsiTheme="minorHAnsi"/>
          <w:b/>
        </w:rPr>
        <w:t>inventory</w:t>
      </w:r>
      <w:r w:rsidR="00E05FE0" w:rsidRPr="00545ED4">
        <w:rPr>
          <w:rFonts w:asciiTheme="minorHAnsi" w:hAnsiTheme="minorHAnsi"/>
          <w:b/>
        </w:rPr>
        <w:t xml:space="preserve"> for healthcare- a stylized example </w:t>
      </w:r>
    </w:p>
    <w:p w:rsidR="00E05FE0" w:rsidRPr="00545ED4" w:rsidRDefault="00E05FE0" w:rsidP="00E05FE0">
      <w:pPr>
        <w:spacing w:line="360" w:lineRule="auto"/>
        <w:rPr>
          <w:rFonts w:asciiTheme="minorHAnsi" w:hAnsiTheme="minorHAnsi"/>
        </w:rPr>
      </w:pPr>
      <w:r w:rsidRPr="00545ED4">
        <w:rPr>
          <w:rFonts w:asciiTheme="minorHAnsi" w:hAnsiTheme="minorHAnsi"/>
        </w:rPr>
        <w:t xml:space="preserve">In a simple example, each patient who receives the new healthcare intervention benefits from </w:t>
      </w:r>
      <w:r w:rsidRPr="00545ED4">
        <w:rPr>
          <w:rFonts w:asciiTheme="minorHAnsi" w:eastAsia="Times New Roman" w:hAnsiTheme="minorHAnsi"/>
        </w:rPr>
        <w:t>2</w:t>
      </w:r>
      <w:r w:rsidRPr="00545ED4">
        <w:rPr>
          <w:rFonts w:asciiTheme="minorHAnsi" w:hAnsiTheme="minorHAnsi"/>
        </w:rPr>
        <w:t xml:space="preserve"> additional QALYs at a cost to the healthcare system of </w:t>
      </w:r>
      <w:r w:rsidRPr="00545ED4">
        <w:rPr>
          <w:rFonts w:asciiTheme="minorHAnsi" w:eastAsia="Times New Roman" w:hAnsiTheme="minorHAnsi"/>
        </w:rPr>
        <w:t>£13,000. At the margin it is known that one QALY will be forgone for every £13,000 pounds spent in healthcare</w:t>
      </w:r>
      <w:r w:rsidRPr="00545ED4">
        <w:rPr>
          <w:rFonts w:asciiTheme="minorHAnsi" w:eastAsia="Times New Roman" w:hAnsiTheme="minorHAnsi"/>
        </w:rPr>
        <w:fldChar w:fldCharType="begin" w:fldLock="1"/>
      </w:r>
      <w:r w:rsidRPr="00545ED4">
        <w:rPr>
          <w:rFonts w:asciiTheme="minorHAnsi" w:eastAsia="Times New Roman" w:hAnsiTheme="minorHAnsi"/>
        </w:rPr>
        <w:instrText>ADDIN CSL_CITATION { "citationItems" : [ { "id" : "ITEM-1", "itemData" : { "DOI" : "10.3310/hta19140", "abstract" : "Background: Cost-effectiveness analysis involves the comparison of the incremental cost-effectiveness ratio of a new technology, which is more costly than existing alternatives, with the cost-effectiveness threshold. This indicates whether or not the health expected to be gained from its use exceeds the health expected to be lost elsewhere as other health-care activities are displaced. The threshold therefore represents the additional cost that has to be imposed on the system to forgo 1 quality-adjusted life-year (QALY) of health through displacement. There are no empirical estimates of the cost-effectiveness threshold used by the National Institute for Health and Care Excellence. Cost-effectiveness analysis involves the comparison of the incremental cost-effectiveness ratio of a new technology, which is more costly than existing alternatives, with the cost-effectiveness threshold. This indicates whether or not the health expected to be gained from its use exceeds the health expected to be lost elsewhere as other health-care activities are displaced. The threshold therefore represents the additional cost that has to be imposed on the system to forgo 1 quality-adjusted life-year (QALY) of health through displacement. There are no empirical estimates of the cost-effectiveness threshold used by the National Institute for Health and Care Excellence. Objectives: (1) To provide a conceptual framework to define the cost-effectiveness threshold and to provide the basis for its empirical estimation. (2) Using programme budgeting data for the English NHS, to estimate the relationship between changes in overall NHS expenditure and changes in mortality. (3) To extend this mortality measure of the health effects of a change in expenditure to life-years and to QALYs by estimating the quality-of-life (QoL) associated with effects on years of life and the additional direct impact on QoL itself. (4) To present the best estimate of the cost-effectiveness threshold for policy purposes. (1) To provide a conceptual framework to define the cost-effectiveness threshold and to provide the basis for its empirical estimation. (2) Using programme budgeting data for the English NHS, to estimate the relationship between changes in overall NHS expenditure and changes in mortality. (3) To extend this mortality measure of the health effects of a change in expenditure to life-years and to QALYs by estimating the quality-of-life (QoL) associated with effects on years of life and the add\u2026", "author" : [ { "dropping-particle" : "", "family" : "Claxton", "given" : "K", "non-dropping-particle" : "", "parse-names" : false, "suffix" : "" }, { "dropping-particle" : "", "family" : "Martin", "given" : "S", "non-dropping-particle" : "", "parse-names" : false, "suffix" : "" }, { "dropping-particle" : "", "family" : "Soares", "given" : "M", "non-dropping-particle" : "", "parse-names" : false, "suffix" : "" }, { "dropping-particle" : "", "family" : "Rice", "given" : "N", "non-dropping-particle" : "", "parse-names" : false, "suffix" : "" }, { "dropping-particle" : "", "family" : "Spackman", "given" : "E", "non-dropping-particle" : "", "parse-names" : false, "suffix" : "" }, { "dropping-particle" : "", "family" : "Hinde", "given" : "S", "non-dropping-particle" : "", "parse-names" : false, "suffix" : "" }, { "dropping-particle" : "", "family" : "Devlin", "given" : "N", "non-dropping-particle" : "", "parse-names" : false, "suffix" : "" }, { "dropping-particle" : "", "family" : "Smith", "given" : "P C", "non-dropping-particle" : "", "parse-names" : false, "suffix" : "" }, { "dropping-particle" : "", "family" : "Sculpher", "given" : "M", "non-dropping-particle" : "", "parse-names" : false, "suffix" : "" } ], "container-title" : "Health Technol Assess", "id" : "ITEM-1", "issue" : "14", "issued" : { "date-parts" : [ [ "2015" ] ] }, "title" : "Methods for the estimation of the National Institute for Health and Care Excellence cost-effectiveness threshold", "type" : "article-journal", "volume" : "19" }, "uris" : [ "http://www.mendeley.com/documents/?uuid=fa86ce56-2718-43a3-a43d-6c50d55f8ee1" ] } ], "mendeley" : { "formattedCitation" : "(21)", "plainTextFormattedCitation" : "(21)", "previouslyFormattedCitation" : "(21)" }, "properties" : { "noteIndex" : 0 }, "schema" : "https://github.com/citation-style-language/schema/raw/master/csl-citation.json" }</w:instrText>
      </w:r>
      <w:r w:rsidRPr="00545ED4">
        <w:rPr>
          <w:rFonts w:asciiTheme="minorHAnsi" w:eastAsia="Times New Roman" w:hAnsiTheme="minorHAnsi"/>
        </w:rPr>
        <w:fldChar w:fldCharType="separate"/>
      </w:r>
      <w:r w:rsidRPr="00545ED4">
        <w:rPr>
          <w:rFonts w:asciiTheme="minorHAnsi" w:eastAsia="Times New Roman" w:hAnsiTheme="minorHAnsi"/>
          <w:noProof/>
        </w:rPr>
        <w:t>(21)</w:t>
      </w:r>
      <w:r w:rsidRPr="00545ED4">
        <w:rPr>
          <w:rFonts w:asciiTheme="minorHAnsi" w:eastAsia="Times New Roman" w:hAnsiTheme="minorHAnsi"/>
        </w:rPr>
        <w:fldChar w:fldCharType="end"/>
      </w:r>
      <w:r w:rsidRPr="00545ED4">
        <w:rPr>
          <w:rFonts w:asciiTheme="minorHAnsi" w:eastAsia="Times New Roman" w:hAnsiTheme="minorHAnsi"/>
        </w:rPr>
        <w:t xml:space="preserve">. The </w:t>
      </w:r>
      <w:r w:rsidRPr="00545ED4">
        <w:rPr>
          <w:rFonts w:asciiTheme="minorHAnsi" w:hAnsiTheme="minorHAnsi"/>
          <w:i/>
        </w:rPr>
        <w:t>health</w:t>
      </w:r>
      <w:r w:rsidRPr="00545ED4">
        <w:rPr>
          <w:rFonts w:asciiTheme="minorHAnsi" w:hAnsiTheme="minorHAnsi"/>
        </w:rPr>
        <w:t xml:space="preserve"> opportunity cost can be calculated by dividing the</w:t>
      </w:r>
      <w:r w:rsidRPr="00545ED4">
        <w:rPr>
          <w:rFonts w:asciiTheme="minorHAnsi" w:eastAsia="Times New Roman" w:hAnsiTheme="minorHAnsi"/>
        </w:rPr>
        <w:t xml:space="preserve"> direct healthcare costs (£13,000) by the marginal productivity of the healthcare sector for health (</w:t>
      </w:r>
      <m:oMath>
        <m:sSub>
          <m:sSubPr>
            <m:ctrlPr>
              <w:rPr>
                <w:rFonts w:ascii="Cambria Math" w:hAnsi="Cambria Math"/>
                <w:i/>
              </w:rPr>
            </m:ctrlPr>
          </m:sSubPr>
          <m:e>
            <m:r>
              <w:rPr>
                <w:rFonts w:ascii="Cambria Math" w:hAnsi="Cambria Math"/>
              </w:rPr>
              <m:t>k</m:t>
            </m:r>
          </m:e>
          <m:sub>
            <m:r>
              <w:rPr>
                <w:rFonts w:ascii="Cambria Math" w:hAnsi="Cambria Math"/>
              </w:rPr>
              <m:t>h</m:t>
            </m:r>
          </m:sub>
        </m:sSub>
        <m:r>
          <w:rPr>
            <w:rFonts w:ascii="Cambria Math" w:hAnsi="Cambria Math"/>
          </w:rPr>
          <m:t>=</m:t>
        </m:r>
      </m:oMath>
      <w:r w:rsidRPr="00545ED4">
        <w:rPr>
          <w:rFonts w:asciiTheme="minorHAnsi" w:eastAsia="Times New Roman" w:hAnsiTheme="minorHAnsi"/>
        </w:rPr>
        <w:t xml:space="preserve">£13,000 per QALY). </w:t>
      </w:r>
    </w:p>
    <w:p w:rsidR="00E05FE0" w:rsidRPr="00545ED4" w:rsidRDefault="00E05FE0" w:rsidP="00E05FE0">
      <w:pPr>
        <w:spacing w:line="360" w:lineRule="auto"/>
        <w:rPr>
          <w:rFonts w:asciiTheme="minorHAnsi" w:hAnsiTheme="minorHAnsi"/>
        </w:rPr>
      </w:pPr>
      <w:r w:rsidRPr="00545ED4">
        <w:rPr>
          <w:rFonts w:asciiTheme="minorHAnsi" w:hAnsiTheme="minorHAnsi"/>
        </w:rPr>
        <w:t>Assume two patients (1 &amp; 2) would receive the new intervention</w:t>
      </w:r>
      <w:r w:rsidRPr="00545ED4">
        <w:rPr>
          <w:rFonts w:asciiTheme="minorHAnsi" w:eastAsia="Times New Roman" w:hAnsiTheme="minorHAnsi"/>
        </w:rPr>
        <w:t>, whilst</w:t>
      </w:r>
      <w:r w:rsidRPr="00545ED4">
        <w:rPr>
          <w:rFonts w:asciiTheme="minorHAnsi" w:hAnsiTheme="minorHAnsi"/>
        </w:rPr>
        <w:t xml:space="preserve"> two other unknown individuals (X &amp; Y) would forgo interventions</w:t>
      </w:r>
      <w:r w:rsidRPr="00545ED4">
        <w:rPr>
          <w:rStyle w:val="FootnoteReference"/>
          <w:rFonts w:asciiTheme="minorHAnsi" w:hAnsiTheme="minorHAnsi"/>
        </w:rPr>
        <w:footnoteReference w:id="1"/>
      </w:r>
      <w:r w:rsidRPr="00545ED4">
        <w:rPr>
          <w:rFonts w:asciiTheme="minorHAnsi" w:eastAsia="Times New Roman" w:hAnsiTheme="minorHAnsi"/>
        </w:rPr>
        <w:t xml:space="preserve">. The impact </w:t>
      </w:r>
      <w:r w:rsidR="00545ED4">
        <w:rPr>
          <w:rFonts w:asciiTheme="minorHAnsi" w:eastAsia="Times New Roman" w:hAnsiTheme="minorHAnsi"/>
        </w:rPr>
        <w:t>inventory</w:t>
      </w:r>
      <w:r w:rsidRPr="00545ED4">
        <w:rPr>
          <w:rFonts w:asciiTheme="minorHAnsi" w:eastAsia="Times New Roman" w:hAnsiTheme="minorHAnsi"/>
        </w:rPr>
        <w:t xml:space="preserve"> can be represented as shown in Figure </w:t>
      </w:r>
      <w:r w:rsidR="001E55F3" w:rsidRPr="00545ED4">
        <w:rPr>
          <w:rFonts w:asciiTheme="minorHAnsi" w:eastAsia="Times New Roman" w:hAnsiTheme="minorHAnsi"/>
        </w:rPr>
        <w:t>A1</w:t>
      </w:r>
      <w:r w:rsidRPr="00545ED4">
        <w:rPr>
          <w:rFonts w:asciiTheme="minorHAnsi" w:eastAsia="Times New Roman" w:hAnsiTheme="minorHAnsi"/>
        </w:rPr>
        <w:t>.</w:t>
      </w:r>
    </w:p>
    <w:tbl>
      <w:tblPr>
        <w:tblW w:w="503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700"/>
        <w:gridCol w:w="1644"/>
        <w:gridCol w:w="2196"/>
      </w:tblGrid>
      <w:tr w:rsidR="00E05FE0" w:rsidRPr="00545ED4" w:rsidTr="005018EA">
        <w:trPr>
          <w:trHeight w:val="300"/>
        </w:trPr>
        <w:tc>
          <w:tcPr>
            <w:tcW w:w="498" w:type="dxa"/>
            <w:shd w:val="clear" w:color="auto" w:fill="auto"/>
            <w:noWrap/>
            <w:vAlign w:val="bottom"/>
            <w:hideMark/>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700" w:type="dxa"/>
            <w:shd w:val="clear" w:color="auto" w:fill="auto"/>
            <w:noWrap/>
            <w:vAlign w:val="bottom"/>
            <w:hideMark/>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3840" w:type="dxa"/>
            <w:gridSpan w:val="2"/>
            <w:shd w:val="clear" w:color="auto" w:fill="auto"/>
            <w:noWrap/>
            <w:vAlign w:val="bottom"/>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Health (QALYs)</w:t>
            </w:r>
          </w:p>
        </w:tc>
      </w:tr>
      <w:tr w:rsidR="00E05FE0" w:rsidRPr="00545ED4" w:rsidTr="005018EA">
        <w:trPr>
          <w:trHeight w:val="300"/>
        </w:trPr>
        <w:tc>
          <w:tcPr>
            <w:tcW w:w="498" w:type="dxa"/>
            <w:shd w:val="clear" w:color="auto" w:fill="auto"/>
            <w:noWrap/>
            <w:vAlign w:val="bottom"/>
            <w:hideMark/>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700" w:type="dxa"/>
            <w:shd w:val="clear" w:color="auto" w:fill="auto"/>
            <w:noWrap/>
            <w:vAlign w:val="bottom"/>
            <w:hideMark/>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1644" w:type="dxa"/>
            <w:shd w:val="clear" w:color="auto" w:fill="auto"/>
            <w:noWrap/>
            <w:vAlign w:val="bottom"/>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Direct Effects</w:t>
            </w:r>
          </w:p>
        </w:tc>
        <w:tc>
          <w:tcPr>
            <w:tcW w:w="2196" w:type="dxa"/>
            <w:shd w:val="clear" w:color="auto" w:fill="auto"/>
            <w:noWrap/>
            <w:vAlign w:val="bottom"/>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Opportunity costs</w:t>
            </w:r>
          </w:p>
        </w:tc>
      </w:tr>
      <w:tr w:rsidR="00E05FE0" w:rsidRPr="00545ED4" w:rsidTr="005018EA">
        <w:trPr>
          <w:trHeight w:val="300"/>
        </w:trPr>
        <w:tc>
          <w:tcPr>
            <w:tcW w:w="498" w:type="dxa"/>
            <w:vMerge w:val="restart"/>
            <w:shd w:val="clear" w:color="auto" w:fill="auto"/>
            <w:noWrap/>
            <w:textDirection w:val="btLr"/>
            <w:vAlign w:val="center"/>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Individuals</w:t>
            </w:r>
          </w:p>
        </w:tc>
        <w:tc>
          <w:tcPr>
            <w:tcW w:w="700" w:type="dxa"/>
            <w:shd w:val="clear" w:color="auto" w:fill="auto"/>
            <w:noWrap/>
            <w:vAlign w:val="bottom"/>
            <w:hideMark/>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lang w:eastAsia="en-GB"/>
              </w:rPr>
              <w:t>1</w:t>
            </w:r>
          </w:p>
        </w:tc>
        <w:tc>
          <w:tcPr>
            <w:tcW w:w="1644" w:type="dxa"/>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rPr>
              <w:t>2 QALYs</w:t>
            </w:r>
          </w:p>
        </w:tc>
        <w:tc>
          <w:tcPr>
            <w:tcW w:w="2196" w:type="dxa"/>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rPr>
              <w:t>0 QALYs</w:t>
            </w:r>
          </w:p>
        </w:tc>
      </w:tr>
      <w:tr w:rsidR="00E05FE0" w:rsidRPr="00545ED4" w:rsidTr="005018EA">
        <w:trPr>
          <w:trHeight w:val="300"/>
        </w:trPr>
        <w:tc>
          <w:tcPr>
            <w:tcW w:w="498" w:type="dxa"/>
            <w:vMerge/>
            <w:vAlign w:val="center"/>
            <w:hideMark/>
          </w:tcPr>
          <w:p w:rsidR="00E05FE0" w:rsidRPr="00545ED4" w:rsidRDefault="00E05FE0" w:rsidP="005018EA">
            <w:pPr>
              <w:spacing w:after="0" w:line="240" w:lineRule="auto"/>
              <w:rPr>
                <w:rFonts w:asciiTheme="minorHAnsi" w:eastAsia="Times New Roman" w:hAnsiTheme="minorHAnsi"/>
                <w:color w:val="000000"/>
                <w:lang w:eastAsia="en-GB"/>
              </w:rPr>
            </w:pPr>
          </w:p>
        </w:tc>
        <w:tc>
          <w:tcPr>
            <w:tcW w:w="700" w:type="dxa"/>
            <w:shd w:val="clear" w:color="auto" w:fill="auto"/>
            <w:noWrap/>
            <w:vAlign w:val="bottom"/>
            <w:hideMark/>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lang w:eastAsia="en-GB"/>
              </w:rPr>
              <w:t>2</w:t>
            </w:r>
          </w:p>
        </w:tc>
        <w:tc>
          <w:tcPr>
            <w:tcW w:w="1644" w:type="dxa"/>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rPr>
              <w:t>2 QALYs</w:t>
            </w:r>
          </w:p>
        </w:tc>
        <w:tc>
          <w:tcPr>
            <w:tcW w:w="2196" w:type="dxa"/>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rPr>
              <w:t>0 QALYs</w:t>
            </w:r>
          </w:p>
        </w:tc>
      </w:tr>
      <w:tr w:rsidR="00E05FE0" w:rsidRPr="00545ED4" w:rsidTr="005018EA">
        <w:trPr>
          <w:trHeight w:val="300"/>
        </w:trPr>
        <w:tc>
          <w:tcPr>
            <w:tcW w:w="498" w:type="dxa"/>
            <w:vMerge/>
            <w:vAlign w:val="center"/>
            <w:hideMark/>
          </w:tcPr>
          <w:p w:rsidR="00E05FE0" w:rsidRPr="00545ED4" w:rsidRDefault="00E05FE0" w:rsidP="005018EA">
            <w:pPr>
              <w:spacing w:after="0" w:line="240" w:lineRule="auto"/>
              <w:rPr>
                <w:rFonts w:asciiTheme="minorHAnsi" w:eastAsia="Times New Roman" w:hAnsiTheme="minorHAnsi"/>
                <w:color w:val="000000"/>
                <w:lang w:eastAsia="en-GB"/>
              </w:rPr>
            </w:pPr>
          </w:p>
        </w:tc>
        <w:tc>
          <w:tcPr>
            <w:tcW w:w="700" w:type="dxa"/>
            <w:shd w:val="clear" w:color="auto" w:fill="auto"/>
            <w:noWrap/>
            <w:vAlign w:val="bottom"/>
            <w:hideMark/>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lang w:eastAsia="en-GB"/>
              </w:rPr>
              <w:t>x</w:t>
            </w:r>
          </w:p>
        </w:tc>
        <w:tc>
          <w:tcPr>
            <w:tcW w:w="1644" w:type="dxa"/>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rPr>
              <w:t>0 QALYs</w:t>
            </w:r>
          </w:p>
        </w:tc>
        <w:tc>
          <w:tcPr>
            <w:tcW w:w="2196" w:type="dxa"/>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rPr>
              <w:t>1 QALYs</w:t>
            </w:r>
          </w:p>
        </w:tc>
      </w:tr>
      <w:tr w:rsidR="00E05FE0" w:rsidRPr="00545ED4" w:rsidTr="005018EA">
        <w:trPr>
          <w:trHeight w:val="300"/>
        </w:trPr>
        <w:tc>
          <w:tcPr>
            <w:tcW w:w="498" w:type="dxa"/>
            <w:vMerge/>
            <w:vAlign w:val="center"/>
            <w:hideMark/>
          </w:tcPr>
          <w:p w:rsidR="00E05FE0" w:rsidRPr="00545ED4" w:rsidRDefault="00E05FE0" w:rsidP="005018EA">
            <w:pPr>
              <w:spacing w:after="0" w:line="240" w:lineRule="auto"/>
              <w:rPr>
                <w:rFonts w:asciiTheme="minorHAnsi" w:eastAsia="Times New Roman" w:hAnsiTheme="minorHAnsi"/>
                <w:color w:val="000000"/>
                <w:lang w:eastAsia="en-GB"/>
              </w:rPr>
            </w:pPr>
          </w:p>
        </w:tc>
        <w:tc>
          <w:tcPr>
            <w:tcW w:w="700" w:type="dxa"/>
            <w:shd w:val="clear" w:color="auto" w:fill="auto"/>
            <w:noWrap/>
            <w:vAlign w:val="bottom"/>
            <w:hideMark/>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lang w:eastAsia="en-GB"/>
              </w:rPr>
              <w:t>y</w:t>
            </w:r>
          </w:p>
        </w:tc>
        <w:tc>
          <w:tcPr>
            <w:tcW w:w="1644" w:type="dxa"/>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rPr>
              <w:t>0 QALYs</w:t>
            </w:r>
          </w:p>
        </w:tc>
        <w:tc>
          <w:tcPr>
            <w:tcW w:w="2196" w:type="dxa"/>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rPr>
              <w:t>1 QALYs</w:t>
            </w:r>
          </w:p>
        </w:tc>
      </w:tr>
    </w:tbl>
    <w:p w:rsidR="00E05FE0" w:rsidRPr="00545ED4" w:rsidRDefault="00E05FE0" w:rsidP="00E05FE0">
      <w:pPr>
        <w:spacing w:line="360" w:lineRule="auto"/>
        <w:rPr>
          <w:rFonts w:asciiTheme="minorHAnsi" w:hAnsiTheme="minorHAnsi"/>
          <w:b/>
        </w:rPr>
      </w:pPr>
      <w:r w:rsidRPr="00545ED4">
        <w:rPr>
          <w:rFonts w:asciiTheme="minorHAnsi" w:hAnsiTheme="minorHAnsi"/>
          <w:b/>
        </w:rPr>
        <w:t xml:space="preserve">Figure </w:t>
      </w:r>
      <w:r w:rsidR="001E55F3" w:rsidRPr="00545ED4">
        <w:rPr>
          <w:rFonts w:asciiTheme="minorHAnsi" w:hAnsiTheme="minorHAnsi"/>
          <w:b/>
        </w:rPr>
        <w:t>A1</w:t>
      </w:r>
      <w:r w:rsidRPr="00545ED4">
        <w:rPr>
          <w:rFonts w:asciiTheme="minorHAnsi" w:hAnsiTheme="minorHAnsi"/>
          <w:b/>
        </w:rPr>
        <w:t xml:space="preserve">: </w:t>
      </w:r>
      <w:r w:rsidR="00911250">
        <w:rPr>
          <w:rFonts w:asciiTheme="minorHAnsi" w:hAnsiTheme="minorHAnsi"/>
          <w:b/>
        </w:rPr>
        <w:t>Stylized example of i</w:t>
      </w:r>
      <w:r w:rsidRPr="00545ED4">
        <w:rPr>
          <w:rFonts w:asciiTheme="minorHAnsi" w:hAnsiTheme="minorHAnsi"/>
          <w:b/>
        </w:rPr>
        <w:t xml:space="preserve">mpact </w:t>
      </w:r>
      <w:r w:rsidR="00545ED4">
        <w:rPr>
          <w:rFonts w:asciiTheme="minorHAnsi" w:hAnsiTheme="minorHAnsi"/>
          <w:b/>
        </w:rPr>
        <w:t>inventory</w:t>
      </w:r>
      <w:r w:rsidRPr="00545ED4">
        <w:rPr>
          <w:rFonts w:asciiTheme="minorHAnsi" w:hAnsiTheme="minorHAnsi"/>
          <w:b/>
        </w:rPr>
        <w:t xml:space="preserve"> for healthcare sector</w:t>
      </w:r>
    </w:p>
    <w:p w:rsidR="00E05FE0" w:rsidRPr="00545ED4" w:rsidRDefault="00E05FE0" w:rsidP="00E05FE0">
      <w:pPr>
        <w:spacing w:line="360" w:lineRule="auto"/>
        <w:rPr>
          <w:rFonts w:asciiTheme="minorHAnsi" w:eastAsia="Times New Roman" w:hAnsiTheme="minorHAnsi"/>
        </w:rPr>
      </w:pPr>
      <w:r w:rsidRPr="00545ED4">
        <w:rPr>
          <w:rFonts w:asciiTheme="minorHAnsi" w:eastAsia="Times New Roman" w:hAnsiTheme="minorHAnsi"/>
        </w:rPr>
        <w:lastRenderedPageBreak/>
        <w:t>The decision maker must decide whether the introduction of the intervention is worthwhile. This requires comparing the health gained against the health forgone by each patient. The within-patient aggregation function is simply the net gain in health which is the direct effect less the opportunity cost</w:t>
      </w:r>
      <w:r w:rsidRPr="00545ED4">
        <w:rPr>
          <w:rStyle w:val="FootnoteReference"/>
          <w:rFonts w:asciiTheme="minorHAnsi" w:hAnsiTheme="minorHAnsi"/>
        </w:rPr>
        <w:footnoteReference w:id="2"/>
      </w:r>
      <w:r w:rsidRPr="00545ED4">
        <w:rPr>
          <w:rFonts w:asciiTheme="minorHAnsi" w:eastAsia="Times New Roman" w:hAnsiTheme="minorHAnsi"/>
        </w:rPr>
        <w:t>. Using a within-dimension aggregation function whereby the health of each individual is valued equally</w:t>
      </w:r>
      <w:r w:rsidRPr="00545ED4">
        <w:rPr>
          <w:rStyle w:val="FootnoteReference"/>
          <w:rFonts w:asciiTheme="minorHAnsi" w:hAnsiTheme="minorHAnsi"/>
        </w:rPr>
        <w:footnoteReference w:id="3"/>
      </w:r>
      <w:r w:rsidRPr="00545ED4">
        <w:rPr>
          <w:rFonts w:asciiTheme="minorHAnsi" w:eastAsia="Times New Roman" w:hAnsiTheme="minorHAnsi"/>
        </w:rPr>
        <w:t xml:space="preserve"> , the net health benefit (NHB) from the new intervention is given by:</w:t>
      </w:r>
    </w:p>
    <w:p w:rsidR="00E05FE0" w:rsidRPr="00545ED4" w:rsidRDefault="00902B22" w:rsidP="00E05FE0">
      <w:pPr>
        <w:pStyle w:val="ListParagraph"/>
        <w:numPr>
          <w:ilvl w:val="0"/>
          <w:numId w:val="1"/>
        </w:numPr>
        <w:rPr>
          <w:rFonts w:asciiTheme="minorHAnsi" w:hAnsiTheme="minorHAnsi"/>
        </w:rPr>
      </w:pPr>
      <m:oMath>
        <m:r>
          <w:rPr>
            <w:rFonts w:ascii="Cambria Math" w:hAnsi="Cambria Math"/>
          </w:rPr>
          <m:t>NHB=4 QALYs-2 QALYs=2 QALYs</m:t>
        </m:r>
      </m:oMath>
    </w:p>
    <w:p w:rsidR="00E05FE0" w:rsidRPr="00545ED4" w:rsidRDefault="00E05FE0" w:rsidP="00E05FE0">
      <w:pPr>
        <w:spacing w:line="360" w:lineRule="auto"/>
        <w:rPr>
          <w:rFonts w:asciiTheme="minorHAnsi" w:hAnsiTheme="minorHAnsi"/>
        </w:rPr>
      </w:pPr>
      <w:r w:rsidRPr="00545ED4">
        <w:rPr>
          <w:rFonts w:asciiTheme="minorHAnsi" w:hAnsiTheme="minorHAnsi"/>
        </w:rPr>
        <w:t xml:space="preserve">If health is the decision maker’s only dimension of interest and the aggregation method is acceptable then, as the intervention improves overall health (i.e. has a positive NHB), it should be approved. </w:t>
      </w:r>
    </w:p>
    <w:p w:rsidR="00E05FE0" w:rsidRPr="00545ED4" w:rsidRDefault="001E55F3" w:rsidP="00E05FE0">
      <w:pPr>
        <w:spacing w:line="360" w:lineRule="auto"/>
        <w:rPr>
          <w:rFonts w:asciiTheme="minorHAnsi" w:hAnsiTheme="minorHAnsi"/>
          <w:b/>
        </w:rPr>
      </w:pPr>
      <w:r w:rsidRPr="00545ED4">
        <w:rPr>
          <w:rFonts w:asciiTheme="minorHAnsi" w:hAnsiTheme="minorHAnsi"/>
          <w:b/>
        </w:rPr>
        <w:t>A1.2</w:t>
      </w:r>
      <w:r w:rsidR="00E05FE0" w:rsidRPr="00545ED4">
        <w:rPr>
          <w:rFonts w:asciiTheme="minorHAnsi" w:hAnsiTheme="minorHAnsi"/>
          <w:b/>
        </w:rPr>
        <w:t xml:space="preserve"> Operationalising the impact </w:t>
      </w:r>
      <w:r w:rsidR="00545ED4">
        <w:rPr>
          <w:rFonts w:asciiTheme="minorHAnsi" w:hAnsiTheme="minorHAnsi"/>
          <w:b/>
        </w:rPr>
        <w:t>inventory</w:t>
      </w:r>
      <w:r w:rsidR="00E05FE0" w:rsidRPr="00545ED4">
        <w:rPr>
          <w:rFonts w:asciiTheme="minorHAnsi" w:hAnsiTheme="minorHAnsi"/>
          <w:b/>
        </w:rPr>
        <w:t xml:space="preserve"> for healthcare and consumption- a stylized example </w:t>
      </w:r>
    </w:p>
    <w:p w:rsidR="00E05FE0" w:rsidRPr="00545ED4" w:rsidRDefault="00E05FE0" w:rsidP="00E05FE0">
      <w:pPr>
        <w:spacing w:line="360" w:lineRule="auto"/>
        <w:rPr>
          <w:rFonts w:asciiTheme="minorHAnsi" w:hAnsiTheme="minorHAnsi"/>
        </w:rPr>
      </w:pPr>
      <w:r w:rsidRPr="00545ED4">
        <w:rPr>
          <w:rFonts w:asciiTheme="minorHAnsi" w:hAnsiTheme="minorHAnsi"/>
        </w:rPr>
        <w:t xml:space="preserve">Expanding the previous example, the healthcare intervention is evaluated using a two-dimension impact </w:t>
      </w:r>
      <w:r w:rsidR="00545ED4">
        <w:rPr>
          <w:rFonts w:asciiTheme="minorHAnsi" w:hAnsiTheme="minorHAnsi"/>
        </w:rPr>
        <w:t>inventory</w:t>
      </w:r>
      <w:r w:rsidRPr="00545ED4">
        <w:rPr>
          <w:rFonts w:asciiTheme="minorHAnsi" w:hAnsiTheme="minorHAnsi"/>
        </w:rPr>
        <w:t xml:space="preserve"> that considers both health and consumption</w:t>
      </w:r>
      <w:r w:rsidRPr="00545ED4">
        <w:rPr>
          <w:rStyle w:val="FootnoteReference"/>
          <w:rFonts w:asciiTheme="minorHAnsi" w:hAnsiTheme="minorHAnsi"/>
        </w:rPr>
        <w:footnoteReference w:id="4"/>
      </w:r>
      <w:r w:rsidRPr="00545ED4">
        <w:rPr>
          <w:rFonts w:asciiTheme="minorHAnsi" w:hAnsiTheme="minorHAnsi"/>
        </w:rPr>
        <w:t>. The direct effect of the intervention is to increase the consumption of each individual treated by</w:t>
      </w:r>
      <w:r w:rsidRPr="00545ED4">
        <w:rPr>
          <w:rFonts w:asciiTheme="minorHAnsi" w:eastAsia="Times New Roman" w:hAnsiTheme="minorHAnsi"/>
        </w:rPr>
        <w:t xml:space="preserve"> £10,000</w:t>
      </w:r>
      <w:r w:rsidRPr="00545ED4">
        <w:rPr>
          <w:rFonts w:asciiTheme="minorHAnsi" w:hAnsiTheme="minorHAnsi"/>
        </w:rPr>
        <w:t>.  The consumption opportunity costs from healthcare interventions forgone could be estimated</w:t>
      </w:r>
      <w:r w:rsidRPr="00545ED4">
        <w:rPr>
          <w:rFonts w:asciiTheme="minorHAnsi" w:eastAsia="Times New Roman" w:hAnsiTheme="minorHAnsi"/>
        </w:rPr>
        <w:t xml:space="preserve"> using the marginal productivity of the healthcare sector for consumption.  </w:t>
      </w:r>
      <w:r w:rsidR="00881BB8">
        <w:rPr>
          <w:rFonts w:asciiTheme="minorHAnsi" w:eastAsia="Times New Roman" w:hAnsiTheme="minorHAnsi"/>
        </w:rPr>
        <w:t xml:space="preserve">In this example it is assumed that </w:t>
      </w:r>
      <w:r w:rsidRPr="00545ED4">
        <w:rPr>
          <w:rFonts w:asciiTheme="minorHAnsi" w:eastAsia="Times New Roman" w:hAnsiTheme="minorHAnsi"/>
        </w:rPr>
        <w:t xml:space="preserve">£2 of consumption is forgone for every £1 of healthcare expenditure. The consumption opportunity costs are then calculated </w:t>
      </w:r>
      <w:r w:rsidRPr="00545ED4">
        <w:rPr>
          <w:rFonts w:asciiTheme="minorHAnsi" w:hAnsiTheme="minorHAnsi"/>
        </w:rPr>
        <w:t>based on the</w:t>
      </w:r>
      <w:r w:rsidRPr="00545ED4">
        <w:rPr>
          <w:rFonts w:asciiTheme="minorHAnsi" w:eastAsia="Times New Roman" w:hAnsiTheme="minorHAnsi"/>
        </w:rPr>
        <w:t xml:space="preserve"> direct healthcare costs (£13,000) and the marginal productivity of the healthcare sector for consumption (£2 of consumption for £1 of healthcare expenditure).   </w:t>
      </w:r>
    </w:p>
    <w:p w:rsidR="00E05FE0" w:rsidRPr="00545ED4" w:rsidRDefault="00E05FE0" w:rsidP="00E05FE0">
      <w:pPr>
        <w:spacing w:line="360" w:lineRule="auto"/>
        <w:rPr>
          <w:rFonts w:asciiTheme="minorHAnsi" w:hAnsiTheme="minorHAnsi"/>
        </w:rPr>
      </w:pPr>
      <w:r w:rsidRPr="00545ED4">
        <w:rPr>
          <w:rFonts w:asciiTheme="minorHAnsi" w:hAnsiTheme="minorHAnsi"/>
        </w:rPr>
        <w:t xml:space="preserve">The two patients (1 &amp; 2) who receive the new intervention experience health gain of 2 QALYs </w:t>
      </w:r>
      <w:r w:rsidRPr="00545ED4">
        <w:rPr>
          <w:rFonts w:asciiTheme="minorHAnsi" w:eastAsia="Times New Roman" w:hAnsiTheme="minorHAnsi"/>
        </w:rPr>
        <w:t>and consumption benefits of £10,000 each, whilst</w:t>
      </w:r>
      <w:r w:rsidRPr="00545ED4">
        <w:rPr>
          <w:rFonts w:asciiTheme="minorHAnsi" w:hAnsiTheme="minorHAnsi"/>
        </w:rPr>
        <w:t xml:space="preserve"> two other individuals (X &amp; Y) would forgo health of </w:t>
      </w:r>
      <w:r w:rsidRPr="00545ED4">
        <w:rPr>
          <w:rFonts w:asciiTheme="minorHAnsi" w:eastAsia="Times New Roman" w:hAnsiTheme="minorHAnsi"/>
        </w:rPr>
        <w:t xml:space="preserve">1 QALY and consumption of £26,000 each. The corresponding impact </w:t>
      </w:r>
      <w:r w:rsidR="00545ED4">
        <w:rPr>
          <w:rFonts w:asciiTheme="minorHAnsi" w:eastAsia="Times New Roman" w:hAnsiTheme="minorHAnsi"/>
        </w:rPr>
        <w:t>inventory</w:t>
      </w:r>
      <w:r w:rsidRPr="00545ED4">
        <w:rPr>
          <w:rFonts w:asciiTheme="minorHAnsi" w:eastAsia="Times New Roman" w:hAnsiTheme="minorHAnsi"/>
        </w:rPr>
        <w:t xml:space="preserve"> is shown in Figure </w:t>
      </w:r>
      <w:r w:rsidR="001E55F3" w:rsidRPr="00545ED4">
        <w:rPr>
          <w:rFonts w:asciiTheme="minorHAnsi" w:eastAsia="Times New Roman" w:hAnsiTheme="minorHAnsi"/>
        </w:rPr>
        <w:t>A2</w:t>
      </w:r>
      <w:r w:rsidRPr="00545ED4">
        <w:rPr>
          <w:rFonts w:asciiTheme="minorHAnsi" w:eastAsia="Times New Roman" w:hAnsiTheme="minorHAnsi"/>
        </w:rPr>
        <w:t>.</w:t>
      </w:r>
    </w:p>
    <w:tbl>
      <w:tblPr>
        <w:tblW w:w="8040" w:type="dxa"/>
        <w:tblInd w:w="93" w:type="dxa"/>
        <w:tblLook w:val="04A0" w:firstRow="1" w:lastRow="0" w:firstColumn="1" w:lastColumn="0" w:noHBand="0" w:noVBand="1"/>
      </w:tblPr>
      <w:tblGrid>
        <w:gridCol w:w="840"/>
        <w:gridCol w:w="960"/>
        <w:gridCol w:w="1336"/>
        <w:gridCol w:w="1784"/>
        <w:gridCol w:w="1336"/>
        <w:gridCol w:w="1784"/>
      </w:tblGrid>
      <w:tr w:rsidR="00E05FE0" w:rsidRPr="00545ED4" w:rsidTr="005018EA">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3120" w:type="dxa"/>
            <w:gridSpan w:val="2"/>
            <w:tcBorders>
              <w:top w:val="single" w:sz="4" w:space="0" w:color="auto"/>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Health (QALYs)</w:t>
            </w:r>
          </w:p>
        </w:tc>
        <w:tc>
          <w:tcPr>
            <w:tcW w:w="3120" w:type="dxa"/>
            <w:gridSpan w:val="2"/>
            <w:tcBorders>
              <w:top w:val="single" w:sz="4" w:space="0" w:color="auto"/>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Consumption</w:t>
            </w:r>
          </w:p>
        </w:tc>
      </w:tr>
      <w:tr w:rsidR="00E05FE0" w:rsidRPr="00545ED4" w:rsidTr="005018EA">
        <w:trPr>
          <w:trHeight w:val="30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1336" w:type="dxa"/>
            <w:tcBorders>
              <w:top w:val="nil"/>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Direct Effects</w:t>
            </w:r>
          </w:p>
        </w:tc>
        <w:tc>
          <w:tcPr>
            <w:tcW w:w="1784" w:type="dxa"/>
            <w:tcBorders>
              <w:top w:val="nil"/>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Opportunity costs</w:t>
            </w:r>
          </w:p>
        </w:tc>
        <w:tc>
          <w:tcPr>
            <w:tcW w:w="1336" w:type="dxa"/>
            <w:tcBorders>
              <w:top w:val="nil"/>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Direct Effects</w:t>
            </w:r>
          </w:p>
        </w:tc>
        <w:tc>
          <w:tcPr>
            <w:tcW w:w="1784" w:type="dxa"/>
            <w:tcBorders>
              <w:top w:val="nil"/>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Opportunity costs</w:t>
            </w:r>
          </w:p>
        </w:tc>
      </w:tr>
      <w:tr w:rsidR="00E05FE0" w:rsidRPr="00545ED4" w:rsidTr="005018EA">
        <w:trPr>
          <w:trHeight w:val="300"/>
        </w:trPr>
        <w:tc>
          <w:tcPr>
            <w:tcW w:w="840"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Individuals</w:t>
            </w:r>
          </w:p>
        </w:tc>
        <w:tc>
          <w:tcPr>
            <w:tcW w:w="960" w:type="dxa"/>
            <w:tcBorders>
              <w:top w:val="nil"/>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lang w:eastAsia="en-GB"/>
              </w:rPr>
              <w:t>1</w:t>
            </w:r>
          </w:p>
        </w:tc>
        <w:tc>
          <w:tcPr>
            <w:tcW w:w="1336"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2 QALYs</w:t>
            </w:r>
          </w:p>
        </w:tc>
        <w:tc>
          <w:tcPr>
            <w:tcW w:w="1784"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 QALYs</w:t>
            </w:r>
          </w:p>
        </w:tc>
        <w:tc>
          <w:tcPr>
            <w:tcW w:w="1336"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£10,000</w:t>
            </w:r>
          </w:p>
        </w:tc>
        <w:tc>
          <w:tcPr>
            <w:tcW w:w="1784"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r>
      <w:tr w:rsidR="00E05FE0" w:rsidRPr="00545ED4" w:rsidTr="005018EA">
        <w:trPr>
          <w:trHeight w:val="300"/>
        </w:trPr>
        <w:tc>
          <w:tcPr>
            <w:tcW w:w="840" w:type="dxa"/>
            <w:vMerge/>
            <w:tcBorders>
              <w:top w:val="nil"/>
              <w:left w:val="single" w:sz="4" w:space="0" w:color="auto"/>
              <w:bottom w:val="single" w:sz="4" w:space="0" w:color="auto"/>
              <w:right w:val="single" w:sz="4" w:space="0" w:color="auto"/>
            </w:tcBorders>
            <w:vAlign w:val="center"/>
            <w:hideMark/>
          </w:tcPr>
          <w:p w:rsidR="00E05FE0" w:rsidRPr="00545ED4" w:rsidRDefault="00E05FE0" w:rsidP="005018EA">
            <w:pPr>
              <w:spacing w:after="0" w:line="240" w:lineRule="auto"/>
              <w:rPr>
                <w:rFonts w:asciiTheme="minorHAnsi" w:eastAsia="Times New Roman" w:hAnsiTheme="minorHAnsi"/>
                <w:color w:val="000000"/>
                <w:lang w:eastAsia="en-GB"/>
              </w:rPr>
            </w:pPr>
          </w:p>
        </w:tc>
        <w:tc>
          <w:tcPr>
            <w:tcW w:w="960" w:type="dxa"/>
            <w:tcBorders>
              <w:top w:val="nil"/>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lang w:eastAsia="en-GB"/>
              </w:rPr>
              <w:t>2</w:t>
            </w:r>
          </w:p>
        </w:tc>
        <w:tc>
          <w:tcPr>
            <w:tcW w:w="1336"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2 QALYs</w:t>
            </w:r>
          </w:p>
        </w:tc>
        <w:tc>
          <w:tcPr>
            <w:tcW w:w="1784"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 QALYs</w:t>
            </w:r>
          </w:p>
        </w:tc>
        <w:tc>
          <w:tcPr>
            <w:tcW w:w="1336"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£10,000</w:t>
            </w:r>
          </w:p>
        </w:tc>
        <w:tc>
          <w:tcPr>
            <w:tcW w:w="1784"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r>
      <w:tr w:rsidR="00E05FE0" w:rsidRPr="00545ED4" w:rsidTr="005018EA">
        <w:trPr>
          <w:trHeight w:val="300"/>
        </w:trPr>
        <w:tc>
          <w:tcPr>
            <w:tcW w:w="840" w:type="dxa"/>
            <w:vMerge/>
            <w:tcBorders>
              <w:top w:val="nil"/>
              <w:left w:val="single" w:sz="4" w:space="0" w:color="auto"/>
              <w:bottom w:val="single" w:sz="4" w:space="0" w:color="auto"/>
              <w:right w:val="single" w:sz="4" w:space="0" w:color="auto"/>
            </w:tcBorders>
            <w:vAlign w:val="center"/>
            <w:hideMark/>
          </w:tcPr>
          <w:p w:rsidR="00E05FE0" w:rsidRPr="00545ED4" w:rsidRDefault="00E05FE0" w:rsidP="005018EA">
            <w:pPr>
              <w:spacing w:after="0" w:line="240" w:lineRule="auto"/>
              <w:rPr>
                <w:rFonts w:asciiTheme="minorHAnsi" w:eastAsia="Times New Roman" w:hAnsiTheme="minorHAnsi"/>
                <w:color w:val="000000"/>
                <w:lang w:eastAsia="en-GB"/>
              </w:rPr>
            </w:pPr>
          </w:p>
        </w:tc>
        <w:tc>
          <w:tcPr>
            <w:tcW w:w="960" w:type="dxa"/>
            <w:tcBorders>
              <w:top w:val="nil"/>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lang w:eastAsia="en-GB"/>
              </w:rPr>
              <w:t>x</w:t>
            </w:r>
          </w:p>
        </w:tc>
        <w:tc>
          <w:tcPr>
            <w:tcW w:w="1336"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 QALYs</w:t>
            </w:r>
          </w:p>
        </w:tc>
        <w:tc>
          <w:tcPr>
            <w:tcW w:w="1784"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1 QALYs</w:t>
            </w:r>
          </w:p>
        </w:tc>
        <w:tc>
          <w:tcPr>
            <w:tcW w:w="1336"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784"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£26,000</w:t>
            </w:r>
          </w:p>
        </w:tc>
      </w:tr>
      <w:tr w:rsidR="00E05FE0" w:rsidRPr="00545ED4" w:rsidTr="005018EA">
        <w:trPr>
          <w:trHeight w:val="300"/>
        </w:trPr>
        <w:tc>
          <w:tcPr>
            <w:tcW w:w="840" w:type="dxa"/>
            <w:vMerge/>
            <w:tcBorders>
              <w:top w:val="nil"/>
              <w:left w:val="single" w:sz="4" w:space="0" w:color="auto"/>
              <w:bottom w:val="single" w:sz="4" w:space="0" w:color="auto"/>
              <w:right w:val="single" w:sz="4" w:space="0" w:color="auto"/>
            </w:tcBorders>
            <w:vAlign w:val="center"/>
            <w:hideMark/>
          </w:tcPr>
          <w:p w:rsidR="00E05FE0" w:rsidRPr="00545ED4" w:rsidRDefault="00E05FE0" w:rsidP="005018EA">
            <w:pPr>
              <w:spacing w:after="0" w:line="240" w:lineRule="auto"/>
              <w:rPr>
                <w:rFonts w:asciiTheme="minorHAnsi" w:eastAsia="Times New Roman" w:hAnsiTheme="minorHAnsi"/>
                <w:color w:val="000000"/>
                <w:lang w:eastAsia="en-GB"/>
              </w:rPr>
            </w:pPr>
          </w:p>
        </w:tc>
        <w:tc>
          <w:tcPr>
            <w:tcW w:w="960" w:type="dxa"/>
            <w:tcBorders>
              <w:top w:val="nil"/>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lang w:eastAsia="en-GB"/>
              </w:rPr>
              <w:t>y</w:t>
            </w:r>
          </w:p>
        </w:tc>
        <w:tc>
          <w:tcPr>
            <w:tcW w:w="1336"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 QALYs</w:t>
            </w:r>
          </w:p>
        </w:tc>
        <w:tc>
          <w:tcPr>
            <w:tcW w:w="1784"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1 QALYs</w:t>
            </w:r>
          </w:p>
        </w:tc>
        <w:tc>
          <w:tcPr>
            <w:tcW w:w="1336"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784"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£26,000</w:t>
            </w:r>
          </w:p>
        </w:tc>
      </w:tr>
    </w:tbl>
    <w:p w:rsidR="00E05FE0" w:rsidRPr="00545ED4" w:rsidRDefault="00E05FE0" w:rsidP="00E05FE0">
      <w:pPr>
        <w:spacing w:line="360" w:lineRule="auto"/>
        <w:rPr>
          <w:rFonts w:asciiTheme="minorHAnsi" w:hAnsiTheme="minorHAnsi"/>
          <w:b/>
        </w:rPr>
      </w:pPr>
      <w:r w:rsidRPr="00545ED4">
        <w:rPr>
          <w:rFonts w:asciiTheme="minorHAnsi" w:hAnsiTheme="minorHAnsi"/>
          <w:b/>
        </w:rPr>
        <w:t xml:space="preserve">Figure </w:t>
      </w:r>
      <w:r w:rsidR="001E55F3" w:rsidRPr="00545ED4">
        <w:rPr>
          <w:rFonts w:asciiTheme="minorHAnsi" w:hAnsiTheme="minorHAnsi"/>
          <w:b/>
        </w:rPr>
        <w:t>A2</w:t>
      </w:r>
      <w:r w:rsidRPr="00545ED4">
        <w:rPr>
          <w:rFonts w:asciiTheme="minorHAnsi" w:hAnsiTheme="minorHAnsi"/>
          <w:b/>
        </w:rPr>
        <w:t xml:space="preserve">: </w:t>
      </w:r>
      <w:r w:rsidR="00911250">
        <w:rPr>
          <w:rFonts w:asciiTheme="minorHAnsi" w:hAnsiTheme="minorHAnsi"/>
          <w:b/>
        </w:rPr>
        <w:t>Stylized example of i</w:t>
      </w:r>
      <w:r w:rsidRPr="00545ED4">
        <w:rPr>
          <w:rFonts w:asciiTheme="minorHAnsi" w:hAnsiTheme="minorHAnsi"/>
          <w:b/>
        </w:rPr>
        <w:t xml:space="preserve">mpact </w:t>
      </w:r>
      <w:r w:rsidR="00545ED4">
        <w:rPr>
          <w:rFonts w:asciiTheme="minorHAnsi" w:hAnsiTheme="minorHAnsi"/>
          <w:b/>
        </w:rPr>
        <w:t>inventory</w:t>
      </w:r>
      <w:r w:rsidRPr="00545ED4">
        <w:rPr>
          <w:rFonts w:asciiTheme="minorHAnsi" w:hAnsiTheme="minorHAnsi"/>
          <w:b/>
        </w:rPr>
        <w:t xml:space="preserve"> for consumption</w:t>
      </w:r>
    </w:p>
    <w:p w:rsidR="00E05FE0" w:rsidRPr="00545ED4" w:rsidRDefault="00E05FE0" w:rsidP="00E05FE0">
      <w:pPr>
        <w:spacing w:line="360" w:lineRule="auto"/>
        <w:rPr>
          <w:rFonts w:asciiTheme="minorHAnsi" w:eastAsia="Times New Roman" w:hAnsiTheme="minorHAnsi"/>
        </w:rPr>
      </w:pPr>
      <w:r w:rsidRPr="00545ED4">
        <w:rPr>
          <w:rFonts w:asciiTheme="minorHAnsi" w:eastAsia="Times New Roman" w:hAnsiTheme="minorHAnsi"/>
        </w:rPr>
        <w:lastRenderedPageBreak/>
        <w:t xml:space="preserve">Whether the introduction of the intervention is worthwhile requires consideration of the objectives of the healthcare decision maker (who has jurisdiction over whether to introduce the intervention). </w:t>
      </w:r>
    </w:p>
    <w:p w:rsidR="00E05FE0" w:rsidRPr="00545ED4" w:rsidRDefault="00E05FE0" w:rsidP="00E05FE0">
      <w:pPr>
        <w:spacing w:line="360" w:lineRule="auto"/>
        <w:rPr>
          <w:rFonts w:asciiTheme="minorHAnsi" w:eastAsia="Times New Roman" w:hAnsiTheme="minorHAnsi"/>
        </w:rPr>
      </w:pPr>
      <w:r w:rsidRPr="00545ED4">
        <w:rPr>
          <w:rFonts w:asciiTheme="minorHAnsi" w:eastAsia="Times New Roman" w:hAnsiTheme="minorHAnsi"/>
        </w:rPr>
        <w:t>Consider aggregation based on a within-dimension approach</w:t>
      </w:r>
      <w:r w:rsidRPr="00545ED4">
        <w:rPr>
          <w:rStyle w:val="FootnoteReference"/>
          <w:rFonts w:asciiTheme="minorHAnsi" w:hAnsiTheme="minorHAnsi"/>
        </w:rPr>
        <w:footnoteReference w:id="5"/>
      </w:r>
      <w:r w:rsidRPr="00545ED4">
        <w:rPr>
          <w:rFonts w:asciiTheme="minorHAnsi" w:eastAsia="Times New Roman" w:hAnsiTheme="minorHAnsi"/>
        </w:rPr>
        <w:t xml:space="preserve">.  </w:t>
      </w:r>
      <w:r w:rsidR="00881BB8">
        <w:rPr>
          <w:rFonts w:asciiTheme="minorHAnsi" w:eastAsia="Times New Roman" w:hAnsiTheme="minorHAnsi"/>
        </w:rPr>
        <w:t>For an explicit trade-off between health and consumption, it is necessary</w:t>
      </w:r>
      <w:r w:rsidRPr="00545ED4">
        <w:rPr>
          <w:rFonts w:asciiTheme="minorHAnsi" w:eastAsia="Times New Roman" w:hAnsiTheme="minorHAnsi"/>
        </w:rPr>
        <w:t xml:space="preserve"> to define the value of a unit of health relative to consumption (</w:t>
      </w:r>
      <m:oMath>
        <m:sSub>
          <m:sSubPr>
            <m:ctrlPr>
              <w:rPr>
                <w:rFonts w:ascii="Cambria Math" w:hAnsi="Cambria Math"/>
                <w:i/>
              </w:rPr>
            </m:ctrlPr>
          </m:sSubPr>
          <m:e>
            <m:r>
              <w:rPr>
                <w:rFonts w:ascii="Cambria Math" w:hAnsi="Cambria Math"/>
              </w:rPr>
              <m:t>v</m:t>
            </m:r>
          </m:e>
          <m:sub>
            <m:r>
              <w:rPr>
                <w:rFonts w:ascii="Cambria Math" w:hAnsi="Cambria Math"/>
              </w:rPr>
              <m:t>h</m:t>
            </m:r>
          </m:sub>
        </m:sSub>
      </m:oMath>
      <w:r w:rsidRPr="00545ED4">
        <w:rPr>
          <w:rFonts w:asciiTheme="minorHAnsi" w:eastAsia="Times New Roman" w:hAnsiTheme="minorHAnsi"/>
        </w:rPr>
        <w:t>)</w:t>
      </w:r>
      <w:r w:rsidRPr="00545ED4">
        <w:rPr>
          <w:rStyle w:val="FootnoteReference"/>
          <w:rFonts w:asciiTheme="minorHAnsi" w:hAnsiTheme="minorHAnsi"/>
        </w:rPr>
        <w:footnoteReference w:id="6"/>
      </w:r>
      <w:r w:rsidRPr="00545ED4">
        <w:rPr>
          <w:rFonts w:asciiTheme="minorHAnsi" w:eastAsia="Times New Roman" w:hAnsiTheme="minorHAnsi"/>
        </w:rPr>
        <w:t xml:space="preserve">.  For example, this could be based on the willingness to pay for health of a sample of the general population, or each individual’s willingness to pay. In the UK, a widely used value, including by the Department of Health, is that a QALY is worth £60,000 of consumption </w:t>
      </w:r>
      <w:r w:rsidRPr="00545ED4">
        <w:rPr>
          <w:rFonts w:asciiTheme="minorHAnsi" w:eastAsia="Times New Roman" w:hAnsiTheme="minorHAnsi"/>
        </w:rPr>
        <w:fldChar w:fldCharType="begin" w:fldLock="1"/>
      </w:r>
      <w:r w:rsidRPr="00545ED4">
        <w:rPr>
          <w:rFonts w:asciiTheme="minorHAnsi" w:eastAsia="Times New Roman" w:hAnsiTheme="minorHAnsi"/>
        </w:rPr>
        <w:instrText>ADDIN CSL_CITATION { "citationItems" : [ { "id" : "ITEM-1", "itemData" : { "author" : [ { "dropping-particle" : "", "family" : "Glover", "given" : "D.", "non-dropping-particle" : "", "parse-names" : false, "suffix" : "" }, { "dropping-particle" : "", "family" : "Henderson", "given" : "J.", "non-dropping-particle" : "", "parse-names" : false, "suffix" : "" } ], "id" : "ITEM-1", "issued" : { "date-parts" : [ [ "2010" ] ] }, "publisher-place" : "London", "title" : "Quantifying health impacts of government policies", "type" : "report" }, "uris" : [ "http://www.mendeley.com/documents/?uuid=6da4132e-81f4-3783-8d34-f2b87b080974" ] } ], "mendeley" : { "formattedCitation" : "(13)", "plainTextFormattedCitation" : "(13)", "previouslyFormattedCitation" : "(13)" }, "properties" : { "noteIndex" : 0 }, "schema" : "https://github.com/citation-style-language/schema/raw/master/csl-citation.json" }</w:instrText>
      </w:r>
      <w:r w:rsidRPr="00545ED4">
        <w:rPr>
          <w:rFonts w:asciiTheme="minorHAnsi" w:eastAsia="Times New Roman" w:hAnsiTheme="minorHAnsi"/>
        </w:rPr>
        <w:fldChar w:fldCharType="separate"/>
      </w:r>
      <w:r w:rsidRPr="00545ED4">
        <w:rPr>
          <w:rFonts w:asciiTheme="minorHAnsi" w:eastAsia="Times New Roman" w:hAnsiTheme="minorHAnsi"/>
          <w:noProof/>
        </w:rPr>
        <w:t>(13)</w:t>
      </w:r>
      <w:r w:rsidRPr="00545ED4">
        <w:rPr>
          <w:rFonts w:asciiTheme="minorHAnsi" w:eastAsia="Times New Roman" w:hAnsiTheme="minorHAnsi"/>
        </w:rPr>
        <w:fldChar w:fldCharType="end"/>
      </w:r>
      <w:r w:rsidRPr="00545ED4">
        <w:rPr>
          <w:rFonts w:asciiTheme="minorHAnsi" w:eastAsia="Times New Roman" w:hAnsiTheme="minorHAnsi"/>
        </w:rPr>
        <w:t xml:space="preserve">. If health and consumption are valued equally across individuals, then the net benefit function can be estimated as shown below. </w:t>
      </w:r>
    </w:p>
    <w:p w:rsidR="00E05FE0" w:rsidRPr="00545ED4" w:rsidRDefault="00902B22" w:rsidP="00E05FE0">
      <w:pPr>
        <w:pStyle w:val="ListParagraph"/>
        <w:numPr>
          <w:ilvl w:val="0"/>
          <w:numId w:val="2"/>
        </w:numPr>
        <w:spacing w:line="360" w:lineRule="auto"/>
        <w:rPr>
          <w:rFonts w:asciiTheme="minorHAnsi" w:hAnsiTheme="minorHAnsi"/>
        </w:rPr>
      </w:pPr>
      <m:oMath>
        <m:r>
          <w:rPr>
            <w:rFonts w:ascii="Cambria Math" w:hAnsi="Cambria Math"/>
          </w:rPr>
          <m:t>NB=</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h</m:t>
                </m:r>
              </m:sub>
            </m:sSub>
            <m:d>
              <m:dPr>
                <m:ctrlPr>
                  <w:rPr>
                    <w:rFonts w:ascii="Cambria Math" w:hAnsi="Cambria Math"/>
                    <w:i/>
                  </w:rPr>
                </m:ctrlPr>
              </m:dPr>
              <m:e>
                <m:r>
                  <w:rPr>
                    <w:rFonts w:ascii="Cambria Math" w:hAnsi="Cambria Math"/>
                  </w:rPr>
                  <m:t>4 QALYs-2 QALYs</m:t>
                </m:r>
              </m:e>
            </m:d>
            <m:r>
              <w:rPr>
                <w:rFonts w:ascii="Cambria Math" w:hAnsi="Cambria Math"/>
              </w:rPr>
              <m:t>+</m:t>
            </m:r>
            <m:d>
              <m:dPr>
                <m:ctrlPr>
                  <w:rPr>
                    <w:rFonts w:ascii="Cambria Math" w:hAnsi="Cambria Math"/>
                    <w:i/>
                  </w:rPr>
                </m:ctrlPr>
              </m:dPr>
              <m:e>
                <m:r>
                  <w:rPr>
                    <w:rFonts w:ascii="Cambria Math" w:hAnsi="Cambria Math"/>
                  </w:rPr>
                  <m:t>£20,000-£52,000</m:t>
                </m:r>
              </m:e>
            </m:d>
          </m:e>
        </m:d>
      </m:oMath>
    </w:p>
    <w:p w:rsidR="00E05FE0" w:rsidRPr="00545ED4" w:rsidRDefault="00902B22" w:rsidP="00E05FE0">
      <w:pPr>
        <w:pStyle w:val="ListParagraph"/>
        <w:numPr>
          <w:ilvl w:val="0"/>
          <w:numId w:val="2"/>
        </w:numPr>
        <w:spacing w:line="360" w:lineRule="auto"/>
        <w:rPr>
          <w:rFonts w:asciiTheme="minorHAnsi" w:hAnsiTheme="minorHAnsi"/>
        </w:rPr>
      </w:pPr>
      <m:oMath>
        <m:r>
          <w:rPr>
            <w:rFonts w:ascii="Cambria Math" w:hAnsi="Cambria Math"/>
          </w:rPr>
          <m:t>NB=</m:t>
        </m:r>
        <m:d>
          <m:dPr>
            <m:ctrlPr>
              <w:rPr>
                <w:rFonts w:ascii="Cambria Math" w:hAnsi="Cambria Math"/>
                <w:i/>
              </w:rPr>
            </m:ctrlPr>
          </m:dPr>
          <m:e>
            <m:r>
              <w:rPr>
                <w:rFonts w:ascii="Cambria Math" w:hAnsi="Cambria Math"/>
              </w:rPr>
              <m:t>£60,000</m:t>
            </m:r>
            <m:d>
              <m:dPr>
                <m:ctrlPr>
                  <w:rPr>
                    <w:rFonts w:ascii="Cambria Math" w:hAnsi="Cambria Math"/>
                    <w:i/>
                  </w:rPr>
                </m:ctrlPr>
              </m:dPr>
              <m:e>
                <m:r>
                  <w:rPr>
                    <w:rFonts w:ascii="Cambria Math" w:hAnsi="Cambria Math"/>
                  </w:rPr>
                  <m:t>2 QALYs</m:t>
                </m:r>
              </m:e>
            </m:d>
            <m:r>
              <w:rPr>
                <w:rFonts w:ascii="Cambria Math" w:hAnsi="Cambria Math"/>
              </w:rPr>
              <m:t>+</m:t>
            </m:r>
            <m:d>
              <m:dPr>
                <m:ctrlPr>
                  <w:rPr>
                    <w:rFonts w:ascii="Cambria Math" w:hAnsi="Cambria Math"/>
                    <w:i/>
                  </w:rPr>
                </m:ctrlPr>
              </m:dPr>
              <m:e>
                <m:r>
                  <w:rPr>
                    <w:rFonts w:ascii="Cambria Math" w:hAnsi="Cambria Math"/>
                  </w:rPr>
                  <m:t>-£32,000</m:t>
                </m:r>
              </m:e>
            </m:d>
          </m:e>
        </m:d>
        <m:r>
          <w:rPr>
            <w:rFonts w:ascii="Cambria Math" w:hAnsi="Cambria Math"/>
          </w:rPr>
          <m:t>=£88,000</m:t>
        </m:r>
      </m:oMath>
    </w:p>
    <w:p w:rsidR="00E05FE0" w:rsidRPr="00545ED4" w:rsidRDefault="00E05FE0" w:rsidP="00E05FE0">
      <w:pPr>
        <w:spacing w:line="360" w:lineRule="auto"/>
        <w:rPr>
          <w:rFonts w:asciiTheme="minorHAnsi" w:hAnsiTheme="minorHAnsi"/>
        </w:rPr>
      </w:pPr>
      <w:r w:rsidRPr="00545ED4">
        <w:rPr>
          <w:rFonts w:asciiTheme="minorHAnsi" w:hAnsiTheme="minorHAnsi"/>
        </w:rPr>
        <w:t>The first part of this equation reflects the impact on health and the second the impact on consumption. As the net benefit is positive, the introduction of the intervention maybe considered appropriate. However, this will only be the case if the decision maker accepts this reflection of net benefit.  They may only care about health, as such only the net health benefit is important to them (i.e. 2 QALYs</w:t>
      </w:r>
      <w:r w:rsidRPr="00545ED4">
        <w:rPr>
          <w:rFonts w:asciiTheme="minorHAnsi" w:eastAsia="Times New Roman" w:hAnsiTheme="minorHAnsi"/>
        </w:rPr>
        <w:t xml:space="preserve">). </w:t>
      </w:r>
      <w:r w:rsidRPr="00545ED4">
        <w:rPr>
          <w:rFonts w:asciiTheme="minorHAnsi" w:hAnsiTheme="minorHAnsi"/>
        </w:rPr>
        <w:t xml:space="preserve"> Alternatively, they may not accept the value of </w:t>
      </w:r>
      <m:oMath>
        <m:sSub>
          <m:sSubPr>
            <m:ctrlPr>
              <w:rPr>
                <w:rFonts w:ascii="Cambria Math" w:hAnsi="Cambria Math"/>
                <w:i/>
              </w:rPr>
            </m:ctrlPr>
          </m:sSubPr>
          <m:e>
            <m:r>
              <w:rPr>
                <w:rFonts w:ascii="Cambria Math" w:hAnsi="Cambria Math"/>
              </w:rPr>
              <m:t>v</m:t>
            </m:r>
          </m:e>
          <m:sub>
            <m:r>
              <w:rPr>
                <w:rFonts w:ascii="Cambria Math" w:hAnsi="Cambria Math"/>
              </w:rPr>
              <m:t>h</m:t>
            </m:r>
          </m:sub>
        </m:sSub>
      </m:oMath>
      <w:r w:rsidRPr="00545ED4">
        <w:rPr>
          <w:rFonts w:asciiTheme="minorHAnsi" w:eastAsia="Times New Roman" w:hAnsiTheme="minorHAnsi"/>
        </w:rPr>
        <w:t xml:space="preserve"> used. It may be useful to present results based on a range of values of </w:t>
      </w:r>
      <m:oMath>
        <m:sSub>
          <m:sSubPr>
            <m:ctrlPr>
              <w:rPr>
                <w:rFonts w:ascii="Cambria Math" w:hAnsi="Cambria Math"/>
                <w:i/>
              </w:rPr>
            </m:ctrlPr>
          </m:sSubPr>
          <m:e>
            <m:r>
              <w:rPr>
                <w:rFonts w:ascii="Cambria Math" w:hAnsi="Cambria Math"/>
              </w:rPr>
              <m:t>v</m:t>
            </m:r>
          </m:e>
          <m:sub>
            <m:r>
              <w:rPr>
                <w:rFonts w:ascii="Cambria Math" w:hAnsi="Cambria Math"/>
              </w:rPr>
              <m:t>h</m:t>
            </m:r>
          </m:sub>
        </m:sSub>
      </m:oMath>
      <w:r w:rsidRPr="00545ED4">
        <w:rPr>
          <w:rFonts w:asciiTheme="minorHAnsi" w:eastAsia="Times New Roman" w:hAnsiTheme="minorHAnsi"/>
        </w:rPr>
        <w:t xml:space="preserve"> or, alternatively, to present the threshold </w:t>
      </w:r>
      <w:r w:rsidRPr="00545ED4">
        <w:rPr>
          <w:rFonts w:asciiTheme="minorHAnsi" w:hAnsiTheme="minorHAnsi"/>
        </w:rPr>
        <w:t xml:space="preserve">of </w:t>
      </w:r>
      <m:oMath>
        <m:sSub>
          <m:sSubPr>
            <m:ctrlPr>
              <w:rPr>
                <w:rFonts w:ascii="Cambria Math" w:hAnsi="Cambria Math"/>
                <w:i/>
              </w:rPr>
            </m:ctrlPr>
          </m:sSubPr>
          <m:e>
            <m:r>
              <w:rPr>
                <w:rFonts w:ascii="Cambria Math" w:hAnsi="Cambria Math"/>
              </w:rPr>
              <m:t>v</m:t>
            </m:r>
          </m:e>
          <m:sub>
            <m:r>
              <w:rPr>
                <w:rFonts w:ascii="Cambria Math" w:hAnsi="Cambria Math"/>
              </w:rPr>
              <m:t>h</m:t>
            </m:r>
          </m:sub>
        </m:sSub>
      </m:oMath>
      <w:r w:rsidRPr="00545ED4">
        <w:rPr>
          <w:rFonts w:asciiTheme="minorHAnsi" w:eastAsia="Times New Roman" w:hAnsiTheme="minorHAnsi"/>
        </w:rPr>
        <w:t xml:space="preserve"> at which the net benefit changes from negative to positive (</w:t>
      </w:r>
      <m:oMath>
        <m:sSub>
          <m:sSubPr>
            <m:ctrlPr>
              <w:rPr>
                <w:rFonts w:ascii="Cambria Math" w:hAnsi="Cambria Math"/>
                <w:i/>
              </w:rPr>
            </m:ctrlPr>
          </m:sSubPr>
          <m:e>
            <m:r>
              <w:rPr>
                <w:rFonts w:ascii="Cambria Math" w:hAnsi="Cambria Math"/>
              </w:rPr>
              <m:t>v</m:t>
            </m:r>
          </m:e>
          <m:sub>
            <m:r>
              <w:rPr>
                <w:rFonts w:ascii="Cambria Math" w:hAnsi="Cambria Math"/>
              </w:rPr>
              <m:t>h</m:t>
            </m:r>
          </m:sub>
        </m:sSub>
        <m:r>
          <w:rPr>
            <w:rFonts w:ascii="Cambria Math" w:hAnsi="Cambria Math"/>
          </w:rPr>
          <m:t>=</m:t>
        </m:r>
      </m:oMath>
      <w:r w:rsidRPr="00545ED4">
        <w:rPr>
          <w:rFonts w:asciiTheme="minorHAnsi" w:eastAsia="Times New Roman" w:hAnsiTheme="minorHAnsi"/>
        </w:rPr>
        <w:t xml:space="preserve">£16,000 of consumption per QALY in this case). </w:t>
      </w:r>
    </w:p>
    <w:p w:rsidR="00E05FE0" w:rsidRPr="00545ED4" w:rsidRDefault="001E55F3" w:rsidP="00E05FE0">
      <w:pPr>
        <w:spacing w:line="360" w:lineRule="auto"/>
        <w:rPr>
          <w:rFonts w:asciiTheme="minorHAnsi" w:hAnsiTheme="minorHAnsi"/>
          <w:b/>
        </w:rPr>
      </w:pPr>
      <w:r w:rsidRPr="00545ED4">
        <w:rPr>
          <w:rFonts w:asciiTheme="minorHAnsi" w:hAnsiTheme="minorHAnsi"/>
          <w:b/>
        </w:rPr>
        <w:t>A1.3</w:t>
      </w:r>
      <w:r w:rsidR="00E05FE0" w:rsidRPr="00545ED4">
        <w:rPr>
          <w:rFonts w:asciiTheme="minorHAnsi" w:hAnsiTheme="minorHAnsi"/>
          <w:b/>
        </w:rPr>
        <w:t xml:space="preserve"> Operationalising the impact </w:t>
      </w:r>
      <w:r w:rsidR="00545ED4">
        <w:rPr>
          <w:rFonts w:asciiTheme="minorHAnsi" w:hAnsiTheme="minorHAnsi"/>
          <w:b/>
        </w:rPr>
        <w:t>inventory</w:t>
      </w:r>
      <w:r w:rsidR="00E05FE0" w:rsidRPr="00545ED4">
        <w:rPr>
          <w:rFonts w:asciiTheme="minorHAnsi" w:hAnsiTheme="minorHAnsi"/>
          <w:b/>
        </w:rPr>
        <w:t xml:space="preserve"> for healthcare, education and consumption- a stylized example </w:t>
      </w:r>
    </w:p>
    <w:p w:rsidR="00E05FE0" w:rsidRPr="00545ED4" w:rsidRDefault="00E05FE0" w:rsidP="00E05FE0">
      <w:pPr>
        <w:spacing w:line="360" w:lineRule="auto"/>
        <w:rPr>
          <w:rFonts w:asciiTheme="minorHAnsi" w:hAnsiTheme="minorHAnsi"/>
        </w:rPr>
      </w:pPr>
      <w:r w:rsidRPr="00545ED4">
        <w:rPr>
          <w:rFonts w:asciiTheme="minorHAnsi" w:hAnsiTheme="minorHAnsi"/>
        </w:rPr>
        <w:t>Expanding upon the example, the new intervention now impacts on an individual’s health, education and consumption</w:t>
      </w:r>
      <w:r w:rsidR="00881BB8">
        <w:rPr>
          <w:rFonts w:asciiTheme="minorHAnsi" w:hAnsiTheme="minorHAnsi"/>
        </w:rPr>
        <w:t xml:space="preserve"> and involves two decision makers (health sector and education sector)</w:t>
      </w:r>
      <w:r w:rsidRPr="00545ED4">
        <w:rPr>
          <w:rStyle w:val="FootnoteReference"/>
          <w:rFonts w:asciiTheme="minorHAnsi" w:hAnsiTheme="minorHAnsi"/>
        </w:rPr>
        <w:footnoteReference w:id="7"/>
      </w:r>
      <w:r w:rsidRPr="00545ED4">
        <w:rPr>
          <w:rFonts w:asciiTheme="minorHAnsi" w:hAnsiTheme="minorHAnsi"/>
        </w:rPr>
        <w:t>. Costs are incurred by both the health and education sector and, as such, the decision makers responsible for each sector are both involved in the decision.  We define the education outcome</w:t>
      </w:r>
      <w:r w:rsidRPr="00545ED4">
        <w:rPr>
          <w:rFonts w:asciiTheme="minorHAnsi" w:eastAsia="Times New Roman" w:hAnsiTheme="minorHAnsi"/>
        </w:rPr>
        <w:t xml:space="preserve"> in terms of the individual graduating high school</w:t>
      </w:r>
      <w:r w:rsidRPr="00545ED4">
        <w:rPr>
          <w:rStyle w:val="FootnoteReference"/>
          <w:rFonts w:asciiTheme="minorHAnsi" w:hAnsiTheme="minorHAnsi"/>
        </w:rPr>
        <w:footnoteReference w:id="8"/>
      </w:r>
      <w:r w:rsidRPr="00545ED4">
        <w:rPr>
          <w:rFonts w:asciiTheme="minorHAnsi" w:eastAsia="Times New Roman" w:hAnsiTheme="minorHAnsi"/>
        </w:rPr>
        <w:t>.</w:t>
      </w:r>
    </w:p>
    <w:p w:rsidR="00E05FE0" w:rsidRPr="00545ED4" w:rsidRDefault="00E05FE0" w:rsidP="00E05FE0">
      <w:pPr>
        <w:spacing w:line="360" w:lineRule="auto"/>
        <w:rPr>
          <w:rFonts w:asciiTheme="minorHAnsi" w:eastAsia="Times New Roman" w:hAnsiTheme="minorHAnsi"/>
        </w:rPr>
      </w:pPr>
      <w:r w:rsidRPr="00545ED4">
        <w:rPr>
          <w:rFonts w:asciiTheme="minorHAnsi" w:hAnsiTheme="minorHAnsi"/>
        </w:rPr>
        <w:lastRenderedPageBreak/>
        <w:t>The new intervention has a direct impact on health (2 QALYs</w:t>
      </w:r>
      <w:r w:rsidRPr="00545ED4">
        <w:rPr>
          <w:rFonts w:asciiTheme="minorHAnsi" w:eastAsia="Times New Roman" w:hAnsiTheme="minorHAnsi"/>
        </w:rPr>
        <w:t xml:space="preserve">), education (allows the individual to graduate), healthcare costs (£13,000), education costs (£20,000) and consumption (£10,000). The health, education and consumption that will be forgone due to the resources not being available for other health and education interventions can again be estimated.  These would be based on the costs to each sector and the marginal productivities of each sector for each outcome. </w:t>
      </w:r>
      <w:r w:rsidR="00191642">
        <w:rPr>
          <w:rFonts w:asciiTheme="minorHAnsi" w:eastAsia="Times New Roman" w:hAnsiTheme="minorHAnsi"/>
        </w:rPr>
        <w:t>It is assumed that f</w:t>
      </w:r>
      <w:r w:rsidRPr="00545ED4">
        <w:rPr>
          <w:rFonts w:asciiTheme="minorHAnsi" w:eastAsia="Times New Roman" w:hAnsiTheme="minorHAnsi"/>
        </w:rPr>
        <w:t>or every £10,000 of education costs, one student elsewhere will not graduate (</w:t>
      </w:r>
      <m:oMath>
        <m:sSub>
          <m:sSubPr>
            <m:ctrlPr>
              <w:rPr>
                <w:rFonts w:ascii="Cambria Math" w:hAnsi="Cambria Math"/>
                <w:i/>
              </w:rPr>
            </m:ctrlPr>
          </m:sSubPr>
          <m:e>
            <m:r>
              <w:rPr>
                <w:rFonts w:ascii="Cambria Math" w:hAnsi="Cambria Math"/>
              </w:rPr>
              <m:t>k</m:t>
            </m:r>
          </m:e>
          <m:sub>
            <m:r>
              <w:rPr>
                <w:rFonts w:ascii="Cambria Math" w:hAnsi="Cambria Math"/>
              </w:rPr>
              <m:t>e</m:t>
            </m:r>
          </m:sub>
        </m:sSub>
        <m:r>
          <w:rPr>
            <w:rFonts w:ascii="Cambria Math" w:hAnsi="Cambria Math"/>
          </w:rPr>
          <m:t>=£10,000)</m:t>
        </m:r>
      </m:oMath>
      <w:r w:rsidRPr="00545ED4">
        <w:rPr>
          <w:rFonts w:asciiTheme="minorHAnsi" w:eastAsia="Times New Roman" w:hAnsiTheme="minorHAnsi"/>
        </w:rPr>
        <w:t xml:space="preserve"> and will forgo £30,000 of consumption. For simplicity we assume that the healthcare sector does not impact on education directly and the education sector does not impact on health directly</w:t>
      </w:r>
      <w:r w:rsidRPr="00545ED4">
        <w:rPr>
          <w:rStyle w:val="FootnoteReference"/>
          <w:rFonts w:asciiTheme="minorHAnsi" w:hAnsiTheme="minorHAnsi"/>
        </w:rPr>
        <w:footnoteReference w:id="9"/>
      </w:r>
      <w:r w:rsidRPr="00545ED4">
        <w:rPr>
          <w:rFonts w:asciiTheme="minorHAnsi" w:eastAsia="Times New Roman" w:hAnsiTheme="minorHAnsi"/>
        </w:rPr>
        <w:t>.</w:t>
      </w:r>
    </w:p>
    <w:p w:rsidR="00E05FE0" w:rsidRPr="00545ED4" w:rsidRDefault="00E05FE0" w:rsidP="00E05FE0">
      <w:pPr>
        <w:spacing w:line="360" w:lineRule="auto"/>
        <w:rPr>
          <w:rFonts w:asciiTheme="minorHAnsi" w:eastAsia="Times New Roman" w:hAnsiTheme="minorHAnsi"/>
        </w:rPr>
      </w:pPr>
      <w:r w:rsidRPr="00545ED4">
        <w:rPr>
          <w:rFonts w:asciiTheme="minorHAnsi" w:hAnsiTheme="minorHAnsi"/>
        </w:rPr>
        <w:t xml:space="preserve">Now the two patients (1 &amp; 2) receive the new intervention and experience health gain (2 QALYs), educational benefits (graduate) and </w:t>
      </w:r>
      <w:r w:rsidRPr="00545ED4">
        <w:rPr>
          <w:rFonts w:asciiTheme="minorHAnsi" w:eastAsia="Times New Roman" w:hAnsiTheme="minorHAnsi"/>
        </w:rPr>
        <w:t>consumption benefits (£10,000). T</w:t>
      </w:r>
      <w:r w:rsidRPr="00545ED4">
        <w:rPr>
          <w:rFonts w:asciiTheme="minorHAnsi" w:hAnsiTheme="minorHAnsi"/>
        </w:rPr>
        <w:t>wo other unknown individuals (X &amp; Y) would not receive other healthcare interventions and, consequently, would forgo the associated benefits in terms of health (1 QALY) and consumption (£26,000)</w:t>
      </w:r>
      <w:r w:rsidRPr="00545ED4">
        <w:rPr>
          <w:rFonts w:asciiTheme="minorHAnsi" w:eastAsia="Times New Roman" w:hAnsiTheme="minorHAnsi"/>
        </w:rPr>
        <w:t xml:space="preserve">. It is not necessarily the case that any forgone education interventions would impact those same individuals who forgo healthcare interventions. Therefore, in this example, four other unknown individuals (A,B, C and D) have opportunity costs resulting from forgone education interventions (not graduating and forgoing £30,000 of consumption). The impact </w:t>
      </w:r>
      <w:r w:rsidR="00545ED4">
        <w:rPr>
          <w:rFonts w:asciiTheme="minorHAnsi" w:eastAsia="Times New Roman" w:hAnsiTheme="minorHAnsi"/>
        </w:rPr>
        <w:t>inventory</w:t>
      </w:r>
      <w:r w:rsidRPr="00545ED4">
        <w:rPr>
          <w:rFonts w:asciiTheme="minorHAnsi" w:eastAsia="Times New Roman" w:hAnsiTheme="minorHAnsi"/>
        </w:rPr>
        <w:t xml:space="preserve"> can, therefore, be represented as shown in Figure </w:t>
      </w:r>
      <w:r w:rsidR="001E55F3" w:rsidRPr="00545ED4">
        <w:rPr>
          <w:rFonts w:asciiTheme="minorHAnsi" w:eastAsia="Times New Roman" w:hAnsiTheme="minorHAnsi"/>
        </w:rPr>
        <w:t>A3</w:t>
      </w:r>
      <w:r w:rsidRPr="00545ED4">
        <w:rPr>
          <w:rFonts w:asciiTheme="minorHAnsi" w:eastAsia="Times New Roman" w:hAnsiTheme="minorHAnsi"/>
        </w:rPr>
        <w:t>.</w:t>
      </w:r>
      <w:r w:rsidRPr="00545ED4">
        <w:rPr>
          <w:rFonts w:asciiTheme="minorHAnsi" w:eastAsia="Times New Roman" w:hAnsiTheme="minorHAnsi"/>
          <w:color w:val="000000"/>
          <w:lang w:eastAsia="en-GB"/>
        </w:rPr>
        <w:t> </w:t>
      </w:r>
    </w:p>
    <w:tbl>
      <w:tblPr>
        <w:tblW w:w="8906" w:type="dxa"/>
        <w:tblLook w:val="04A0" w:firstRow="1" w:lastRow="0" w:firstColumn="1" w:lastColumn="0" w:noHBand="0" w:noVBand="1"/>
      </w:tblPr>
      <w:tblGrid>
        <w:gridCol w:w="502"/>
        <w:gridCol w:w="858"/>
        <w:gridCol w:w="986"/>
        <w:gridCol w:w="1417"/>
        <w:gridCol w:w="1276"/>
        <w:gridCol w:w="1418"/>
        <w:gridCol w:w="1134"/>
        <w:gridCol w:w="1315"/>
      </w:tblGrid>
      <w:tr w:rsidR="00E05FE0" w:rsidRPr="00545ED4" w:rsidTr="005018EA">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rPr>
                <w:rFonts w:asciiTheme="minorHAnsi" w:eastAsia="Times New Roman" w:hAnsiTheme="minorHAnsi"/>
                <w:color w:val="000000"/>
                <w:lang w:eastAsia="en-GB"/>
              </w:rPr>
            </w:pPr>
          </w:p>
        </w:tc>
        <w:tc>
          <w:tcPr>
            <w:tcW w:w="858" w:type="dxa"/>
            <w:tcBorders>
              <w:top w:val="single" w:sz="4" w:space="0" w:color="auto"/>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2403" w:type="dxa"/>
            <w:gridSpan w:val="2"/>
            <w:tcBorders>
              <w:top w:val="single" w:sz="4" w:space="0" w:color="auto"/>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Health (QALYs)</w:t>
            </w:r>
          </w:p>
        </w:tc>
        <w:tc>
          <w:tcPr>
            <w:tcW w:w="2694" w:type="dxa"/>
            <w:gridSpan w:val="2"/>
            <w:tcBorders>
              <w:top w:val="single" w:sz="4" w:space="0" w:color="auto"/>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Education</w:t>
            </w:r>
          </w:p>
        </w:tc>
        <w:tc>
          <w:tcPr>
            <w:tcW w:w="2449" w:type="dxa"/>
            <w:gridSpan w:val="2"/>
            <w:tcBorders>
              <w:top w:val="single" w:sz="4" w:space="0" w:color="auto"/>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Consumption</w:t>
            </w:r>
          </w:p>
        </w:tc>
      </w:tr>
      <w:tr w:rsidR="00E05FE0" w:rsidRPr="00545ED4" w:rsidTr="005018EA">
        <w:trPr>
          <w:trHeight w:val="300"/>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858" w:type="dxa"/>
            <w:tcBorders>
              <w:top w:val="nil"/>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986" w:type="dxa"/>
            <w:tcBorders>
              <w:top w:val="nil"/>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Direct Effects</w:t>
            </w:r>
          </w:p>
        </w:tc>
        <w:tc>
          <w:tcPr>
            <w:tcW w:w="1417" w:type="dxa"/>
            <w:tcBorders>
              <w:top w:val="nil"/>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Opportunity costs</w:t>
            </w:r>
          </w:p>
        </w:tc>
        <w:tc>
          <w:tcPr>
            <w:tcW w:w="1276" w:type="dxa"/>
            <w:tcBorders>
              <w:top w:val="nil"/>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Direct Effects</w:t>
            </w:r>
          </w:p>
        </w:tc>
        <w:tc>
          <w:tcPr>
            <w:tcW w:w="1418" w:type="dxa"/>
            <w:tcBorders>
              <w:top w:val="nil"/>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Opportunity costs</w:t>
            </w:r>
          </w:p>
        </w:tc>
        <w:tc>
          <w:tcPr>
            <w:tcW w:w="1134" w:type="dxa"/>
            <w:tcBorders>
              <w:top w:val="nil"/>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Direct Effects</w:t>
            </w:r>
          </w:p>
        </w:tc>
        <w:tc>
          <w:tcPr>
            <w:tcW w:w="1315" w:type="dxa"/>
            <w:tcBorders>
              <w:top w:val="nil"/>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Opportunity costs</w:t>
            </w:r>
          </w:p>
        </w:tc>
      </w:tr>
      <w:tr w:rsidR="00E05FE0" w:rsidRPr="00545ED4" w:rsidTr="005018EA">
        <w:trPr>
          <w:trHeight w:val="300"/>
        </w:trPr>
        <w:tc>
          <w:tcPr>
            <w:tcW w:w="502"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Individuals</w:t>
            </w:r>
          </w:p>
        </w:tc>
        <w:tc>
          <w:tcPr>
            <w:tcW w:w="858" w:type="dxa"/>
            <w:tcBorders>
              <w:top w:val="nil"/>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vertAlign w:val="subscript"/>
                <w:lang w:eastAsia="en-GB"/>
              </w:rPr>
              <w:t>1</w:t>
            </w:r>
          </w:p>
        </w:tc>
        <w:tc>
          <w:tcPr>
            <w:tcW w:w="986"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 xml:space="preserve">2 </w:t>
            </w:r>
          </w:p>
        </w:tc>
        <w:tc>
          <w:tcPr>
            <w:tcW w:w="1417"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276"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1</w:t>
            </w:r>
          </w:p>
        </w:tc>
        <w:tc>
          <w:tcPr>
            <w:tcW w:w="1418"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134"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£13,000</w:t>
            </w:r>
          </w:p>
        </w:tc>
        <w:tc>
          <w:tcPr>
            <w:tcW w:w="1315"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r>
      <w:tr w:rsidR="00E05FE0" w:rsidRPr="00545ED4" w:rsidTr="005018EA">
        <w:trPr>
          <w:trHeight w:val="300"/>
        </w:trPr>
        <w:tc>
          <w:tcPr>
            <w:tcW w:w="502" w:type="dxa"/>
            <w:vMerge/>
            <w:tcBorders>
              <w:top w:val="nil"/>
              <w:left w:val="single" w:sz="4" w:space="0" w:color="auto"/>
              <w:bottom w:val="single" w:sz="4" w:space="0" w:color="auto"/>
              <w:right w:val="single" w:sz="4" w:space="0" w:color="auto"/>
            </w:tcBorders>
            <w:vAlign w:val="center"/>
            <w:hideMark/>
          </w:tcPr>
          <w:p w:rsidR="00E05FE0" w:rsidRPr="00545ED4" w:rsidRDefault="00E05FE0" w:rsidP="005018EA">
            <w:pPr>
              <w:spacing w:after="0" w:line="240" w:lineRule="auto"/>
              <w:rPr>
                <w:rFonts w:asciiTheme="minorHAnsi" w:eastAsia="Times New Roman" w:hAnsiTheme="minorHAnsi"/>
                <w:color w:val="000000"/>
                <w:lang w:eastAsia="en-GB"/>
              </w:rPr>
            </w:pPr>
          </w:p>
        </w:tc>
        <w:tc>
          <w:tcPr>
            <w:tcW w:w="858" w:type="dxa"/>
            <w:tcBorders>
              <w:top w:val="nil"/>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vertAlign w:val="subscript"/>
                <w:lang w:eastAsia="en-GB"/>
              </w:rPr>
              <w:t>2</w:t>
            </w:r>
          </w:p>
        </w:tc>
        <w:tc>
          <w:tcPr>
            <w:tcW w:w="986"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2</w:t>
            </w:r>
          </w:p>
        </w:tc>
        <w:tc>
          <w:tcPr>
            <w:tcW w:w="1417"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276"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1</w:t>
            </w:r>
          </w:p>
        </w:tc>
        <w:tc>
          <w:tcPr>
            <w:tcW w:w="1418"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134"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£13,000</w:t>
            </w:r>
          </w:p>
        </w:tc>
        <w:tc>
          <w:tcPr>
            <w:tcW w:w="1315"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r>
      <w:tr w:rsidR="00E05FE0" w:rsidRPr="00545ED4" w:rsidDel="00DA0BB5" w:rsidTr="005018EA">
        <w:trPr>
          <w:trHeight w:val="300"/>
        </w:trPr>
        <w:tc>
          <w:tcPr>
            <w:tcW w:w="502" w:type="dxa"/>
            <w:vMerge/>
            <w:tcBorders>
              <w:top w:val="nil"/>
              <w:left w:val="single" w:sz="4" w:space="0" w:color="auto"/>
              <w:bottom w:val="single" w:sz="4" w:space="0" w:color="auto"/>
              <w:right w:val="single" w:sz="4" w:space="0" w:color="auto"/>
            </w:tcBorders>
            <w:vAlign w:val="center"/>
            <w:hideMark/>
          </w:tcPr>
          <w:p w:rsidR="00E05FE0" w:rsidRPr="00545ED4" w:rsidRDefault="00E05FE0" w:rsidP="005018EA">
            <w:pPr>
              <w:spacing w:after="0" w:line="240" w:lineRule="auto"/>
              <w:rPr>
                <w:rFonts w:asciiTheme="minorHAnsi" w:eastAsia="Times New Roman" w:hAnsiTheme="minorHAnsi"/>
                <w:color w:val="000000"/>
                <w:lang w:eastAsia="en-GB"/>
              </w:rPr>
            </w:pPr>
          </w:p>
        </w:tc>
        <w:tc>
          <w:tcPr>
            <w:tcW w:w="858" w:type="dxa"/>
            <w:tcBorders>
              <w:top w:val="nil"/>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vertAlign w:val="subscript"/>
                <w:lang w:eastAsia="en-GB"/>
              </w:rPr>
              <w:t>X</w:t>
            </w:r>
          </w:p>
        </w:tc>
        <w:tc>
          <w:tcPr>
            <w:tcW w:w="986"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417"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1</w:t>
            </w:r>
          </w:p>
        </w:tc>
        <w:tc>
          <w:tcPr>
            <w:tcW w:w="1276"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418"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134"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315"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£26,000</w:t>
            </w:r>
          </w:p>
        </w:tc>
      </w:tr>
      <w:tr w:rsidR="00E05FE0" w:rsidRPr="00545ED4" w:rsidTr="005018EA">
        <w:trPr>
          <w:trHeight w:val="300"/>
        </w:trPr>
        <w:tc>
          <w:tcPr>
            <w:tcW w:w="502" w:type="dxa"/>
            <w:vMerge/>
            <w:tcBorders>
              <w:top w:val="nil"/>
              <w:left w:val="single" w:sz="4" w:space="0" w:color="auto"/>
              <w:bottom w:val="single" w:sz="4" w:space="0" w:color="auto"/>
              <w:right w:val="single" w:sz="4" w:space="0" w:color="auto"/>
            </w:tcBorders>
            <w:vAlign w:val="center"/>
            <w:hideMark/>
          </w:tcPr>
          <w:p w:rsidR="00E05FE0" w:rsidRPr="00545ED4" w:rsidRDefault="00E05FE0" w:rsidP="005018EA">
            <w:pPr>
              <w:spacing w:after="0" w:line="240" w:lineRule="auto"/>
              <w:rPr>
                <w:rFonts w:asciiTheme="minorHAnsi" w:eastAsia="Times New Roman" w:hAnsiTheme="minorHAnsi"/>
                <w:color w:val="000000"/>
                <w:lang w:eastAsia="en-GB"/>
              </w:rPr>
            </w:pPr>
          </w:p>
        </w:tc>
        <w:tc>
          <w:tcPr>
            <w:tcW w:w="858" w:type="dxa"/>
            <w:tcBorders>
              <w:top w:val="nil"/>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vertAlign w:val="subscript"/>
                <w:lang w:eastAsia="en-GB"/>
              </w:rPr>
              <w:t>Y</w:t>
            </w:r>
          </w:p>
        </w:tc>
        <w:tc>
          <w:tcPr>
            <w:tcW w:w="986"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417"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1</w:t>
            </w:r>
          </w:p>
        </w:tc>
        <w:tc>
          <w:tcPr>
            <w:tcW w:w="1276"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418"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134"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315"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£26,000</w:t>
            </w:r>
          </w:p>
        </w:tc>
      </w:tr>
      <w:tr w:rsidR="00E05FE0" w:rsidRPr="00545ED4" w:rsidTr="005018EA">
        <w:trPr>
          <w:trHeight w:val="300"/>
        </w:trPr>
        <w:tc>
          <w:tcPr>
            <w:tcW w:w="502" w:type="dxa"/>
            <w:vMerge/>
            <w:tcBorders>
              <w:top w:val="nil"/>
              <w:left w:val="single" w:sz="4" w:space="0" w:color="auto"/>
              <w:bottom w:val="single" w:sz="4" w:space="0" w:color="auto"/>
              <w:right w:val="single" w:sz="4" w:space="0" w:color="auto"/>
            </w:tcBorders>
            <w:vAlign w:val="center"/>
            <w:hideMark/>
          </w:tcPr>
          <w:p w:rsidR="00E05FE0" w:rsidRPr="00545ED4" w:rsidRDefault="00E05FE0" w:rsidP="005018EA">
            <w:pPr>
              <w:spacing w:after="0" w:line="240" w:lineRule="auto"/>
              <w:rPr>
                <w:rFonts w:asciiTheme="minorHAnsi" w:eastAsia="Times New Roman" w:hAnsiTheme="minorHAnsi"/>
                <w:color w:val="000000"/>
                <w:lang w:eastAsia="en-GB"/>
              </w:rPr>
            </w:pPr>
          </w:p>
        </w:tc>
        <w:tc>
          <w:tcPr>
            <w:tcW w:w="858" w:type="dxa"/>
            <w:tcBorders>
              <w:top w:val="nil"/>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vertAlign w:val="subscript"/>
                <w:lang w:eastAsia="en-GB"/>
              </w:rPr>
              <w:t>A</w:t>
            </w:r>
          </w:p>
        </w:tc>
        <w:tc>
          <w:tcPr>
            <w:tcW w:w="986"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417"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276"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418"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1</w:t>
            </w:r>
          </w:p>
        </w:tc>
        <w:tc>
          <w:tcPr>
            <w:tcW w:w="1134"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315" w:type="dxa"/>
            <w:tcBorders>
              <w:top w:val="nil"/>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£30,000</w:t>
            </w:r>
          </w:p>
        </w:tc>
      </w:tr>
      <w:tr w:rsidR="00E05FE0" w:rsidRPr="00545ED4" w:rsidTr="005018EA">
        <w:trPr>
          <w:trHeight w:val="300"/>
        </w:trPr>
        <w:tc>
          <w:tcPr>
            <w:tcW w:w="502" w:type="dxa"/>
            <w:vMerge/>
            <w:tcBorders>
              <w:top w:val="nil"/>
              <w:left w:val="single" w:sz="4" w:space="0" w:color="auto"/>
              <w:bottom w:val="nil"/>
              <w:right w:val="single" w:sz="4" w:space="0" w:color="auto"/>
            </w:tcBorders>
            <w:vAlign w:val="center"/>
            <w:hideMark/>
          </w:tcPr>
          <w:p w:rsidR="00E05FE0" w:rsidRPr="00545ED4" w:rsidRDefault="00E05FE0" w:rsidP="005018EA">
            <w:pPr>
              <w:spacing w:after="0" w:line="240" w:lineRule="auto"/>
              <w:rPr>
                <w:rFonts w:asciiTheme="minorHAnsi" w:eastAsia="Times New Roman" w:hAnsiTheme="minorHAnsi"/>
                <w:color w:val="000000"/>
                <w:lang w:eastAsia="en-GB"/>
              </w:rPr>
            </w:pPr>
          </w:p>
        </w:tc>
        <w:tc>
          <w:tcPr>
            <w:tcW w:w="858" w:type="dxa"/>
            <w:tcBorders>
              <w:top w:val="single" w:sz="4" w:space="0" w:color="auto"/>
              <w:left w:val="nil"/>
              <w:bottom w:val="single" w:sz="4" w:space="0" w:color="auto"/>
              <w:right w:val="single" w:sz="4" w:space="0" w:color="auto"/>
            </w:tcBorders>
            <w:shd w:val="clear" w:color="auto" w:fill="auto"/>
            <w:noWrap/>
            <w:vAlign w:val="bottom"/>
            <w:hideMark/>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vertAlign w:val="subscript"/>
                <w:lang w:eastAsia="en-GB"/>
              </w:rPr>
              <w:t>B</w:t>
            </w:r>
          </w:p>
        </w:tc>
        <w:tc>
          <w:tcPr>
            <w:tcW w:w="986" w:type="dxa"/>
            <w:tcBorders>
              <w:top w:val="single" w:sz="4" w:space="0" w:color="auto"/>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315" w:type="dxa"/>
            <w:tcBorders>
              <w:top w:val="single" w:sz="4" w:space="0" w:color="auto"/>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£30,000</w:t>
            </w:r>
          </w:p>
        </w:tc>
      </w:tr>
      <w:tr w:rsidR="00E05FE0" w:rsidRPr="00545ED4" w:rsidTr="005018EA">
        <w:trPr>
          <w:trHeight w:val="300"/>
        </w:trPr>
        <w:tc>
          <w:tcPr>
            <w:tcW w:w="502" w:type="dxa"/>
            <w:tcBorders>
              <w:top w:val="nil"/>
              <w:left w:val="single" w:sz="4" w:space="0" w:color="auto"/>
              <w:bottom w:val="nil"/>
              <w:right w:val="single" w:sz="4" w:space="0" w:color="auto"/>
            </w:tcBorders>
            <w:vAlign w:val="center"/>
          </w:tcPr>
          <w:p w:rsidR="00E05FE0" w:rsidRPr="00545ED4" w:rsidRDefault="00E05FE0" w:rsidP="005018EA">
            <w:pPr>
              <w:spacing w:after="0" w:line="240" w:lineRule="auto"/>
              <w:rPr>
                <w:rFonts w:asciiTheme="minorHAnsi" w:eastAsia="Times New Roman" w:hAnsiTheme="minorHAnsi"/>
                <w:color w:val="000000"/>
                <w:lang w:eastAsia="en-GB"/>
              </w:rPr>
            </w:pPr>
          </w:p>
        </w:tc>
        <w:tc>
          <w:tcPr>
            <w:tcW w:w="858" w:type="dxa"/>
            <w:tcBorders>
              <w:top w:val="single" w:sz="4" w:space="0" w:color="auto"/>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vertAlign w:val="subscript"/>
                <w:lang w:eastAsia="en-GB"/>
              </w:rPr>
              <w:t>C</w:t>
            </w:r>
          </w:p>
        </w:tc>
        <w:tc>
          <w:tcPr>
            <w:tcW w:w="986" w:type="dxa"/>
            <w:tcBorders>
              <w:top w:val="single" w:sz="4" w:space="0" w:color="auto"/>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315" w:type="dxa"/>
            <w:tcBorders>
              <w:top w:val="single" w:sz="4" w:space="0" w:color="auto"/>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£30,000</w:t>
            </w:r>
          </w:p>
        </w:tc>
      </w:tr>
      <w:tr w:rsidR="00E05FE0" w:rsidRPr="00545ED4" w:rsidTr="005018EA">
        <w:trPr>
          <w:trHeight w:val="300"/>
        </w:trPr>
        <w:tc>
          <w:tcPr>
            <w:tcW w:w="502" w:type="dxa"/>
            <w:tcBorders>
              <w:top w:val="nil"/>
              <w:left w:val="single" w:sz="4" w:space="0" w:color="auto"/>
              <w:bottom w:val="single" w:sz="4" w:space="0" w:color="auto"/>
              <w:right w:val="single" w:sz="4" w:space="0" w:color="auto"/>
            </w:tcBorders>
            <w:vAlign w:val="center"/>
          </w:tcPr>
          <w:p w:rsidR="00E05FE0" w:rsidRPr="00545ED4" w:rsidRDefault="00E05FE0" w:rsidP="005018EA">
            <w:pPr>
              <w:spacing w:after="0" w:line="240" w:lineRule="auto"/>
              <w:rPr>
                <w:rFonts w:asciiTheme="minorHAnsi" w:eastAsia="Times New Roman" w:hAnsiTheme="minorHAnsi"/>
                <w:color w:val="000000"/>
                <w:lang w:eastAsia="en-GB"/>
              </w:rPr>
            </w:pPr>
          </w:p>
        </w:tc>
        <w:tc>
          <w:tcPr>
            <w:tcW w:w="858" w:type="dxa"/>
            <w:tcBorders>
              <w:top w:val="single" w:sz="4" w:space="0" w:color="auto"/>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vertAlign w:val="subscript"/>
                <w:lang w:eastAsia="en-GB"/>
              </w:rPr>
              <w:t>D</w:t>
            </w:r>
          </w:p>
        </w:tc>
        <w:tc>
          <w:tcPr>
            <w:tcW w:w="986" w:type="dxa"/>
            <w:tcBorders>
              <w:top w:val="single" w:sz="4" w:space="0" w:color="auto"/>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315" w:type="dxa"/>
            <w:tcBorders>
              <w:top w:val="single" w:sz="4" w:space="0" w:color="auto"/>
              <w:left w:val="nil"/>
              <w:bottom w:val="single" w:sz="4" w:space="0" w:color="auto"/>
              <w:right w:val="single" w:sz="4" w:space="0" w:color="auto"/>
            </w:tcBorders>
            <w:shd w:val="clear" w:color="auto" w:fill="auto"/>
            <w:noWrap/>
            <w:vAlign w:val="bottom"/>
          </w:tcPr>
          <w:p w:rsidR="00E05FE0" w:rsidRPr="00545ED4" w:rsidRDefault="00E05FE0" w:rsidP="005018EA">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£30,000</w:t>
            </w:r>
          </w:p>
        </w:tc>
      </w:tr>
    </w:tbl>
    <w:p w:rsidR="00E05FE0" w:rsidRPr="00545ED4" w:rsidRDefault="00E05FE0" w:rsidP="00E05FE0">
      <w:pPr>
        <w:spacing w:line="360" w:lineRule="auto"/>
        <w:rPr>
          <w:rFonts w:asciiTheme="minorHAnsi" w:eastAsia="Times New Roman" w:hAnsiTheme="minorHAnsi"/>
          <w:b/>
        </w:rPr>
      </w:pPr>
      <w:r w:rsidRPr="00545ED4">
        <w:rPr>
          <w:rFonts w:asciiTheme="minorHAnsi" w:eastAsia="Times New Roman" w:hAnsiTheme="minorHAnsi"/>
          <w:b/>
        </w:rPr>
        <w:t xml:space="preserve">Figure </w:t>
      </w:r>
      <w:r w:rsidR="001E55F3" w:rsidRPr="00545ED4">
        <w:rPr>
          <w:rFonts w:asciiTheme="minorHAnsi" w:eastAsia="Times New Roman" w:hAnsiTheme="minorHAnsi"/>
          <w:b/>
        </w:rPr>
        <w:t>A3</w:t>
      </w:r>
      <w:r w:rsidRPr="00545ED4">
        <w:rPr>
          <w:rFonts w:asciiTheme="minorHAnsi" w:eastAsia="Times New Roman" w:hAnsiTheme="minorHAnsi"/>
          <w:b/>
        </w:rPr>
        <w:t xml:space="preserve">: </w:t>
      </w:r>
      <w:r w:rsidR="00911250">
        <w:rPr>
          <w:rFonts w:asciiTheme="minorHAnsi" w:hAnsiTheme="minorHAnsi"/>
          <w:b/>
        </w:rPr>
        <w:t>Stylized example of i</w:t>
      </w:r>
      <w:r w:rsidRPr="00545ED4">
        <w:rPr>
          <w:rFonts w:asciiTheme="minorHAnsi" w:eastAsia="Times New Roman" w:hAnsiTheme="minorHAnsi"/>
          <w:b/>
        </w:rPr>
        <w:t xml:space="preserve">mpact </w:t>
      </w:r>
      <w:r w:rsidR="00545ED4">
        <w:rPr>
          <w:rFonts w:asciiTheme="minorHAnsi" w:eastAsia="Times New Roman" w:hAnsiTheme="minorHAnsi"/>
          <w:b/>
        </w:rPr>
        <w:t>inventory</w:t>
      </w:r>
      <w:r w:rsidRPr="00545ED4">
        <w:rPr>
          <w:rFonts w:asciiTheme="minorHAnsi" w:eastAsia="Times New Roman" w:hAnsiTheme="minorHAnsi"/>
          <w:b/>
        </w:rPr>
        <w:t xml:space="preserve"> for three sectors</w:t>
      </w:r>
    </w:p>
    <w:p w:rsidR="00E05FE0" w:rsidRPr="00545ED4" w:rsidRDefault="00E05FE0" w:rsidP="00E05FE0">
      <w:pPr>
        <w:spacing w:line="360" w:lineRule="auto"/>
        <w:rPr>
          <w:rFonts w:asciiTheme="minorHAnsi" w:eastAsia="Times New Roman" w:hAnsiTheme="minorHAnsi"/>
        </w:rPr>
      </w:pPr>
      <w:r w:rsidRPr="00545ED4">
        <w:rPr>
          <w:rFonts w:asciiTheme="minorHAnsi" w:eastAsia="Times New Roman" w:hAnsiTheme="minorHAnsi"/>
        </w:rPr>
        <w:t xml:space="preserve">Whether the introduction of the intervention is worthwhile requires consideration of the objectives of the two decision makers involved (the healthcare decision maker and the education decision maker).  If the decision makers only care about health and education, </w:t>
      </w:r>
      <w:r w:rsidR="00191642">
        <w:rPr>
          <w:rFonts w:asciiTheme="minorHAnsi" w:eastAsia="Times New Roman" w:hAnsiTheme="minorHAnsi"/>
        </w:rPr>
        <w:t xml:space="preserve">respectively, </w:t>
      </w:r>
      <w:r w:rsidRPr="00545ED4">
        <w:rPr>
          <w:rFonts w:asciiTheme="minorHAnsi" w:eastAsia="Times New Roman" w:hAnsiTheme="minorHAnsi"/>
        </w:rPr>
        <w:t xml:space="preserve">consumption could potentially be ignored. However, a means for valuing the health </w:t>
      </w:r>
      <w:r w:rsidR="00AB23B9">
        <w:rPr>
          <w:rFonts w:asciiTheme="minorHAnsi" w:eastAsia="Times New Roman" w:hAnsiTheme="minorHAnsi"/>
        </w:rPr>
        <w:t>against education outcomes</w:t>
      </w:r>
      <w:r w:rsidRPr="00545ED4">
        <w:rPr>
          <w:rFonts w:asciiTheme="minorHAnsi" w:eastAsia="Times New Roman" w:hAnsiTheme="minorHAnsi"/>
        </w:rPr>
        <w:t xml:space="preserve"> </w:t>
      </w:r>
      <w:r w:rsidRPr="00545ED4">
        <w:rPr>
          <w:rFonts w:asciiTheme="minorHAnsi" w:eastAsia="Times New Roman" w:hAnsiTheme="minorHAnsi"/>
        </w:rPr>
        <w:lastRenderedPageBreak/>
        <w:t xml:space="preserve">would still be required. If consumption is also considered important, then a method for valuing all three is required. As previously, a within-dimension or a within-individual approach could be taken for the aggregation. </w:t>
      </w:r>
    </w:p>
    <w:p w:rsidR="00E05FE0" w:rsidRPr="00545ED4" w:rsidRDefault="00E05FE0" w:rsidP="00E05FE0">
      <w:pPr>
        <w:spacing w:line="360" w:lineRule="auto"/>
        <w:rPr>
          <w:rFonts w:asciiTheme="minorHAnsi" w:eastAsia="Times New Roman" w:hAnsiTheme="minorHAnsi"/>
        </w:rPr>
      </w:pPr>
      <w:r w:rsidRPr="00545ED4">
        <w:rPr>
          <w:rFonts w:asciiTheme="minorHAnsi" w:eastAsia="Times New Roman" w:hAnsiTheme="minorHAnsi"/>
        </w:rPr>
        <w:t>A within-dimension approach might be considered appropriate given each decision maker's remit to focus on a particular sector. Using such an approach and a simple aggregation function whereby all individuals are weighted equally, the net health benefit (NHB), net education benefit (NEB) and net consumption benefit (NCB) can be estimated.</w:t>
      </w:r>
    </w:p>
    <w:p w:rsidR="00E05FE0" w:rsidRPr="00545ED4" w:rsidRDefault="00902B22" w:rsidP="00E05FE0">
      <w:pPr>
        <w:pStyle w:val="ListParagraph"/>
        <w:numPr>
          <w:ilvl w:val="0"/>
          <w:numId w:val="3"/>
        </w:numPr>
        <w:spacing w:line="360" w:lineRule="auto"/>
        <w:rPr>
          <w:rFonts w:asciiTheme="minorHAnsi" w:hAnsiTheme="minorHAnsi"/>
        </w:rPr>
      </w:pPr>
      <m:oMath>
        <m:r>
          <w:rPr>
            <w:rFonts w:ascii="Cambria Math" w:hAnsi="Cambria Math"/>
          </w:rPr>
          <m:t>NHB=4QALYs-2QALYs=2QALYs</m:t>
        </m:r>
      </m:oMath>
    </w:p>
    <w:p w:rsidR="00E05FE0" w:rsidRPr="00545ED4" w:rsidRDefault="00902B22" w:rsidP="00E05FE0">
      <w:pPr>
        <w:pStyle w:val="ListParagraph"/>
        <w:numPr>
          <w:ilvl w:val="0"/>
          <w:numId w:val="3"/>
        </w:numPr>
        <w:rPr>
          <w:rFonts w:asciiTheme="minorHAnsi" w:hAnsiTheme="minorHAnsi"/>
        </w:rPr>
      </w:pPr>
      <m:oMath>
        <m:r>
          <w:rPr>
            <w:rFonts w:ascii="Cambria Math" w:hAnsi="Cambria Math"/>
          </w:rPr>
          <m:t>NEB=2Graduations-4Graduations=-2Graduations</m:t>
        </m:r>
      </m:oMath>
    </w:p>
    <w:p w:rsidR="00E05FE0" w:rsidRPr="00545ED4" w:rsidRDefault="00E05FE0" w:rsidP="00E05FE0">
      <w:pPr>
        <w:pStyle w:val="ListParagraph"/>
        <w:numPr>
          <w:ilvl w:val="0"/>
          <w:numId w:val="3"/>
        </w:numPr>
        <w:spacing w:line="360" w:lineRule="auto"/>
        <w:rPr>
          <w:rFonts w:asciiTheme="minorHAnsi" w:hAnsiTheme="minorHAnsi"/>
        </w:rPr>
      </w:pPr>
      <w:r w:rsidRPr="00545ED4">
        <w:rPr>
          <w:rFonts w:asciiTheme="minorHAnsi" w:hAnsiTheme="minorHAnsi"/>
          <w:color w:val="000000"/>
        </w:rPr>
        <w:t> </w:t>
      </w:r>
      <m:oMath>
        <m:r>
          <w:rPr>
            <w:rFonts w:ascii="Cambria Math" w:hAnsi="Cambria Math"/>
            <w:color w:val="000000"/>
          </w:rPr>
          <m:t>NCB=</m:t>
        </m:r>
        <m:r>
          <w:rPr>
            <w:rFonts w:ascii="Cambria Math" w:hAnsi="Cambria Math"/>
          </w:rPr>
          <m:t>£26,000-£52,000-£120,000=-£146,000</m:t>
        </m:r>
      </m:oMath>
    </w:p>
    <w:p w:rsidR="00E05FE0" w:rsidRPr="00545ED4" w:rsidRDefault="00E05FE0" w:rsidP="00E05FE0">
      <w:pPr>
        <w:spacing w:line="360" w:lineRule="auto"/>
        <w:rPr>
          <w:rFonts w:asciiTheme="minorHAnsi" w:eastAsia="Times New Roman" w:hAnsiTheme="minorHAnsi"/>
        </w:rPr>
      </w:pPr>
      <w:r w:rsidRPr="00545ED4">
        <w:rPr>
          <w:rFonts w:asciiTheme="minorHAnsi" w:eastAsia="Times New Roman" w:hAnsiTheme="minorHAnsi"/>
        </w:rPr>
        <w:t xml:space="preserve">If all three net benefit functions are positive, and the simple aggregation function acceptable, then there would be no conflicts and decision makers in both health and education would consider the introduction of the intervention to be worthwhile regardless of weights for the different outcomes. However, in this case with improvement in health and losses in education and consumption a method for aggregating across health, education and consumption is required. </w:t>
      </w:r>
    </w:p>
    <w:p w:rsidR="00E05FE0" w:rsidRPr="00545ED4" w:rsidRDefault="00E05FE0" w:rsidP="00E05FE0">
      <w:pPr>
        <w:spacing w:line="360" w:lineRule="auto"/>
        <w:rPr>
          <w:rFonts w:asciiTheme="minorHAnsi" w:eastAsia="Times New Roman" w:hAnsiTheme="minorHAnsi"/>
        </w:rPr>
      </w:pPr>
      <w:r w:rsidRPr="00545ED4">
        <w:rPr>
          <w:rFonts w:asciiTheme="minorHAnsi" w:eastAsia="Times New Roman" w:hAnsiTheme="minorHAnsi"/>
        </w:rPr>
        <w:t xml:space="preserve">Initially ignoring the impacts on consumption, it is worth considering whether it is possible for the healthcare decision maker to compensate the educational decision maker so that there are gains in both dimensions </w:t>
      </w:r>
      <w:r w:rsidRPr="00545ED4">
        <w:rPr>
          <w:rFonts w:asciiTheme="minorHAnsi" w:eastAsia="Times New Roman" w:hAnsiTheme="minorHAnsi"/>
        </w:rPr>
        <w:fldChar w:fldCharType="begin" w:fldLock="1"/>
      </w:r>
      <w:r w:rsidRPr="00545ED4">
        <w:rPr>
          <w:rFonts w:asciiTheme="minorHAnsi" w:eastAsia="Times New Roman" w:hAnsiTheme="minorHAnsi"/>
        </w:rPr>
        <w:instrText>ADDIN CSL_CITATION { "citationItems" : [ { "id" : "ITEM-1", "itemData" : { "author" : [ { "dropping-particle" : "", "family" : "Claxton", "given" : "Karl", "non-dropping-particle" : "", "parse-names" : false, "suffix" : "" }, { "dropping-particle" : "", "family" : "Walker", "given" : "S.", "non-dropping-particle" : "", "parse-names" : false, "suffix" : "" }, { "dropping-particle" : "", "family" : "Palmer", "given" : "S.", "non-dropping-particle" : "", "parse-names" : false, "suffix" : "" }, { "dropping-particle" : "", "family" : "Sculpher", "given" : "M.", "non-dropping-particle" : "", "parse-names" : false, "suffix" : "" } ], "id" : "ITEM-1", "issued" : { "date-parts" : [ [ "2010" ] ] }, "publisher-place" : "York", "title" : "Appropriate Perspectives for Health Care Decisions", "type" : "report" }, "uris" : [ "http://www.mendeley.com/documents/?uuid=5b658864-caf0-49e5-94d2-d9053b28b13f" ] }, { "id" : "ITEM-2", "itemData" : { "DOI" : "10.1016/j.jval.2016.11.009", "abstract" : "A B S T R A C T Good health is a function of a range of biological, environmental, behavioral, and social factors. The consumption of quality health care services is therefore only a part of how good health is produced. Although few would argue with this, the economic framework used to allocate resources to optimize population health is applied in a way that constrains the analyst and the decision maker to health care services. This approach risks missing two critical issues: 1) multiple sectors contribute to health gain and 2) the goods and services produced by the health sector can have multiple benefits besides health. We illustrate how present cost-effectiveness thresholds could result in health losses, particularly when considering health-producing interventions in other sectors or public health interven-tions with multisectoral outcomes. We then propose a potentially more optimal second best approach, the so-called cofinancing approach, in which the health payer could redistribute part of its budget to other sectors, where specific nonhealth interventions achieved a health gain more efficiently than the health sector's marginal productivity (opportunity cost). Likewise, other sectors would determine how much to contribute toward such an interven-tion, given the current marginal productivity of their budgets. Further research is certainly required to test and validate different measure-ment approaches and to assess the efficiency gains from cofinancing after deducting the transaction costs that would come with such cross-sectoral coordination.", "author" : [ { "dropping-particle" : "", "family" : "Remme", "given" : "Michelle", "non-dropping-particle" : "", "parse-names" : false, "suffix" : "" }, { "dropping-particle" : "", "family" : "Martinez-Alvarez", "given" : "Melisa", "non-dropping-particle" : "", "parse-names" : false, "suffix" : "" }, { "dropping-particle" : "", "family" : "Vassall", "given" : "Anna", "non-dropping-particle" : "", "parse-names" : false, "suffix" : "" } ], "id" : "ITEM-2", "issued" : { "date-parts" : [ [ "2017" ] ] }, "title" : "Cost-Effectiveness Thresholds in Global Health: Taking a Multisectoral Perspective", "type" : "article-journal" }, "uris" : [ "http://www.mendeley.com/documents/?uuid=60adcf17-ca75-318f-a8fd-b794fc8ec342" ] } ], "mendeley" : { "formattedCitation" : "(23,24)", "plainTextFormattedCitation" : "(23,24)", "previouslyFormattedCitation" : "(23,24)" }, "properties" : { "noteIndex" : 0 }, "schema" : "https://github.com/citation-style-language/schema/raw/master/csl-citation.json" }</w:instrText>
      </w:r>
      <w:r w:rsidRPr="00545ED4">
        <w:rPr>
          <w:rFonts w:asciiTheme="minorHAnsi" w:eastAsia="Times New Roman" w:hAnsiTheme="minorHAnsi"/>
        </w:rPr>
        <w:fldChar w:fldCharType="separate"/>
      </w:r>
      <w:r w:rsidRPr="00545ED4">
        <w:rPr>
          <w:rFonts w:asciiTheme="minorHAnsi" w:eastAsia="Times New Roman" w:hAnsiTheme="minorHAnsi"/>
          <w:noProof/>
        </w:rPr>
        <w:t>(23,24)</w:t>
      </w:r>
      <w:r w:rsidRPr="00545ED4">
        <w:rPr>
          <w:rFonts w:asciiTheme="minorHAnsi" w:eastAsia="Times New Roman" w:hAnsiTheme="minorHAnsi"/>
        </w:rPr>
        <w:fldChar w:fldCharType="end"/>
      </w:r>
      <w:r w:rsidRPr="00545ED4">
        <w:rPr>
          <w:rFonts w:asciiTheme="minorHAnsi" w:eastAsia="Times New Roman" w:hAnsiTheme="minorHAnsi"/>
        </w:rPr>
        <w:t xml:space="preserve">. Based on the marginal productivity of the healthcare sector (£13,000 per QALY), the healthcare decision maker could provide compensation of a maximum of £26,000 (2 QALYs) and still be at least as well off as before the introduction. Based on the marginal productivity of the education sector (£10,000 per graduation), there would be no reduction, and potentially a gain, in the number of students graduating if the education sector was provided with at least £20,000. Therefore, there is scope for healthcare to compensate education sector such that both gain (compensation of greater than £20,000 but less than £26,000). Implementing transfers may impose additional costs which could reduce the scope for mutual gains from compensation </w:t>
      </w:r>
      <w:r w:rsidRPr="00545ED4">
        <w:rPr>
          <w:rFonts w:asciiTheme="minorHAnsi" w:eastAsia="Times New Roman" w:hAnsiTheme="minorHAnsi"/>
        </w:rPr>
        <w:fldChar w:fldCharType="begin" w:fldLock="1"/>
      </w:r>
      <w:r w:rsidRPr="00545ED4">
        <w:rPr>
          <w:rFonts w:asciiTheme="minorHAnsi" w:eastAsia="Times New Roman" w:hAnsiTheme="minorHAnsi"/>
        </w:rPr>
        <w:instrText>ADDIN CSL_CITATION { "citationItems" : [ { "id" : "ITEM-1", "itemData" : { "author" : [ { "dropping-particle" : "", "family" : "Claxton", "given" : "Karl", "non-dropping-particle" : "", "parse-names" : false, "suffix" : "" }, { "dropping-particle" : "", "family" : "Walker", "given" : "S.", "non-dropping-particle" : "", "parse-names" : false, "suffix" : "" }, { "dropping-particle" : "", "family" : "Palmer", "given" : "S.", "non-dropping-particle" : "", "parse-names" : false, "suffix" : "" }, { "dropping-particle" : "", "family" : "Sculpher", "given" : "M.", "non-dropping-particle" : "", "parse-names" : false, "suffix" : "" } ], "id" : "ITEM-1", "issued" : { "date-parts" : [ [ "2010" ] ] }, "publisher-place" : "York", "title" : "Appropriate Perspectives for Health Care Decisions", "type" : "report" }, "uris" : [ "http://www.mendeley.com/documents/?uuid=5b658864-caf0-49e5-94d2-d9053b28b13f" ] } ], "mendeley" : { "formattedCitation" : "(24)", "plainTextFormattedCitation" : "(24)" }, "properties" : { "noteIndex" : 0 }, "schema" : "https://github.com/citation-style-language/schema/raw/master/csl-citation.json" }</w:instrText>
      </w:r>
      <w:r w:rsidRPr="00545ED4">
        <w:rPr>
          <w:rFonts w:asciiTheme="minorHAnsi" w:eastAsia="Times New Roman" w:hAnsiTheme="minorHAnsi"/>
        </w:rPr>
        <w:fldChar w:fldCharType="separate"/>
      </w:r>
      <w:r w:rsidRPr="00545ED4">
        <w:rPr>
          <w:rFonts w:asciiTheme="minorHAnsi" w:eastAsia="Times New Roman" w:hAnsiTheme="minorHAnsi"/>
          <w:noProof/>
        </w:rPr>
        <w:t>(24)</w:t>
      </w:r>
      <w:r w:rsidRPr="00545ED4">
        <w:rPr>
          <w:rFonts w:asciiTheme="minorHAnsi" w:eastAsia="Times New Roman" w:hAnsiTheme="minorHAnsi"/>
        </w:rPr>
        <w:fldChar w:fldCharType="end"/>
      </w:r>
      <w:r w:rsidRPr="00545ED4">
        <w:rPr>
          <w:rFonts w:asciiTheme="minorHAnsi" w:eastAsia="Times New Roman" w:hAnsiTheme="minorHAnsi"/>
        </w:rPr>
        <w:t>.</w:t>
      </w:r>
    </w:p>
    <w:p w:rsidR="00E05FE0" w:rsidRPr="00545ED4" w:rsidRDefault="00E05FE0" w:rsidP="00E05FE0">
      <w:pPr>
        <w:spacing w:line="360" w:lineRule="auto"/>
        <w:rPr>
          <w:rFonts w:asciiTheme="minorHAnsi" w:eastAsia="Times New Roman" w:hAnsiTheme="minorHAnsi"/>
        </w:rPr>
      </w:pPr>
      <w:r w:rsidRPr="00545ED4">
        <w:rPr>
          <w:rFonts w:asciiTheme="minorHAnsi" w:eastAsia="Times New Roman" w:hAnsiTheme="minorHAnsi"/>
        </w:rPr>
        <w:t>If consumption is also considered, a method for converting health and education into the common numeraire of consumption is required. Previously a value of £60,000 per QALY was used to convert health to consumption (</w:t>
      </w:r>
      <m:oMath>
        <m:sSub>
          <m:sSubPr>
            <m:ctrlPr>
              <w:rPr>
                <w:rFonts w:ascii="Cambria Math" w:hAnsi="Cambria Math"/>
                <w:i/>
              </w:rPr>
            </m:ctrlPr>
          </m:sSubPr>
          <m:e>
            <m:r>
              <w:rPr>
                <w:rFonts w:ascii="Cambria Math" w:hAnsi="Cambria Math"/>
              </w:rPr>
              <m:t>v</m:t>
            </m:r>
          </m:e>
          <m:sub>
            <m:r>
              <w:rPr>
                <w:rFonts w:ascii="Cambria Math" w:hAnsi="Cambria Math"/>
              </w:rPr>
              <m:t>h</m:t>
            </m:r>
          </m:sub>
        </m:sSub>
      </m:oMath>
      <w:r w:rsidRPr="00545ED4">
        <w:rPr>
          <w:rFonts w:asciiTheme="minorHAnsi" w:eastAsia="Times New Roman" w:hAnsiTheme="minorHAnsi"/>
        </w:rPr>
        <w:t xml:space="preserve">).  </w:t>
      </w:r>
      <w:r w:rsidR="0066183E">
        <w:rPr>
          <w:rFonts w:asciiTheme="minorHAnsi" w:eastAsia="Times New Roman" w:hAnsiTheme="minorHAnsi"/>
        </w:rPr>
        <w:t xml:space="preserve">If a consumption value for a student graduating is known </w:t>
      </w:r>
      <w:r w:rsidR="0066183E" w:rsidRPr="00545ED4">
        <w:rPr>
          <w:rFonts w:asciiTheme="minorHAnsi" w:eastAsia="Times New Roman" w:hAnsiTheme="minorHAnsi"/>
        </w:rPr>
        <w:t>(</w:t>
      </w:r>
      <m:oMath>
        <m:sSub>
          <m:sSubPr>
            <m:ctrlPr>
              <w:rPr>
                <w:rFonts w:ascii="Cambria Math" w:hAnsi="Cambria Math"/>
                <w:i/>
              </w:rPr>
            </m:ctrlPr>
          </m:sSubPr>
          <m:e>
            <m:r>
              <w:rPr>
                <w:rFonts w:ascii="Cambria Math" w:hAnsi="Cambria Math"/>
              </w:rPr>
              <m:t>v</m:t>
            </m:r>
          </m:e>
          <m:sub>
            <m:r>
              <w:rPr>
                <w:rFonts w:ascii="Cambria Math" w:hAnsi="Cambria Math"/>
              </w:rPr>
              <m:t>e</m:t>
            </m:r>
          </m:sub>
        </m:sSub>
      </m:oMath>
      <w:r w:rsidR="0066183E" w:rsidRPr="00545ED4">
        <w:rPr>
          <w:rFonts w:asciiTheme="minorHAnsi" w:eastAsia="Times New Roman" w:hAnsiTheme="minorHAnsi"/>
        </w:rPr>
        <w:t>)</w:t>
      </w:r>
      <w:r w:rsidR="0066183E">
        <w:rPr>
          <w:rFonts w:asciiTheme="minorHAnsi" w:eastAsia="Times New Roman" w:hAnsiTheme="minorHAnsi"/>
        </w:rPr>
        <w:t xml:space="preserve">, it can be applied to the net effect on graduations in the same way as for health. </w:t>
      </w:r>
      <w:r w:rsidRPr="00545ED4">
        <w:rPr>
          <w:rFonts w:asciiTheme="minorHAnsi" w:eastAsia="Times New Roman" w:hAnsiTheme="minorHAnsi"/>
        </w:rPr>
        <w:t xml:space="preserve">If no consumption value is </w:t>
      </w:r>
      <w:r w:rsidR="0066183E">
        <w:rPr>
          <w:rFonts w:asciiTheme="minorHAnsi" w:eastAsia="Times New Roman" w:hAnsiTheme="minorHAnsi"/>
        </w:rPr>
        <w:t xml:space="preserve">known for a student graduating </w:t>
      </w:r>
      <w:r w:rsidRPr="00545ED4">
        <w:rPr>
          <w:rFonts w:asciiTheme="minorHAnsi" w:eastAsia="Times New Roman" w:hAnsiTheme="minorHAnsi"/>
        </w:rPr>
        <w:t xml:space="preserve">then a reasonable proxy may be to consider that the allocation of the budgets in the public sector is such that the value of a pound spent in either education or </w:t>
      </w:r>
      <w:r w:rsidRPr="00545ED4">
        <w:rPr>
          <w:rFonts w:asciiTheme="minorHAnsi" w:eastAsia="Times New Roman" w:hAnsiTheme="minorHAnsi"/>
        </w:rPr>
        <w:lastRenderedPageBreak/>
        <w:t>consumption is the same in terms of its consumption value</w:t>
      </w:r>
      <w:r w:rsidRPr="00545ED4">
        <w:rPr>
          <w:rStyle w:val="FootnoteReference"/>
          <w:rFonts w:asciiTheme="minorHAnsi" w:hAnsiTheme="minorHAnsi"/>
        </w:rPr>
        <w:footnoteReference w:id="10"/>
      </w:r>
      <w:r w:rsidRPr="00545ED4">
        <w:rPr>
          <w:rFonts w:asciiTheme="minorHAnsi" w:eastAsia="Times New Roman" w:hAnsiTheme="minorHAnsi"/>
        </w:rPr>
        <w:t>. On this basis, the consumption value of a student graduating is £46,154. The net benefit can then be estimated as shown below:</w:t>
      </w:r>
    </w:p>
    <w:p w:rsidR="00E05FE0" w:rsidRPr="00545ED4" w:rsidRDefault="00902B22" w:rsidP="00E05FE0">
      <w:pPr>
        <w:pStyle w:val="ListParagraph"/>
        <w:numPr>
          <w:ilvl w:val="0"/>
          <w:numId w:val="3"/>
        </w:numPr>
        <w:spacing w:line="360" w:lineRule="auto"/>
        <w:rPr>
          <w:rFonts w:asciiTheme="minorHAnsi" w:hAnsiTheme="minorHAnsi"/>
        </w:rPr>
      </w:pPr>
      <m:oMath>
        <m:r>
          <w:rPr>
            <w:rFonts w:ascii="Cambria Math" w:hAnsi="Cambria Math"/>
          </w:rPr>
          <m:t>NB=</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h</m:t>
                </m:r>
              </m:sub>
            </m:sSub>
            <m:d>
              <m:dPr>
                <m:ctrlPr>
                  <w:rPr>
                    <w:rFonts w:ascii="Cambria Math" w:hAnsi="Cambria Math"/>
                    <w:i/>
                  </w:rPr>
                </m:ctrlPr>
              </m:dPr>
              <m:e>
                <m:r>
                  <w:rPr>
                    <w:rFonts w:ascii="Cambria Math" w:hAnsi="Cambria Math"/>
                  </w:rPr>
                  <m:t>2 QALYs</m:t>
                </m:r>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e</m:t>
                </m:r>
              </m:sub>
            </m:sSub>
            <m:d>
              <m:dPr>
                <m:ctrlPr>
                  <w:rPr>
                    <w:rFonts w:ascii="Cambria Math" w:hAnsi="Cambria Math"/>
                    <w:i/>
                  </w:rPr>
                </m:ctrlPr>
              </m:dPr>
              <m:e>
                <m:r>
                  <w:rPr>
                    <w:rFonts w:ascii="Cambria Math" w:hAnsi="Cambria Math"/>
                  </w:rPr>
                  <m:t>-2 graduations</m:t>
                </m:r>
              </m:e>
            </m:d>
            <m:r>
              <w:rPr>
                <w:rFonts w:ascii="Cambria Math" w:hAnsi="Cambria Math"/>
              </w:rPr>
              <m:t>+</m:t>
            </m:r>
            <m:d>
              <m:dPr>
                <m:ctrlPr>
                  <w:rPr>
                    <w:rFonts w:ascii="Cambria Math" w:hAnsi="Cambria Math"/>
                    <w:i/>
                  </w:rPr>
                </m:ctrlPr>
              </m:dPr>
              <m:e>
                <m:r>
                  <w:rPr>
                    <w:rFonts w:ascii="Cambria Math" w:hAnsi="Cambria Math"/>
                  </w:rPr>
                  <m:t>-£146,000</m:t>
                </m:r>
              </m:e>
            </m:d>
          </m:e>
        </m:d>
      </m:oMath>
    </w:p>
    <w:p w:rsidR="00E05FE0" w:rsidRPr="00545ED4" w:rsidRDefault="00902B22" w:rsidP="00E05FE0">
      <w:pPr>
        <w:pStyle w:val="ListParagraph"/>
        <w:numPr>
          <w:ilvl w:val="0"/>
          <w:numId w:val="3"/>
        </w:numPr>
        <w:spacing w:line="360" w:lineRule="auto"/>
        <w:rPr>
          <w:rFonts w:asciiTheme="minorHAnsi" w:hAnsiTheme="minorHAnsi"/>
        </w:rPr>
      </w:pPr>
      <m:oMath>
        <m:r>
          <w:rPr>
            <w:rFonts w:ascii="Cambria Math" w:hAnsi="Cambria Math"/>
          </w:rPr>
          <m:t>NB=</m:t>
        </m:r>
        <m:d>
          <m:dPr>
            <m:ctrlPr>
              <w:rPr>
                <w:rFonts w:ascii="Cambria Math" w:hAnsi="Cambria Math"/>
                <w:i/>
              </w:rPr>
            </m:ctrlPr>
          </m:dPr>
          <m:e>
            <m:r>
              <w:rPr>
                <w:rFonts w:ascii="Cambria Math" w:hAnsi="Cambria Math"/>
              </w:rPr>
              <m:t>£60,000</m:t>
            </m:r>
            <m:d>
              <m:dPr>
                <m:ctrlPr>
                  <w:rPr>
                    <w:rFonts w:ascii="Cambria Math" w:hAnsi="Cambria Math"/>
                    <w:i/>
                  </w:rPr>
                </m:ctrlPr>
              </m:dPr>
              <m:e>
                <m:r>
                  <w:rPr>
                    <w:rFonts w:ascii="Cambria Math" w:hAnsi="Cambria Math"/>
                  </w:rPr>
                  <m:t>2 QALYs</m:t>
                </m:r>
              </m:e>
            </m:d>
            <m:r>
              <w:rPr>
                <w:rFonts w:ascii="Cambria Math" w:hAnsi="Cambria Math"/>
              </w:rPr>
              <m:t>+£46,154</m:t>
            </m:r>
            <m:d>
              <m:dPr>
                <m:ctrlPr>
                  <w:rPr>
                    <w:rFonts w:ascii="Cambria Math" w:hAnsi="Cambria Math"/>
                    <w:i/>
                  </w:rPr>
                </m:ctrlPr>
              </m:dPr>
              <m:e>
                <m:r>
                  <w:rPr>
                    <w:rFonts w:ascii="Cambria Math" w:hAnsi="Cambria Math"/>
                  </w:rPr>
                  <m:t>-2 graduation</m:t>
                </m:r>
              </m:e>
            </m:d>
            <m:r>
              <w:rPr>
                <w:rFonts w:ascii="Cambria Math" w:hAnsi="Cambria Math"/>
              </w:rPr>
              <m:t>+</m:t>
            </m:r>
            <m:d>
              <m:dPr>
                <m:ctrlPr>
                  <w:rPr>
                    <w:rFonts w:ascii="Cambria Math" w:hAnsi="Cambria Math"/>
                    <w:i/>
                  </w:rPr>
                </m:ctrlPr>
              </m:dPr>
              <m:e>
                <m:r>
                  <w:rPr>
                    <w:rFonts w:ascii="Cambria Math" w:hAnsi="Cambria Math"/>
                  </w:rPr>
                  <m:t>-£146,000</m:t>
                </m:r>
              </m:e>
            </m:d>
          </m:e>
        </m:d>
        <m:r>
          <w:rPr>
            <w:rFonts w:ascii="Cambria Math" w:hAnsi="Cambria Math"/>
          </w:rPr>
          <m:t>=-£118,308</m:t>
        </m:r>
      </m:oMath>
    </w:p>
    <w:p w:rsidR="00E05FE0" w:rsidRPr="00545ED4" w:rsidRDefault="00E05FE0" w:rsidP="00E05FE0">
      <w:pPr>
        <w:spacing w:line="360" w:lineRule="auto"/>
        <w:rPr>
          <w:rFonts w:asciiTheme="minorHAnsi" w:hAnsiTheme="minorHAnsi"/>
        </w:rPr>
      </w:pPr>
      <w:r w:rsidRPr="00545ED4">
        <w:rPr>
          <w:rFonts w:asciiTheme="minorHAnsi" w:eastAsia="Times New Roman" w:hAnsiTheme="minorHAnsi"/>
        </w:rPr>
        <w:t xml:space="preserve">Based on these values, it may be considered that the intervention should not be introduced.  However, there is no guarantee that it will be possible to get consensus between the different decision makers on the method for aggregation and the values used. </w:t>
      </w:r>
      <w:r w:rsidRPr="00545ED4">
        <w:rPr>
          <w:rFonts w:asciiTheme="minorHAnsi" w:hAnsiTheme="minorHAnsi"/>
        </w:rPr>
        <w:t>When decision makers have different objectives or relative valuations of objectives, the NB may look different to each. However, by providing the evidence on the impacts on different outcomes, and presenting results based on different relative valuations, the analyst can help to inform any deliberations between decision makers.</w:t>
      </w:r>
    </w:p>
    <w:p w:rsidR="00B31546" w:rsidRPr="00545ED4" w:rsidRDefault="00B31546" w:rsidP="00E05FE0">
      <w:pPr>
        <w:spacing w:line="360" w:lineRule="auto"/>
        <w:rPr>
          <w:rFonts w:asciiTheme="minorHAnsi" w:hAnsiTheme="minorHAnsi"/>
        </w:rPr>
      </w:pPr>
    </w:p>
    <w:p w:rsidR="00B31546" w:rsidRPr="00545ED4" w:rsidRDefault="00B31546" w:rsidP="00B31546">
      <w:pPr>
        <w:rPr>
          <w:rFonts w:asciiTheme="minorHAnsi" w:hAnsiTheme="minorHAnsi"/>
          <w:b/>
        </w:rPr>
      </w:pPr>
      <w:r w:rsidRPr="00545ED4">
        <w:rPr>
          <w:rFonts w:asciiTheme="minorHAnsi" w:hAnsiTheme="minorHAnsi"/>
          <w:b/>
        </w:rPr>
        <w:t xml:space="preserve">Appendix 2- Algebraic notation for operationalising the impact </w:t>
      </w:r>
      <w:r w:rsidR="00545ED4">
        <w:rPr>
          <w:rFonts w:asciiTheme="minorHAnsi" w:hAnsiTheme="minorHAnsi"/>
          <w:b/>
        </w:rPr>
        <w:t>inventory</w:t>
      </w:r>
      <w:r w:rsidRPr="00545ED4">
        <w:rPr>
          <w:rFonts w:asciiTheme="minorHAnsi" w:hAnsiTheme="minorHAnsi"/>
          <w:b/>
        </w:rPr>
        <w:t xml:space="preserve"> for health care</w:t>
      </w:r>
    </w:p>
    <w:p w:rsidR="00B31546" w:rsidRPr="00545ED4" w:rsidRDefault="00B31546" w:rsidP="00B31546">
      <w:pPr>
        <w:rPr>
          <w:rFonts w:asciiTheme="minorHAnsi" w:hAnsiTheme="minorHAnsi"/>
        </w:rPr>
      </w:pPr>
    </w:p>
    <w:p w:rsidR="00B31546" w:rsidRPr="00545ED4" w:rsidRDefault="00B31546" w:rsidP="00B31546">
      <w:pPr>
        <w:rPr>
          <w:rFonts w:asciiTheme="minorHAnsi" w:hAnsiTheme="minorHAnsi"/>
        </w:rPr>
      </w:pPr>
      <w:r w:rsidRPr="00545ED4">
        <w:rPr>
          <w:rFonts w:asciiTheme="minorHAnsi" w:hAnsiTheme="minorHAnsi"/>
        </w:rPr>
        <w:t xml:space="preserve">This appendix sets out algebraic notation for the use of the impact </w:t>
      </w:r>
      <w:r w:rsidR="00545ED4">
        <w:rPr>
          <w:rFonts w:asciiTheme="minorHAnsi" w:hAnsiTheme="minorHAnsi"/>
        </w:rPr>
        <w:t>inventory</w:t>
      </w:r>
      <w:r w:rsidRPr="00545ED4">
        <w:rPr>
          <w:rFonts w:asciiTheme="minorHAnsi" w:hAnsiTheme="minorHAnsi"/>
        </w:rPr>
        <w:t xml:space="preserve"> framework for economic evaluation. </w:t>
      </w:r>
    </w:p>
    <w:p w:rsidR="00B31546" w:rsidRPr="00545ED4" w:rsidRDefault="00B31546" w:rsidP="00B31546">
      <w:pPr>
        <w:rPr>
          <w:rFonts w:asciiTheme="minorHAnsi" w:hAnsiTheme="minorHAnsi"/>
        </w:rPr>
      </w:pPr>
    </w:p>
    <w:p w:rsidR="00B31546" w:rsidRPr="00545ED4" w:rsidRDefault="00B31546" w:rsidP="00B31546">
      <w:pPr>
        <w:rPr>
          <w:rFonts w:asciiTheme="minorHAnsi" w:hAnsiTheme="minorHAnsi"/>
          <w:b/>
        </w:rPr>
      </w:pPr>
      <w:r w:rsidRPr="00545ED4">
        <w:rPr>
          <w:rFonts w:asciiTheme="minorHAnsi" w:hAnsiTheme="minorHAnsi"/>
          <w:b/>
        </w:rPr>
        <w:t>A2.1 One sector: Health care only</w:t>
      </w:r>
    </w:p>
    <w:p w:rsidR="00B31546" w:rsidRPr="00545ED4" w:rsidRDefault="00B31546" w:rsidP="00B31546">
      <w:pPr>
        <w:spacing w:line="360" w:lineRule="auto"/>
        <w:rPr>
          <w:rFonts w:asciiTheme="minorHAnsi" w:hAnsiTheme="minorHAnsi"/>
        </w:rPr>
      </w:pPr>
      <w:r w:rsidRPr="00545ED4">
        <w:rPr>
          <w:rFonts w:asciiTheme="minorHAnsi" w:hAnsiTheme="minorHAnsi"/>
        </w:rPr>
        <w:t xml:space="preserve">It is assumed that each patient who receives the intervention benefits from </w:t>
      </w:r>
      <m:oMath>
        <m:r>
          <w:rPr>
            <w:rFonts w:ascii="Cambria Math" w:hAnsi="Cambria Math"/>
          </w:rPr>
          <m:t>∆h</m:t>
        </m:r>
      </m:oMath>
      <w:r w:rsidRPr="00545ED4">
        <w:rPr>
          <w:rFonts w:asciiTheme="minorHAnsi" w:hAnsiTheme="minorHAnsi"/>
        </w:rPr>
        <w:t xml:space="preserve"> additional QALYs at a cost to the health care system of </w:t>
      </w:r>
      <m:oMath>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oMath>
      <w:r w:rsidRPr="00545ED4">
        <w:rPr>
          <w:rFonts w:asciiTheme="minorHAnsi" w:eastAsiaTheme="minorEastAsia" w:hAnsiTheme="minorHAnsi"/>
        </w:rPr>
        <w:t xml:space="preserve">. At the margin it is known how much health will be forgone as a result of changes to spending in the health care system (one QALY will be lost as a result of every  </w:t>
      </w:r>
      <m:oMath>
        <m:sSub>
          <m:sSubPr>
            <m:ctrlPr>
              <w:rPr>
                <w:rFonts w:ascii="Cambria Math" w:hAnsi="Cambria Math"/>
                <w:i/>
              </w:rPr>
            </m:ctrlPr>
          </m:sSubPr>
          <m:e>
            <m:r>
              <w:rPr>
                <w:rFonts w:ascii="Cambria Math" w:hAnsi="Cambria Math"/>
              </w:rPr>
              <m:t>k</m:t>
            </m:r>
          </m:e>
          <m:sub>
            <m:r>
              <w:rPr>
                <w:rFonts w:ascii="Cambria Math" w:hAnsi="Cambria Math"/>
              </w:rPr>
              <m:t>h</m:t>
            </m:r>
          </m:sub>
        </m:sSub>
      </m:oMath>
      <w:r w:rsidRPr="00545ED4">
        <w:rPr>
          <w:rFonts w:asciiTheme="minorHAnsi" w:eastAsiaTheme="minorEastAsia" w:hAnsiTheme="minorHAnsi"/>
        </w:rPr>
        <w:t xml:space="preserve"> pounds not spent). The </w:t>
      </w:r>
      <w:r w:rsidRPr="00545ED4">
        <w:rPr>
          <w:rFonts w:asciiTheme="minorHAnsi" w:hAnsiTheme="minorHAnsi"/>
        </w:rPr>
        <w:t>health opportunity cost can, therefore, be calculated based on the</w:t>
      </w:r>
      <w:r w:rsidRPr="00545ED4">
        <w:rPr>
          <w:rFonts w:asciiTheme="minorHAnsi" w:eastAsiaTheme="minorEastAsia" w:hAnsiTheme="minorHAnsi"/>
        </w:rPr>
        <w:t xml:space="preserve"> direct health care costs (</w:t>
      </w:r>
      <m:oMath>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oMath>
      <w:r w:rsidRPr="00545ED4">
        <w:rPr>
          <w:rFonts w:asciiTheme="minorHAnsi" w:eastAsiaTheme="minorEastAsia" w:hAnsiTheme="minorHAnsi"/>
        </w:rPr>
        <w:t>) and the marginal productivity of the health care sector for health (</w:t>
      </w:r>
      <m:oMath>
        <m:sSub>
          <m:sSubPr>
            <m:ctrlPr>
              <w:rPr>
                <w:rFonts w:ascii="Cambria Math" w:hAnsi="Cambria Math"/>
                <w:i/>
              </w:rPr>
            </m:ctrlPr>
          </m:sSubPr>
          <m:e>
            <m:r>
              <w:rPr>
                <w:rFonts w:ascii="Cambria Math" w:hAnsi="Cambria Math"/>
              </w:rPr>
              <m:t>k</m:t>
            </m:r>
          </m:e>
          <m:sub>
            <m:r>
              <w:rPr>
                <w:rFonts w:ascii="Cambria Math" w:hAnsi="Cambria Math"/>
              </w:rPr>
              <m:t>h</m:t>
            </m:r>
          </m:sub>
        </m:sSub>
      </m:oMath>
      <w:r w:rsidRPr="00545ED4">
        <w:rPr>
          <w:rFonts w:asciiTheme="minorHAnsi" w:eastAsiaTheme="minorEastAsia" w:hAnsiTheme="minorHAnsi"/>
        </w:rPr>
        <w:t xml:space="preserve">). </w:t>
      </w:r>
    </w:p>
    <w:p w:rsidR="00B31546" w:rsidRPr="00545ED4" w:rsidRDefault="00B31546" w:rsidP="00B31546">
      <w:pPr>
        <w:spacing w:line="360" w:lineRule="auto"/>
        <w:rPr>
          <w:rFonts w:asciiTheme="minorHAnsi" w:hAnsiTheme="minorHAnsi"/>
        </w:rPr>
      </w:pPr>
      <w:r w:rsidRPr="00545ED4">
        <w:rPr>
          <w:rFonts w:asciiTheme="minorHAnsi" w:hAnsiTheme="minorHAnsi"/>
        </w:rPr>
        <w:t xml:space="preserve">In a simple example where two patients (1 &amp; 2) would receive the new intervention if it were introduced, and each receive health gain of </w:t>
      </w:r>
      <m:oMath>
        <m:r>
          <w:rPr>
            <w:rFonts w:ascii="Cambria Math" w:hAnsi="Cambria Math"/>
          </w:rPr>
          <m:t>∆h</m:t>
        </m:r>
      </m:oMath>
      <w:r w:rsidRPr="00545ED4">
        <w:rPr>
          <w:rFonts w:asciiTheme="minorHAnsi" w:eastAsiaTheme="minorEastAsia" w:hAnsiTheme="minorHAnsi"/>
        </w:rPr>
        <w:t>, whilst</w:t>
      </w:r>
      <w:r w:rsidRPr="00545ED4">
        <w:rPr>
          <w:rFonts w:asciiTheme="minorHAnsi" w:hAnsiTheme="minorHAnsi"/>
        </w:rPr>
        <w:t xml:space="preserve"> two other unknown individuals (X &amp; Y) would have their interventions displaced and lose health of </w:t>
      </w: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num>
          <m:den>
            <m:sSub>
              <m:sSubPr>
                <m:ctrlPr>
                  <w:rPr>
                    <w:rFonts w:ascii="Cambria Math" w:hAnsi="Cambria Math"/>
                    <w:i/>
                  </w:rPr>
                </m:ctrlPr>
              </m:sSubPr>
              <m:e>
                <m:r>
                  <w:rPr>
                    <w:rFonts w:ascii="Cambria Math" w:hAnsi="Cambria Math"/>
                  </w:rPr>
                  <m:t>k</m:t>
                </m:r>
              </m:e>
              <m:sub>
                <m:r>
                  <w:rPr>
                    <w:rFonts w:ascii="Cambria Math" w:hAnsi="Cambria Math"/>
                  </w:rPr>
                  <m:t>h</m:t>
                </m:r>
              </m:sub>
            </m:sSub>
          </m:den>
        </m:f>
        <m:r>
          <w:rPr>
            <w:rFonts w:ascii="Cambria Math" w:hAnsi="Cambria Math"/>
          </w:rPr>
          <m:t xml:space="preserve"> </m:t>
        </m:r>
      </m:oMath>
      <w:r w:rsidRPr="00545ED4">
        <w:rPr>
          <w:rFonts w:asciiTheme="minorHAnsi" w:eastAsiaTheme="minorEastAsia" w:hAnsiTheme="minorHAnsi"/>
        </w:rPr>
        <w:t xml:space="preserve">each. The impact </w:t>
      </w:r>
      <w:r w:rsidR="00545ED4">
        <w:rPr>
          <w:rFonts w:asciiTheme="minorHAnsi" w:eastAsiaTheme="minorEastAsia" w:hAnsiTheme="minorHAnsi"/>
        </w:rPr>
        <w:t>inventory</w:t>
      </w:r>
      <w:r w:rsidRPr="00545ED4">
        <w:rPr>
          <w:rFonts w:asciiTheme="minorHAnsi" w:eastAsiaTheme="minorEastAsia" w:hAnsiTheme="minorHAnsi"/>
        </w:rPr>
        <w:t xml:space="preserve"> can, therefore, be represented as shown in Figure A2.</w:t>
      </w:r>
    </w:p>
    <w:tbl>
      <w:tblPr>
        <w:tblW w:w="5038" w:type="dxa"/>
        <w:tblInd w:w="93" w:type="dxa"/>
        <w:tblLook w:val="04A0" w:firstRow="1" w:lastRow="0" w:firstColumn="1" w:lastColumn="0" w:noHBand="0" w:noVBand="1"/>
      </w:tblPr>
      <w:tblGrid>
        <w:gridCol w:w="498"/>
        <w:gridCol w:w="700"/>
        <w:gridCol w:w="1644"/>
        <w:gridCol w:w="2196"/>
      </w:tblGrid>
      <w:tr w:rsidR="00B31546" w:rsidRPr="00545ED4" w:rsidTr="00191642">
        <w:trPr>
          <w:trHeight w:val="30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3840" w:type="dxa"/>
            <w:gridSpan w:val="2"/>
            <w:tcBorders>
              <w:top w:val="single" w:sz="4" w:space="0" w:color="auto"/>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Health (QALYs)</w:t>
            </w:r>
          </w:p>
        </w:tc>
      </w:tr>
      <w:tr w:rsidR="00B31546" w:rsidRPr="00545ED4" w:rsidTr="00191642">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700"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1644"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Direct Effects</w:t>
            </w:r>
          </w:p>
        </w:tc>
        <w:tc>
          <w:tcPr>
            <w:tcW w:w="219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Opportunity costs</w:t>
            </w:r>
          </w:p>
        </w:tc>
      </w:tr>
      <w:tr w:rsidR="00B31546" w:rsidRPr="00545ED4" w:rsidTr="00191642">
        <w:trPr>
          <w:trHeight w:val="300"/>
        </w:trPr>
        <w:tc>
          <w:tcPr>
            <w:tcW w:w="498"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lastRenderedPageBreak/>
              <w:t>Individuals</w:t>
            </w:r>
          </w:p>
        </w:tc>
        <w:tc>
          <w:tcPr>
            <w:tcW w:w="700"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lang w:eastAsia="en-GB"/>
              </w:rPr>
              <w:t>1</w:t>
            </w:r>
          </w:p>
        </w:tc>
        <w:tc>
          <w:tcPr>
            <w:tcW w:w="1644"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m:oMathPara>
              <m:oMath>
                <m:r>
                  <w:rPr>
                    <w:rFonts w:ascii="Cambria Math" w:hAnsi="Cambria Math"/>
                  </w:rPr>
                  <m:t>∆h</m:t>
                </m:r>
              </m:oMath>
            </m:oMathPara>
          </w:p>
        </w:tc>
        <w:tc>
          <w:tcPr>
            <w:tcW w:w="219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r>
      <w:tr w:rsidR="00B31546" w:rsidRPr="00545ED4" w:rsidTr="00191642">
        <w:trPr>
          <w:trHeight w:val="300"/>
        </w:trPr>
        <w:tc>
          <w:tcPr>
            <w:tcW w:w="498" w:type="dxa"/>
            <w:vMerge/>
            <w:tcBorders>
              <w:top w:val="nil"/>
              <w:left w:val="single" w:sz="4" w:space="0" w:color="auto"/>
              <w:bottom w:val="single" w:sz="4" w:space="0" w:color="auto"/>
              <w:right w:val="single" w:sz="4" w:space="0" w:color="auto"/>
            </w:tcBorders>
            <w:vAlign w:val="center"/>
            <w:hideMark/>
          </w:tcPr>
          <w:p w:rsidR="00B31546" w:rsidRPr="00545ED4" w:rsidRDefault="00B31546" w:rsidP="00191642">
            <w:pPr>
              <w:spacing w:after="0" w:line="240" w:lineRule="auto"/>
              <w:rPr>
                <w:rFonts w:asciiTheme="minorHAnsi" w:eastAsia="Times New Roman" w:hAnsiTheme="minorHAnsi"/>
                <w:color w:val="000000"/>
                <w:lang w:eastAsia="en-GB"/>
              </w:rPr>
            </w:pPr>
          </w:p>
        </w:tc>
        <w:tc>
          <w:tcPr>
            <w:tcW w:w="700"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lang w:eastAsia="en-GB"/>
              </w:rPr>
              <w:t>2</w:t>
            </w:r>
          </w:p>
        </w:tc>
        <w:tc>
          <w:tcPr>
            <w:tcW w:w="1644"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m:oMathPara>
              <m:oMath>
                <m:r>
                  <w:rPr>
                    <w:rFonts w:ascii="Cambria Math" w:hAnsi="Cambria Math"/>
                  </w:rPr>
                  <m:t>∆h</m:t>
                </m:r>
              </m:oMath>
            </m:oMathPara>
          </w:p>
        </w:tc>
        <w:tc>
          <w:tcPr>
            <w:tcW w:w="219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r>
      <w:tr w:rsidR="00B31546" w:rsidRPr="00545ED4" w:rsidTr="00191642">
        <w:trPr>
          <w:trHeight w:val="300"/>
        </w:trPr>
        <w:tc>
          <w:tcPr>
            <w:tcW w:w="498" w:type="dxa"/>
            <w:vMerge/>
            <w:tcBorders>
              <w:top w:val="nil"/>
              <w:left w:val="single" w:sz="4" w:space="0" w:color="auto"/>
              <w:bottom w:val="single" w:sz="4" w:space="0" w:color="auto"/>
              <w:right w:val="single" w:sz="4" w:space="0" w:color="auto"/>
            </w:tcBorders>
            <w:vAlign w:val="center"/>
            <w:hideMark/>
          </w:tcPr>
          <w:p w:rsidR="00B31546" w:rsidRPr="00545ED4" w:rsidRDefault="00B31546" w:rsidP="00191642">
            <w:pPr>
              <w:spacing w:after="0" w:line="240" w:lineRule="auto"/>
              <w:rPr>
                <w:rFonts w:asciiTheme="minorHAnsi" w:eastAsia="Times New Roman" w:hAnsiTheme="minorHAnsi"/>
                <w:color w:val="000000"/>
                <w:lang w:eastAsia="en-GB"/>
              </w:rPr>
            </w:pPr>
          </w:p>
        </w:tc>
        <w:tc>
          <w:tcPr>
            <w:tcW w:w="700"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lang w:eastAsia="en-GB"/>
              </w:rPr>
              <w:t>x</w:t>
            </w:r>
          </w:p>
        </w:tc>
        <w:tc>
          <w:tcPr>
            <w:tcW w:w="1644"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2196" w:type="dxa"/>
            <w:tcBorders>
              <w:top w:val="nil"/>
              <w:left w:val="nil"/>
              <w:bottom w:val="single" w:sz="4" w:space="0" w:color="auto"/>
              <w:right w:val="single" w:sz="4" w:space="0" w:color="auto"/>
            </w:tcBorders>
            <w:shd w:val="clear" w:color="auto" w:fill="auto"/>
            <w:noWrap/>
            <w:vAlign w:val="bottom"/>
            <w:hideMark/>
          </w:tcPr>
          <w:p w:rsidR="00B31546" w:rsidRPr="00545ED4" w:rsidRDefault="004377FA" w:rsidP="00191642">
            <w:pPr>
              <w:spacing w:after="0" w:line="240" w:lineRule="auto"/>
              <w:jc w:val="center"/>
              <w:rPr>
                <w:rFonts w:asciiTheme="minorHAnsi" w:eastAsia="Times New Roman" w:hAnsiTheme="minorHAnsi"/>
                <w:color w:val="000000"/>
                <w:lang w:eastAsia="en-GB"/>
              </w:rPr>
            </w:pPr>
            <m:oMathPara>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num>
                  <m:den>
                    <m:sSub>
                      <m:sSubPr>
                        <m:ctrlPr>
                          <w:rPr>
                            <w:rFonts w:ascii="Cambria Math" w:hAnsi="Cambria Math"/>
                            <w:i/>
                          </w:rPr>
                        </m:ctrlPr>
                      </m:sSubPr>
                      <m:e>
                        <m:r>
                          <w:rPr>
                            <w:rFonts w:ascii="Cambria Math" w:hAnsi="Cambria Math"/>
                          </w:rPr>
                          <m:t>k</m:t>
                        </m:r>
                      </m:e>
                      <m:sub>
                        <m:r>
                          <w:rPr>
                            <w:rFonts w:ascii="Cambria Math" w:hAnsi="Cambria Math"/>
                          </w:rPr>
                          <m:t>h</m:t>
                        </m:r>
                      </m:sub>
                    </m:sSub>
                  </m:den>
                </m:f>
              </m:oMath>
            </m:oMathPara>
          </w:p>
        </w:tc>
      </w:tr>
      <w:tr w:rsidR="00B31546" w:rsidRPr="00545ED4" w:rsidTr="00191642">
        <w:trPr>
          <w:trHeight w:val="300"/>
        </w:trPr>
        <w:tc>
          <w:tcPr>
            <w:tcW w:w="498" w:type="dxa"/>
            <w:vMerge/>
            <w:tcBorders>
              <w:top w:val="nil"/>
              <w:left w:val="single" w:sz="4" w:space="0" w:color="auto"/>
              <w:bottom w:val="nil"/>
              <w:right w:val="single" w:sz="4" w:space="0" w:color="auto"/>
            </w:tcBorders>
            <w:vAlign w:val="center"/>
            <w:hideMark/>
          </w:tcPr>
          <w:p w:rsidR="00B31546" w:rsidRPr="00545ED4" w:rsidRDefault="00B31546" w:rsidP="00191642">
            <w:pPr>
              <w:spacing w:after="0" w:line="240" w:lineRule="auto"/>
              <w:rPr>
                <w:rFonts w:asciiTheme="minorHAnsi" w:eastAsia="Times New Roman" w:hAnsiTheme="minorHAnsi"/>
                <w:color w:val="000000"/>
                <w:lang w:eastAsia="en-GB"/>
              </w:rPr>
            </w:pP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lang w:eastAsia="en-GB"/>
              </w:rPr>
              <w:t>y</w:t>
            </w:r>
          </w:p>
        </w:tc>
        <w:tc>
          <w:tcPr>
            <w:tcW w:w="1644" w:type="dxa"/>
            <w:tcBorders>
              <w:top w:val="single" w:sz="4" w:space="0" w:color="auto"/>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2196" w:type="dxa"/>
            <w:tcBorders>
              <w:top w:val="single" w:sz="4" w:space="0" w:color="auto"/>
              <w:left w:val="nil"/>
              <w:bottom w:val="single" w:sz="4" w:space="0" w:color="auto"/>
              <w:right w:val="single" w:sz="4" w:space="0" w:color="auto"/>
            </w:tcBorders>
            <w:shd w:val="clear" w:color="auto" w:fill="auto"/>
            <w:noWrap/>
            <w:vAlign w:val="bottom"/>
            <w:hideMark/>
          </w:tcPr>
          <w:p w:rsidR="00B31546" w:rsidRPr="00545ED4" w:rsidRDefault="004377FA" w:rsidP="00191642">
            <w:pPr>
              <w:spacing w:after="0" w:line="240" w:lineRule="auto"/>
              <w:jc w:val="center"/>
              <w:rPr>
                <w:rFonts w:asciiTheme="minorHAnsi" w:eastAsia="Times New Roman" w:hAnsiTheme="minorHAnsi"/>
                <w:color w:val="000000"/>
                <w:lang w:eastAsia="en-GB"/>
              </w:rPr>
            </w:pPr>
            <m:oMathPara>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num>
                  <m:den>
                    <m:sSub>
                      <m:sSubPr>
                        <m:ctrlPr>
                          <w:rPr>
                            <w:rFonts w:ascii="Cambria Math" w:hAnsi="Cambria Math"/>
                            <w:i/>
                          </w:rPr>
                        </m:ctrlPr>
                      </m:sSubPr>
                      <m:e>
                        <m:r>
                          <w:rPr>
                            <w:rFonts w:ascii="Cambria Math" w:hAnsi="Cambria Math"/>
                          </w:rPr>
                          <m:t>k</m:t>
                        </m:r>
                      </m:e>
                      <m:sub>
                        <m:r>
                          <w:rPr>
                            <w:rFonts w:ascii="Cambria Math" w:hAnsi="Cambria Math"/>
                          </w:rPr>
                          <m:t>h</m:t>
                        </m:r>
                      </m:sub>
                    </m:sSub>
                  </m:den>
                </m:f>
              </m:oMath>
            </m:oMathPara>
          </w:p>
        </w:tc>
      </w:tr>
    </w:tbl>
    <w:p w:rsidR="00B31546" w:rsidRPr="00545ED4" w:rsidRDefault="00B31546" w:rsidP="00B31546">
      <w:pPr>
        <w:spacing w:line="360" w:lineRule="auto"/>
        <w:rPr>
          <w:rFonts w:asciiTheme="minorHAnsi" w:hAnsiTheme="minorHAnsi"/>
          <w:b/>
        </w:rPr>
      </w:pPr>
      <w:r w:rsidRPr="00545ED4">
        <w:rPr>
          <w:rFonts w:asciiTheme="minorHAnsi" w:hAnsiTheme="minorHAnsi"/>
          <w:b/>
        </w:rPr>
        <w:t xml:space="preserve">Figure A2: Impact </w:t>
      </w:r>
      <w:r w:rsidR="00545ED4">
        <w:rPr>
          <w:rFonts w:asciiTheme="minorHAnsi" w:hAnsiTheme="minorHAnsi"/>
          <w:b/>
        </w:rPr>
        <w:t>inventory</w:t>
      </w:r>
      <w:r w:rsidRPr="00545ED4">
        <w:rPr>
          <w:rFonts w:asciiTheme="minorHAnsi" w:hAnsiTheme="minorHAnsi"/>
          <w:b/>
        </w:rPr>
        <w:t xml:space="preserve"> for health care sector</w:t>
      </w:r>
    </w:p>
    <w:p w:rsidR="00B31546" w:rsidRPr="00545ED4" w:rsidRDefault="00B31546" w:rsidP="00B31546">
      <w:pPr>
        <w:rPr>
          <w:rFonts w:asciiTheme="minorHAnsi" w:hAnsiTheme="minorHAnsi"/>
        </w:rPr>
      </w:pPr>
    </w:p>
    <w:p w:rsidR="00B31546" w:rsidRPr="00545ED4" w:rsidRDefault="00B31546" w:rsidP="00B31546">
      <w:pPr>
        <w:rPr>
          <w:rFonts w:asciiTheme="minorHAnsi" w:hAnsiTheme="minorHAnsi"/>
          <w:b/>
        </w:rPr>
      </w:pPr>
      <w:r w:rsidRPr="00545ED4">
        <w:rPr>
          <w:rFonts w:asciiTheme="minorHAnsi" w:hAnsiTheme="minorHAnsi"/>
          <w:b/>
        </w:rPr>
        <w:t>A2.2- Two sectors: Health care and consumption</w:t>
      </w:r>
    </w:p>
    <w:p w:rsidR="00B31546" w:rsidRPr="00545ED4" w:rsidRDefault="00B31546" w:rsidP="00B31546">
      <w:pPr>
        <w:spacing w:line="360" w:lineRule="auto"/>
        <w:rPr>
          <w:rFonts w:asciiTheme="minorHAnsi" w:hAnsiTheme="minorHAnsi"/>
        </w:rPr>
      </w:pPr>
      <w:r w:rsidRPr="00545ED4">
        <w:rPr>
          <w:rFonts w:asciiTheme="minorHAnsi" w:hAnsiTheme="minorHAnsi"/>
        </w:rPr>
        <w:t xml:space="preserve">For a two-dimension impact </w:t>
      </w:r>
      <w:r w:rsidR="00545ED4">
        <w:rPr>
          <w:rFonts w:asciiTheme="minorHAnsi" w:hAnsiTheme="minorHAnsi"/>
        </w:rPr>
        <w:t>inventory</w:t>
      </w:r>
      <w:r w:rsidRPr="00545ED4">
        <w:rPr>
          <w:rFonts w:asciiTheme="minorHAnsi" w:hAnsiTheme="minorHAnsi"/>
        </w:rPr>
        <w:t xml:space="preserve"> capturing health and consumption, the impact of a new health care intervention can be split into its impact on these two outcomes.  The direct effects on consumption from the intervention for each individual treated can be estimated (</w:t>
      </w:r>
      <m:oMath>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c</m:t>
            </m:r>
          </m:sub>
        </m:sSub>
      </m:oMath>
      <w:r w:rsidRPr="00545ED4">
        <w:rPr>
          <w:rFonts w:asciiTheme="minorHAnsi" w:eastAsiaTheme="minorEastAsia" w:hAnsiTheme="minorHAnsi"/>
        </w:rPr>
        <w:t>)</w:t>
      </w:r>
      <w:r w:rsidRPr="00545ED4">
        <w:rPr>
          <w:rFonts w:asciiTheme="minorHAnsi" w:hAnsiTheme="minorHAnsi"/>
        </w:rPr>
        <w:t>.  If a new intervention is introduced, other interventions must be forgone and these interventions may also impact on consumption. As with health opportunity costs, these consumption opportunity costs can be estimated</w:t>
      </w:r>
      <w:r w:rsidRPr="00545ED4">
        <w:rPr>
          <w:rFonts w:asciiTheme="minorHAnsi" w:eastAsiaTheme="minorEastAsia" w:hAnsiTheme="minorHAnsi"/>
        </w:rPr>
        <w:t xml:space="preserve"> using the marginal productivity of the health care sector for consumption (</w:t>
      </w:r>
      <m:oMath>
        <m:sSub>
          <m:sSubPr>
            <m:ctrlPr>
              <w:rPr>
                <w:rFonts w:ascii="Cambria Math" w:hAnsi="Cambria Math"/>
                <w:i/>
              </w:rPr>
            </m:ctrlPr>
          </m:sSubPr>
          <m:e>
            <m:r>
              <w:rPr>
                <w:rFonts w:ascii="Cambria Math" w:hAnsi="Cambria Math"/>
              </w:rPr>
              <m:t>k</m:t>
            </m:r>
          </m:e>
          <m:sub>
            <m:r>
              <w:rPr>
                <w:rFonts w:ascii="Cambria Math" w:hAnsi="Cambria Math"/>
              </w:rPr>
              <m:t>hc</m:t>
            </m:r>
          </m:sub>
        </m:sSub>
      </m:oMath>
      <w:r w:rsidRPr="00545ED4">
        <w:rPr>
          <w:rFonts w:asciiTheme="minorHAnsi" w:eastAsiaTheme="minorEastAsia" w:hAnsiTheme="minorHAnsi"/>
        </w:rPr>
        <w:t xml:space="preserve">). The consumption opportunity costs are then calculated </w:t>
      </w:r>
      <w:r w:rsidRPr="00545ED4">
        <w:rPr>
          <w:rFonts w:asciiTheme="minorHAnsi" w:hAnsiTheme="minorHAnsi"/>
        </w:rPr>
        <w:t>based on the</w:t>
      </w:r>
      <w:r w:rsidRPr="00545ED4">
        <w:rPr>
          <w:rFonts w:asciiTheme="minorHAnsi" w:eastAsiaTheme="minorEastAsia" w:hAnsiTheme="minorHAnsi"/>
        </w:rPr>
        <w:t xml:space="preserve"> direct health care costs (</w:t>
      </w:r>
      <m:oMath>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oMath>
      <w:r w:rsidRPr="00545ED4">
        <w:rPr>
          <w:rFonts w:asciiTheme="minorHAnsi" w:eastAsiaTheme="minorEastAsia" w:hAnsiTheme="minorHAnsi"/>
        </w:rPr>
        <w:t>) and the marginal productivity of the health care sector for consumption (</w:t>
      </w:r>
      <m:oMath>
        <m:sSub>
          <m:sSubPr>
            <m:ctrlPr>
              <w:rPr>
                <w:rFonts w:ascii="Cambria Math" w:hAnsi="Cambria Math"/>
                <w:i/>
              </w:rPr>
            </m:ctrlPr>
          </m:sSubPr>
          <m:e>
            <m:r>
              <w:rPr>
                <w:rFonts w:ascii="Cambria Math" w:hAnsi="Cambria Math"/>
              </w:rPr>
              <m:t>k</m:t>
            </m:r>
          </m:e>
          <m:sub>
            <m:r>
              <w:rPr>
                <w:rFonts w:ascii="Cambria Math" w:hAnsi="Cambria Math"/>
              </w:rPr>
              <m:t>hc</m:t>
            </m:r>
          </m:sub>
        </m:sSub>
      </m:oMath>
      <w:r w:rsidRPr="00545ED4">
        <w:rPr>
          <w:rFonts w:asciiTheme="minorHAnsi" w:eastAsiaTheme="minorEastAsia" w:hAnsiTheme="minorHAnsi"/>
        </w:rPr>
        <w:t xml:space="preserve">).  </w:t>
      </w:r>
    </w:p>
    <w:p w:rsidR="00B31546" w:rsidRPr="00545ED4" w:rsidRDefault="00B31546" w:rsidP="00B31546">
      <w:pPr>
        <w:spacing w:line="360" w:lineRule="auto"/>
        <w:rPr>
          <w:rFonts w:asciiTheme="minorHAnsi" w:hAnsiTheme="minorHAnsi"/>
        </w:rPr>
      </w:pPr>
      <w:r w:rsidRPr="00545ED4">
        <w:rPr>
          <w:rFonts w:asciiTheme="minorHAnsi" w:hAnsiTheme="minorHAnsi"/>
        </w:rPr>
        <w:t xml:space="preserve">Expanding upon the previous simple example, two patients (1 &amp; 2) would receive the new intervention, and experience health gain of </w:t>
      </w:r>
      <m:oMath>
        <m:r>
          <w:rPr>
            <w:rFonts w:ascii="Cambria Math" w:hAnsi="Cambria Math"/>
          </w:rPr>
          <m:t>∆h</m:t>
        </m:r>
      </m:oMath>
      <w:r w:rsidRPr="00545ED4">
        <w:rPr>
          <w:rFonts w:asciiTheme="minorHAnsi" w:eastAsiaTheme="minorEastAsia" w:hAnsiTheme="minorHAnsi"/>
        </w:rPr>
        <w:t xml:space="preserve"> and consumption benefits of </w:t>
      </w:r>
      <m:oMath>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c</m:t>
            </m:r>
          </m:sub>
        </m:sSub>
      </m:oMath>
      <w:r w:rsidRPr="00545ED4">
        <w:rPr>
          <w:rFonts w:asciiTheme="minorHAnsi" w:eastAsiaTheme="minorEastAsia" w:hAnsiTheme="minorHAnsi"/>
        </w:rPr>
        <w:t xml:space="preserve"> each, whilst</w:t>
      </w:r>
      <w:r w:rsidRPr="00545ED4">
        <w:rPr>
          <w:rFonts w:asciiTheme="minorHAnsi" w:hAnsiTheme="minorHAnsi"/>
        </w:rPr>
        <w:t xml:space="preserve"> two other individuals (X &amp; Y) would have their treatment forgone and not receive health of </w:t>
      </w: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num>
          <m:den>
            <m:sSub>
              <m:sSubPr>
                <m:ctrlPr>
                  <w:rPr>
                    <w:rFonts w:ascii="Cambria Math" w:hAnsi="Cambria Math"/>
                    <w:i/>
                  </w:rPr>
                </m:ctrlPr>
              </m:sSubPr>
              <m:e>
                <m:r>
                  <w:rPr>
                    <w:rFonts w:ascii="Cambria Math" w:hAnsi="Cambria Math"/>
                  </w:rPr>
                  <m:t>k</m:t>
                </m:r>
              </m:e>
              <m:sub>
                <m:r>
                  <w:rPr>
                    <w:rFonts w:ascii="Cambria Math" w:hAnsi="Cambria Math"/>
                  </w:rPr>
                  <m:t>h</m:t>
                </m:r>
              </m:sub>
            </m:sSub>
          </m:den>
        </m:f>
      </m:oMath>
      <w:r w:rsidRPr="00545ED4">
        <w:rPr>
          <w:rFonts w:asciiTheme="minorHAnsi" w:eastAsiaTheme="minorEastAsia" w:hAnsiTheme="minorHAnsi"/>
        </w:rPr>
        <w:t xml:space="preserve">  and consumption of </w:t>
      </w: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num>
          <m:den>
            <m:sSub>
              <m:sSubPr>
                <m:ctrlPr>
                  <w:rPr>
                    <w:rFonts w:ascii="Cambria Math" w:hAnsi="Cambria Math"/>
                    <w:i/>
                  </w:rPr>
                </m:ctrlPr>
              </m:sSubPr>
              <m:e>
                <m:r>
                  <w:rPr>
                    <w:rFonts w:ascii="Cambria Math" w:hAnsi="Cambria Math"/>
                  </w:rPr>
                  <m:t>k</m:t>
                </m:r>
              </m:e>
              <m:sub>
                <m:r>
                  <w:rPr>
                    <w:rFonts w:ascii="Cambria Math" w:hAnsi="Cambria Math"/>
                  </w:rPr>
                  <m:t>hc</m:t>
                </m:r>
              </m:sub>
            </m:sSub>
          </m:den>
        </m:f>
      </m:oMath>
      <w:r w:rsidRPr="00545ED4">
        <w:rPr>
          <w:rFonts w:asciiTheme="minorHAnsi" w:eastAsiaTheme="minorEastAsia" w:hAnsiTheme="minorHAnsi"/>
        </w:rPr>
        <w:t xml:space="preserve"> each. The impact </w:t>
      </w:r>
      <w:r w:rsidR="00545ED4">
        <w:rPr>
          <w:rFonts w:asciiTheme="minorHAnsi" w:eastAsiaTheme="minorEastAsia" w:hAnsiTheme="minorHAnsi"/>
        </w:rPr>
        <w:t>inventory</w:t>
      </w:r>
      <w:r w:rsidRPr="00545ED4">
        <w:rPr>
          <w:rFonts w:asciiTheme="minorHAnsi" w:eastAsiaTheme="minorEastAsia" w:hAnsiTheme="minorHAnsi"/>
        </w:rPr>
        <w:t xml:space="preserve"> can, therefore, be represented as shown in Figure A2.</w:t>
      </w:r>
    </w:p>
    <w:tbl>
      <w:tblPr>
        <w:tblW w:w="9149" w:type="dxa"/>
        <w:tblInd w:w="93" w:type="dxa"/>
        <w:tblLook w:val="04A0" w:firstRow="1" w:lastRow="0" w:firstColumn="1" w:lastColumn="0" w:noHBand="0" w:noVBand="1"/>
      </w:tblPr>
      <w:tblGrid>
        <w:gridCol w:w="793"/>
        <w:gridCol w:w="903"/>
        <w:gridCol w:w="1250"/>
        <w:gridCol w:w="1664"/>
        <w:gridCol w:w="1250"/>
        <w:gridCol w:w="1664"/>
        <w:gridCol w:w="1625"/>
      </w:tblGrid>
      <w:tr w:rsidR="00B31546" w:rsidRPr="00545ED4" w:rsidTr="00191642">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3120" w:type="dxa"/>
            <w:gridSpan w:val="2"/>
            <w:tcBorders>
              <w:top w:val="single" w:sz="4" w:space="0" w:color="auto"/>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Health (QALYs)</w:t>
            </w:r>
          </w:p>
        </w:tc>
        <w:tc>
          <w:tcPr>
            <w:tcW w:w="3120" w:type="dxa"/>
            <w:gridSpan w:val="2"/>
            <w:tcBorders>
              <w:top w:val="single" w:sz="4" w:space="0" w:color="auto"/>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Consumption</w:t>
            </w:r>
          </w:p>
        </w:tc>
        <w:tc>
          <w:tcPr>
            <w:tcW w:w="1109" w:type="dxa"/>
            <w:tcBorders>
              <w:top w:val="single" w:sz="4" w:space="0" w:color="auto"/>
              <w:left w:val="nil"/>
              <w:bottom w:val="single" w:sz="4" w:space="0" w:color="auto"/>
              <w:right w:val="single" w:sz="4" w:space="0" w:color="auto"/>
            </w:tcBorders>
          </w:tcPr>
          <w:p w:rsidR="00B31546" w:rsidRPr="00545ED4" w:rsidRDefault="00B31546" w:rsidP="00191642">
            <w:pPr>
              <w:spacing w:after="0" w:line="240" w:lineRule="auto"/>
              <w:jc w:val="center"/>
              <w:rPr>
                <w:rFonts w:asciiTheme="minorHAnsi" w:eastAsia="Times New Roman" w:hAnsiTheme="minorHAnsi"/>
                <w:color w:val="000000"/>
                <w:lang w:eastAsia="en-GB"/>
              </w:rPr>
            </w:pPr>
          </w:p>
        </w:tc>
      </w:tr>
      <w:tr w:rsidR="00B31546" w:rsidRPr="00545ED4" w:rsidTr="00191642">
        <w:trPr>
          <w:trHeight w:val="30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133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Direct Effects</w:t>
            </w:r>
          </w:p>
        </w:tc>
        <w:tc>
          <w:tcPr>
            <w:tcW w:w="1784"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Opportunity costs</w:t>
            </w:r>
          </w:p>
        </w:tc>
        <w:tc>
          <w:tcPr>
            <w:tcW w:w="133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Direct Effects</w:t>
            </w:r>
          </w:p>
        </w:tc>
        <w:tc>
          <w:tcPr>
            <w:tcW w:w="1784"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Opportunity costs</w:t>
            </w:r>
          </w:p>
        </w:tc>
        <w:tc>
          <w:tcPr>
            <w:tcW w:w="1109" w:type="dxa"/>
            <w:tcBorders>
              <w:top w:val="nil"/>
              <w:left w:val="nil"/>
              <w:bottom w:val="single" w:sz="4" w:space="0" w:color="auto"/>
              <w:right w:val="single" w:sz="4" w:space="0" w:color="auto"/>
            </w:tcBorders>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Net benefit</w:t>
            </w:r>
          </w:p>
        </w:tc>
      </w:tr>
      <w:tr w:rsidR="00B31546" w:rsidRPr="00545ED4" w:rsidTr="00191642">
        <w:trPr>
          <w:trHeight w:val="300"/>
        </w:trPr>
        <w:tc>
          <w:tcPr>
            <w:tcW w:w="840"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Individuals</w:t>
            </w:r>
          </w:p>
        </w:tc>
        <w:tc>
          <w:tcPr>
            <w:tcW w:w="960"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lang w:eastAsia="en-GB"/>
              </w:rPr>
              <w:t>1</w:t>
            </w:r>
          </w:p>
        </w:tc>
        <w:tc>
          <w:tcPr>
            <w:tcW w:w="133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m:oMathPara>
              <m:oMath>
                <m:r>
                  <w:rPr>
                    <w:rFonts w:ascii="Cambria Math" w:hAnsi="Cambria Math"/>
                  </w:rPr>
                  <m:t>∆h</m:t>
                </m:r>
              </m:oMath>
            </m:oMathPara>
          </w:p>
        </w:tc>
        <w:tc>
          <w:tcPr>
            <w:tcW w:w="1784"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33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m:oMathPara>
              <m:oMath>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c</m:t>
                    </m:r>
                  </m:sub>
                </m:sSub>
              </m:oMath>
            </m:oMathPara>
          </w:p>
        </w:tc>
        <w:tc>
          <w:tcPr>
            <w:tcW w:w="1784"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109" w:type="dxa"/>
            <w:tcBorders>
              <w:top w:val="nil"/>
              <w:left w:val="nil"/>
              <w:bottom w:val="single" w:sz="4" w:space="0" w:color="auto"/>
              <w:right w:val="single" w:sz="4" w:space="0" w:color="auto"/>
            </w:tcBorders>
          </w:tcPr>
          <w:p w:rsidR="00B31546" w:rsidRPr="00545ED4" w:rsidRDefault="00B31546" w:rsidP="00191642">
            <w:pPr>
              <w:spacing w:after="0" w:line="240" w:lineRule="auto"/>
              <w:jc w:val="center"/>
              <w:rPr>
                <w:rFonts w:asciiTheme="minorHAnsi" w:eastAsia="Times New Roman" w:hAnsiTheme="minorHAnsi"/>
                <w:color w:val="000000"/>
                <w:lang w:eastAsia="en-GB"/>
              </w:rPr>
            </w:pPr>
            <m:oMathPara>
              <m:oMath>
                <m:r>
                  <w:rPr>
                    <w:rFonts w:ascii="Cambria Math" w:hAnsi="Cambria Math"/>
                  </w:rPr>
                  <m:t>F(∆h,∆</m:t>
                </m:r>
                <m:sSub>
                  <m:sSubPr>
                    <m:ctrlPr>
                      <w:rPr>
                        <w:rFonts w:ascii="Cambria Math" w:hAnsi="Cambria Math"/>
                        <w:i/>
                      </w:rPr>
                    </m:ctrlPr>
                  </m:sSubPr>
                  <m:e>
                    <m:r>
                      <w:rPr>
                        <w:rFonts w:ascii="Cambria Math" w:hAnsi="Cambria Math"/>
                      </w:rPr>
                      <m:t>c</m:t>
                    </m:r>
                  </m:e>
                  <m:sub>
                    <m:r>
                      <w:rPr>
                        <w:rFonts w:ascii="Cambria Math" w:hAnsi="Cambria Math"/>
                      </w:rPr>
                      <m:t>c</m:t>
                    </m:r>
                  </m:sub>
                </m:sSub>
                <m:r>
                  <w:rPr>
                    <w:rFonts w:ascii="Cambria Math" w:hAnsi="Cambria Math"/>
                  </w:rPr>
                  <m:t>)</m:t>
                </m:r>
              </m:oMath>
            </m:oMathPara>
          </w:p>
        </w:tc>
      </w:tr>
      <w:tr w:rsidR="00B31546" w:rsidRPr="00545ED4" w:rsidTr="00191642">
        <w:trPr>
          <w:trHeight w:val="300"/>
        </w:trPr>
        <w:tc>
          <w:tcPr>
            <w:tcW w:w="840" w:type="dxa"/>
            <w:vMerge/>
            <w:tcBorders>
              <w:top w:val="nil"/>
              <w:left w:val="single" w:sz="4" w:space="0" w:color="auto"/>
              <w:bottom w:val="single" w:sz="4" w:space="0" w:color="auto"/>
              <w:right w:val="single" w:sz="4" w:space="0" w:color="auto"/>
            </w:tcBorders>
            <w:vAlign w:val="center"/>
            <w:hideMark/>
          </w:tcPr>
          <w:p w:rsidR="00B31546" w:rsidRPr="00545ED4" w:rsidRDefault="00B31546" w:rsidP="00191642">
            <w:pPr>
              <w:spacing w:after="0" w:line="240" w:lineRule="auto"/>
              <w:rPr>
                <w:rFonts w:asciiTheme="minorHAnsi" w:eastAsia="Times New Roman" w:hAnsiTheme="minorHAnsi"/>
                <w:color w:val="000000"/>
                <w:lang w:eastAsia="en-GB"/>
              </w:rPr>
            </w:pPr>
          </w:p>
        </w:tc>
        <w:tc>
          <w:tcPr>
            <w:tcW w:w="960"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lang w:eastAsia="en-GB"/>
              </w:rPr>
              <w:t>2</w:t>
            </w:r>
          </w:p>
        </w:tc>
        <w:tc>
          <w:tcPr>
            <w:tcW w:w="133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m:oMathPara>
              <m:oMath>
                <m:r>
                  <w:rPr>
                    <w:rFonts w:ascii="Cambria Math" w:hAnsi="Cambria Math"/>
                  </w:rPr>
                  <m:t>∆h</m:t>
                </m:r>
              </m:oMath>
            </m:oMathPara>
          </w:p>
        </w:tc>
        <w:tc>
          <w:tcPr>
            <w:tcW w:w="1784"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33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m:oMathPara>
              <m:oMath>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c</m:t>
                    </m:r>
                  </m:sub>
                </m:sSub>
              </m:oMath>
            </m:oMathPara>
          </w:p>
        </w:tc>
        <w:tc>
          <w:tcPr>
            <w:tcW w:w="1784"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109" w:type="dxa"/>
            <w:tcBorders>
              <w:top w:val="nil"/>
              <w:left w:val="nil"/>
              <w:bottom w:val="single" w:sz="4" w:space="0" w:color="auto"/>
              <w:right w:val="single" w:sz="4" w:space="0" w:color="auto"/>
            </w:tcBorders>
          </w:tcPr>
          <w:p w:rsidR="00B31546" w:rsidRPr="00545ED4" w:rsidRDefault="00B31546" w:rsidP="00191642">
            <w:pPr>
              <w:spacing w:after="0" w:line="240" w:lineRule="auto"/>
              <w:jc w:val="center"/>
              <w:rPr>
                <w:rFonts w:asciiTheme="minorHAnsi" w:eastAsia="Times New Roman" w:hAnsiTheme="minorHAnsi"/>
                <w:color w:val="000000"/>
                <w:lang w:eastAsia="en-GB"/>
              </w:rPr>
            </w:pPr>
            <m:oMathPara>
              <m:oMath>
                <m:r>
                  <w:rPr>
                    <w:rFonts w:ascii="Cambria Math" w:hAnsi="Cambria Math"/>
                  </w:rPr>
                  <m:t>F(∆h,∆</m:t>
                </m:r>
                <m:sSub>
                  <m:sSubPr>
                    <m:ctrlPr>
                      <w:rPr>
                        <w:rFonts w:ascii="Cambria Math" w:hAnsi="Cambria Math"/>
                        <w:i/>
                      </w:rPr>
                    </m:ctrlPr>
                  </m:sSubPr>
                  <m:e>
                    <m:r>
                      <w:rPr>
                        <w:rFonts w:ascii="Cambria Math" w:hAnsi="Cambria Math"/>
                      </w:rPr>
                      <m:t>c</m:t>
                    </m:r>
                  </m:e>
                  <m:sub>
                    <m:r>
                      <w:rPr>
                        <w:rFonts w:ascii="Cambria Math" w:hAnsi="Cambria Math"/>
                      </w:rPr>
                      <m:t>c</m:t>
                    </m:r>
                  </m:sub>
                </m:sSub>
                <m:r>
                  <w:rPr>
                    <w:rFonts w:ascii="Cambria Math" w:hAnsi="Cambria Math"/>
                  </w:rPr>
                  <m:t>)</m:t>
                </m:r>
              </m:oMath>
            </m:oMathPara>
          </w:p>
        </w:tc>
      </w:tr>
      <w:tr w:rsidR="00B31546" w:rsidRPr="00545ED4" w:rsidTr="00191642">
        <w:trPr>
          <w:trHeight w:val="300"/>
        </w:trPr>
        <w:tc>
          <w:tcPr>
            <w:tcW w:w="840" w:type="dxa"/>
            <w:vMerge/>
            <w:tcBorders>
              <w:top w:val="nil"/>
              <w:left w:val="single" w:sz="4" w:space="0" w:color="auto"/>
              <w:bottom w:val="single" w:sz="4" w:space="0" w:color="auto"/>
              <w:right w:val="single" w:sz="4" w:space="0" w:color="auto"/>
            </w:tcBorders>
            <w:vAlign w:val="center"/>
            <w:hideMark/>
          </w:tcPr>
          <w:p w:rsidR="00B31546" w:rsidRPr="00545ED4" w:rsidRDefault="00B31546" w:rsidP="00191642">
            <w:pPr>
              <w:spacing w:after="0" w:line="240" w:lineRule="auto"/>
              <w:rPr>
                <w:rFonts w:asciiTheme="minorHAnsi" w:eastAsia="Times New Roman" w:hAnsiTheme="minorHAnsi"/>
                <w:color w:val="000000"/>
                <w:lang w:eastAsia="en-GB"/>
              </w:rPr>
            </w:pPr>
          </w:p>
        </w:tc>
        <w:tc>
          <w:tcPr>
            <w:tcW w:w="960"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lang w:eastAsia="en-GB"/>
              </w:rPr>
              <w:t>x</w:t>
            </w:r>
          </w:p>
        </w:tc>
        <w:tc>
          <w:tcPr>
            <w:tcW w:w="133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784" w:type="dxa"/>
            <w:tcBorders>
              <w:top w:val="nil"/>
              <w:left w:val="nil"/>
              <w:bottom w:val="single" w:sz="4" w:space="0" w:color="auto"/>
              <w:right w:val="single" w:sz="4" w:space="0" w:color="auto"/>
            </w:tcBorders>
            <w:shd w:val="clear" w:color="auto" w:fill="auto"/>
            <w:noWrap/>
            <w:vAlign w:val="bottom"/>
            <w:hideMark/>
          </w:tcPr>
          <w:p w:rsidR="00B31546" w:rsidRPr="00545ED4" w:rsidRDefault="004377FA" w:rsidP="00191642">
            <w:pPr>
              <w:spacing w:after="0" w:line="240" w:lineRule="auto"/>
              <w:jc w:val="center"/>
              <w:rPr>
                <w:rFonts w:asciiTheme="minorHAnsi" w:eastAsia="Times New Roman" w:hAnsiTheme="minorHAnsi"/>
                <w:color w:val="000000"/>
                <w:lang w:eastAsia="en-GB"/>
              </w:rPr>
            </w:pPr>
            <m:oMathPara>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num>
                  <m:den>
                    <m:sSub>
                      <m:sSubPr>
                        <m:ctrlPr>
                          <w:rPr>
                            <w:rFonts w:ascii="Cambria Math" w:hAnsi="Cambria Math"/>
                            <w:i/>
                          </w:rPr>
                        </m:ctrlPr>
                      </m:sSubPr>
                      <m:e>
                        <m:r>
                          <w:rPr>
                            <w:rFonts w:ascii="Cambria Math" w:hAnsi="Cambria Math"/>
                          </w:rPr>
                          <m:t>k</m:t>
                        </m:r>
                      </m:e>
                      <m:sub>
                        <m:r>
                          <w:rPr>
                            <w:rFonts w:ascii="Cambria Math" w:hAnsi="Cambria Math"/>
                          </w:rPr>
                          <m:t>h</m:t>
                        </m:r>
                      </m:sub>
                    </m:sSub>
                  </m:den>
                </m:f>
              </m:oMath>
            </m:oMathPara>
          </w:p>
        </w:tc>
        <w:tc>
          <w:tcPr>
            <w:tcW w:w="133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784" w:type="dxa"/>
            <w:tcBorders>
              <w:top w:val="nil"/>
              <w:left w:val="nil"/>
              <w:bottom w:val="single" w:sz="4" w:space="0" w:color="auto"/>
              <w:right w:val="single" w:sz="4" w:space="0" w:color="auto"/>
            </w:tcBorders>
            <w:shd w:val="clear" w:color="auto" w:fill="auto"/>
            <w:noWrap/>
            <w:vAlign w:val="bottom"/>
            <w:hideMark/>
          </w:tcPr>
          <w:p w:rsidR="00B31546" w:rsidRPr="00545ED4" w:rsidRDefault="004377FA" w:rsidP="00191642">
            <w:pPr>
              <w:spacing w:after="0" w:line="240" w:lineRule="auto"/>
              <w:jc w:val="center"/>
              <w:rPr>
                <w:rFonts w:asciiTheme="minorHAnsi" w:eastAsia="Times New Roman" w:hAnsiTheme="minorHAnsi"/>
                <w:color w:val="000000"/>
                <w:lang w:eastAsia="en-GB"/>
              </w:rPr>
            </w:pPr>
            <m:oMathPara>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num>
                  <m:den>
                    <m:sSub>
                      <m:sSubPr>
                        <m:ctrlPr>
                          <w:rPr>
                            <w:rFonts w:ascii="Cambria Math" w:hAnsi="Cambria Math"/>
                            <w:i/>
                          </w:rPr>
                        </m:ctrlPr>
                      </m:sSubPr>
                      <m:e>
                        <m:r>
                          <w:rPr>
                            <w:rFonts w:ascii="Cambria Math" w:hAnsi="Cambria Math"/>
                          </w:rPr>
                          <m:t>k</m:t>
                        </m:r>
                      </m:e>
                      <m:sub>
                        <m:r>
                          <w:rPr>
                            <w:rFonts w:ascii="Cambria Math" w:hAnsi="Cambria Math"/>
                          </w:rPr>
                          <m:t>hc</m:t>
                        </m:r>
                      </m:sub>
                    </m:sSub>
                  </m:den>
                </m:f>
              </m:oMath>
            </m:oMathPara>
          </w:p>
        </w:tc>
        <w:tc>
          <w:tcPr>
            <w:tcW w:w="1109" w:type="dxa"/>
            <w:tcBorders>
              <w:top w:val="nil"/>
              <w:left w:val="nil"/>
              <w:bottom w:val="single" w:sz="4" w:space="0" w:color="auto"/>
              <w:right w:val="single" w:sz="4" w:space="0" w:color="auto"/>
            </w:tcBorders>
          </w:tcPr>
          <w:p w:rsidR="00B31546" w:rsidRPr="00545ED4" w:rsidRDefault="00B31546" w:rsidP="00191642">
            <w:pPr>
              <w:spacing w:after="0" w:line="240" w:lineRule="auto"/>
              <w:jc w:val="center"/>
              <w:rPr>
                <w:rFonts w:asciiTheme="minorHAnsi" w:eastAsia="Times New Roman" w:hAnsiTheme="minorHAnsi"/>
                <w:color w:val="000000"/>
                <w:lang w:eastAsia="en-GB"/>
              </w:rPr>
            </w:pPr>
            <m:oMathPara>
              <m:oMath>
                <m:r>
                  <w:rPr>
                    <w:rFonts w:ascii="Cambria Math" w:hAnsi="Cambria Math"/>
                  </w:rPr>
                  <m:t>F(-</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num>
                  <m:den>
                    <m:sSub>
                      <m:sSubPr>
                        <m:ctrlPr>
                          <w:rPr>
                            <w:rFonts w:ascii="Cambria Math" w:hAnsi="Cambria Math"/>
                            <w:i/>
                          </w:rPr>
                        </m:ctrlPr>
                      </m:sSubPr>
                      <m:e>
                        <m:r>
                          <w:rPr>
                            <w:rFonts w:ascii="Cambria Math" w:hAnsi="Cambria Math"/>
                          </w:rPr>
                          <m:t>k</m:t>
                        </m:r>
                      </m:e>
                      <m:sub>
                        <m:r>
                          <w:rPr>
                            <w:rFonts w:ascii="Cambria Math" w:hAnsi="Cambria Math"/>
                          </w:rPr>
                          <m:t>h</m:t>
                        </m:r>
                      </m:sub>
                    </m:sSub>
                  </m:den>
                </m:f>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num>
                  <m:den>
                    <m:sSub>
                      <m:sSubPr>
                        <m:ctrlPr>
                          <w:rPr>
                            <w:rFonts w:ascii="Cambria Math" w:hAnsi="Cambria Math"/>
                            <w:i/>
                          </w:rPr>
                        </m:ctrlPr>
                      </m:sSubPr>
                      <m:e>
                        <m:r>
                          <w:rPr>
                            <w:rFonts w:ascii="Cambria Math" w:hAnsi="Cambria Math"/>
                          </w:rPr>
                          <m:t>k</m:t>
                        </m:r>
                      </m:e>
                      <m:sub>
                        <m:r>
                          <w:rPr>
                            <w:rFonts w:ascii="Cambria Math" w:hAnsi="Cambria Math"/>
                          </w:rPr>
                          <m:t>hc</m:t>
                        </m:r>
                      </m:sub>
                    </m:sSub>
                  </m:den>
                </m:f>
                <m:r>
                  <w:rPr>
                    <w:rFonts w:ascii="Cambria Math" w:hAnsi="Cambria Math"/>
                  </w:rPr>
                  <m:t>)</m:t>
                </m:r>
              </m:oMath>
            </m:oMathPara>
          </w:p>
        </w:tc>
      </w:tr>
      <w:tr w:rsidR="00B31546" w:rsidRPr="00545ED4" w:rsidTr="00191642">
        <w:trPr>
          <w:trHeight w:val="300"/>
        </w:trPr>
        <w:tc>
          <w:tcPr>
            <w:tcW w:w="840" w:type="dxa"/>
            <w:vMerge/>
            <w:tcBorders>
              <w:top w:val="nil"/>
              <w:left w:val="single" w:sz="4" w:space="0" w:color="auto"/>
              <w:bottom w:val="single" w:sz="4" w:space="0" w:color="auto"/>
              <w:right w:val="single" w:sz="4" w:space="0" w:color="auto"/>
            </w:tcBorders>
            <w:vAlign w:val="center"/>
            <w:hideMark/>
          </w:tcPr>
          <w:p w:rsidR="00B31546" w:rsidRPr="00545ED4" w:rsidRDefault="00B31546" w:rsidP="00191642">
            <w:pPr>
              <w:spacing w:after="0" w:line="240" w:lineRule="auto"/>
              <w:rPr>
                <w:rFonts w:asciiTheme="minorHAnsi" w:eastAsia="Times New Roman" w:hAnsiTheme="minorHAnsi"/>
                <w:color w:val="000000"/>
                <w:lang w:eastAsia="en-GB"/>
              </w:rPr>
            </w:pPr>
          </w:p>
        </w:tc>
        <w:tc>
          <w:tcPr>
            <w:tcW w:w="960"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lang w:eastAsia="en-GB"/>
              </w:rPr>
              <w:t>y</w:t>
            </w:r>
          </w:p>
        </w:tc>
        <w:tc>
          <w:tcPr>
            <w:tcW w:w="133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784" w:type="dxa"/>
            <w:tcBorders>
              <w:top w:val="nil"/>
              <w:left w:val="nil"/>
              <w:bottom w:val="single" w:sz="4" w:space="0" w:color="auto"/>
              <w:right w:val="single" w:sz="4" w:space="0" w:color="auto"/>
            </w:tcBorders>
            <w:shd w:val="clear" w:color="auto" w:fill="auto"/>
            <w:noWrap/>
            <w:vAlign w:val="bottom"/>
            <w:hideMark/>
          </w:tcPr>
          <w:p w:rsidR="00B31546" w:rsidRPr="00545ED4" w:rsidRDefault="004377FA" w:rsidP="00191642">
            <w:pPr>
              <w:spacing w:after="0" w:line="240" w:lineRule="auto"/>
              <w:jc w:val="center"/>
              <w:rPr>
                <w:rFonts w:asciiTheme="minorHAnsi" w:eastAsia="Times New Roman" w:hAnsiTheme="minorHAnsi"/>
                <w:color w:val="000000"/>
                <w:lang w:eastAsia="en-GB"/>
              </w:rPr>
            </w:pPr>
            <m:oMathPara>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num>
                  <m:den>
                    <m:sSub>
                      <m:sSubPr>
                        <m:ctrlPr>
                          <w:rPr>
                            <w:rFonts w:ascii="Cambria Math" w:hAnsi="Cambria Math"/>
                            <w:i/>
                          </w:rPr>
                        </m:ctrlPr>
                      </m:sSubPr>
                      <m:e>
                        <m:r>
                          <w:rPr>
                            <w:rFonts w:ascii="Cambria Math" w:hAnsi="Cambria Math"/>
                          </w:rPr>
                          <m:t>k</m:t>
                        </m:r>
                      </m:e>
                      <m:sub>
                        <m:r>
                          <w:rPr>
                            <w:rFonts w:ascii="Cambria Math" w:hAnsi="Cambria Math"/>
                          </w:rPr>
                          <m:t>h</m:t>
                        </m:r>
                      </m:sub>
                    </m:sSub>
                  </m:den>
                </m:f>
              </m:oMath>
            </m:oMathPara>
          </w:p>
        </w:tc>
        <w:tc>
          <w:tcPr>
            <w:tcW w:w="133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784" w:type="dxa"/>
            <w:tcBorders>
              <w:top w:val="nil"/>
              <w:left w:val="nil"/>
              <w:bottom w:val="single" w:sz="4" w:space="0" w:color="auto"/>
              <w:right w:val="single" w:sz="4" w:space="0" w:color="auto"/>
            </w:tcBorders>
            <w:shd w:val="clear" w:color="auto" w:fill="auto"/>
            <w:noWrap/>
            <w:vAlign w:val="bottom"/>
            <w:hideMark/>
          </w:tcPr>
          <w:p w:rsidR="00B31546" w:rsidRPr="00545ED4" w:rsidRDefault="004377FA" w:rsidP="00191642">
            <w:pPr>
              <w:spacing w:after="0" w:line="240" w:lineRule="auto"/>
              <w:jc w:val="center"/>
              <w:rPr>
                <w:rFonts w:asciiTheme="minorHAnsi" w:eastAsia="Times New Roman" w:hAnsiTheme="minorHAnsi"/>
                <w:color w:val="000000"/>
                <w:lang w:eastAsia="en-GB"/>
              </w:rPr>
            </w:pPr>
            <m:oMathPara>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num>
                  <m:den>
                    <m:sSub>
                      <m:sSubPr>
                        <m:ctrlPr>
                          <w:rPr>
                            <w:rFonts w:ascii="Cambria Math" w:hAnsi="Cambria Math"/>
                            <w:i/>
                          </w:rPr>
                        </m:ctrlPr>
                      </m:sSubPr>
                      <m:e>
                        <m:r>
                          <w:rPr>
                            <w:rFonts w:ascii="Cambria Math" w:hAnsi="Cambria Math"/>
                          </w:rPr>
                          <m:t>k</m:t>
                        </m:r>
                      </m:e>
                      <m:sub>
                        <m:r>
                          <w:rPr>
                            <w:rFonts w:ascii="Cambria Math" w:hAnsi="Cambria Math"/>
                          </w:rPr>
                          <m:t>hc</m:t>
                        </m:r>
                      </m:sub>
                    </m:sSub>
                  </m:den>
                </m:f>
              </m:oMath>
            </m:oMathPara>
          </w:p>
        </w:tc>
        <w:tc>
          <w:tcPr>
            <w:tcW w:w="1109" w:type="dxa"/>
            <w:tcBorders>
              <w:top w:val="nil"/>
              <w:left w:val="nil"/>
              <w:bottom w:val="single" w:sz="4" w:space="0" w:color="auto"/>
              <w:right w:val="single" w:sz="4" w:space="0" w:color="auto"/>
            </w:tcBorders>
          </w:tcPr>
          <w:p w:rsidR="00B31546" w:rsidRPr="00545ED4" w:rsidRDefault="00B31546" w:rsidP="00191642">
            <w:pPr>
              <w:spacing w:after="0" w:line="240" w:lineRule="auto"/>
              <w:jc w:val="center"/>
              <w:rPr>
                <w:rFonts w:asciiTheme="minorHAnsi" w:eastAsia="Times New Roman" w:hAnsiTheme="minorHAnsi"/>
                <w:color w:val="000000"/>
                <w:lang w:eastAsia="en-GB"/>
              </w:rPr>
            </w:pPr>
            <m:oMathPara>
              <m:oMath>
                <m:r>
                  <w:rPr>
                    <w:rFonts w:ascii="Cambria Math" w:hAnsi="Cambria Math"/>
                  </w:rPr>
                  <m:t>F(-</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num>
                  <m:den>
                    <m:sSub>
                      <m:sSubPr>
                        <m:ctrlPr>
                          <w:rPr>
                            <w:rFonts w:ascii="Cambria Math" w:hAnsi="Cambria Math"/>
                            <w:i/>
                          </w:rPr>
                        </m:ctrlPr>
                      </m:sSubPr>
                      <m:e>
                        <m:r>
                          <w:rPr>
                            <w:rFonts w:ascii="Cambria Math" w:hAnsi="Cambria Math"/>
                          </w:rPr>
                          <m:t>k</m:t>
                        </m:r>
                      </m:e>
                      <m:sub>
                        <m:r>
                          <w:rPr>
                            <w:rFonts w:ascii="Cambria Math" w:hAnsi="Cambria Math"/>
                          </w:rPr>
                          <m:t>h</m:t>
                        </m:r>
                      </m:sub>
                    </m:sSub>
                  </m:den>
                </m:f>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num>
                  <m:den>
                    <m:sSub>
                      <m:sSubPr>
                        <m:ctrlPr>
                          <w:rPr>
                            <w:rFonts w:ascii="Cambria Math" w:hAnsi="Cambria Math"/>
                            <w:i/>
                          </w:rPr>
                        </m:ctrlPr>
                      </m:sSubPr>
                      <m:e>
                        <m:r>
                          <w:rPr>
                            <w:rFonts w:ascii="Cambria Math" w:hAnsi="Cambria Math"/>
                          </w:rPr>
                          <m:t>k</m:t>
                        </m:r>
                      </m:e>
                      <m:sub>
                        <m:r>
                          <w:rPr>
                            <w:rFonts w:ascii="Cambria Math" w:hAnsi="Cambria Math"/>
                          </w:rPr>
                          <m:t>hc</m:t>
                        </m:r>
                      </m:sub>
                    </m:sSub>
                  </m:den>
                </m:f>
                <m:r>
                  <w:rPr>
                    <w:rFonts w:ascii="Cambria Math" w:hAnsi="Cambria Math"/>
                  </w:rPr>
                  <m:t>)</m:t>
                </m:r>
              </m:oMath>
            </m:oMathPara>
          </w:p>
        </w:tc>
      </w:tr>
      <w:tr w:rsidR="00B31546" w:rsidRPr="00545ED4" w:rsidTr="00191642">
        <w:trPr>
          <w:trHeight w:val="300"/>
        </w:trPr>
        <w:tc>
          <w:tcPr>
            <w:tcW w:w="840" w:type="dxa"/>
            <w:tcBorders>
              <w:top w:val="single" w:sz="4" w:space="0" w:color="auto"/>
              <w:left w:val="single" w:sz="4" w:space="0" w:color="auto"/>
              <w:bottom w:val="single" w:sz="4" w:space="0" w:color="auto"/>
              <w:right w:val="single" w:sz="4" w:space="0" w:color="auto"/>
            </w:tcBorders>
            <w:vAlign w:val="center"/>
          </w:tcPr>
          <w:p w:rsidR="00B31546" w:rsidRPr="00545ED4" w:rsidRDefault="00B31546" w:rsidP="00191642">
            <w:pPr>
              <w:spacing w:after="0" w:line="240" w:lineRule="auto"/>
              <w:rPr>
                <w:rFonts w:asciiTheme="minorHAnsi" w:eastAsia="Times New Roman" w:hAnsiTheme="minorHAnsi"/>
                <w:color w:val="000000"/>
                <w:lang w:eastAsia="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Net benefit</w:t>
            </w:r>
          </w:p>
        </w:tc>
        <w:tc>
          <w:tcPr>
            <w:tcW w:w="3120" w:type="dxa"/>
            <w:gridSpan w:val="2"/>
            <w:tcBorders>
              <w:top w:val="single" w:sz="4" w:space="0" w:color="auto"/>
              <w:left w:val="nil"/>
              <w:bottom w:val="single" w:sz="4" w:space="0" w:color="auto"/>
              <w:right w:val="single" w:sz="4" w:space="0" w:color="auto"/>
            </w:tcBorders>
            <w:shd w:val="clear" w:color="auto" w:fill="auto"/>
            <w:noWrap/>
            <w:vAlign w:val="bottom"/>
          </w:tcPr>
          <w:p w:rsidR="00B31546" w:rsidRPr="00545ED4" w:rsidRDefault="00B31546" w:rsidP="00191642">
            <w:pPr>
              <w:spacing w:after="0" w:line="240" w:lineRule="auto"/>
              <w:jc w:val="center"/>
              <w:rPr>
                <w:rFonts w:asciiTheme="minorHAnsi" w:eastAsia="Times New Roman" w:hAnsiTheme="minorHAnsi"/>
                <w:color w:val="000000"/>
                <w:lang w:eastAsia="en-GB"/>
              </w:rPr>
            </w:pPr>
            <m:oMathPara>
              <m:oMath>
                <m:r>
                  <w:rPr>
                    <w:rFonts w:ascii="Cambria Math" w:hAnsi="Cambria Math"/>
                  </w:rPr>
                  <m:t>2∙(∆</m:t>
                </m:r>
                <m:r>
                  <w:rPr>
                    <w:rFonts w:ascii="Cambria Math" w:hAnsi="Cambria Math"/>
                  </w:rPr>
                  <m:t>h-</m:t>
                </m:r>
                <m:r>
                  <m:rPr>
                    <m:sty m:val="p"/>
                  </m:rPr>
                  <w:rPr>
                    <w:rFonts w:ascii="Cambria Math" w:eastAsia="Times New Roman" w:hAnsi="Cambria Math"/>
                    <w:color w:val="000000"/>
                    <w:lang w:eastAsia="en-GB"/>
                  </w:rPr>
                  <m:t> </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num>
                  <m:den>
                    <m:sSub>
                      <m:sSubPr>
                        <m:ctrlPr>
                          <w:rPr>
                            <w:rFonts w:ascii="Cambria Math" w:hAnsi="Cambria Math"/>
                            <w:i/>
                          </w:rPr>
                        </m:ctrlPr>
                      </m:sSubPr>
                      <m:e>
                        <m:r>
                          <w:rPr>
                            <w:rFonts w:ascii="Cambria Math" w:hAnsi="Cambria Math"/>
                          </w:rPr>
                          <m:t>k</m:t>
                        </m:r>
                      </m:e>
                      <m:sub>
                        <m:r>
                          <w:rPr>
                            <w:rFonts w:ascii="Cambria Math" w:hAnsi="Cambria Math"/>
                          </w:rPr>
                          <m:t>h</m:t>
                        </m:r>
                      </m:sub>
                    </m:sSub>
                  </m:den>
                </m:f>
                <m:r>
                  <w:rPr>
                    <w:rFonts w:ascii="Cambria Math" w:hAnsi="Cambria Math"/>
                  </w:rPr>
                  <m:t>)</m:t>
                </m:r>
              </m:oMath>
            </m:oMathPara>
          </w:p>
        </w:tc>
        <w:tc>
          <w:tcPr>
            <w:tcW w:w="3120" w:type="dxa"/>
            <w:gridSpan w:val="2"/>
            <w:tcBorders>
              <w:top w:val="single" w:sz="4" w:space="0" w:color="auto"/>
              <w:left w:val="nil"/>
              <w:bottom w:val="single" w:sz="4" w:space="0" w:color="auto"/>
              <w:right w:val="single" w:sz="4" w:space="0" w:color="auto"/>
            </w:tcBorders>
            <w:shd w:val="clear" w:color="auto" w:fill="auto"/>
            <w:noWrap/>
            <w:vAlign w:val="bottom"/>
          </w:tcPr>
          <w:p w:rsidR="00B31546" w:rsidRPr="00545ED4" w:rsidRDefault="00B31546" w:rsidP="00191642">
            <w:pPr>
              <w:spacing w:after="0" w:line="240" w:lineRule="auto"/>
              <w:jc w:val="center"/>
              <w:rPr>
                <w:rFonts w:asciiTheme="minorHAnsi" w:eastAsia="Times New Roman" w:hAnsiTheme="minorHAnsi"/>
                <w:color w:val="000000"/>
                <w:lang w:eastAsia="en-GB"/>
              </w:rPr>
            </w:pPr>
            <m:oMathPara>
              <m:oMath>
                <m:r>
                  <w:rPr>
                    <w:rFonts w:ascii="Cambria Math" w:hAnsi="Cambria Math"/>
                  </w:rPr>
                  <m:t>2∙(∆</m:t>
                </m:r>
                <m:sSub>
                  <m:sSubPr>
                    <m:ctrlPr>
                      <w:rPr>
                        <w:rFonts w:ascii="Cambria Math" w:hAnsi="Cambria Math"/>
                        <w:i/>
                      </w:rPr>
                    </m:ctrlPr>
                  </m:sSubPr>
                  <m:e>
                    <m:r>
                      <w:rPr>
                        <w:rFonts w:ascii="Cambria Math" w:hAnsi="Cambria Math"/>
                      </w:rPr>
                      <m:t>c</m:t>
                    </m:r>
                  </m:e>
                  <m:sub>
                    <m:r>
                      <w:rPr>
                        <w:rFonts w:ascii="Cambria Math" w:hAnsi="Cambria Math"/>
                      </w:rPr>
                      <m:t>c</m:t>
                    </m:r>
                  </m:sub>
                </m:sSub>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num>
                  <m:den>
                    <m:sSub>
                      <m:sSubPr>
                        <m:ctrlPr>
                          <w:rPr>
                            <w:rFonts w:ascii="Cambria Math" w:hAnsi="Cambria Math"/>
                            <w:i/>
                          </w:rPr>
                        </m:ctrlPr>
                      </m:sSubPr>
                      <m:e>
                        <m:r>
                          <w:rPr>
                            <w:rFonts w:ascii="Cambria Math" w:hAnsi="Cambria Math"/>
                          </w:rPr>
                          <m:t>k</m:t>
                        </m:r>
                      </m:e>
                      <m:sub>
                        <m:r>
                          <w:rPr>
                            <w:rFonts w:ascii="Cambria Math" w:hAnsi="Cambria Math"/>
                          </w:rPr>
                          <m:t>hc</m:t>
                        </m:r>
                      </m:sub>
                    </m:sSub>
                  </m:den>
                </m:f>
                <m:r>
                  <w:rPr>
                    <w:rFonts w:ascii="Cambria Math" w:hAnsi="Cambria Math"/>
                  </w:rPr>
                  <m:t>)</m:t>
                </m:r>
              </m:oMath>
            </m:oMathPara>
          </w:p>
        </w:tc>
        <w:tc>
          <w:tcPr>
            <w:tcW w:w="1109" w:type="dxa"/>
            <w:tcBorders>
              <w:top w:val="single" w:sz="4" w:space="0" w:color="auto"/>
              <w:left w:val="nil"/>
              <w:bottom w:val="single" w:sz="4" w:space="0" w:color="auto"/>
              <w:right w:val="single" w:sz="4" w:space="0" w:color="auto"/>
            </w:tcBorders>
          </w:tcPr>
          <w:p w:rsidR="00B31546" w:rsidRPr="00545ED4" w:rsidRDefault="00B31546" w:rsidP="00191642">
            <w:pPr>
              <w:spacing w:after="0" w:line="240" w:lineRule="auto"/>
              <w:jc w:val="center"/>
              <w:rPr>
                <w:rFonts w:asciiTheme="minorHAnsi" w:eastAsia="Times New Roman" w:hAnsiTheme="minorHAnsi"/>
                <w:color w:val="000000"/>
                <w:lang w:eastAsia="en-GB"/>
              </w:rPr>
            </w:pPr>
          </w:p>
        </w:tc>
      </w:tr>
    </w:tbl>
    <w:p w:rsidR="00B31546" w:rsidRPr="00545ED4" w:rsidRDefault="00B31546" w:rsidP="00B31546">
      <w:pPr>
        <w:spacing w:line="360" w:lineRule="auto"/>
        <w:rPr>
          <w:rFonts w:asciiTheme="minorHAnsi" w:hAnsiTheme="minorHAnsi"/>
          <w:b/>
        </w:rPr>
      </w:pPr>
      <w:r w:rsidRPr="00545ED4">
        <w:rPr>
          <w:rFonts w:asciiTheme="minorHAnsi" w:hAnsiTheme="minorHAnsi"/>
          <w:b/>
        </w:rPr>
        <w:t xml:space="preserve">Figure A2: Impact </w:t>
      </w:r>
      <w:r w:rsidR="00545ED4">
        <w:rPr>
          <w:rFonts w:asciiTheme="minorHAnsi" w:hAnsiTheme="minorHAnsi"/>
          <w:b/>
        </w:rPr>
        <w:t>inventory</w:t>
      </w:r>
      <w:r w:rsidRPr="00545ED4">
        <w:rPr>
          <w:rFonts w:asciiTheme="minorHAnsi" w:hAnsiTheme="minorHAnsi"/>
          <w:b/>
        </w:rPr>
        <w:t xml:space="preserve"> for consumption</w:t>
      </w:r>
    </w:p>
    <w:p w:rsidR="00B31546" w:rsidRPr="00545ED4" w:rsidRDefault="00B31546" w:rsidP="00B31546">
      <w:pPr>
        <w:spacing w:line="360" w:lineRule="auto"/>
        <w:rPr>
          <w:rFonts w:asciiTheme="minorHAnsi" w:hAnsiTheme="minorHAnsi"/>
          <w:b/>
        </w:rPr>
      </w:pPr>
    </w:p>
    <w:p w:rsidR="00B31546" w:rsidRPr="00545ED4" w:rsidRDefault="00B31546" w:rsidP="00B31546">
      <w:pPr>
        <w:rPr>
          <w:rFonts w:asciiTheme="minorHAnsi" w:hAnsiTheme="minorHAnsi"/>
          <w:b/>
        </w:rPr>
      </w:pPr>
      <w:r w:rsidRPr="00545ED4">
        <w:rPr>
          <w:rFonts w:asciiTheme="minorHAnsi" w:hAnsiTheme="minorHAnsi"/>
          <w:b/>
        </w:rPr>
        <w:t>A2.3- Three sectors: Health care, education and consumption</w:t>
      </w:r>
    </w:p>
    <w:p w:rsidR="00B31546" w:rsidRPr="00545ED4" w:rsidRDefault="00B31546" w:rsidP="00B31546">
      <w:pPr>
        <w:spacing w:line="360" w:lineRule="auto"/>
        <w:rPr>
          <w:rFonts w:asciiTheme="minorHAnsi" w:eastAsiaTheme="minorEastAsia" w:hAnsiTheme="minorHAnsi"/>
        </w:rPr>
      </w:pPr>
      <w:r w:rsidRPr="00545ED4">
        <w:rPr>
          <w:rFonts w:asciiTheme="minorHAnsi" w:hAnsiTheme="minorHAnsi"/>
        </w:rPr>
        <w:lastRenderedPageBreak/>
        <w:t xml:space="preserve">For a three-dimension impact </w:t>
      </w:r>
      <w:r w:rsidR="00545ED4">
        <w:rPr>
          <w:rFonts w:asciiTheme="minorHAnsi" w:hAnsiTheme="minorHAnsi"/>
        </w:rPr>
        <w:t>inventory</w:t>
      </w:r>
      <w:r w:rsidRPr="00545ED4">
        <w:rPr>
          <w:rFonts w:asciiTheme="minorHAnsi" w:hAnsiTheme="minorHAnsi"/>
        </w:rPr>
        <w:t xml:space="preserve"> capturing individual’s health, education and consumption; the new intervention has a direct impact on health (</w:t>
      </w:r>
      <m:oMath>
        <m:r>
          <w:rPr>
            <w:rFonts w:ascii="Cambria Math" w:hAnsi="Cambria Math"/>
          </w:rPr>
          <m:t>∆h</m:t>
        </m:r>
      </m:oMath>
      <w:r w:rsidRPr="00545ED4">
        <w:rPr>
          <w:rFonts w:asciiTheme="minorHAnsi" w:eastAsiaTheme="minorEastAsia" w:hAnsiTheme="minorHAnsi"/>
        </w:rPr>
        <w:t>), education (</w:t>
      </w:r>
      <m:oMath>
        <m:r>
          <w:rPr>
            <w:rFonts w:ascii="Cambria Math" w:hAnsi="Cambria Math"/>
          </w:rPr>
          <m:t>∆e</m:t>
        </m:r>
      </m:oMath>
      <w:r w:rsidRPr="00545ED4">
        <w:rPr>
          <w:rFonts w:asciiTheme="minorHAnsi" w:eastAsiaTheme="minorEastAsia" w:hAnsiTheme="minorHAnsi"/>
        </w:rPr>
        <w:t>), health care costs (</w:t>
      </w:r>
      <m:oMath>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oMath>
      <w:r w:rsidRPr="00545ED4">
        <w:rPr>
          <w:rFonts w:asciiTheme="minorHAnsi" w:eastAsiaTheme="minorEastAsia" w:hAnsiTheme="minorHAnsi"/>
        </w:rPr>
        <w:t>), education costs (</w:t>
      </w:r>
      <m:oMath>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e</m:t>
            </m:r>
          </m:sub>
        </m:sSub>
      </m:oMath>
      <w:r w:rsidRPr="00545ED4">
        <w:rPr>
          <w:rFonts w:asciiTheme="minorHAnsi" w:eastAsiaTheme="minorEastAsia" w:hAnsiTheme="minorHAnsi"/>
        </w:rPr>
        <w:t>) and consumption (</w:t>
      </w:r>
      <m:oMath>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c</m:t>
            </m:r>
          </m:sub>
        </m:sSub>
      </m:oMath>
      <w:r w:rsidRPr="00545ED4">
        <w:rPr>
          <w:rFonts w:asciiTheme="minorHAnsi" w:eastAsiaTheme="minorEastAsia" w:hAnsiTheme="minorHAnsi"/>
        </w:rPr>
        <w:t xml:space="preserve">). These impacts need to be compared with what is forgone. The health, education and consumption that will be forgone due to the resources not being available for other health and education interventions can again be estimated.  These would be based on the costs to each sector and the marginal productivities of each sector for each of the outcomes (for example, the marginal productivity of the health care sector to produce education is given by  </w:t>
      </w:r>
      <m:oMath>
        <m:sSub>
          <m:sSubPr>
            <m:ctrlPr>
              <w:rPr>
                <w:rFonts w:ascii="Cambria Math" w:hAnsi="Cambria Math"/>
                <w:i/>
              </w:rPr>
            </m:ctrlPr>
          </m:sSubPr>
          <m:e>
            <m:r>
              <w:rPr>
                <w:rFonts w:ascii="Cambria Math" w:hAnsi="Cambria Math"/>
              </w:rPr>
              <m:t>k</m:t>
            </m:r>
          </m:e>
          <m:sub>
            <m:r>
              <w:rPr>
                <w:rFonts w:ascii="Cambria Math" w:hAnsi="Cambria Math"/>
              </w:rPr>
              <m:t>he</m:t>
            </m:r>
          </m:sub>
        </m:sSub>
      </m:oMath>
      <w:r w:rsidRPr="00545ED4">
        <w:rPr>
          <w:rFonts w:asciiTheme="minorHAnsi" w:eastAsiaTheme="minorEastAsia" w:hAnsiTheme="minorHAnsi"/>
        </w:rPr>
        <w:t xml:space="preserve">) (note these cross productivities are ignored in the main manuscript). </w:t>
      </w:r>
    </w:p>
    <w:p w:rsidR="00B31546" w:rsidRPr="00545ED4" w:rsidRDefault="00B31546" w:rsidP="00B31546">
      <w:pPr>
        <w:spacing w:line="360" w:lineRule="auto"/>
        <w:rPr>
          <w:rFonts w:asciiTheme="minorHAnsi" w:eastAsiaTheme="minorEastAsia" w:hAnsiTheme="minorHAnsi"/>
        </w:rPr>
      </w:pPr>
      <w:r w:rsidRPr="00545ED4">
        <w:rPr>
          <w:rFonts w:asciiTheme="minorHAnsi" w:hAnsiTheme="minorHAnsi"/>
        </w:rPr>
        <w:t xml:space="preserve">Expanding upon the previous example, two patients (1 &amp; 2) receive the new intervention and experience health gain, educational benefits and </w:t>
      </w:r>
      <w:r w:rsidRPr="00545ED4">
        <w:rPr>
          <w:rFonts w:asciiTheme="minorHAnsi" w:eastAsiaTheme="minorEastAsia" w:hAnsiTheme="minorHAnsi"/>
        </w:rPr>
        <w:t>consumption benefits. T</w:t>
      </w:r>
      <w:r w:rsidRPr="00545ED4">
        <w:rPr>
          <w:rFonts w:asciiTheme="minorHAnsi" w:hAnsiTheme="minorHAnsi"/>
        </w:rPr>
        <w:t>wo other unknown individuals (X &amp; Y) would not receive other health care interventions and, consequently, would forgo the associated benefits in terms of health and education outcomes and consumption</w:t>
      </w:r>
      <w:r w:rsidRPr="00545ED4">
        <w:rPr>
          <w:rFonts w:asciiTheme="minorHAnsi" w:eastAsiaTheme="minorEastAsia" w:hAnsiTheme="minorHAnsi"/>
        </w:rPr>
        <w:t xml:space="preserve">. It is unlikely  that the costs that fall on the education sector would result in forgone education interventions impacting the same individuals who lose health because of forgone health care interventions. Therefore, in this simple example, two other unknown individuals (Z &amp; W) have opportunity costs resulting from forgone education interventions. The impact </w:t>
      </w:r>
      <w:r w:rsidR="00545ED4">
        <w:rPr>
          <w:rFonts w:asciiTheme="minorHAnsi" w:eastAsiaTheme="minorEastAsia" w:hAnsiTheme="minorHAnsi"/>
        </w:rPr>
        <w:t>inventory</w:t>
      </w:r>
      <w:r w:rsidRPr="00545ED4">
        <w:rPr>
          <w:rFonts w:asciiTheme="minorHAnsi" w:eastAsiaTheme="minorEastAsia" w:hAnsiTheme="minorHAnsi"/>
        </w:rPr>
        <w:t xml:space="preserve"> can, therefore, be represented as shown in Figure A3.</w:t>
      </w:r>
    </w:p>
    <w:tbl>
      <w:tblPr>
        <w:tblW w:w="8906" w:type="dxa"/>
        <w:tblLook w:val="04A0" w:firstRow="1" w:lastRow="0" w:firstColumn="1" w:lastColumn="0" w:noHBand="0" w:noVBand="1"/>
      </w:tblPr>
      <w:tblGrid>
        <w:gridCol w:w="502"/>
        <w:gridCol w:w="858"/>
        <w:gridCol w:w="986"/>
        <w:gridCol w:w="1417"/>
        <w:gridCol w:w="1276"/>
        <w:gridCol w:w="1418"/>
        <w:gridCol w:w="1134"/>
        <w:gridCol w:w="1315"/>
      </w:tblGrid>
      <w:tr w:rsidR="00B31546" w:rsidRPr="00545ED4" w:rsidTr="00191642">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858" w:type="dxa"/>
            <w:tcBorders>
              <w:top w:val="single" w:sz="4" w:space="0" w:color="auto"/>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2403" w:type="dxa"/>
            <w:gridSpan w:val="2"/>
            <w:tcBorders>
              <w:top w:val="single" w:sz="4" w:space="0" w:color="auto"/>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Health (QALYs)</w:t>
            </w:r>
          </w:p>
        </w:tc>
        <w:tc>
          <w:tcPr>
            <w:tcW w:w="2694" w:type="dxa"/>
            <w:gridSpan w:val="2"/>
            <w:tcBorders>
              <w:top w:val="single" w:sz="4" w:space="0" w:color="auto"/>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Education</w:t>
            </w:r>
          </w:p>
        </w:tc>
        <w:tc>
          <w:tcPr>
            <w:tcW w:w="2449" w:type="dxa"/>
            <w:gridSpan w:val="2"/>
            <w:tcBorders>
              <w:top w:val="single" w:sz="4" w:space="0" w:color="auto"/>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Consumption</w:t>
            </w:r>
          </w:p>
        </w:tc>
      </w:tr>
      <w:tr w:rsidR="00B31546" w:rsidRPr="00545ED4" w:rsidTr="00191642">
        <w:trPr>
          <w:trHeight w:val="300"/>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858"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 </w:t>
            </w:r>
          </w:p>
        </w:tc>
        <w:tc>
          <w:tcPr>
            <w:tcW w:w="98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Direct Effects</w:t>
            </w:r>
          </w:p>
        </w:tc>
        <w:tc>
          <w:tcPr>
            <w:tcW w:w="1417"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Opportunity costs</w:t>
            </w:r>
          </w:p>
        </w:tc>
        <w:tc>
          <w:tcPr>
            <w:tcW w:w="127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Direct Effects</w:t>
            </w:r>
          </w:p>
        </w:tc>
        <w:tc>
          <w:tcPr>
            <w:tcW w:w="1418"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Opportunity costs</w:t>
            </w:r>
          </w:p>
        </w:tc>
        <w:tc>
          <w:tcPr>
            <w:tcW w:w="1134"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Direct Effects</w:t>
            </w:r>
          </w:p>
        </w:tc>
        <w:tc>
          <w:tcPr>
            <w:tcW w:w="1315"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Opportunity costs</w:t>
            </w:r>
          </w:p>
        </w:tc>
      </w:tr>
      <w:tr w:rsidR="00B31546" w:rsidRPr="00545ED4" w:rsidTr="00191642">
        <w:trPr>
          <w:trHeight w:val="300"/>
        </w:trPr>
        <w:tc>
          <w:tcPr>
            <w:tcW w:w="502"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Individuals</w:t>
            </w:r>
          </w:p>
        </w:tc>
        <w:tc>
          <w:tcPr>
            <w:tcW w:w="858"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lang w:eastAsia="en-GB"/>
              </w:rPr>
              <w:t>1</w:t>
            </w:r>
          </w:p>
        </w:tc>
        <w:tc>
          <w:tcPr>
            <w:tcW w:w="98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m:oMathPara>
              <m:oMath>
                <m:r>
                  <w:rPr>
                    <w:rFonts w:ascii="Cambria Math" w:hAnsi="Cambria Math"/>
                  </w:rPr>
                  <m:t>∆h</m:t>
                </m:r>
              </m:oMath>
            </m:oMathPara>
          </w:p>
        </w:tc>
        <w:tc>
          <w:tcPr>
            <w:tcW w:w="1417"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276" w:type="dxa"/>
            <w:tcBorders>
              <w:top w:val="nil"/>
              <w:left w:val="nil"/>
              <w:bottom w:val="single" w:sz="4" w:space="0" w:color="auto"/>
              <w:right w:val="single" w:sz="4" w:space="0" w:color="auto"/>
            </w:tcBorders>
            <w:shd w:val="clear" w:color="auto" w:fill="auto"/>
            <w:noWrap/>
            <w:vAlign w:val="bottom"/>
          </w:tcPr>
          <w:p w:rsidR="00B31546" w:rsidRPr="00545ED4" w:rsidRDefault="00B31546" w:rsidP="00191642">
            <w:pPr>
              <w:spacing w:after="0" w:line="240" w:lineRule="auto"/>
              <w:jc w:val="center"/>
              <w:rPr>
                <w:rFonts w:asciiTheme="minorHAnsi" w:eastAsia="Times New Roman" w:hAnsiTheme="minorHAnsi"/>
                <w:color w:val="000000"/>
                <w:lang w:eastAsia="en-GB"/>
              </w:rPr>
            </w:pPr>
            <m:oMathPara>
              <m:oMath>
                <m:r>
                  <w:rPr>
                    <w:rFonts w:ascii="Cambria Math" w:hAnsi="Cambria Math"/>
                  </w:rPr>
                  <m:t>∆e</m:t>
                </m:r>
              </m:oMath>
            </m:oMathPara>
          </w:p>
        </w:tc>
        <w:tc>
          <w:tcPr>
            <w:tcW w:w="1418" w:type="dxa"/>
            <w:tcBorders>
              <w:top w:val="nil"/>
              <w:left w:val="nil"/>
              <w:bottom w:val="single" w:sz="4" w:space="0" w:color="auto"/>
              <w:right w:val="single" w:sz="4" w:space="0" w:color="auto"/>
            </w:tcBorders>
            <w:shd w:val="clear" w:color="auto" w:fill="auto"/>
            <w:noWrap/>
            <w:vAlign w:val="bottom"/>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134"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m:oMathPara>
              <m:oMath>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c</m:t>
                    </m:r>
                  </m:sub>
                </m:sSub>
              </m:oMath>
            </m:oMathPara>
          </w:p>
        </w:tc>
        <w:tc>
          <w:tcPr>
            <w:tcW w:w="1315"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r>
      <w:tr w:rsidR="00B31546" w:rsidRPr="00545ED4" w:rsidTr="00191642">
        <w:trPr>
          <w:trHeight w:val="300"/>
        </w:trPr>
        <w:tc>
          <w:tcPr>
            <w:tcW w:w="502" w:type="dxa"/>
            <w:vMerge/>
            <w:tcBorders>
              <w:top w:val="nil"/>
              <w:left w:val="single" w:sz="4" w:space="0" w:color="auto"/>
              <w:bottom w:val="single" w:sz="4" w:space="0" w:color="auto"/>
              <w:right w:val="single" w:sz="4" w:space="0" w:color="auto"/>
            </w:tcBorders>
            <w:vAlign w:val="center"/>
            <w:hideMark/>
          </w:tcPr>
          <w:p w:rsidR="00B31546" w:rsidRPr="00545ED4" w:rsidRDefault="00B31546" w:rsidP="00191642">
            <w:pPr>
              <w:spacing w:after="0" w:line="240" w:lineRule="auto"/>
              <w:rPr>
                <w:rFonts w:asciiTheme="minorHAnsi" w:eastAsia="Times New Roman" w:hAnsiTheme="minorHAnsi"/>
                <w:color w:val="000000"/>
                <w:lang w:eastAsia="en-GB"/>
              </w:rPr>
            </w:pPr>
          </w:p>
        </w:tc>
        <w:tc>
          <w:tcPr>
            <w:tcW w:w="858"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lang w:eastAsia="en-GB"/>
              </w:rPr>
              <w:t>2</w:t>
            </w:r>
          </w:p>
        </w:tc>
        <w:tc>
          <w:tcPr>
            <w:tcW w:w="98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m:oMathPara>
              <m:oMath>
                <m:r>
                  <w:rPr>
                    <w:rFonts w:ascii="Cambria Math" w:hAnsi="Cambria Math"/>
                  </w:rPr>
                  <m:t>∆h</m:t>
                </m:r>
              </m:oMath>
            </m:oMathPara>
          </w:p>
        </w:tc>
        <w:tc>
          <w:tcPr>
            <w:tcW w:w="1417"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27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m:oMathPara>
              <m:oMath>
                <m:r>
                  <w:rPr>
                    <w:rFonts w:ascii="Cambria Math" w:hAnsi="Cambria Math"/>
                  </w:rPr>
                  <m:t>∆e</m:t>
                </m:r>
              </m:oMath>
            </m:oMathPara>
          </w:p>
        </w:tc>
        <w:tc>
          <w:tcPr>
            <w:tcW w:w="1418"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134"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m:oMathPara>
              <m:oMath>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c</m:t>
                    </m:r>
                  </m:sub>
                </m:sSub>
              </m:oMath>
            </m:oMathPara>
          </w:p>
        </w:tc>
        <w:tc>
          <w:tcPr>
            <w:tcW w:w="1315"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r>
      <w:tr w:rsidR="00B31546" w:rsidRPr="00545ED4" w:rsidDel="00DA0BB5" w:rsidTr="00191642">
        <w:trPr>
          <w:trHeight w:val="300"/>
        </w:trPr>
        <w:tc>
          <w:tcPr>
            <w:tcW w:w="502" w:type="dxa"/>
            <w:vMerge/>
            <w:tcBorders>
              <w:top w:val="nil"/>
              <w:left w:val="single" w:sz="4" w:space="0" w:color="auto"/>
              <w:bottom w:val="single" w:sz="4" w:space="0" w:color="auto"/>
              <w:right w:val="single" w:sz="4" w:space="0" w:color="auto"/>
            </w:tcBorders>
            <w:vAlign w:val="center"/>
            <w:hideMark/>
          </w:tcPr>
          <w:p w:rsidR="00B31546" w:rsidRPr="00545ED4" w:rsidRDefault="00B31546" w:rsidP="00191642">
            <w:pPr>
              <w:spacing w:after="0" w:line="240" w:lineRule="auto"/>
              <w:rPr>
                <w:rFonts w:asciiTheme="minorHAnsi" w:eastAsia="Times New Roman" w:hAnsiTheme="minorHAnsi"/>
                <w:color w:val="000000"/>
                <w:lang w:eastAsia="en-GB"/>
              </w:rPr>
            </w:pPr>
          </w:p>
        </w:tc>
        <w:tc>
          <w:tcPr>
            <w:tcW w:w="858"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lang w:eastAsia="en-GB"/>
              </w:rPr>
              <w:t>X</w:t>
            </w:r>
          </w:p>
        </w:tc>
        <w:tc>
          <w:tcPr>
            <w:tcW w:w="98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417" w:type="dxa"/>
            <w:tcBorders>
              <w:top w:val="nil"/>
              <w:left w:val="nil"/>
              <w:bottom w:val="single" w:sz="4" w:space="0" w:color="auto"/>
              <w:right w:val="single" w:sz="4" w:space="0" w:color="auto"/>
            </w:tcBorders>
            <w:shd w:val="clear" w:color="auto" w:fill="auto"/>
            <w:noWrap/>
            <w:vAlign w:val="bottom"/>
            <w:hideMark/>
          </w:tcPr>
          <w:p w:rsidR="00B31546" w:rsidRPr="00545ED4" w:rsidRDefault="004377FA" w:rsidP="00191642">
            <w:pPr>
              <w:spacing w:after="0" w:line="240" w:lineRule="auto"/>
              <w:jc w:val="center"/>
              <w:rPr>
                <w:rFonts w:asciiTheme="minorHAnsi" w:eastAsia="Times New Roman" w:hAnsiTheme="minorHAnsi"/>
                <w:color w:val="000000"/>
                <w:lang w:eastAsia="en-GB"/>
              </w:rPr>
            </w:pPr>
            <m:oMathPara>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num>
                  <m:den>
                    <m:sSub>
                      <m:sSubPr>
                        <m:ctrlPr>
                          <w:rPr>
                            <w:rFonts w:ascii="Cambria Math" w:hAnsi="Cambria Math"/>
                            <w:i/>
                          </w:rPr>
                        </m:ctrlPr>
                      </m:sSubPr>
                      <m:e>
                        <m:r>
                          <w:rPr>
                            <w:rFonts w:ascii="Cambria Math" w:hAnsi="Cambria Math"/>
                          </w:rPr>
                          <m:t>k</m:t>
                        </m:r>
                      </m:e>
                      <m:sub>
                        <m:r>
                          <w:rPr>
                            <w:rFonts w:ascii="Cambria Math" w:hAnsi="Cambria Math"/>
                          </w:rPr>
                          <m:t>h</m:t>
                        </m:r>
                      </m:sub>
                    </m:sSub>
                  </m:den>
                </m:f>
              </m:oMath>
            </m:oMathPara>
          </w:p>
        </w:tc>
        <w:tc>
          <w:tcPr>
            <w:tcW w:w="1276" w:type="dxa"/>
            <w:tcBorders>
              <w:top w:val="nil"/>
              <w:left w:val="nil"/>
              <w:bottom w:val="single" w:sz="4" w:space="0" w:color="auto"/>
              <w:right w:val="single" w:sz="4" w:space="0" w:color="auto"/>
            </w:tcBorders>
            <w:shd w:val="clear" w:color="auto" w:fill="auto"/>
            <w:noWrap/>
            <w:vAlign w:val="bottom"/>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418" w:type="dxa"/>
            <w:tcBorders>
              <w:top w:val="nil"/>
              <w:left w:val="nil"/>
              <w:bottom w:val="single" w:sz="4" w:space="0" w:color="auto"/>
              <w:right w:val="single" w:sz="4" w:space="0" w:color="auto"/>
            </w:tcBorders>
            <w:shd w:val="clear" w:color="auto" w:fill="auto"/>
            <w:noWrap/>
            <w:vAlign w:val="bottom"/>
          </w:tcPr>
          <w:p w:rsidR="00B31546" w:rsidRPr="00545ED4" w:rsidRDefault="004377FA" w:rsidP="00191642">
            <w:pPr>
              <w:spacing w:after="0" w:line="240" w:lineRule="auto"/>
              <w:jc w:val="center"/>
              <w:rPr>
                <w:rFonts w:asciiTheme="minorHAnsi" w:eastAsia="Times New Roman" w:hAnsiTheme="minorHAnsi"/>
                <w:color w:val="000000"/>
                <w:lang w:eastAsia="en-GB"/>
              </w:rPr>
            </w:pPr>
            <m:oMathPara>
              <m:oMathParaPr>
                <m:jc m:val="left"/>
              </m:oMathParaP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num>
                  <m:den>
                    <m:sSub>
                      <m:sSubPr>
                        <m:ctrlPr>
                          <w:rPr>
                            <w:rFonts w:ascii="Cambria Math" w:hAnsi="Cambria Math"/>
                            <w:i/>
                          </w:rPr>
                        </m:ctrlPr>
                      </m:sSubPr>
                      <m:e>
                        <m:r>
                          <w:rPr>
                            <w:rFonts w:ascii="Cambria Math" w:hAnsi="Cambria Math"/>
                          </w:rPr>
                          <m:t>k</m:t>
                        </m:r>
                      </m:e>
                      <m:sub>
                        <m:r>
                          <w:rPr>
                            <w:rFonts w:ascii="Cambria Math" w:hAnsi="Cambria Math"/>
                          </w:rPr>
                          <m:t>he</m:t>
                        </m:r>
                      </m:sub>
                    </m:sSub>
                  </m:den>
                </m:f>
              </m:oMath>
            </m:oMathPara>
          </w:p>
        </w:tc>
        <w:tc>
          <w:tcPr>
            <w:tcW w:w="1134"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315" w:type="dxa"/>
            <w:tcBorders>
              <w:top w:val="nil"/>
              <w:left w:val="nil"/>
              <w:bottom w:val="single" w:sz="4" w:space="0" w:color="auto"/>
              <w:right w:val="single" w:sz="4" w:space="0" w:color="auto"/>
            </w:tcBorders>
            <w:shd w:val="clear" w:color="auto" w:fill="auto"/>
            <w:noWrap/>
            <w:vAlign w:val="bottom"/>
            <w:hideMark/>
          </w:tcPr>
          <w:p w:rsidR="00B31546" w:rsidRPr="00545ED4" w:rsidRDefault="004377FA" w:rsidP="00191642">
            <w:pPr>
              <w:spacing w:after="0" w:line="240" w:lineRule="auto"/>
              <w:jc w:val="center"/>
              <w:rPr>
                <w:rFonts w:asciiTheme="minorHAnsi" w:eastAsia="Times New Roman" w:hAnsiTheme="minorHAnsi"/>
                <w:color w:val="000000"/>
                <w:lang w:eastAsia="en-GB"/>
              </w:rPr>
            </w:pPr>
            <m:oMathPara>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num>
                  <m:den>
                    <m:sSub>
                      <m:sSubPr>
                        <m:ctrlPr>
                          <w:rPr>
                            <w:rFonts w:ascii="Cambria Math" w:hAnsi="Cambria Math"/>
                            <w:i/>
                          </w:rPr>
                        </m:ctrlPr>
                      </m:sSubPr>
                      <m:e>
                        <m:r>
                          <w:rPr>
                            <w:rFonts w:ascii="Cambria Math" w:hAnsi="Cambria Math"/>
                          </w:rPr>
                          <m:t>k</m:t>
                        </m:r>
                      </m:e>
                      <m:sub>
                        <m:r>
                          <w:rPr>
                            <w:rFonts w:ascii="Cambria Math" w:hAnsi="Cambria Math"/>
                          </w:rPr>
                          <m:t>hc</m:t>
                        </m:r>
                      </m:sub>
                    </m:sSub>
                  </m:den>
                </m:f>
              </m:oMath>
            </m:oMathPara>
          </w:p>
        </w:tc>
      </w:tr>
      <w:tr w:rsidR="00B31546" w:rsidRPr="00545ED4" w:rsidTr="00191642">
        <w:trPr>
          <w:trHeight w:val="300"/>
        </w:trPr>
        <w:tc>
          <w:tcPr>
            <w:tcW w:w="502" w:type="dxa"/>
            <w:vMerge/>
            <w:tcBorders>
              <w:top w:val="nil"/>
              <w:left w:val="single" w:sz="4" w:space="0" w:color="auto"/>
              <w:bottom w:val="single" w:sz="4" w:space="0" w:color="auto"/>
              <w:right w:val="single" w:sz="4" w:space="0" w:color="auto"/>
            </w:tcBorders>
            <w:vAlign w:val="center"/>
            <w:hideMark/>
          </w:tcPr>
          <w:p w:rsidR="00B31546" w:rsidRPr="00545ED4" w:rsidRDefault="00B31546" w:rsidP="00191642">
            <w:pPr>
              <w:spacing w:after="0" w:line="240" w:lineRule="auto"/>
              <w:rPr>
                <w:rFonts w:asciiTheme="minorHAnsi" w:eastAsia="Times New Roman" w:hAnsiTheme="minorHAnsi"/>
                <w:color w:val="000000"/>
                <w:lang w:eastAsia="en-GB"/>
              </w:rPr>
            </w:pPr>
          </w:p>
        </w:tc>
        <w:tc>
          <w:tcPr>
            <w:tcW w:w="858"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lang w:eastAsia="en-GB"/>
              </w:rPr>
              <w:t>Y</w:t>
            </w:r>
          </w:p>
        </w:tc>
        <w:tc>
          <w:tcPr>
            <w:tcW w:w="98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417" w:type="dxa"/>
            <w:tcBorders>
              <w:top w:val="nil"/>
              <w:left w:val="nil"/>
              <w:bottom w:val="single" w:sz="4" w:space="0" w:color="auto"/>
              <w:right w:val="single" w:sz="4" w:space="0" w:color="auto"/>
            </w:tcBorders>
            <w:shd w:val="clear" w:color="auto" w:fill="auto"/>
            <w:noWrap/>
            <w:vAlign w:val="bottom"/>
            <w:hideMark/>
          </w:tcPr>
          <w:p w:rsidR="00B31546" w:rsidRPr="00545ED4" w:rsidRDefault="004377FA" w:rsidP="00191642">
            <w:pPr>
              <w:spacing w:after="0" w:line="240" w:lineRule="auto"/>
              <w:jc w:val="center"/>
              <w:rPr>
                <w:rFonts w:asciiTheme="minorHAnsi" w:eastAsia="Times New Roman" w:hAnsiTheme="minorHAnsi"/>
                <w:color w:val="000000"/>
                <w:lang w:eastAsia="en-GB"/>
              </w:rPr>
            </w:pPr>
            <m:oMathPara>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num>
                  <m:den>
                    <m:sSub>
                      <m:sSubPr>
                        <m:ctrlPr>
                          <w:rPr>
                            <w:rFonts w:ascii="Cambria Math" w:hAnsi="Cambria Math"/>
                            <w:i/>
                          </w:rPr>
                        </m:ctrlPr>
                      </m:sSubPr>
                      <m:e>
                        <m:r>
                          <w:rPr>
                            <w:rFonts w:ascii="Cambria Math" w:hAnsi="Cambria Math"/>
                          </w:rPr>
                          <m:t>k</m:t>
                        </m:r>
                      </m:e>
                      <m:sub>
                        <m:r>
                          <w:rPr>
                            <w:rFonts w:ascii="Cambria Math" w:hAnsi="Cambria Math"/>
                          </w:rPr>
                          <m:t>h</m:t>
                        </m:r>
                      </m:sub>
                    </m:sSub>
                  </m:den>
                </m:f>
              </m:oMath>
            </m:oMathPara>
          </w:p>
        </w:tc>
        <w:tc>
          <w:tcPr>
            <w:tcW w:w="127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418" w:type="dxa"/>
            <w:tcBorders>
              <w:top w:val="nil"/>
              <w:left w:val="nil"/>
              <w:bottom w:val="single" w:sz="4" w:space="0" w:color="auto"/>
              <w:right w:val="single" w:sz="4" w:space="0" w:color="auto"/>
            </w:tcBorders>
            <w:shd w:val="clear" w:color="auto" w:fill="auto"/>
            <w:noWrap/>
            <w:vAlign w:val="bottom"/>
            <w:hideMark/>
          </w:tcPr>
          <w:p w:rsidR="00B31546" w:rsidRPr="00545ED4" w:rsidRDefault="004377FA" w:rsidP="00191642">
            <w:pPr>
              <w:spacing w:after="0" w:line="240" w:lineRule="auto"/>
              <w:jc w:val="center"/>
              <w:rPr>
                <w:rFonts w:asciiTheme="minorHAnsi" w:eastAsia="Times New Roman" w:hAnsiTheme="minorHAnsi"/>
                <w:color w:val="000000"/>
                <w:lang w:eastAsia="en-GB"/>
              </w:rPr>
            </w:pPr>
            <m:oMathPara>
              <m:oMathParaPr>
                <m:jc m:val="left"/>
              </m:oMathParaP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num>
                  <m:den>
                    <m:sSub>
                      <m:sSubPr>
                        <m:ctrlPr>
                          <w:rPr>
                            <w:rFonts w:ascii="Cambria Math" w:hAnsi="Cambria Math"/>
                            <w:i/>
                          </w:rPr>
                        </m:ctrlPr>
                      </m:sSubPr>
                      <m:e>
                        <m:r>
                          <w:rPr>
                            <w:rFonts w:ascii="Cambria Math" w:hAnsi="Cambria Math"/>
                          </w:rPr>
                          <m:t>k</m:t>
                        </m:r>
                      </m:e>
                      <m:sub>
                        <m:r>
                          <w:rPr>
                            <w:rFonts w:ascii="Cambria Math" w:hAnsi="Cambria Math"/>
                          </w:rPr>
                          <m:t>he</m:t>
                        </m:r>
                      </m:sub>
                    </m:sSub>
                  </m:den>
                </m:f>
              </m:oMath>
            </m:oMathPara>
          </w:p>
        </w:tc>
        <w:tc>
          <w:tcPr>
            <w:tcW w:w="1134"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315" w:type="dxa"/>
            <w:tcBorders>
              <w:top w:val="nil"/>
              <w:left w:val="nil"/>
              <w:bottom w:val="single" w:sz="4" w:space="0" w:color="auto"/>
              <w:right w:val="single" w:sz="4" w:space="0" w:color="auto"/>
            </w:tcBorders>
            <w:shd w:val="clear" w:color="auto" w:fill="auto"/>
            <w:noWrap/>
            <w:vAlign w:val="bottom"/>
            <w:hideMark/>
          </w:tcPr>
          <w:p w:rsidR="00B31546" w:rsidRPr="00545ED4" w:rsidRDefault="004377FA" w:rsidP="00191642">
            <w:pPr>
              <w:spacing w:after="0" w:line="240" w:lineRule="auto"/>
              <w:jc w:val="center"/>
              <w:rPr>
                <w:rFonts w:asciiTheme="minorHAnsi" w:eastAsia="Times New Roman" w:hAnsiTheme="minorHAnsi"/>
                <w:color w:val="000000"/>
                <w:lang w:eastAsia="en-GB"/>
              </w:rPr>
            </w:pPr>
            <m:oMathPara>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m:t>
                        </m:r>
                      </m:sub>
                    </m:sSub>
                  </m:num>
                  <m:den>
                    <m:sSub>
                      <m:sSubPr>
                        <m:ctrlPr>
                          <w:rPr>
                            <w:rFonts w:ascii="Cambria Math" w:hAnsi="Cambria Math"/>
                            <w:i/>
                          </w:rPr>
                        </m:ctrlPr>
                      </m:sSubPr>
                      <m:e>
                        <m:r>
                          <w:rPr>
                            <w:rFonts w:ascii="Cambria Math" w:hAnsi="Cambria Math"/>
                          </w:rPr>
                          <m:t>k</m:t>
                        </m:r>
                      </m:e>
                      <m:sub>
                        <m:r>
                          <w:rPr>
                            <w:rFonts w:ascii="Cambria Math" w:hAnsi="Cambria Math"/>
                          </w:rPr>
                          <m:t>hc</m:t>
                        </m:r>
                      </m:sub>
                    </m:sSub>
                  </m:den>
                </m:f>
              </m:oMath>
            </m:oMathPara>
          </w:p>
        </w:tc>
      </w:tr>
      <w:tr w:rsidR="00B31546" w:rsidRPr="00545ED4" w:rsidTr="00191642">
        <w:trPr>
          <w:trHeight w:val="300"/>
        </w:trPr>
        <w:tc>
          <w:tcPr>
            <w:tcW w:w="502" w:type="dxa"/>
            <w:vMerge/>
            <w:tcBorders>
              <w:top w:val="nil"/>
              <w:left w:val="single" w:sz="4" w:space="0" w:color="auto"/>
              <w:bottom w:val="single" w:sz="4" w:space="0" w:color="auto"/>
              <w:right w:val="single" w:sz="4" w:space="0" w:color="auto"/>
            </w:tcBorders>
            <w:vAlign w:val="center"/>
            <w:hideMark/>
          </w:tcPr>
          <w:p w:rsidR="00B31546" w:rsidRPr="00545ED4" w:rsidRDefault="00B31546" w:rsidP="00191642">
            <w:pPr>
              <w:spacing w:after="0" w:line="240" w:lineRule="auto"/>
              <w:rPr>
                <w:rFonts w:asciiTheme="minorHAnsi" w:eastAsia="Times New Roman" w:hAnsiTheme="minorHAnsi"/>
                <w:color w:val="000000"/>
                <w:lang w:eastAsia="en-GB"/>
              </w:rPr>
            </w:pPr>
          </w:p>
        </w:tc>
        <w:tc>
          <w:tcPr>
            <w:tcW w:w="858"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t>
            </w:r>
            <w:r w:rsidRPr="00545ED4">
              <w:rPr>
                <w:rFonts w:asciiTheme="minorHAnsi" w:eastAsia="Times New Roman" w:hAnsiTheme="minorHAnsi"/>
                <w:color w:val="000000"/>
                <w:sz w:val="16"/>
                <w:szCs w:val="16"/>
                <w:lang w:eastAsia="en-GB"/>
              </w:rPr>
              <w:t>z</w:t>
            </w:r>
          </w:p>
        </w:tc>
        <w:tc>
          <w:tcPr>
            <w:tcW w:w="98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417" w:type="dxa"/>
            <w:tcBorders>
              <w:top w:val="nil"/>
              <w:left w:val="nil"/>
              <w:bottom w:val="single" w:sz="4" w:space="0" w:color="auto"/>
              <w:right w:val="single" w:sz="4" w:space="0" w:color="auto"/>
            </w:tcBorders>
            <w:shd w:val="clear" w:color="auto" w:fill="auto"/>
            <w:noWrap/>
            <w:vAlign w:val="bottom"/>
            <w:hideMark/>
          </w:tcPr>
          <w:p w:rsidR="00B31546" w:rsidRPr="00545ED4" w:rsidRDefault="004377FA" w:rsidP="00191642">
            <w:pPr>
              <w:spacing w:after="0" w:line="240" w:lineRule="auto"/>
              <w:jc w:val="center"/>
              <w:rPr>
                <w:rFonts w:asciiTheme="minorHAnsi" w:eastAsia="Times New Roman" w:hAnsiTheme="minorHAnsi"/>
                <w:color w:val="000000"/>
                <w:lang w:eastAsia="en-GB"/>
              </w:rPr>
            </w:pPr>
            <m:oMathPara>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e</m:t>
                        </m:r>
                      </m:sub>
                    </m:sSub>
                  </m:num>
                  <m:den>
                    <m:sSub>
                      <m:sSubPr>
                        <m:ctrlPr>
                          <w:rPr>
                            <w:rFonts w:ascii="Cambria Math" w:hAnsi="Cambria Math"/>
                            <w:i/>
                          </w:rPr>
                        </m:ctrlPr>
                      </m:sSubPr>
                      <m:e>
                        <m:r>
                          <w:rPr>
                            <w:rFonts w:ascii="Cambria Math" w:hAnsi="Cambria Math"/>
                          </w:rPr>
                          <m:t>k</m:t>
                        </m:r>
                      </m:e>
                      <m:sub>
                        <m:r>
                          <w:rPr>
                            <w:rFonts w:ascii="Cambria Math" w:hAnsi="Cambria Math"/>
                          </w:rPr>
                          <m:t>eh</m:t>
                        </m:r>
                      </m:sub>
                    </m:sSub>
                  </m:den>
                </m:f>
              </m:oMath>
            </m:oMathPara>
          </w:p>
        </w:tc>
        <w:tc>
          <w:tcPr>
            <w:tcW w:w="127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418" w:type="dxa"/>
            <w:tcBorders>
              <w:top w:val="nil"/>
              <w:left w:val="nil"/>
              <w:bottom w:val="single" w:sz="4" w:space="0" w:color="auto"/>
              <w:right w:val="single" w:sz="4" w:space="0" w:color="auto"/>
            </w:tcBorders>
            <w:shd w:val="clear" w:color="auto" w:fill="auto"/>
            <w:noWrap/>
            <w:vAlign w:val="bottom"/>
            <w:hideMark/>
          </w:tcPr>
          <w:p w:rsidR="00B31546" w:rsidRPr="00545ED4" w:rsidRDefault="004377FA" w:rsidP="00191642">
            <w:pPr>
              <w:spacing w:after="0" w:line="240" w:lineRule="auto"/>
              <w:jc w:val="center"/>
              <w:rPr>
                <w:rFonts w:asciiTheme="minorHAnsi" w:eastAsia="Times New Roman" w:hAnsiTheme="minorHAnsi"/>
                <w:color w:val="000000"/>
                <w:lang w:eastAsia="en-GB"/>
              </w:rPr>
            </w:pPr>
            <m:oMathPara>
              <m:oMathParaPr>
                <m:jc m:val="left"/>
              </m:oMathParaP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e</m:t>
                        </m:r>
                      </m:sub>
                    </m:sSub>
                  </m:num>
                  <m:den>
                    <m:sSub>
                      <m:sSubPr>
                        <m:ctrlPr>
                          <w:rPr>
                            <w:rFonts w:ascii="Cambria Math" w:hAnsi="Cambria Math"/>
                            <w:i/>
                          </w:rPr>
                        </m:ctrlPr>
                      </m:sSubPr>
                      <m:e>
                        <m:r>
                          <w:rPr>
                            <w:rFonts w:ascii="Cambria Math" w:hAnsi="Cambria Math"/>
                          </w:rPr>
                          <m:t>k</m:t>
                        </m:r>
                      </m:e>
                      <m:sub>
                        <m:r>
                          <w:rPr>
                            <w:rFonts w:ascii="Cambria Math" w:hAnsi="Cambria Math"/>
                          </w:rPr>
                          <m:t>e</m:t>
                        </m:r>
                      </m:sub>
                    </m:sSub>
                  </m:den>
                </m:f>
              </m:oMath>
            </m:oMathPara>
          </w:p>
        </w:tc>
        <w:tc>
          <w:tcPr>
            <w:tcW w:w="1134"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315" w:type="dxa"/>
            <w:tcBorders>
              <w:top w:val="nil"/>
              <w:left w:val="nil"/>
              <w:bottom w:val="single" w:sz="4" w:space="0" w:color="auto"/>
              <w:right w:val="single" w:sz="4" w:space="0" w:color="auto"/>
            </w:tcBorders>
            <w:shd w:val="clear" w:color="auto" w:fill="auto"/>
            <w:noWrap/>
            <w:vAlign w:val="bottom"/>
            <w:hideMark/>
          </w:tcPr>
          <w:p w:rsidR="00B31546" w:rsidRPr="00545ED4" w:rsidRDefault="004377FA" w:rsidP="00191642">
            <w:pPr>
              <w:spacing w:after="0" w:line="240" w:lineRule="auto"/>
              <w:jc w:val="center"/>
              <w:rPr>
                <w:rFonts w:asciiTheme="minorHAnsi" w:eastAsia="Times New Roman" w:hAnsiTheme="minorHAnsi"/>
                <w:color w:val="000000"/>
                <w:lang w:eastAsia="en-GB"/>
              </w:rPr>
            </w:pPr>
            <m:oMathPara>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he</m:t>
                        </m:r>
                      </m:sub>
                    </m:sSub>
                  </m:num>
                  <m:den>
                    <m:sSub>
                      <m:sSubPr>
                        <m:ctrlPr>
                          <w:rPr>
                            <w:rFonts w:ascii="Cambria Math" w:hAnsi="Cambria Math"/>
                            <w:i/>
                          </w:rPr>
                        </m:ctrlPr>
                      </m:sSubPr>
                      <m:e>
                        <m:r>
                          <w:rPr>
                            <w:rFonts w:ascii="Cambria Math" w:hAnsi="Cambria Math"/>
                          </w:rPr>
                          <m:t>k</m:t>
                        </m:r>
                      </m:e>
                      <m:sub>
                        <m:r>
                          <w:rPr>
                            <w:rFonts w:ascii="Cambria Math" w:hAnsi="Cambria Math"/>
                          </w:rPr>
                          <m:t>ec</m:t>
                        </m:r>
                      </m:sub>
                    </m:sSub>
                  </m:den>
                </m:f>
              </m:oMath>
            </m:oMathPara>
          </w:p>
        </w:tc>
      </w:tr>
      <w:tr w:rsidR="00B31546" w:rsidRPr="00545ED4" w:rsidTr="00191642">
        <w:trPr>
          <w:trHeight w:val="300"/>
        </w:trPr>
        <w:tc>
          <w:tcPr>
            <w:tcW w:w="502" w:type="dxa"/>
            <w:vMerge/>
            <w:tcBorders>
              <w:top w:val="nil"/>
              <w:left w:val="single" w:sz="4" w:space="0" w:color="auto"/>
              <w:bottom w:val="single" w:sz="4" w:space="0" w:color="auto"/>
              <w:right w:val="single" w:sz="4" w:space="0" w:color="auto"/>
            </w:tcBorders>
            <w:vAlign w:val="center"/>
            <w:hideMark/>
          </w:tcPr>
          <w:p w:rsidR="00B31546" w:rsidRPr="00545ED4" w:rsidRDefault="00B31546" w:rsidP="00191642">
            <w:pPr>
              <w:spacing w:after="0" w:line="240" w:lineRule="auto"/>
              <w:rPr>
                <w:rFonts w:asciiTheme="minorHAnsi" w:eastAsia="Times New Roman" w:hAnsiTheme="minorHAnsi"/>
                <w:color w:val="000000"/>
                <w:lang w:eastAsia="en-GB"/>
              </w:rPr>
            </w:pPr>
          </w:p>
        </w:tc>
        <w:tc>
          <w:tcPr>
            <w:tcW w:w="858"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rPr>
                <w:rFonts w:asciiTheme="minorHAnsi" w:eastAsia="Times New Roman" w:hAnsiTheme="minorHAnsi"/>
                <w:color w:val="000000"/>
                <w:lang w:eastAsia="en-GB"/>
              </w:rPr>
            </w:pPr>
            <w:r w:rsidRPr="00545ED4">
              <w:rPr>
                <w:rFonts w:asciiTheme="minorHAnsi" w:eastAsia="Times New Roman" w:hAnsiTheme="minorHAnsi"/>
                <w:color w:val="000000"/>
                <w:lang w:eastAsia="en-GB"/>
              </w:rPr>
              <w:t>Pw</w:t>
            </w:r>
          </w:p>
        </w:tc>
        <w:tc>
          <w:tcPr>
            <w:tcW w:w="98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417" w:type="dxa"/>
            <w:tcBorders>
              <w:top w:val="nil"/>
              <w:left w:val="nil"/>
              <w:bottom w:val="single" w:sz="4" w:space="0" w:color="auto"/>
              <w:right w:val="single" w:sz="4" w:space="0" w:color="auto"/>
            </w:tcBorders>
            <w:shd w:val="clear" w:color="auto" w:fill="auto"/>
            <w:noWrap/>
            <w:vAlign w:val="bottom"/>
            <w:hideMark/>
          </w:tcPr>
          <w:p w:rsidR="00B31546" w:rsidRPr="00545ED4" w:rsidRDefault="004377FA" w:rsidP="00191642">
            <w:pPr>
              <w:spacing w:after="0" w:line="240" w:lineRule="auto"/>
              <w:jc w:val="center"/>
              <w:rPr>
                <w:rFonts w:asciiTheme="minorHAnsi" w:eastAsia="Times New Roman" w:hAnsiTheme="minorHAnsi"/>
                <w:color w:val="000000"/>
                <w:lang w:eastAsia="en-GB"/>
              </w:rPr>
            </w:pPr>
            <m:oMathPara>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e</m:t>
                        </m:r>
                      </m:sub>
                    </m:sSub>
                  </m:num>
                  <m:den>
                    <m:sSub>
                      <m:sSubPr>
                        <m:ctrlPr>
                          <w:rPr>
                            <w:rFonts w:ascii="Cambria Math" w:hAnsi="Cambria Math"/>
                            <w:i/>
                          </w:rPr>
                        </m:ctrlPr>
                      </m:sSubPr>
                      <m:e>
                        <m:r>
                          <w:rPr>
                            <w:rFonts w:ascii="Cambria Math" w:hAnsi="Cambria Math"/>
                          </w:rPr>
                          <m:t>k</m:t>
                        </m:r>
                      </m:e>
                      <m:sub>
                        <m:r>
                          <w:rPr>
                            <w:rFonts w:ascii="Cambria Math" w:hAnsi="Cambria Math"/>
                          </w:rPr>
                          <m:t>eh</m:t>
                        </m:r>
                      </m:sub>
                    </m:sSub>
                  </m:den>
                </m:f>
              </m:oMath>
            </m:oMathPara>
          </w:p>
        </w:tc>
        <w:tc>
          <w:tcPr>
            <w:tcW w:w="1276"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418" w:type="dxa"/>
            <w:tcBorders>
              <w:top w:val="nil"/>
              <w:left w:val="nil"/>
              <w:bottom w:val="single" w:sz="4" w:space="0" w:color="auto"/>
              <w:right w:val="single" w:sz="4" w:space="0" w:color="auto"/>
            </w:tcBorders>
            <w:shd w:val="clear" w:color="auto" w:fill="auto"/>
            <w:noWrap/>
            <w:vAlign w:val="bottom"/>
            <w:hideMark/>
          </w:tcPr>
          <w:p w:rsidR="00B31546" w:rsidRPr="00545ED4" w:rsidRDefault="004377FA" w:rsidP="00191642">
            <w:pPr>
              <w:spacing w:after="0" w:line="240" w:lineRule="auto"/>
              <w:jc w:val="center"/>
              <w:rPr>
                <w:rFonts w:asciiTheme="minorHAnsi" w:eastAsia="Times New Roman" w:hAnsiTheme="minorHAnsi"/>
                <w:color w:val="000000"/>
                <w:lang w:eastAsia="en-GB"/>
              </w:rPr>
            </w:pPr>
            <m:oMathPara>
              <m:oMathParaPr>
                <m:jc m:val="left"/>
              </m:oMathParaP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e</m:t>
                        </m:r>
                      </m:sub>
                    </m:sSub>
                  </m:num>
                  <m:den>
                    <m:sSub>
                      <m:sSubPr>
                        <m:ctrlPr>
                          <w:rPr>
                            <w:rFonts w:ascii="Cambria Math" w:hAnsi="Cambria Math"/>
                            <w:i/>
                          </w:rPr>
                        </m:ctrlPr>
                      </m:sSubPr>
                      <m:e>
                        <m:r>
                          <w:rPr>
                            <w:rFonts w:ascii="Cambria Math" w:hAnsi="Cambria Math"/>
                          </w:rPr>
                          <m:t>k</m:t>
                        </m:r>
                      </m:e>
                      <m:sub>
                        <m:r>
                          <w:rPr>
                            <w:rFonts w:ascii="Cambria Math" w:hAnsi="Cambria Math"/>
                          </w:rPr>
                          <m:t>e</m:t>
                        </m:r>
                      </m:sub>
                    </m:sSub>
                  </m:den>
                </m:f>
              </m:oMath>
            </m:oMathPara>
          </w:p>
        </w:tc>
        <w:tc>
          <w:tcPr>
            <w:tcW w:w="1134" w:type="dxa"/>
            <w:tcBorders>
              <w:top w:val="nil"/>
              <w:left w:val="nil"/>
              <w:bottom w:val="single" w:sz="4" w:space="0" w:color="auto"/>
              <w:right w:val="single" w:sz="4" w:space="0" w:color="auto"/>
            </w:tcBorders>
            <w:shd w:val="clear" w:color="auto" w:fill="auto"/>
            <w:noWrap/>
            <w:vAlign w:val="bottom"/>
            <w:hideMark/>
          </w:tcPr>
          <w:p w:rsidR="00B31546" w:rsidRPr="00545ED4" w:rsidRDefault="00B31546" w:rsidP="00191642">
            <w:pPr>
              <w:spacing w:after="0" w:line="240" w:lineRule="auto"/>
              <w:jc w:val="center"/>
              <w:rPr>
                <w:rFonts w:asciiTheme="minorHAnsi" w:eastAsia="Times New Roman" w:hAnsiTheme="minorHAnsi"/>
                <w:color w:val="000000"/>
                <w:lang w:eastAsia="en-GB"/>
              </w:rPr>
            </w:pPr>
            <w:r w:rsidRPr="00545ED4">
              <w:rPr>
                <w:rFonts w:asciiTheme="minorHAnsi" w:eastAsia="Times New Roman" w:hAnsiTheme="minorHAnsi"/>
                <w:color w:val="000000"/>
                <w:lang w:eastAsia="en-GB"/>
              </w:rPr>
              <w:t>0</w:t>
            </w:r>
          </w:p>
        </w:tc>
        <w:tc>
          <w:tcPr>
            <w:tcW w:w="1315" w:type="dxa"/>
            <w:tcBorders>
              <w:top w:val="nil"/>
              <w:left w:val="nil"/>
              <w:bottom w:val="single" w:sz="4" w:space="0" w:color="auto"/>
              <w:right w:val="single" w:sz="4" w:space="0" w:color="auto"/>
            </w:tcBorders>
            <w:shd w:val="clear" w:color="auto" w:fill="auto"/>
            <w:noWrap/>
            <w:vAlign w:val="bottom"/>
            <w:hideMark/>
          </w:tcPr>
          <w:p w:rsidR="00B31546" w:rsidRPr="00545ED4" w:rsidRDefault="004377FA" w:rsidP="00191642">
            <w:pPr>
              <w:spacing w:after="0" w:line="240" w:lineRule="auto"/>
              <w:jc w:val="center"/>
              <w:rPr>
                <w:rFonts w:asciiTheme="minorHAnsi" w:eastAsia="Times New Roman" w:hAnsiTheme="minorHAnsi"/>
                <w:color w:val="000000"/>
                <w:lang w:eastAsia="en-GB"/>
              </w:rPr>
            </w:pPr>
            <m:oMathPara>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he</m:t>
                        </m:r>
                      </m:sub>
                    </m:sSub>
                  </m:num>
                  <m:den>
                    <m:sSub>
                      <m:sSubPr>
                        <m:ctrlPr>
                          <w:rPr>
                            <w:rFonts w:ascii="Cambria Math" w:hAnsi="Cambria Math"/>
                            <w:i/>
                          </w:rPr>
                        </m:ctrlPr>
                      </m:sSubPr>
                      <m:e>
                        <m:r>
                          <w:rPr>
                            <w:rFonts w:ascii="Cambria Math" w:hAnsi="Cambria Math"/>
                          </w:rPr>
                          <m:t>k</m:t>
                        </m:r>
                      </m:e>
                      <m:sub>
                        <m:r>
                          <w:rPr>
                            <w:rFonts w:ascii="Cambria Math" w:hAnsi="Cambria Math"/>
                          </w:rPr>
                          <m:t>ec</m:t>
                        </m:r>
                      </m:sub>
                    </m:sSub>
                  </m:den>
                </m:f>
              </m:oMath>
            </m:oMathPara>
          </w:p>
        </w:tc>
      </w:tr>
    </w:tbl>
    <w:p w:rsidR="00B31546" w:rsidRPr="00545ED4" w:rsidRDefault="00B31546" w:rsidP="00B31546">
      <w:pPr>
        <w:spacing w:line="360" w:lineRule="auto"/>
        <w:rPr>
          <w:rFonts w:asciiTheme="minorHAnsi" w:eastAsiaTheme="minorEastAsia" w:hAnsiTheme="minorHAnsi"/>
          <w:b/>
        </w:rPr>
      </w:pPr>
      <w:r w:rsidRPr="00545ED4">
        <w:rPr>
          <w:rFonts w:asciiTheme="minorHAnsi" w:eastAsiaTheme="minorEastAsia" w:hAnsiTheme="minorHAnsi"/>
          <w:b/>
        </w:rPr>
        <w:t xml:space="preserve">Figure A3: Impact </w:t>
      </w:r>
      <w:r w:rsidR="00545ED4">
        <w:rPr>
          <w:rFonts w:asciiTheme="minorHAnsi" w:eastAsiaTheme="minorEastAsia" w:hAnsiTheme="minorHAnsi"/>
          <w:b/>
        </w:rPr>
        <w:t>inventory</w:t>
      </w:r>
      <w:r w:rsidRPr="00545ED4">
        <w:rPr>
          <w:rFonts w:asciiTheme="minorHAnsi" w:eastAsiaTheme="minorEastAsia" w:hAnsiTheme="minorHAnsi"/>
          <w:b/>
        </w:rPr>
        <w:t xml:space="preserve"> for three sectors</w:t>
      </w:r>
    </w:p>
    <w:p w:rsidR="00B31546" w:rsidRPr="00545ED4" w:rsidRDefault="00B31546" w:rsidP="00B31546">
      <w:pPr>
        <w:spacing w:line="360" w:lineRule="auto"/>
        <w:rPr>
          <w:rFonts w:asciiTheme="minorHAnsi" w:hAnsiTheme="minorHAnsi"/>
          <w:b/>
        </w:rPr>
      </w:pPr>
    </w:p>
    <w:p w:rsidR="00B31546" w:rsidRPr="00545ED4" w:rsidRDefault="00B31546" w:rsidP="00B31546">
      <w:pPr>
        <w:spacing w:line="360" w:lineRule="auto"/>
        <w:rPr>
          <w:rFonts w:asciiTheme="minorHAnsi" w:hAnsiTheme="minorHAnsi"/>
          <w:b/>
        </w:rPr>
      </w:pPr>
      <w:r w:rsidRPr="00545ED4">
        <w:rPr>
          <w:rFonts w:asciiTheme="minorHAnsi" w:hAnsiTheme="minorHAnsi"/>
          <w:b/>
        </w:rPr>
        <w:t>A</w:t>
      </w:r>
      <w:r w:rsidR="00F42412">
        <w:rPr>
          <w:rFonts w:asciiTheme="minorHAnsi" w:hAnsiTheme="minorHAnsi"/>
          <w:b/>
        </w:rPr>
        <w:t>2.</w:t>
      </w:r>
      <w:r w:rsidRPr="00545ED4">
        <w:rPr>
          <w:rFonts w:asciiTheme="minorHAnsi" w:hAnsiTheme="minorHAnsi"/>
          <w:b/>
        </w:rPr>
        <w:t>4- N Sectors</w:t>
      </w:r>
    </w:p>
    <w:p w:rsidR="00B31546" w:rsidRPr="00545ED4" w:rsidRDefault="00B31546" w:rsidP="00B31546">
      <w:pPr>
        <w:spacing w:line="360" w:lineRule="auto"/>
        <w:rPr>
          <w:rFonts w:asciiTheme="minorHAnsi" w:hAnsiTheme="minorHAnsi"/>
        </w:rPr>
      </w:pPr>
      <w:r w:rsidRPr="00545ED4">
        <w:rPr>
          <w:rFonts w:asciiTheme="minorHAnsi" w:hAnsiTheme="minorHAnsi"/>
        </w:rPr>
        <w:t>The notation set out above is generalizable to N sectors and sets out the direct effects and methods for estimating the opportunity costs based on each sectors marginal productivity for each outcome.</w:t>
      </w:r>
    </w:p>
    <w:p w:rsidR="00B31546" w:rsidRPr="00545ED4" w:rsidRDefault="00B31546" w:rsidP="00B31546">
      <w:pPr>
        <w:spacing w:line="360" w:lineRule="auto"/>
        <w:rPr>
          <w:rFonts w:asciiTheme="minorHAnsi" w:hAnsiTheme="minorHAnsi"/>
          <w:b/>
        </w:rPr>
      </w:pPr>
    </w:p>
    <w:p w:rsidR="00B31546" w:rsidRPr="00545ED4" w:rsidRDefault="00B31546" w:rsidP="00B31546">
      <w:pPr>
        <w:rPr>
          <w:rFonts w:asciiTheme="minorHAnsi" w:hAnsiTheme="minorHAnsi"/>
        </w:rPr>
      </w:pPr>
    </w:p>
    <w:p w:rsidR="00036E7F" w:rsidRPr="00545ED4" w:rsidRDefault="00036E7F">
      <w:pPr>
        <w:rPr>
          <w:rFonts w:asciiTheme="minorHAnsi" w:hAnsiTheme="minorHAnsi"/>
        </w:rPr>
      </w:pPr>
    </w:p>
    <w:sectPr w:rsidR="00036E7F" w:rsidRPr="00545ED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7FA" w:rsidRDefault="004377FA" w:rsidP="00E05FE0">
      <w:pPr>
        <w:spacing w:after="0" w:line="240" w:lineRule="auto"/>
      </w:pPr>
      <w:r>
        <w:separator/>
      </w:r>
    </w:p>
  </w:endnote>
  <w:endnote w:type="continuationSeparator" w:id="0">
    <w:p w:rsidR="004377FA" w:rsidRDefault="004377FA" w:rsidP="00E05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1"/>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7FA" w:rsidRDefault="004377FA" w:rsidP="00E05FE0">
      <w:pPr>
        <w:spacing w:after="0" w:line="240" w:lineRule="auto"/>
      </w:pPr>
      <w:r>
        <w:separator/>
      </w:r>
    </w:p>
  </w:footnote>
  <w:footnote w:type="continuationSeparator" w:id="0">
    <w:p w:rsidR="004377FA" w:rsidRDefault="004377FA" w:rsidP="00E05FE0">
      <w:pPr>
        <w:spacing w:after="0" w:line="240" w:lineRule="auto"/>
      </w:pPr>
      <w:r>
        <w:continuationSeparator/>
      </w:r>
    </w:p>
  </w:footnote>
  <w:footnote w:id="1">
    <w:p w:rsidR="00191642" w:rsidRDefault="00191642" w:rsidP="00E05FE0">
      <w:pPr>
        <w:pStyle w:val="FootnoteText"/>
      </w:pPr>
      <w:r w:rsidRPr="00902B22">
        <w:rPr>
          <w:rStyle w:val="FootnoteReference"/>
        </w:rPr>
        <w:footnoteRef/>
      </w:r>
      <w:r>
        <w:t xml:space="preserve"> </w:t>
      </w:r>
      <w:r w:rsidRPr="00E05FE0">
        <w:rPr>
          <w:rFonts w:eastAsia="Times New Roman"/>
        </w:rPr>
        <w:t>It should be noted, that these could potentially be patients 1 and 2</w:t>
      </w:r>
    </w:p>
  </w:footnote>
  <w:footnote w:id="2">
    <w:p w:rsidR="00191642" w:rsidRDefault="00191642" w:rsidP="00E05FE0">
      <w:pPr>
        <w:pStyle w:val="FootnoteText"/>
      </w:pPr>
      <w:r w:rsidRPr="00902B22">
        <w:rPr>
          <w:rStyle w:val="FootnoteReference"/>
        </w:rPr>
        <w:footnoteRef/>
      </w:r>
      <w:r>
        <w:t xml:space="preserve"> </w:t>
      </w:r>
      <w:r w:rsidRPr="00E05FE0">
        <w:rPr>
          <w:rFonts w:eastAsia="Times New Roman"/>
        </w:rPr>
        <w:t xml:space="preserve">This could be expanded to a function also considering </w:t>
      </w:r>
      <w:r>
        <w:t xml:space="preserve">characteristics of the individuals who gain and lose health, </w:t>
      </w:r>
      <w:r w:rsidRPr="00E05FE0">
        <w:rPr>
          <w:rFonts w:eastAsia="Times New Roman"/>
        </w:rPr>
        <w:t xml:space="preserve">the initial level of health of each individual, </w:t>
      </w:r>
      <w:r>
        <w:t>with different weights attached to each individual</w:t>
      </w:r>
      <w:r w:rsidRPr="00E05FE0">
        <w:rPr>
          <w:rFonts w:eastAsia="Times New Roman"/>
        </w:rPr>
        <w:t xml:space="preserve"> </w:t>
      </w:r>
      <w:r>
        <w:fldChar w:fldCharType="begin" w:fldLock="1"/>
      </w:r>
      <w:r>
        <w:instrText>ADDIN CSL_CITATION { "citationItems" : [ { "id" : "ITEM-1", "itemData" : { "DOI" : "10.1002/hec.3058", "ISSN" : "1099-1050", "PMID" : "24798212", "abstract" : "This paper presents an application of a new methodological framework for undertaking distributional cost-effectiveness analysis to combine the objectives of maximising health and minimising unfair variation in health when evaluating population health interventions. The National Health Service bowel cancer screening programme introduced in 2006 is expected to improve population health on average and to worsen population health inequalities associated with deprivation and ethnicity--a classic case of 'intervention-generated inequality'. We demonstrate the distributional cost-effectiveness analysis framework by examining two redesign options for the bowel cancer screening programme: (i) the introduction of an enhanced targeted reminder aimed at increasing screening uptake in deprived and ethnically diverse neighbourhoods and (ii) the introduction of a basic universal reminder aimed at increasing screening uptake across the whole population. Our analysis indicates that the universal reminder is the strategy that maximises population health, while the targeted reminder is the screening strategy that minimises unfair variation in health. The framework is used to demonstrate how these two objectives can be traded off against each other, and how alternative social value judgements influence the assessment of which strategy is best, including judgements about which dimensions of health variation are considered unfair and judgements about societal levels of inequality aversion.", "author" : [ { "dropping-particle" : "", "family" : "Asaria", "given" : "Miqdad", "non-dropping-particle" : "", "parse-names" : false, "suffix" : "" }, { "dropping-particle" : "", "family" : "Griffin", "given" : "Susan", "non-dropping-particle" : "", "parse-names" : false, "suffix" : "" }, { "dropping-particle" : "", "family" : "Cookson", "given" : "Richard", "non-dropping-particle" : "", "parse-names" : false, "suffix" : "" }, { "dropping-particle" : "", "family" : "Whyte", "given" : "Sophie", "non-dropping-particle" : "", "parse-names" : false, "suffix" : "" }, { "dropping-particle" : "", "family" : "Tappenden", "given" : "Paul", "non-dropping-particle" : "", "parse-names" : false, "suffix" : "" } ], "container-title" : "Health economics", "id" : "ITEM-1", "issue" : "6", "issued" : { "date-parts" : [ [ "2015", "6" ] ] }, "page" : "742-54", "title" : "Distributional cost-effectiveness analysis of health care programmes--a methodological case study of the UK Bowel Cancer Screening Programme.", "type" : "article-journal", "volume" : "24" }, "uris" : [ "http://www.mendeley.com/documents/?uuid=be9612b5-cd60-4269-9a01-67e227a000a8" ] } ], "mendeley" : { "formattedCitation" : "(22)", "plainTextFormattedCitation" : "(22)", "previouslyFormattedCitation" : "(22)" }, "properties" : { "noteIndex" : 0 }, "schema" : "https://github.com/citation-style-language/schema/raw/master/csl-citation.json" }</w:instrText>
      </w:r>
      <w:r>
        <w:fldChar w:fldCharType="separate"/>
      </w:r>
      <w:r w:rsidRPr="000E3954">
        <w:rPr>
          <w:noProof/>
        </w:rPr>
        <w:t>(22)</w:t>
      </w:r>
      <w:r>
        <w:fldChar w:fldCharType="end"/>
      </w:r>
    </w:p>
  </w:footnote>
  <w:footnote w:id="3">
    <w:p w:rsidR="00191642" w:rsidRDefault="00191642" w:rsidP="00E05FE0">
      <w:pPr>
        <w:pStyle w:val="FootnoteText"/>
      </w:pPr>
      <w:r w:rsidRPr="00902B22">
        <w:rPr>
          <w:rStyle w:val="FootnoteReference"/>
        </w:rPr>
        <w:footnoteRef/>
      </w:r>
      <w:r w:rsidRPr="00E05FE0">
        <w:rPr>
          <w:rFonts w:eastAsia="Times New Roman"/>
        </w:rPr>
        <w:t xml:space="preserve">This is the method used by the </w:t>
      </w:r>
      <w:r>
        <w:t>National Institute of Health and Care Excellence (</w:t>
      </w:r>
      <w:r w:rsidRPr="00E05FE0">
        <w:rPr>
          <w:rFonts w:eastAsia="Times New Roman"/>
        </w:rPr>
        <w:t xml:space="preserve">NICE) </w:t>
      </w:r>
      <w:r w:rsidRPr="00E05FE0">
        <w:rPr>
          <w:rFonts w:eastAsia="Times New Roman"/>
        </w:rPr>
        <w:fldChar w:fldCharType="begin" w:fldLock="1"/>
      </w:r>
      <w:r w:rsidRPr="00E05FE0">
        <w:rPr>
          <w:rFonts w:eastAsia="Times New Roman"/>
        </w:rPr>
        <w:instrText>ADDIN CSL_CITATION { "citationItems" : [ { "id" : "ITEM-1", "itemData" : { "DOI" : "10.2165/00019053-200826090-00002", "ISBN" : "1846297419", "ISSN" : "1170-7690", "abstract" : "The National Institute for Health and Clinical Excellence (NICE, or the Institute) provides guidance to the NHS in England and Wales on the clinical and cost effectiveness of selected new and established technologies. The Institute undertakes appraisals of health technologies at the request of the Department of Health. Guidance produced by the Institute on health technologies is also applied selectively in Scotland and Northern Ireland. The purpose of this document is to provide an overview of the principles and methods of health technology assessment and appraisal within the context of the NICE appraisal process. It describes key principles of appraisal methodology and is a guide for all organisations considering submitting evidence to the technology appraisal programme of the Institute. The Institute regularly reviews its processes and methodology. This document updates the Guide to the methods of technology appraisal published in 2004. This document does not provide a detailed description of the processes used to develop guidance. Information on the process of conducting a technology appraisal is available in two companion documents to this guide: Guide to the technology appraisal process and Guide to the single technology appraisal (STA) process (see appendix C). A review of these documents is currently underway; further information on the updated documents will be made available on the NICE website. This document indicates the kind of information and analysis that the Appraisal Committee will find most helpful. Substantive departures from the Guide to the methods of technology appraisal should therefore not be made without the previous agreement of the Director of the Centre for Health Technology Evaluation.", "author" : [ { "dropping-particle" : "", "family" : "NICE", "given" : "", "non-dropping-particle" : "", "parse-names" : false, "suffix" : "" } ], "id" : "ITEM-1", "issued" : { "date-parts" : [ [ "2013" ] ] }, "publisher-place" : "London", "title" : "Guide to the methods of technology appraisal", "type" : "report" }, "uris" : [ "http://www.mendeley.com/documents/?uuid=42c947bd-f12a-44a7-a236-f5ebfc34db7a" ] } ], "mendeley" : { "formattedCitation" : "(14)", "plainTextFormattedCitation" : "(14)", "previouslyFormattedCitation" : "(14)" }, "properties" : { "noteIndex" : 0 }, "schema" : "https://github.com/citation-style-language/schema/raw/master/csl-citation.json" }</w:instrText>
      </w:r>
      <w:r w:rsidRPr="00E05FE0">
        <w:rPr>
          <w:rFonts w:eastAsia="Times New Roman"/>
        </w:rPr>
        <w:fldChar w:fldCharType="separate"/>
      </w:r>
      <w:r w:rsidRPr="00E05FE0">
        <w:rPr>
          <w:rFonts w:eastAsia="Times New Roman"/>
          <w:noProof/>
        </w:rPr>
        <w:t>(14)</w:t>
      </w:r>
      <w:r w:rsidRPr="00E05FE0">
        <w:rPr>
          <w:rFonts w:eastAsia="Times New Roman"/>
        </w:rPr>
        <w:fldChar w:fldCharType="end"/>
      </w:r>
    </w:p>
  </w:footnote>
  <w:footnote w:id="4">
    <w:p w:rsidR="00191642" w:rsidRDefault="00191642" w:rsidP="00E05FE0">
      <w:pPr>
        <w:pStyle w:val="FootnoteText"/>
      </w:pPr>
      <w:r w:rsidRPr="00902B22">
        <w:rPr>
          <w:rStyle w:val="FootnoteReference"/>
        </w:rPr>
        <w:footnoteRef/>
      </w:r>
      <w:r>
        <w:t xml:space="preserve"> Independence between the two measures is assumed. In general, care should be taken to avoid possible double counting if both dimensions capture some of the same benefits</w:t>
      </w:r>
    </w:p>
  </w:footnote>
  <w:footnote w:id="5">
    <w:p w:rsidR="00191642" w:rsidRDefault="00191642" w:rsidP="00E05FE0">
      <w:pPr>
        <w:pStyle w:val="FootnoteText"/>
      </w:pPr>
      <w:r w:rsidRPr="00902B22">
        <w:rPr>
          <w:rStyle w:val="FootnoteReference"/>
        </w:rPr>
        <w:footnoteRef/>
      </w:r>
      <w:r>
        <w:t xml:space="preserve"> This </w:t>
      </w:r>
      <w:r w:rsidRPr="00E05FE0">
        <w:rPr>
          <w:rFonts w:eastAsia="Times New Roman"/>
        </w:rPr>
        <w:t>may be considered more appropriate if the decision maker’s main</w:t>
      </w:r>
      <w:r w:rsidR="00881BB8">
        <w:rPr>
          <w:rFonts w:eastAsia="Times New Roman"/>
        </w:rPr>
        <w:t>, or even only,</w:t>
      </w:r>
      <w:r w:rsidRPr="00E05FE0">
        <w:rPr>
          <w:rFonts w:eastAsia="Times New Roman"/>
        </w:rPr>
        <w:t xml:space="preserve"> concern is the impact on health and impacts on consumption are secondary </w:t>
      </w:r>
      <w:r w:rsidRPr="00E05FE0">
        <w:rPr>
          <w:rFonts w:eastAsia="Times New Roman"/>
        </w:rPr>
        <w:fldChar w:fldCharType="begin" w:fldLock="1"/>
      </w:r>
      <w:r w:rsidRPr="00E05FE0">
        <w:rPr>
          <w:rFonts w:eastAsia="Times New Roman"/>
        </w:rPr>
        <w:instrText>ADDIN CSL_CITATION { "citationItems" : [ { "id" : "ITEM-1", "itemData" : { "author" : [ { "dropping-particle" : "", "family" : "Glover", "given" : "D.", "non-dropping-particle" : "", "parse-names" : false, "suffix" : "" }, { "dropping-particle" : "", "family" : "Henderson", "given" : "J.", "non-dropping-particle" : "", "parse-names" : false, "suffix" : "" } ], "id" : "ITEM-1", "issued" : { "date-parts" : [ [ "2010" ] ] }, "publisher-place" : "London", "title" : "Quantifying health impacts of government policies", "type" : "report" }, "uris" : [ "http://www.mendeley.com/documents/?uuid=6da4132e-81f4-3783-8d34-f2b87b080974" ] } ], "mendeley" : { "formattedCitation" : "(13)", "plainTextFormattedCitation" : "(13)", "previouslyFormattedCitation" : "(13)" }, "properties" : { "noteIndex" : 0 }, "schema" : "https://github.com/citation-style-language/schema/raw/master/csl-citation.json" }</w:instrText>
      </w:r>
      <w:r w:rsidRPr="00E05FE0">
        <w:rPr>
          <w:rFonts w:eastAsia="Times New Roman"/>
        </w:rPr>
        <w:fldChar w:fldCharType="separate"/>
      </w:r>
      <w:r w:rsidRPr="00E05FE0">
        <w:rPr>
          <w:rFonts w:eastAsia="Times New Roman"/>
          <w:noProof/>
        </w:rPr>
        <w:t>(13)</w:t>
      </w:r>
      <w:r w:rsidRPr="00E05FE0">
        <w:rPr>
          <w:rFonts w:eastAsia="Times New Roman"/>
        </w:rPr>
        <w:fldChar w:fldCharType="end"/>
      </w:r>
    </w:p>
  </w:footnote>
  <w:footnote w:id="6">
    <w:p w:rsidR="00191642" w:rsidRDefault="00191642" w:rsidP="00E05FE0">
      <w:pPr>
        <w:pStyle w:val="FootnoteText"/>
      </w:pPr>
      <w:r w:rsidRPr="00902B22">
        <w:rPr>
          <w:rStyle w:val="FootnoteReference"/>
        </w:rPr>
        <w:footnoteRef/>
      </w:r>
      <w:r>
        <w:t xml:space="preserve"> </w:t>
      </w:r>
      <w:r w:rsidRPr="00E05FE0">
        <w:rPr>
          <w:rFonts w:eastAsia="Times New Roman"/>
        </w:rPr>
        <w:t>This gives the value of a unit of health in terms of units of consumption. Consumption is simply being used as the common numeraire; it is equally possible to convert consumption into health, or both dimensions into another measure of outcome. For simplicity this is assumed to be constant and unrelated to the size of the change in health.</w:t>
      </w:r>
    </w:p>
  </w:footnote>
  <w:footnote w:id="7">
    <w:p w:rsidR="00191642" w:rsidRDefault="00191642" w:rsidP="00E05FE0">
      <w:pPr>
        <w:pStyle w:val="FootnoteText"/>
      </w:pPr>
      <w:r w:rsidRPr="00902B22">
        <w:rPr>
          <w:rStyle w:val="FootnoteReference"/>
        </w:rPr>
        <w:footnoteRef/>
      </w:r>
      <w:r>
        <w:t xml:space="preserve"> With the introduction of more outcomes, the risk of double or treble counting of benefits needs to be considered carefully</w:t>
      </w:r>
    </w:p>
  </w:footnote>
  <w:footnote w:id="8">
    <w:p w:rsidR="00191642" w:rsidRDefault="00191642" w:rsidP="00E05FE0">
      <w:pPr>
        <w:pStyle w:val="FootnoteText"/>
      </w:pPr>
      <w:r w:rsidRPr="00902B22">
        <w:rPr>
          <w:rStyle w:val="FootnoteReference"/>
        </w:rPr>
        <w:footnoteRef/>
      </w:r>
      <w:r>
        <w:t xml:space="preserve"> This</w:t>
      </w:r>
      <w:r w:rsidRPr="00E05FE0">
        <w:rPr>
          <w:rFonts w:eastAsia="Times New Roman"/>
        </w:rPr>
        <w:t xml:space="preserve"> is captured as a binary indicator</w:t>
      </w:r>
    </w:p>
  </w:footnote>
  <w:footnote w:id="9">
    <w:p w:rsidR="00191642" w:rsidRDefault="00191642" w:rsidP="00E05FE0">
      <w:pPr>
        <w:pStyle w:val="FootnoteText"/>
      </w:pPr>
      <w:r w:rsidRPr="00902B22">
        <w:rPr>
          <w:rStyle w:val="FootnoteReference"/>
        </w:rPr>
        <w:footnoteRef/>
      </w:r>
      <w:r>
        <w:t xml:space="preserve"> I</w:t>
      </w:r>
      <w:r w:rsidRPr="00E05FE0">
        <w:rPr>
          <w:rFonts w:eastAsia="Times New Roman"/>
        </w:rPr>
        <w:t xml:space="preserve">t is possible to capture the effects of health expenditure on education or of education expenditure on health (for example, using the marginal productivity of healthcare expenditure on a student graduating). The possibility of cross-sectoral impacts has been discussed elsewhere </w:t>
      </w:r>
      <w:r w:rsidRPr="00E05FE0">
        <w:rPr>
          <w:rFonts w:eastAsia="Times New Roman"/>
        </w:rPr>
        <w:fldChar w:fldCharType="begin" w:fldLock="1"/>
      </w:r>
      <w:r w:rsidRPr="00E05FE0">
        <w:rPr>
          <w:rFonts w:eastAsia="Times New Roman"/>
        </w:rPr>
        <w:instrText>ADDIN CSL_CITATION { "citationItems" : [ { "id" : "ITEM-1", "itemData" : { "DOI" : "10.1016/j.jval.2016.11.009", "abstract" : "A B S T R A C T Good health is a function of a range of biological, environmental, behavioral, and social factors. The consumption of quality health care services is therefore only a part of how good health is produced. Although few would argue with this, the economic framework used to allocate resources to optimize population health is applied in a way that constrains the analyst and the decision maker to health care services. This approach risks missing two critical issues: 1) multiple sectors contribute to health gain and 2) the goods and services produced by the health sector can have multiple benefits besides health. We illustrate how present cost-effectiveness thresholds could result in health losses, particularly when considering health-producing interventions in other sectors or public health interven-tions with multisectoral outcomes. We then propose a potentially more optimal second best approach, the so-called cofinancing approach, in which the health payer could redistribute part of its budget to other sectors, where specific nonhealth interventions achieved a health gain more efficiently than the health sector's marginal productivity (opportunity cost). Likewise, other sectors would determine how much to contribute toward such an interven-tion, given the current marginal productivity of their budgets. Further research is certainly required to test and validate different measure-ment approaches and to assess the efficiency gains from cofinancing after deducting the transaction costs that would come with such cross-sectoral coordination.", "author" : [ { "dropping-particle" : "", "family" : "Remme", "given" : "Michelle", "non-dropping-particle" : "", "parse-names" : false, "suffix" : "" }, { "dropping-particle" : "", "family" : "Martinez-Alvarez", "given" : "Melisa", "non-dropping-particle" : "", "parse-names" : false, "suffix" : "" }, { "dropping-particle" : "", "family" : "Vassall", "given" : "Anna", "non-dropping-particle" : "", "parse-names" : false, "suffix" : "" } ], "id" : "ITEM-1", "issued" : { "date-parts" : [ [ "2017" ] ] }, "title" : "Cost-Effectiveness Thresholds in Global Health: Taking a Multisectoral Perspective", "type" : "article-journal" }, "uris" : [ "http://www.mendeley.com/documents/?uuid=60adcf17-ca75-318f-a8fd-b794fc8ec342" ] } ], "mendeley" : { "formattedCitation" : "(23)", "plainTextFormattedCitation" : "(23)", "previouslyFormattedCitation" : "(23)" }, "properties" : { "noteIndex" : 0 }, "schema" : "https://github.com/citation-style-language/schema/raw/master/csl-citation.json" }</w:instrText>
      </w:r>
      <w:r w:rsidRPr="00E05FE0">
        <w:rPr>
          <w:rFonts w:eastAsia="Times New Roman"/>
        </w:rPr>
        <w:fldChar w:fldCharType="separate"/>
      </w:r>
      <w:r w:rsidRPr="00E05FE0">
        <w:rPr>
          <w:rFonts w:eastAsia="Times New Roman"/>
          <w:noProof/>
        </w:rPr>
        <w:t>(23)</w:t>
      </w:r>
      <w:r w:rsidRPr="00E05FE0">
        <w:rPr>
          <w:rFonts w:eastAsia="Times New Roman"/>
        </w:rPr>
        <w:fldChar w:fldCharType="end"/>
      </w:r>
      <w:r w:rsidRPr="00E05FE0">
        <w:rPr>
          <w:rFonts w:eastAsia="Times New Roman"/>
        </w:rPr>
        <w:t xml:space="preserve"> and notation for capturing these effects is presented in the technical appendix.   </w:t>
      </w:r>
    </w:p>
  </w:footnote>
  <w:footnote w:id="10">
    <w:p w:rsidR="00191642" w:rsidRDefault="00191642" w:rsidP="00E05FE0">
      <w:pPr>
        <w:pStyle w:val="FootnoteText"/>
      </w:pPr>
      <w:r w:rsidRPr="00902B22">
        <w:rPr>
          <w:rStyle w:val="FootnoteReference"/>
        </w:rPr>
        <w:footnoteRef/>
      </w:r>
      <w:r>
        <w:t xml:space="preserve"> Based on the assumption t</w:t>
      </w:r>
      <w:r w:rsidRPr="00E05FE0">
        <w:rPr>
          <w:rFonts w:eastAsia="Times New Roman"/>
        </w:rPr>
        <w:t xml:space="preserve">hat public sector budgets are set efficiently such that the ratio of the consumption value of the unit of outcome and the marginal productivity of the sector for that unit is the same across sectors   </w:t>
      </w:r>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h</m:t>
                </m:r>
              </m:sub>
            </m:sSub>
          </m:num>
          <m:den>
            <m:sSub>
              <m:sSubPr>
                <m:ctrlPr>
                  <w:rPr>
                    <w:rFonts w:ascii="Cambria Math" w:hAnsi="Cambria Math"/>
                    <w:i/>
                  </w:rPr>
                </m:ctrlPr>
              </m:sSubPr>
              <m:e>
                <m:r>
                  <w:rPr>
                    <w:rFonts w:ascii="Cambria Math" w:hAnsi="Cambria Math"/>
                  </w:rPr>
                  <m:t>k</m:t>
                </m:r>
              </m:e>
              <m:sub>
                <m:r>
                  <w:rPr>
                    <w:rFonts w:ascii="Cambria Math" w:hAnsi="Cambria Math"/>
                  </w:rPr>
                  <m:t>h</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e</m:t>
                </m:r>
              </m:sub>
            </m:sSub>
          </m:num>
          <m:den>
            <m:sSub>
              <m:sSubPr>
                <m:ctrlPr>
                  <w:rPr>
                    <w:rFonts w:ascii="Cambria Math" w:hAnsi="Cambria Math"/>
                    <w:i/>
                  </w:rPr>
                </m:ctrlPr>
              </m:sSubPr>
              <m:e>
                <m:r>
                  <w:rPr>
                    <w:rFonts w:ascii="Cambria Math" w:hAnsi="Cambria Math"/>
                  </w:rPr>
                  <m:t>k</m:t>
                </m:r>
              </m:e>
              <m:sub>
                <m:r>
                  <w:rPr>
                    <w:rFonts w:ascii="Cambria Math" w:hAnsi="Cambria Math"/>
                  </w:rPr>
                  <m:t>e</m:t>
                </m:r>
              </m:sub>
            </m:sSub>
          </m:den>
        </m:f>
      </m:oMath>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E0B31"/>
    <w:multiLevelType w:val="hybridMultilevel"/>
    <w:tmpl w:val="C0089D6A"/>
    <w:lvl w:ilvl="0" w:tplc="E7A8D8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8FD3032"/>
    <w:multiLevelType w:val="hybridMultilevel"/>
    <w:tmpl w:val="C0089D6A"/>
    <w:lvl w:ilvl="0" w:tplc="E7A8D8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8968BD"/>
    <w:multiLevelType w:val="hybridMultilevel"/>
    <w:tmpl w:val="C0089D6A"/>
    <w:lvl w:ilvl="0" w:tplc="E7A8D8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FE0"/>
    <w:rsid w:val="00036E7F"/>
    <w:rsid w:val="00191642"/>
    <w:rsid w:val="001E55F3"/>
    <w:rsid w:val="00396775"/>
    <w:rsid w:val="004377FA"/>
    <w:rsid w:val="00456B45"/>
    <w:rsid w:val="00460ECD"/>
    <w:rsid w:val="005018EA"/>
    <w:rsid w:val="00545ED4"/>
    <w:rsid w:val="0066183E"/>
    <w:rsid w:val="00835FC4"/>
    <w:rsid w:val="00850D68"/>
    <w:rsid w:val="00881BB8"/>
    <w:rsid w:val="00902B22"/>
    <w:rsid w:val="00911250"/>
    <w:rsid w:val="00AB23B9"/>
    <w:rsid w:val="00B31546"/>
    <w:rsid w:val="00B8125F"/>
    <w:rsid w:val="00DF3787"/>
    <w:rsid w:val="00E05FE0"/>
    <w:rsid w:val="00E07798"/>
    <w:rsid w:val="00F42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A52D1"/>
  <w15:docId w15:val="{7A31117D-4487-489F-A3D3-40351B86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FE0"/>
    <w:pPr>
      <w:spacing w:after="200" w:line="276" w:lineRule="auto"/>
      <w:ind w:left="720"/>
      <w:contextualSpacing/>
    </w:pPr>
    <w:rPr>
      <w:rFonts w:ascii="Calibri" w:eastAsia="Times New Roman" w:hAnsi="Calibri"/>
      <w:lang w:eastAsia="en-GB"/>
    </w:rPr>
  </w:style>
  <w:style w:type="paragraph" w:styleId="FootnoteText">
    <w:name w:val="footnote text"/>
    <w:basedOn w:val="Normal"/>
    <w:link w:val="FootnoteTextChar"/>
    <w:uiPriority w:val="99"/>
    <w:semiHidden/>
    <w:unhideWhenUsed/>
    <w:rsid w:val="00E05FE0"/>
    <w:pPr>
      <w:spacing w:after="0" w:line="240" w:lineRule="auto"/>
    </w:pPr>
    <w:rPr>
      <w:rFonts w:ascii="Calibri" w:hAnsi="Calibri"/>
      <w:sz w:val="20"/>
      <w:szCs w:val="20"/>
    </w:rPr>
  </w:style>
  <w:style w:type="character" w:customStyle="1" w:styleId="FootnoteTextChar">
    <w:name w:val="Footnote Text Char"/>
    <w:link w:val="FootnoteText"/>
    <w:uiPriority w:val="99"/>
    <w:semiHidden/>
    <w:rsid w:val="00E05FE0"/>
    <w:rPr>
      <w:rFonts w:ascii="Calibri" w:hAnsi="Calibri"/>
      <w:lang w:eastAsia="en-US"/>
    </w:rPr>
  </w:style>
  <w:style w:type="character" w:styleId="FootnoteReference">
    <w:name w:val="footnote reference"/>
    <w:uiPriority w:val="99"/>
    <w:semiHidden/>
    <w:unhideWhenUsed/>
    <w:rsid w:val="00E05FE0"/>
    <w:rPr>
      <w:vertAlign w:val="superscript"/>
    </w:rPr>
  </w:style>
  <w:style w:type="character" w:styleId="CommentReference">
    <w:name w:val="annotation reference"/>
    <w:uiPriority w:val="99"/>
    <w:semiHidden/>
    <w:unhideWhenUsed/>
    <w:rsid w:val="00E05FE0"/>
    <w:rPr>
      <w:sz w:val="16"/>
      <w:szCs w:val="16"/>
    </w:rPr>
  </w:style>
  <w:style w:type="paragraph" w:styleId="CommentText">
    <w:name w:val="annotation text"/>
    <w:basedOn w:val="Normal"/>
    <w:link w:val="CommentTextChar"/>
    <w:uiPriority w:val="99"/>
    <w:unhideWhenUsed/>
    <w:rsid w:val="00E05FE0"/>
    <w:pPr>
      <w:spacing w:after="200" w:line="240" w:lineRule="auto"/>
    </w:pPr>
    <w:rPr>
      <w:rFonts w:ascii="Calibri" w:hAnsi="Calibri"/>
      <w:sz w:val="20"/>
      <w:szCs w:val="20"/>
    </w:rPr>
  </w:style>
  <w:style w:type="character" w:customStyle="1" w:styleId="CommentTextChar">
    <w:name w:val="Comment Text Char"/>
    <w:link w:val="CommentText"/>
    <w:uiPriority w:val="99"/>
    <w:rsid w:val="00E05FE0"/>
    <w:rPr>
      <w:rFonts w:ascii="Calibri" w:hAnsi="Calibri"/>
      <w:lang w:eastAsia="en-US"/>
    </w:rPr>
  </w:style>
  <w:style w:type="paragraph" w:styleId="BalloonText">
    <w:name w:val="Balloon Text"/>
    <w:basedOn w:val="Normal"/>
    <w:link w:val="BalloonTextChar"/>
    <w:uiPriority w:val="99"/>
    <w:semiHidden/>
    <w:unhideWhenUsed/>
    <w:rsid w:val="00E05FE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05FE0"/>
    <w:rPr>
      <w:rFonts w:ascii="Segoe UI" w:hAnsi="Segoe UI" w:cs="Segoe UI"/>
      <w:sz w:val="18"/>
      <w:szCs w:val="18"/>
      <w:lang w:eastAsia="en-US"/>
    </w:rPr>
  </w:style>
  <w:style w:type="character" w:styleId="EndnoteReference">
    <w:name w:val="endnote reference"/>
    <w:basedOn w:val="DefaultParagraphFont"/>
    <w:uiPriority w:val="99"/>
    <w:semiHidden/>
    <w:unhideWhenUsed/>
    <w:rsid w:val="00902B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4108</Words>
  <Characters>23416</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The University of York</Company>
  <LinksUpToDate>false</LinksUpToDate>
  <CharactersWithSpaces>27470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Griffin</dc:creator>
  <cp:lastModifiedBy>Simon Walker</cp:lastModifiedBy>
  <cp:revision>2</cp:revision>
  <dcterms:created xsi:type="dcterms:W3CDTF">2019-03-28T16:02:00Z</dcterms:created>
  <dcterms:modified xsi:type="dcterms:W3CDTF">2019-03-28T16:02:00Z</dcterms:modified>
</cp:coreProperties>
</file>