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3B" w:rsidRPr="009C6449" w:rsidRDefault="00916160" w:rsidP="005E08E2">
      <w:r w:rsidRPr="009C6449">
        <w:t>Supplementary material</w:t>
      </w:r>
      <w:r w:rsidR="003B663B" w:rsidRPr="009C6449">
        <w:t xml:space="preserve">: </w:t>
      </w:r>
    </w:p>
    <w:p w:rsidR="003B663B" w:rsidRPr="009C6449" w:rsidRDefault="003B663B" w:rsidP="005E08E2">
      <w:r w:rsidRPr="009C6449">
        <w:t>Applied Health Economics and Health Policy</w:t>
      </w:r>
    </w:p>
    <w:p w:rsidR="003B663B" w:rsidRPr="009C6449" w:rsidRDefault="003B663B" w:rsidP="005E08E2">
      <w:r w:rsidRPr="009C6449">
        <w:t>Healthcare costs for people with serious mental illness in England: an analysis of costs across primary care, hospital care, and specialist mental healthcare</w:t>
      </w:r>
    </w:p>
    <w:p w:rsidR="003B663B" w:rsidRPr="009C6449" w:rsidRDefault="003B663B" w:rsidP="005E08E2">
      <w:r w:rsidRPr="009C6449">
        <w:t xml:space="preserve">Authors: Jemimah Ride, Panagiotis Kasteridis, Nils Gutacker, Maria Jose Aragon </w:t>
      </w:r>
      <w:proofErr w:type="spellStart"/>
      <w:r w:rsidRPr="009C6449">
        <w:t>Aragon</w:t>
      </w:r>
      <w:proofErr w:type="spellEnd"/>
      <w:r w:rsidRPr="009C6449">
        <w:t>, Rowena Jacobs</w:t>
      </w:r>
    </w:p>
    <w:p w:rsidR="003B663B" w:rsidRPr="009C6449" w:rsidRDefault="003B663B" w:rsidP="003B663B">
      <w:r w:rsidRPr="009C6449">
        <w:t>Corresponding author: Jemimah Ride, Health Economics Unit, Melbourne School of Population and Global Health, Level 4, 207 Bouverie Street, University of Melbourne, Victoria 3010 Australia</w:t>
      </w:r>
      <w:proofErr w:type="gramStart"/>
      <w:r w:rsidRPr="009C6449">
        <w:t xml:space="preserve">;  </w:t>
      </w:r>
      <w:r w:rsidRPr="00D17190">
        <w:t>jemimah.ride@unimelb.edu.au</w:t>
      </w:r>
      <w:proofErr w:type="gramEnd"/>
    </w:p>
    <w:p w:rsidR="003B663B" w:rsidRPr="009C6449" w:rsidRDefault="003B663B" w:rsidP="005E08E2"/>
    <w:p w:rsidR="003B663B" w:rsidRPr="009C6449" w:rsidRDefault="003B663B">
      <w:pPr>
        <w:spacing w:line="259" w:lineRule="auto"/>
      </w:pPr>
      <w:r w:rsidRPr="009C6449">
        <w:br w:type="page"/>
      </w:r>
      <w:bookmarkStart w:id="0" w:name="_GoBack"/>
      <w:bookmarkEnd w:id="0"/>
    </w:p>
    <w:p w:rsidR="00AD1BB3" w:rsidRPr="009C6449" w:rsidRDefault="00AD1BB3" w:rsidP="005E08E2">
      <w:proofErr w:type="gramStart"/>
      <w:r w:rsidRPr="009C6449">
        <w:lastRenderedPageBreak/>
        <w:t>Supplementary Figure 1.</w:t>
      </w:r>
      <w:proofErr w:type="gramEnd"/>
      <w:r w:rsidRPr="009C6449">
        <w:t xml:space="preserve"> Sample formulation </w:t>
      </w:r>
    </w:p>
    <w:p w:rsidR="00AD1BB3" w:rsidRPr="009C6449" w:rsidRDefault="00AD1BB3" w:rsidP="005E08E2">
      <w:r w:rsidRPr="009C6449">
        <w:rPr>
          <w:noProof/>
          <w:lang w:val="en-IN" w:eastAsia="en-IN"/>
        </w:rPr>
        <w:drawing>
          <wp:inline distT="0" distB="0" distL="0" distR="0">
            <wp:extent cx="3352800" cy="6572250"/>
            <wp:effectExtent l="3810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AD1BB3" w:rsidRPr="009C6449" w:rsidRDefault="00AD1BB3" w:rsidP="005E08E2">
      <w:r w:rsidRPr="009C6449">
        <w:br w:type="page"/>
      </w:r>
    </w:p>
    <w:p w:rsidR="005E5C13" w:rsidRPr="009C6449" w:rsidRDefault="00916160" w:rsidP="005E08E2">
      <w:r w:rsidRPr="009C6449">
        <w:lastRenderedPageBreak/>
        <w:t>Additional information on costing methods:</w:t>
      </w:r>
    </w:p>
    <w:p w:rsidR="00916160" w:rsidRPr="009C6449" w:rsidRDefault="00916160" w:rsidP="009345E8">
      <w:pPr>
        <w:rPr>
          <w:u w:val="single"/>
        </w:rPr>
      </w:pPr>
      <w:r w:rsidRPr="009C6449">
        <w:rPr>
          <w:u w:val="single"/>
        </w:rPr>
        <w:t>Primary care consultations:</w:t>
      </w:r>
    </w:p>
    <w:p w:rsidR="00916160" w:rsidRPr="009C6449" w:rsidRDefault="00916160" w:rsidP="00163C6F">
      <w:r w:rsidRPr="009C6449">
        <w:t>The CPRD visit duration variable is based on the time that a patient’s electronic record is open for use by a member of practice staff, and our use of this variable assumed that GPs and nurses would open the electronic file when they were about to see the patient and close it at the end of the consultation. However, files may also be opened for review or other purposes at times that do not correlate to patient care, or may not be closed at the end of a consultation. We therefore applied restrictions when visit duration was recorded as zero minutes or greater than 120 minutes. A recording of zero minutes indicates that the file was opened for less than one minute.</w:t>
      </w:r>
      <w:r w:rsidR="005E5C13" w:rsidRPr="009C6449">
        <w:t xml:space="preserve"> The CPRD dataset includes two date variables: the date of data entry and </w:t>
      </w:r>
      <w:r w:rsidR="00DD333B" w:rsidRPr="009C6449">
        <w:t xml:space="preserve">the </w:t>
      </w:r>
      <w:r w:rsidR="005E5C13" w:rsidRPr="009C6449">
        <w:t>date</w:t>
      </w:r>
      <w:r w:rsidR="009B309A" w:rsidRPr="009C6449">
        <w:t xml:space="preserve"> </w:t>
      </w:r>
      <w:r w:rsidR="00DD333B" w:rsidRPr="009C6449">
        <w:t xml:space="preserve">associated with the consultation as entered by the </w:t>
      </w:r>
      <w:r w:rsidR="009B309A" w:rsidRPr="009C6449">
        <w:t>practice staff member</w:t>
      </w:r>
      <w:r w:rsidR="005E5C13" w:rsidRPr="009C6449">
        <w:t xml:space="preserve">. </w:t>
      </w:r>
      <w:r w:rsidRPr="009C6449">
        <w:t xml:space="preserve"> </w:t>
      </w:r>
      <w:r w:rsidR="005E5C13" w:rsidRPr="009C6449">
        <w:t xml:space="preserve">If the duration was zero minutes, and </w:t>
      </w:r>
      <w:r w:rsidRPr="009C6449">
        <w:t xml:space="preserve">if the date of data entry was later than the visit date, we assumed this reflected retrospective recording of a visit </w:t>
      </w:r>
      <w:r w:rsidR="002B1E0D" w:rsidRPr="009C6449">
        <w:t>that should</w:t>
      </w:r>
      <w:r w:rsidRPr="009C6449">
        <w:t xml:space="preserve"> be costed and applied the sample median duration for that type of visit (see Supplementary Table 1). Otherwise we assumed that the entry did not reflect an episode of patient care, and dropped these observations from the data. We capped the maximum duration at 120 minutes, assuming that this reflected a file being left open but without ongoing patient care.   </w:t>
      </w:r>
    </w:p>
    <w:p w:rsidR="005E5C13" w:rsidRPr="009C6449" w:rsidRDefault="005E5C13" w:rsidP="00163C6F">
      <w:r w:rsidRPr="009C6449">
        <w:t>The cost of £3.60 per minute of patient contact for GPs included travel and qualification costs but excluded direct care staff costs since we were separately accounting for these</w:t>
      </w:r>
      <w:r w:rsidR="00BE5908" w:rsidRPr="009C6449">
        <w:t xml:space="preserve"> through counting nurse visits separately</w:t>
      </w:r>
      <w:r w:rsidRPr="009C6449">
        <w:t>. The cost of £0.88 per minute of patient contact for practice nurses included qualification costs.</w:t>
      </w:r>
    </w:p>
    <w:p w:rsidR="00AD1BB3" w:rsidRPr="009C6449" w:rsidRDefault="005E5C13" w:rsidP="00163C6F">
      <w:r w:rsidRPr="009C6449">
        <w:t>The national estimates of unit costs for GP consultations have begun to utilise information on duration to inform the estimated duration of an average visit [9, 10].</w:t>
      </w:r>
      <w:r w:rsidR="0042129E" w:rsidRPr="009C6449">
        <w:t xml:space="preserve"> Supplementary Table </w:t>
      </w:r>
      <w:r w:rsidR="004E7434" w:rsidRPr="009C6449">
        <w:t>3</w:t>
      </w:r>
      <w:r w:rsidR="0042129E" w:rsidRPr="009C6449">
        <w:t xml:space="preserve"> outlines the mean visit duration for different types of primary care visits observed in the sample. </w:t>
      </w:r>
    </w:p>
    <w:p w:rsidR="005E08E2" w:rsidRPr="009C6449" w:rsidRDefault="005E08E2">
      <w:pPr>
        <w:spacing w:line="259" w:lineRule="auto"/>
        <w:rPr>
          <w:u w:val="single"/>
        </w:rPr>
      </w:pPr>
      <w:r w:rsidRPr="009C6449">
        <w:rPr>
          <w:u w:val="single"/>
        </w:rPr>
        <w:br w:type="page"/>
      </w:r>
    </w:p>
    <w:p w:rsidR="005E08E2" w:rsidRPr="009C6449" w:rsidRDefault="005E08E2" w:rsidP="008E2B21">
      <w:pPr>
        <w:rPr>
          <w:u w:val="single"/>
        </w:rPr>
      </w:pPr>
      <w:r w:rsidRPr="009C6449">
        <w:rPr>
          <w:u w:val="single"/>
        </w:rPr>
        <w:lastRenderedPageBreak/>
        <w:t>Community mental health service costs</w:t>
      </w:r>
    </w:p>
    <w:p w:rsidR="005E08E2" w:rsidRPr="009C6449" w:rsidRDefault="005E08E2" w:rsidP="005E08E2">
      <w:pPr>
        <w:rPr>
          <w:i/>
        </w:rPr>
      </w:pPr>
      <w:r w:rsidRPr="009C6449">
        <w:rPr>
          <w:i/>
        </w:rPr>
        <w:t>Staff Costs</w:t>
      </w:r>
    </w:p>
    <w:p w:rsidR="005E08E2" w:rsidRPr="009C6449" w:rsidRDefault="005E08E2" w:rsidP="005E08E2">
      <w:r w:rsidRPr="009C6449">
        <w:t>We use</w:t>
      </w:r>
      <w:r w:rsidR="008E2B21" w:rsidRPr="009C6449">
        <w:t>d</w:t>
      </w:r>
      <w:r w:rsidRPr="009C6449">
        <w:t xml:space="preserve"> staff groups defined in the PSSRU Unit Costs 2014 </w:t>
      </w:r>
      <w:r w:rsidR="00163C6F" w:rsidRPr="009C6449">
        <w:rPr>
          <w:noProof/>
        </w:rPr>
        <w:t>[1]</w:t>
      </w:r>
      <w:r w:rsidRPr="009C6449">
        <w:t xml:space="preserve">: Hospital-based Scientific and Professional </w:t>
      </w:r>
      <w:proofErr w:type="gramStart"/>
      <w:r w:rsidRPr="009C6449">
        <w:t>staff,</w:t>
      </w:r>
      <w:proofErr w:type="gramEnd"/>
      <w:r w:rsidRPr="009C6449">
        <w:t xml:space="preserve"> Nurses and Doctors;</w:t>
      </w:r>
      <w:r w:rsidRPr="009C6449">
        <w:rPr>
          <w:vertAlign w:val="superscript"/>
        </w:rPr>
        <w:footnoteReference w:id="1"/>
      </w:r>
      <w:r w:rsidRPr="009C6449">
        <w:t xml:space="preserve"> each of these groups is divided into subcategories (called bands) with different costs per hour. The PSSRU Unit Costs report costs per hour for these groups/bands, which include not only the staff members’ salary but also cost of training and overheads and are, therefore, a measure of the total cost of one hour of work by the different staff groups. </w:t>
      </w:r>
    </w:p>
    <w:p w:rsidR="005E08E2" w:rsidRPr="009C6449" w:rsidRDefault="005E08E2" w:rsidP="008E2B21">
      <w:r w:rsidRPr="009C6449">
        <w:t>One difficulty is that the occupation codes</w:t>
      </w:r>
      <w:r w:rsidRPr="009C6449">
        <w:rPr>
          <w:vertAlign w:val="superscript"/>
        </w:rPr>
        <w:footnoteReference w:id="2"/>
      </w:r>
      <w:r w:rsidRPr="009C6449">
        <w:t xml:space="preserve"> available in MHMDS allow one to identify the three staff groups defined in the PSSRU Unit Costs 2014, but not the bands within them. So, we needed a way to calculate an average cost for each of the three staff groups, which we could then match to MHMDS.</w:t>
      </w:r>
    </w:p>
    <w:p w:rsidR="005E08E2" w:rsidRPr="009C6449" w:rsidRDefault="005E08E2" w:rsidP="008E2B21">
      <w:r w:rsidRPr="009C6449">
        <w:t xml:space="preserve">We used </w:t>
      </w:r>
      <w:r w:rsidR="008F6F4A" w:rsidRPr="009C6449">
        <w:t xml:space="preserve">the Electronic Staff Record (ESR) </w:t>
      </w:r>
      <w:r w:rsidRPr="009C6449">
        <w:t xml:space="preserve">to allocate each staff type to a staff group and a band, and then calculated the (weighted) average cost of each staff group (which takes into account the composition, in terms of bands, within the staff group). </w:t>
      </w:r>
    </w:p>
    <w:p w:rsidR="005E08E2" w:rsidRPr="009C6449" w:rsidRDefault="005E08E2" w:rsidP="008F6F4A">
      <w:r w:rsidRPr="009C6449">
        <w:t xml:space="preserve">The ESR has two parts, one containing information regarding the number of workers of different types (measured as Full Time Equivalents, rather than as head counts) and </w:t>
      </w:r>
      <w:proofErr w:type="gramStart"/>
      <w:r w:rsidRPr="009C6449">
        <w:t>one containing information</w:t>
      </w:r>
      <w:proofErr w:type="gramEnd"/>
      <w:r w:rsidRPr="009C6449">
        <w:t xml:space="preserve"> regarding the salary for those types of staff. The data for staff numbers is available for each month, so we calculate</w:t>
      </w:r>
      <w:r w:rsidR="008F6F4A" w:rsidRPr="009C6449">
        <w:t>d</w:t>
      </w:r>
      <w:r w:rsidRPr="009C6449">
        <w:t xml:space="preserve"> the average over the financial year (01 April – 31 March). The salary data is available by financial year. We use</w:t>
      </w:r>
      <w:r w:rsidR="008F6F4A" w:rsidRPr="009C6449">
        <w:t>d</w:t>
      </w:r>
      <w:r w:rsidRPr="009C6449">
        <w:t xml:space="preserve"> data for 2013/14. ESR contains information for different types of organisations</w:t>
      </w:r>
      <w:r w:rsidR="002B1E0D" w:rsidRPr="009C6449">
        <w:t>;</w:t>
      </w:r>
      <w:r w:rsidRPr="009C6449">
        <w:t xml:space="preserve"> we focus</w:t>
      </w:r>
      <w:r w:rsidR="008F6F4A" w:rsidRPr="009C6449">
        <w:t>sed</w:t>
      </w:r>
      <w:r w:rsidRPr="009C6449">
        <w:t xml:space="preserve"> only on providers which have submitted data to MHMDS (</w:t>
      </w:r>
      <w:r w:rsidR="004C6C3D" w:rsidRPr="009C6449">
        <w:t xml:space="preserve">mental health </w:t>
      </w:r>
      <w:r w:rsidRPr="009C6449">
        <w:t>Trusts). We use</w:t>
      </w:r>
      <w:r w:rsidR="007D42F1" w:rsidRPr="009C6449">
        <w:t>d</w:t>
      </w:r>
      <w:r w:rsidRPr="009C6449">
        <w:t xml:space="preserve"> the occupation code and the salary to allocate each staff t</w:t>
      </w:r>
      <w:r w:rsidR="007D42F1" w:rsidRPr="009C6449">
        <w:t>ype to a staff group and a band;</w:t>
      </w:r>
      <w:r w:rsidRPr="009C6449">
        <w:t xml:space="preserve"> the occupation code identifies the staff group and the salary </w:t>
      </w:r>
      <w:r w:rsidR="007D42F1" w:rsidRPr="009C6449">
        <w:t>was</w:t>
      </w:r>
      <w:r w:rsidRPr="009C6449">
        <w:t xml:space="preserve"> used to identify the band. We then attach</w:t>
      </w:r>
      <w:r w:rsidR="007D42F1" w:rsidRPr="009C6449">
        <w:t>ed</w:t>
      </w:r>
      <w:r w:rsidRPr="009C6449">
        <w:t xml:space="preserve"> the PSSRU unit cost for each staff group / band and calculate</w:t>
      </w:r>
      <w:r w:rsidR="007D42F1" w:rsidRPr="009C6449">
        <w:t>d</w:t>
      </w:r>
      <w:r w:rsidRPr="009C6449">
        <w:t xml:space="preserve"> the average cost per hour for the three staff groups (Hospital-based Scientific and professional staff, Nurses and Doctors) as a weighted average of the different types of staff in the </w:t>
      </w:r>
      <w:r w:rsidR="004C6C3D" w:rsidRPr="009C6449">
        <w:t xml:space="preserve">mental health </w:t>
      </w:r>
      <w:r w:rsidRPr="009C6449">
        <w:t xml:space="preserve">Trusts (i.e. the average </w:t>
      </w:r>
      <w:r w:rsidRPr="009C6449">
        <w:lastRenderedPageBreak/>
        <w:t xml:space="preserve">cost per hour of, for example, a Nurse reflects the number of Nurses in the different bands across all </w:t>
      </w:r>
      <w:r w:rsidR="004C6C3D" w:rsidRPr="009C6449">
        <w:t>mental health</w:t>
      </w:r>
      <w:r w:rsidRPr="009C6449">
        <w:t xml:space="preserve"> Trusts). We also calculate</w:t>
      </w:r>
      <w:r w:rsidR="00FE6258" w:rsidRPr="009C6449">
        <w:t>d</w:t>
      </w:r>
      <w:r w:rsidRPr="009C6449">
        <w:t xml:space="preserve"> an overall average,</w:t>
      </w:r>
      <w:r w:rsidRPr="009C6449">
        <w:rPr>
          <w:vertAlign w:val="superscript"/>
        </w:rPr>
        <w:footnoteReference w:id="3"/>
      </w:r>
      <w:r w:rsidRPr="009C6449">
        <w:t xml:space="preserve"> which we use as a cost for consultations in MHMDS without staff type.</w:t>
      </w:r>
    </w:p>
    <w:p w:rsidR="005E08E2" w:rsidRPr="009C6449" w:rsidRDefault="005E08E2" w:rsidP="00FE6258">
      <w:pPr>
        <w:rPr>
          <w:i/>
        </w:rPr>
      </w:pPr>
      <w:r w:rsidRPr="009C6449">
        <w:rPr>
          <w:i/>
        </w:rPr>
        <w:t>Consultation Duration</w:t>
      </w:r>
    </w:p>
    <w:p w:rsidR="005E08E2" w:rsidRPr="009C6449" w:rsidRDefault="005E08E2" w:rsidP="005E08E2">
      <w:r w:rsidRPr="009C6449">
        <w:t>Since the duration of the contact is an important part of the calculation of the cost of a consultation, we need</w:t>
      </w:r>
      <w:r w:rsidR="00FE6258" w:rsidRPr="009C6449">
        <w:t>ed</w:t>
      </w:r>
      <w:r w:rsidRPr="009C6449">
        <w:t xml:space="preserve"> to make sure there </w:t>
      </w:r>
      <w:r w:rsidR="00FE6258" w:rsidRPr="009C6449">
        <w:t>were</w:t>
      </w:r>
      <w:r w:rsidRPr="009C6449">
        <w:t xml:space="preserve"> no observations with zero or miss</w:t>
      </w:r>
      <w:r w:rsidR="00FE6258" w:rsidRPr="009C6449">
        <w:t>ing duration. If the duration was</w:t>
      </w:r>
      <w:r w:rsidRPr="009C6449">
        <w:t xml:space="preserve"> zero, we use</w:t>
      </w:r>
      <w:r w:rsidR="00FE6258" w:rsidRPr="009C6449">
        <w:t>d</w:t>
      </w:r>
      <w:r w:rsidRPr="009C6449">
        <w:t xml:space="preserve"> the information regarding attendance to change it: if the patient did attend we change</w:t>
      </w:r>
      <w:r w:rsidR="00FE6258" w:rsidRPr="009C6449">
        <w:t>d</w:t>
      </w:r>
      <w:r w:rsidRPr="009C6449">
        <w:t xml:space="preserve"> the duration to missing (which we later replace</w:t>
      </w:r>
      <w:r w:rsidR="00FE6258" w:rsidRPr="009C6449">
        <w:t>d</w:t>
      </w:r>
      <w:r w:rsidRPr="009C6449">
        <w:t xml:space="preserve">) and if the patient did not attend (or the information regarding attendance </w:t>
      </w:r>
      <w:r w:rsidR="00FE6258" w:rsidRPr="009C6449">
        <w:t>was</w:t>
      </w:r>
      <w:r w:rsidRPr="009C6449">
        <w:t xml:space="preserve"> missing) we change</w:t>
      </w:r>
      <w:r w:rsidR="00FE6258" w:rsidRPr="009C6449">
        <w:t>d</w:t>
      </w:r>
      <w:r w:rsidRPr="009C6449">
        <w:t xml:space="preserve"> it to one, a minimum amount of</w:t>
      </w:r>
      <w:r w:rsidR="002B1E0D" w:rsidRPr="009C6449">
        <w:t xml:space="preserve"> staff</w:t>
      </w:r>
      <w:r w:rsidRPr="009C6449">
        <w:t xml:space="preserve"> time that would be required to record that the patient did not attend. If the duration </w:t>
      </w:r>
      <w:r w:rsidR="00FE6258" w:rsidRPr="009C6449">
        <w:t>was</w:t>
      </w:r>
      <w:r w:rsidRPr="009C6449">
        <w:t xml:space="preserve"> missing, we replace</w:t>
      </w:r>
      <w:r w:rsidR="00FE6258" w:rsidRPr="009C6449">
        <w:t>d</w:t>
      </w:r>
      <w:r w:rsidRPr="009C6449">
        <w:t xml:space="preserve"> it with the average for the corresponding staff group and consultation medium combination. </w:t>
      </w:r>
      <w:r w:rsidR="0042129E" w:rsidRPr="009C6449">
        <w:t xml:space="preserve">Supplementary Table 2 shows the mean duration of outpatient mental health visits observed in the data. </w:t>
      </w:r>
      <w:r w:rsidRPr="009C6449">
        <w:t>We matched the occupation code of each consultation to the staff groups in PSSRU and assigned them the cost calculated using ESR and PSSRU</w:t>
      </w:r>
      <w:r w:rsidR="002B1E0D" w:rsidRPr="009C6449">
        <w:t>. F</w:t>
      </w:r>
      <w:r w:rsidRPr="009C6449">
        <w:t>or observations without staff type, we use</w:t>
      </w:r>
      <w:r w:rsidR="00FE6258" w:rsidRPr="009C6449">
        <w:t>d</w:t>
      </w:r>
      <w:r w:rsidRPr="009C6449">
        <w:t xml:space="preserve"> the overall average cost per hour.</w:t>
      </w:r>
    </w:p>
    <w:p w:rsidR="008B4718" w:rsidRPr="009C6449" w:rsidRDefault="008B4718" w:rsidP="008B4718">
      <w:pPr>
        <w:rPr>
          <w:i/>
        </w:rPr>
      </w:pPr>
      <w:r w:rsidRPr="009C6449">
        <w:rPr>
          <w:i/>
        </w:rPr>
        <w:t xml:space="preserve">Allocation to </w:t>
      </w:r>
      <w:r w:rsidR="004C6C3D" w:rsidRPr="009C6449">
        <w:rPr>
          <w:i/>
        </w:rPr>
        <w:t>mental health c</w:t>
      </w:r>
      <w:r w:rsidRPr="009C6449">
        <w:rPr>
          <w:i/>
        </w:rPr>
        <w:t>luster</w:t>
      </w:r>
    </w:p>
    <w:p w:rsidR="008B4718" w:rsidRPr="009C6449" w:rsidRDefault="00F01720" w:rsidP="008B4718">
      <w:r w:rsidRPr="009C6449">
        <w:t xml:space="preserve">The cost of mental health admissions depends on the duration of the admission </w:t>
      </w:r>
      <w:r w:rsidR="002B1E0D" w:rsidRPr="009C6449">
        <w:t>(</w:t>
      </w:r>
      <w:r w:rsidRPr="009C6449">
        <w:t>days</w:t>
      </w:r>
      <w:r w:rsidR="002B1E0D" w:rsidRPr="009C6449">
        <w:t>)</w:t>
      </w:r>
      <w:r w:rsidRPr="009C6449">
        <w:t xml:space="preserve"> and the cluster to which the patient is assigned (the reference costs of admitted days vary by mental health cluster </w:t>
      </w:r>
      <w:r w:rsidRPr="009C6449">
        <w:rPr>
          <w:noProof/>
        </w:rPr>
        <w:t>[3]</w:t>
      </w:r>
      <w:r w:rsidRPr="009C6449">
        <w:t>). The admitted periods (called ward stays in MHMDS) do not record the cluster, so we need</w:t>
      </w:r>
      <w:r w:rsidR="002B1E0D" w:rsidRPr="009C6449">
        <w:t>ed</w:t>
      </w:r>
      <w:r w:rsidRPr="009C6449">
        <w:t xml:space="preserve"> to get this information from either a Cluster-Episode (CE) or a Mental Health Clustering Tool (MHCT), as both these type of activities record a cluster. </w:t>
      </w:r>
      <w:r w:rsidR="008B4718" w:rsidRPr="009C6449">
        <w:t>A CE identifies a continuous period in which the patient is receiving care under</w:t>
      </w:r>
      <w:r w:rsidR="00D776B0" w:rsidRPr="009C6449">
        <w:t xml:space="preserve"> the banner of a particular c</w:t>
      </w:r>
      <w:r w:rsidR="008B4718" w:rsidRPr="009C6449">
        <w:t>luster. The MHCT is an algorithm used by a treating clinician or team to alloca</w:t>
      </w:r>
      <w:r w:rsidR="00D776B0" w:rsidRPr="009C6449">
        <w:t>te patients to a particular c</w:t>
      </w:r>
      <w:r w:rsidR="008B4718" w:rsidRPr="009C6449">
        <w:t>luster based on the patient’s symptoms and functioning. After merging these data to the admitted periods (all fields taken from MHMDS), we compare</w:t>
      </w:r>
      <w:r w:rsidR="002B1E0D" w:rsidRPr="009C6449">
        <w:t>d</w:t>
      </w:r>
      <w:r w:rsidR="008B4718" w:rsidRPr="009C6449">
        <w:t xml:space="preserve"> the start date of the admitted period to the start date of the CEs and to th</w:t>
      </w:r>
      <w:r w:rsidR="00D776B0" w:rsidRPr="009C6449">
        <w:t>e dates of MHCTs in the same s</w:t>
      </w:r>
      <w:r w:rsidR="008B4718" w:rsidRPr="009C6449">
        <w:t xml:space="preserve">pell to identify the closest (in absolute value, i.e. before or after the start of the admitted period) start of a CE and the closest MHCT. If the CE start </w:t>
      </w:r>
      <w:r w:rsidR="002B1E0D" w:rsidRPr="009C6449">
        <w:t>was</w:t>
      </w:r>
      <w:r w:rsidR="008B4718" w:rsidRPr="009C6449">
        <w:t xml:space="preserve"> closest to the start of the </w:t>
      </w:r>
      <w:r w:rsidR="00D776B0" w:rsidRPr="009C6449">
        <w:t>admitted period, we use</w:t>
      </w:r>
      <w:r w:rsidR="002B1E0D" w:rsidRPr="009C6449">
        <w:t>d</w:t>
      </w:r>
      <w:r w:rsidR="00D776B0" w:rsidRPr="009C6449">
        <w:t xml:space="preserve"> the c</w:t>
      </w:r>
      <w:r w:rsidR="008B4718" w:rsidRPr="009C6449">
        <w:t>luste</w:t>
      </w:r>
      <w:r w:rsidR="00D776B0" w:rsidRPr="009C6449">
        <w:t>r recorded in the CE as the c</w:t>
      </w:r>
      <w:r w:rsidR="008B4718" w:rsidRPr="009C6449">
        <w:t xml:space="preserve">luster of the admitted </w:t>
      </w:r>
      <w:r w:rsidR="008B4718" w:rsidRPr="009C6449">
        <w:lastRenderedPageBreak/>
        <w:t>period; if the MHCT</w:t>
      </w:r>
      <w:r w:rsidR="00D776B0" w:rsidRPr="009C6449">
        <w:t xml:space="preserve"> </w:t>
      </w:r>
      <w:r w:rsidR="002B1E0D" w:rsidRPr="009C6449">
        <w:t>wa</w:t>
      </w:r>
      <w:r w:rsidR="00D776B0" w:rsidRPr="009C6449">
        <w:t>s closest, we use</w:t>
      </w:r>
      <w:r w:rsidR="002B1E0D" w:rsidRPr="009C6449">
        <w:t>d</w:t>
      </w:r>
      <w:r w:rsidR="00D776B0" w:rsidRPr="009C6449">
        <w:t xml:space="preserve"> that c</w:t>
      </w:r>
      <w:r w:rsidR="008B4718" w:rsidRPr="009C6449">
        <w:t xml:space="preserve">luster; if both the start of the CE and the MHCT </w:t>
      </w:r>
      <w:r w:rsidR="002B1E0D" w:rsidRPr="009C6449">
        <w:t>were</w:t>
      </w:r>
      <w:r w:rsidR="008B4718" w:rsidRPr="009C6449">
        <w:t xml:space="preserve"> equally close to the start of the </w:t>
      </w:r>
      <w:r w:rsidR="00D776B0" w:rsidRPr="009C6449">
        <w:t>admitted period, we use</w:t>
      </w:r>
      <w:r w:rsidR="002B1E0D" w:rsidRPr="009C6449">
        <w:t>d</w:t>
      </w:r>
      <w:r w:rsidR="00D776B0" w:rsidRPr="009C6449">
        <w:t xml:space="preserve"> the c</w:t>
      </w:r>
      <w:r w:rsidR="008B4718" w:rsidRPr="009C6449">
        <w:t>luster recorded in the CE because the MHCT can be overwritten by clinicians.</w:t>
      </w:r>
    </w:p>
    <w:p w:rsidR="00CA4C2E" w:rsidRPr="009C6449" w:rsidRDefault="00CA4C2E" w:rsidP="005E08E2">
      <w:pPr>
        <w:rPr>
          <w:u w:val="single"/>
        </w:rPr>
      </w:pPr>
      <w:r w:rsidRPr="009C6449">
        <w:rPr>
          <w:u w:val="single"/>
        </w:rPr>
        <w:t>Hospital costs</w:t>
      </w:r>
    </w:p>
    <w:p w:rsidR="00AD1BB3" w:rsidRPr="009C6449" w:rsidRDefault="00CA4C2E" w:rsidP="005E08E2">
      <w:r w:rsidRPr="009C6449">
        <w:t xml:space="preserve">First, all episodes of care </w:t>
      </w:r>
      <w:r w:rsidR="002B1E0D" w:rsidRPr="009C6449">
        <w:t>were</w:t>
      </w:r>
      <w:r w:rsidRPr="009C6449">
        <w:t xml:space="preserve"> assigned to one of more than 2000 core HRGs based on the clinical and demographic information of the patient. Second, separate unbundled HRGs </w:t>
      </w:r>
      <w:r w:rsidR="002B1E0D" w:rsidRPr="009C6449">
        <w:t>were</w:t>
      </w:r>
      <w:r w:rsidRPr="009C6449">
        <w:t xml:space="preserve"> assigned to episodes with high cost elements of treatment such as high cost procedures, chemotherapy, diagnostic imaging, and high cost drugs.  Third, HRGs may contain episodes with much higher length of stay than the average episode in the group. To deal with these long-stay outliers an upper trimming point </w:t>
      </w:r>
      <w:r w:rsidR="002B1E0D" w:rsidRPr="009C6449">
        <w:t>wa</w:t>
      </w:r>
      <w:r w:rsidRPr="009C6449">
        <w:t xml:space="preserve">s calculated by adding 1.5 times the inter-quartile range to the third quartile. Any day exceeding the upper trim point is reimbursed at the excess bed </w:t>
      </w:r>
      <w:proofErr w:type="gramStart"/>
      <w:r w:rsidRPr="009C6449">
        <w:t>days</w:t>
      </w:r>
      <w:proofErr w:type="gramEnd"/>
      <w:r w:rsidRPr="009C6449">
        <w:t xml:space="preserve"> rate. A&amp;E activity </w:t>
      </w:r>
      <w:r w:rsidR="002B1E0D" w:rsidRPr="009C6449">
        <w:t>wa</w:t>
      </w:r>
      <w:r w:rsidRPr="009C6449">
        <w:t xml:space="preserve">s grouped similarly with the exception that treatment and investigation codes </w:t>
      </w:r>
      <w:r w:rsidR="002B1E0D" w:rsidRPr="009C6449">
        <w:t>were</w:t>
      </w:r>
      <w:r w:rsidRPr="009C6449">
        <w:t xml:space="preserve"> used to capture clinical information instead of procedure and diagnosis codes. All NHS hospitals report Reference Costs for each HRG broken down by setting (e.g. general surgery) and type of activity (day-case, elective, non-elective). As our research does not relate to the variation in costs across hospitals or settings, we </w:t>
      </w:r>
      <w:r w:rsidR="00D776B0" w:rsidRPr="009C6449">
        <w:t>assigned</w:t>
      </w:r>
      <w:r w:rsidRPr="009C6449">
        <w:t xml:space="preserve"> Reference Costs only by HRGs and type of activity (unbundled costs are aggregated on the HRG level only). </w:t>
      </w:r>
      <w:r w:rsidR="00A53958" w:rsidRPr="009C6449">
        <w:t>Data was cleaned and prepared according to the Grouper guidance.</w:t>
      </w:r>
      <w:r w:rsidR="00AD1BB3" w:rsidRPr="009C6449">
        <w:br w:type="page"/>
      </w:r>
    </w:p>
    <w:p w:rsidR="004B6CF6" w:rsidRPr="009C6449" w:rsidRDefault="004B6CF6" w:rsidP="004B6CF6">
      <w:pPr>
        <w:spacing w:line="259" w:lineRule="auto"/>
      </w:pPr>
      <w:proofErr w:type="gramStart"/>
      <w:r w:rsidRPr="009C6449">
        <w:lastRenderedPageBreak/>
        <w:t>Supplementary Table 1.</w:t>
      </w:r>
      <w:proofErr w:type="gramEnd"/>
      <w:r w:rsidRPr="009C6449">
        <w:t xml:space="preserve"> Diagnostic terms used to identify SMI in CPRD records</w:t>
      </w:r>
    </w:p>
    <w:tbl>
      <w:tblPr>
        <w:tblStyle w:val="TableGrid"/>
        <w:tblW w:w="0" w:type="auto"/>
        <w:tblBorders>
          <w:left w:val="none" w:sz="0" w:space="0" w:color="auto"/>
          <w:right w:val="none" w:sz="0" w:space="0" w:color="auto"/>
        </w:tblBorders>
        <w:tblLook w:val="04A0"/>
      </w:tblPr>
      <w:tblGrid>
        <w:gridCol w:w="1920"/>
        <w:gridCol w:w="6722"/>
      </w:tblGrid>
      <w:tr w:rsidR="004B6CF6" w:rsidRPr="009C6449" w:rsidTr="00D55B45">
        <w:tc>
          <w:tcPr>
            <w:tcW w:w="1920" w:type="dxa"/>
          </w:tcPr>
          <w:p w:rsidR="004B6CF6" w:rsidRPr="009C6449" w:rsidRDefault="004B6CF6" w:rsidP="00D55B45">
            <w:pPr>
              <w:spacing w:after="160" w:line="259" w:lineRule="auto"/>
            </w:pPr>
            <w:r w:rsidRPr="009C6449">
              <w:t>Diagnostic category</w:t>
            </w:r>
          </w:p>
        </w:tc>
        <w:tc>
          <w:tcPr>
            <w:tcW w:w="6722" w:type="dxa"/>
          </w:tcPr>
          <w:p w:rsidR="004B6CF6" w:rsidRPr="009C6449" w:rsidRDefault="004B6CF6" w:rsidP="00D55B45">
            <w:pPr>
              <w:spacing w:after="160" w:line="259" w:lineRule="auto"/>
            </w:pPr>
            <w:r w:rsidRPr="009C6449">
              <w:t>Terms (based on Read codes)</w:t>
            </w:r>
          </w:p>
        </w:tc>
      </w:tr>
      <w:tr w:rsidR="004B6CF6" w:rsidRPr="009C6449" w:rsidTr="00D55B45">
        <w:tc>
          <w:tcPr>
            <w:tcW w:w="1920" w:type="dxa"/>
          </w:tcPr>
          <w:p w:rsidR="004B6CF6" w:rsidRPr="009C6449" w:rsidRDefault="004B6CF6" w:rsidP="00D55B45">
            <w:pPr>
              <w:spacing w:after="160" w:line="259" w:lineRule="auto"/>
            </w:pPr>
            <w:r w:rsidRPr="009C6449">
              <w:t>Schizophrenia and other psychoses</w:t>
            </w:r>
          </w:p>
        </w:tc>
        <w:tc>
          <w:tcPr>
            <w:tcW w:w="6722" w:type="dxa"/>
          </w:tcPr>
          <w:p w:rsidR="004B6CF6" w:rsidRPr="009C6449" w:rsidRDefault="004B6CF6" w:rsidP="00D55B45">
            <w:pPr>
              <w:spacing w:after="160" w:line="259" w:lineRule="auto"/>
            </w:pPr>
            <w:r w:rsidRPr="009C6449">
              <w:t xml:space="preserve">Schizophrenia – including qualifiers (and combinations of qualifiers): simple, simplex, unspecified, subchronic, chronic, acute exacerbation, in remission, hebephrenic, catatonic, paranoid, latent, not otherwise specified, residual, schizoaffective, cyclic, other, </w:t>
            </w:r>
            <w:proofErr w:type="spellStart"/>
            <w:r w:rsidRPr="009C6449">
              <w:t>cenesthopathic</w:t>
            </w:r>
            <w:proofErr w:type="spellEnd"/>
            <w:r w:rsidRPr="009C6449">
              <w:t xml:space="preserve">, atypical, </w:t>
            </w:r>
            <w:proofErr w:type="spellStart"/>
            <w:r w:rsidRPr="009C6449">
              <w:t>coenesthopathic</w:t>
            </w:r>
            <w:proofErr w:type="spellEnd"/>
            <w:r w:rsidRPr="009C6449">
              <w:t xml:space="preserve">, disorganised; undifferentiated; borderline; prepsychotic; prodromal; </w:t>
            </w:r>
            <w:proofErr w:type="spellStart"/>
            <w:r w:rsidRPr="009C6449">
              <w:t>pseudoneurotic</w:t>
            </w:r>
            <w:proofErr w:type="spellEnd"/>
            <w:r w:rsidRPr="009C6449">
              <w:t xml:space="preserve">; </w:t>
            </w:r>
            <w:proofErr w:type="spellStart"/>
            <w:r w:rsidRPr="009C6449">
              <w:t>pseudopsychopathic</w:t>
            </w:r>
            <w:proofErr w:type="spellEnd"/>
          </w:p>
          <w:p w:rsidR="004B6CF6" w:rsidRPr="009C6449" w:rsidRDefault="004B6CF6" w:rsidP="00D55B45">
            <w:pPr>
              <w:tabs>
                <w:tab w:val="left" w:pos="3430"/>
              </w:tabs>
              <w:spacing w:after="160" w:line="259" w:lineRule="auto"/>
            </w:pPr>
            <w:r w:rsidRPr="009C6449">
              <w:t xml:space="preserve">Schizophrenic episode; Simple paranoid state; Paranoid state; Chronic paranoid psychosis; Paraphrenia; Shared paranoid disorder; Folie a deux; Other paranoid states; Paranoia </w:t>
            </w:r>
            <w:proofErr w:type="spellStart"/>
            <w:r w:rsidRPr="009C6449">
              <w:t>querelans</w:t>
            </w:r>
            <w:proofErr w:type="spellEnd"/>
            <w:r w:rsidRPr="009C6449">
              <w:t xml:space="preserve">; Paranoid psychosis; Other non-organic psychosis; Reactive psychosis; Acute hysterical psychosis; Hysterical psychosis; Reactive confusion; Acute paranoid reaction; Bouffe </w:t>
            </w:r>
            <w:proofErr w:type="spellStart"/>
            <w:r w:rsidRPr="009C6449">
              <w:t>delirante</w:t>
            </w:r>
            <w:proofErr w:type="spellEnd"/>
            <w:r w:rsidRPr="009C6449">
              <w:t xml:space="preserve">; Psychogenic paranoid psychosis; Brief reactive psychosis; Other reactive psychosis; Nonorganic psychosis; Psychotic episode; Schizotypal personality; Catatonic stupor; Schizophrenic catalepsy; Schizophrenic catatonia; Schizophrenic </w:t>
            </w:r>
            <w:proofErr w:type="spellStart"/>
            <w:r w:rsidRPr="009C6449">
              <w:t>flexibilatis</w:t>
            </w:r>
            <w:proofErr w:type="spellEnd"/>
            <w:r w:rsidRPr="009C6449">
              <w:t xml:space="preserve"> cerea; Post-schizophrenic depression; Schizophreniform disorder ; Schizophreniform psychosis; Schizotypal disorder; Latent schizophrenic reaction; Persistent delusional disorder; Delusional disorder; </w:t>
            </w:r>
            <w:proofErr w:type="spellStart"/>
            <w:r w:rsidRPr="009C6449">
              <w:t>Sensitiver</w:t>
            </w:r>
            <w:proofErr w:type="spellEnd"/>
            <w:r w:rsidRPr="009C6449">
              <w:t xml:space="preserve"> </w:t>
            </w:r>
            <w:proofErr w:type="spellStart"/>
            <w:r w:rsidRPr="009C6449">
              <w:t>Beziehungswahn</w:t>
            </w:r>
            <w:proofErr w:type="spellEnd"/>
            <w:r w:rsidRPr="009C6449">
              <w:t xml:space="preserve">; Paranoia; Delusional misidentification syndrome; Capgras syndrome; </w:t>
            </w:r>
            <w:proofErr w:type="spellStart"/>
            <w:r w:rsidRPr="009C6449">
              <w:t>Cotard</w:t>
            </w:r>
            <w:proofErr w:type="spellEnd"/>
            <w:r w:rsidRPr="009C6449">
              <w:t xml:space="preserve"> syndrome; Paranoid state in remission; Persistent delusional disorder; Delusional dysmorphophobia; Involutional paranoid state; Acute and transient psychotic disorders; Acute polymorphic psychotic disorders with/ without symptoms of schizophrenia; Cycloid psychosis; Acute schizophrenia-like psychotic disorder; Brief schizophreniform disorder/ psychosis; Schizophrenic reaction; Other predominantly delusional psychotic disorder; Induced delusional disorder; Induced paranoid disorder; Induced psychotic disorder; Schizoaffective disorder (manic, depressive, mixed types); Schizoaffective psychosis (manic, depressive types); Mixed schizophrenic and affective psychosis; Chronic hallucinatory psychosis; Psychosis not otherwise specified</w:t>
            </w:r>
          </w:p>
        </w:tc>
      </w:tr>
      <w:tr w:rsidR="004B6CF6" w:rsidRPr="009C6449" w:rsidTr="00D55B45">
        <w:tc>
          <w:tcPr>
            <w:tcW w:w="1920" w:type="dxa"/>
          </w:tcPr>
          <w:p w:rsidR="004B6CF6" w:rsidRPr="009C6449" w:rsidRDefault="004B6CF6" w:rsidP="00D55B45">
            <w:pPr>
              <w:spacing w:after="160" w:line="259" w:lineRule="auto"/>
            </w:pPr>
            <w:r w:rsidRPr="009C6449">
              <w:t>Bipolar disorder and affective psychoses</w:t>
            </w:r>
          </w:p>
        </w:tc>
        <w:tc>
          <w:tcPr>
            <w:tcW w:w="6722" w:type="dxa"/>
          </w:tcPr>
          <w:p w:rsidR="004B6CF6" w:rsidRPr="009C6449" w:rsidRDefault="004B6CF6" w:rsidP="00D55B45">
            <w:pPr>
              <w:spacing w:after="160" w:line="259" w:lineRule="auto"/>
            </w:pPr>
            <w:r w:rsidRPr="009C6449">
              <w:t xml:space="preserve">Affective psychosis; Depressive psychosis; Manic disorder, single episode; Hypomanic psychosis; Single manic episode; Single or recurrent major depressive episode, severe, with psychosis; Bipolar affective disorder; Mixed bipolar affective disorder; Other and unspecified manic-depressive psychosis; Atypical manic disorder; Other mixed manic-depressive psychosis; Other and unspecified affective psychosis; Reactive depressive psychosis; Psychotic reactive depression; Psychogenic stupor; Hypomania; Mania with/ without psychotic symptoms; Mania with mood-congruent/ incongruent psychotic symptoms; Other manic episodes; Mania not otherwise specified; Manic-depressive illness; Manic-depressive psychosis; Manic-depressive reaction; Other bipolar affective disorder; Recurrent manic episodes; Severe depressive episode with psychotic symptoms; Single episode of major depression and psychotic symptoms; Single episode of psychogenic depressive psychosis; Single episode of psychotic </w:t>
            </w:r>
            <w:r w:rsidRPr="009C6449">
              <w:lastRenderedPageBreak/>
              <w:t>depression; Single episode of reactive depressive psychosis; Major depression, severe with psychotic symptoms; Endogenous depression with psychotic symptoms; Recurrent severe episodes major depression + psychotic symptoms; Recurrent severe episodes psychogenic depressive psychosis; Recurrent severe episodes psychotic depression; Recurrent severe episodes reactive depressive psychosis</w:t>
            </w:r>
          </w:p>
        </w:tc>
      </w:tr>
    </w:tbl>
    <w:p w:rsidR="004B6CF6" w:rsidRPr="009C6449" w:rsidRDefault="004B6CF6">
      <w:pPr>
        <w:spacing w:line="259" w:lineRule="auto"/>
      </w:pPr>
      <w:r w:rsidRPr="009C6449">
        <w:lastRenderedPageBreak/>
        <w:br w:type="page"/>
      </w:r>
    </w:p>
    <w:p w:rsidR="009345E8" w:rsidRPr="009C6449" w:rsidRDefault="009345E8" w:rsidP="009345E8">
      <w:pPr>
        <w:spacing w:line="259" w:lineRule="auto"/>
      </w:pPr>
      <w:proofErr w:type="gramStart"/>
      <w:r w:rsidRPr="009C6449">
        <w:lastRenderedPageBreak/>
        <w:t xml:space="preserve">Supplementary Table </w:t>
      </w:r>
      <w:r w:rsidR="004B6CF6" w:rsidRPr="009C6449">
        <w:t>2</w:t>
      </w:r>
      <w:r w:rsidRPr="009C6449">
        <w:t>.</w:t>
      </w:r>
      <w:proofErr w:type="gramEnd"/>
      <w:r w:rsidRPr="009C6449">
        <w:t xml:space="preserve"> </w:t>
      </w:r>
      <w:proofErr w:type="gramStart"/>
      <w:r w:rsidRPr="009C6449">
        <w:t>Overview of measures of utilisation and unit costs.</w:t>
      </w:r>
      <w:proofErr w:type="gramEnd"/>
      <w:r w:rsidRPr="009C6449">
        <w:t xml:space="preserve"> </w:t>
      </w:r>
    </w:p>
    <w:tbl>
      <w:tblPr>
        <w:tblStyle w:val="TableGrid"/>
        <w:tblW w:w="9356" w:type="dxa"/>
        <w:tblBorders>
          <w:left w:val="none" w:sz="0" w:space="0" w:color="auto"/>
          <w:right w:val="none" w:sz="0" w:space="0" w:color="auto"/>
          <w:insideH w:val="none" w:sz="0" w:space="0" w:color="auto"/>
          <w:insideV w:val="none" w:sz="0" w:space="0" w:color="auto"/>
        </w:tblBorders>
        <w:tblLook w:val="04A0"/>
      </w:tblPr>
      <w:tblGrid>
        <w:gridCol w:w="3742"/>
        <w:gridCol w:w="2721"/>
        <w:gridCol w:w="2893"/>
      </w:tblGrid>
      <w:tr w:rsidR="009345E8" w:rsidRPr="009C6449" w:rsidTr="00163C6F">
        <w:tc>
          <w:tcPr>
            <w:tcW w:w="3742" w:type="dxa"/>
            <w:tcBorders>
              <w:top w:val="single" w:sz="4" w:space="0" w:color="auto"/>
              <w:bottom w:val="single" w:sz="4" w:space="0" w:color="auto"/>
            </w:tcBorders>
          </w:tcPr>
          <w:p w:rsidR="009345E8" w:rsidRPr="009C6449" w:rsidRDefault="009345E8" w:rsidP="00CE1CE5">
            <w:pPr>
              <w:spacing w:line="259" w:lineRule="auto"/>
            </w:pPr>
            <w:r w:rsidRPr="009C6449">
              <w:t>Unit of utilisation</w:t>
            </w:r>
          </w:p>
        </w:tc>
        <w:tc>
          <w:tcPr>
            <w:tcW w:w="2721" w:type="dxa"/>
            <w:tcBorders>
              <w:top w:val="single" w:sz="4" w:space="0" w:color="auto"/>
              <w:bottom w:val="single" w:sz="4" w:space="0" w:color="auto"/>
            </w:tcBorders>
          </w:tcPr>
          <w:p w:rsidR="009345E8" w:rsidRPr="009C6449" w:rsidRDefault="009345E8" w:rsidP="00CE1CE5">
            <w:pPr>
              <w:spacing w:line="259" w:lineRule="auto"/>
            </w:pPr>
            <w:r w:rsidRPr="009C6449">
              <w:t>Source of utilisation data</w:t>
            </w:r>
          </w:p>
        </w:tc>
        <w:tc>
          <w:tcPr>
            <w:tcW w:w="2893" w:type="dxa"/>
            <w:tcBorders>
              <w:top w:val="single" w:sz="4" w:space="0" w:color="auto"/>
              <w:bottom w:val="single" w:sz="4" w:space="0" w:color="auto"/>
            </w:tcBorders>
          </w:tcPr>
          <w:p w:rsidR="009345E8" w:rsidRPr="009C6449" w:rsidRDefault="009345E8" w:rsidP="00CE1CE5">
            <w:pPr>
              <w:spacing w:line="259" w:lineRule="auto"/>
            </w:pPr>
            <w:r w:rsidRPr="009C6449">
              <w:t xml:space="preserve">Source of unit cost </w:t>
            </w:r>
          </w:p>
        </w:tc>
      </w:tr>
      <w:tr w:rsidR="009345E8" w:rsidRPr="009C6449" w:rsidTr="00163C6F">
        <w:tc>
          <w:tcPr>
            <w:tcW w:w="3742" w:type="dxa"/>
            <w:tcBorders>
              <w:top w:val="single" w:sz="4" w:space="0" w:color="auto"/>
            </w:tcBorders>
            <w:shd w:val="clear" w:color="auto" w:fill="F2F2F2" w:themeFill="background1" w:themeFillShade="F2"/>
          </w:tcPr>
          <w:p w:rsidR="009345E8" w:rsidRPr="009C6449" w:rsidRDefault="009345E8" w:rsidP="00CE1CE5">
            <w:pPr>
              <w:spacing w:line="259" w:lineRule="auto"/>
            </w:pPr>
            <w:r w:rsidRPr="009C6449">
              <w:t xml:space="preserve">Primary care </w:t>
            </w:r>
          </w:p>
        </w:tc>
        <w:tc>
          <w:tcPr>
            <w:tcW w:w="2721" w:type="dxa"/>
            <w:tcBorders>
              <w:top w:val="single" w:sz="4" w:space="0" w:color="auto"/>
            </w:tcBorders>
            <w:shd w:val="clear" w:color="auto" w:fill="F2F2F2" w:themeFill="background1" w:themeFillShade="F2"/>
          </w:tcPr>
          <w:p w:rsidR="009345E8" w:rsidRPr="009C6449" w:rsidRDefault="009345E8" w:rsidP="00CE1CE5">
            <w:pPr>
              <w:spacing w:line="259" w:lineRule="auto"/>
            </w:pPr>
          </w:p>
        </w:tc>
        <w:tc>
          <w:tcPr>
            <w:tcW w:w="2893" w:type="dxa"/>
            <w:tcBorders>
              <w:top w:val="single" w:sz="4" w:space="0" w:color="auto"/>
            </w:tcBorders>
            <w:shd w:val="clear" w:color="auto" w:fill="F2F2F2" w:themeFill="background1" w:themeFillShade="F2"/>
          </w:tcPr>
          <w:p w:rsidR="009345E8" w:rsidRPr="009C6449" w:rsidRDefault="009345E8" w:rsidP="00CE1CE5">
            <w:pPr>
              <w:spacing w:line="259" w:lineRule="auto"/>
            </w:pPr>
          </w:p>
        </w:tc>
      </w:tr>
      <w:tr w:rsidR="009345E8" w:rsidRPr="009C6449" w:rsidTr="00126C6D">
        <w:trPr>
          <w:trHeight w:val="601"/>
        </w:trPr>
        <w:tc>
          <w:tcPr>
            <w:tcW w:w="3742" w:type="dxa"/>
          </w:tcPr>
          <w:p w:rsidR="009345E8" w:rsidRPr="009C6449" w:rsidRDefault="009345E8" w:rsidP="00CE1CE5">
            <w:pPr>
              <w:spacing w:line="259" w:lineRule="auto"/>
            </w:pPr>
            <w:r w:rsidRPr="009C6449">
              <w:t>GP consultations – per minute of face-to-face contact</w:t>
            </w:r>
          </w:p>
        </w:tc>
        <w:tc>
          <w:tcPr>
            <w:tcW w:w="2721" w:type="dxa"/>
          </w:tcPr>
          <w:p w:rsidR="009345E8" w:rsidRPr="009C6449" w:rsidRDefault="009345E8" w:rsidP="00CE1CE5">
            <w:pPr>
              <w:spacing w:line="259" w:lineRule="auto"/>
            </w:pPr>
            <w:r w:rsidRPr="009C6449">
              <w:t>CPRD</w:t>
            </w:r>
          </w:p>
        </w:tc>
        <w:tc>
          <w:tcPr>
            <w:tcW w:w="2893" w:type="dxa"/>
          </w:tcPr>
          <w:p w:rsidR="009345E8" w:rsidRPr="009C6449" w:rsidRDefault="00163C6F" w:rsidP="00163C6F">
            <w:pPr>
              <w:spacing w:line="259" w:lineRule="auto"/>
            </w:pPr>
            <w:r w:rsidRPr="009C6449">
              <w:rPr>
                <w:noProof/>
              </w:rPr>
              <w:t>Curtis [1]</w:t>
            </w:r>
          </w:p>
        </w:tc>
      </w:tr>
      <w:tr w:rsidR="00126C6D" w:rsidRPr="009C6449" w:rsidTr="00126C6D">
        <w:trPr>
          <w:trHeight w:val="601"/>
        </w:trPr>
        <w:tc>
          <w:tcPr>
            <w:tcW w:w="3742" w:type="dxa"/>
          </w:tcPr>
          <w:p w:rsidR="009345E8" w:rsidRPr="009C6449" w:rsidRDefault="009345E8" w:rsidP="00CE1CE5">
            <w:pPr>
              <w:spacing w:line="259" w:lineRule="auto"/>
            </w:pPr>
            <w:r w:rsidRPr="009C6449">
              <w:t>Practice nurse consultations – per minute of face-to-face contact</w:t>
            </w:r>
          </w:p>
        </w:tc>
        <w:tc>
          <w:tcPr>
            <w:tcW w:w="2721" w:type="dxa"/>
          </w:tcPr>
          <w:p w:rsidR="009345E8" w:rsidRPr="009C6449" w:rsidRDefault="009345E8" w:rsidP="00CE1CE5">
            <w:pPr>
              <w:spacing w:line="259" w:lineRule="auto"/>
            </w:pPr>
            <w:r w:rsidRPr="009C6449">
              <w:t xml:space="preserve">CPRD </w:t>
            </w:r>
          </w:p>
        </w:tc>
        <w:tc>
          <w:tcPr>
            <w:tcW w:w="2893" w:type="dxa"/>
          </w:tcPr>
          <w:p w:rsidR="009345E8" w:rsidRPr="009C6449" w:rsidRDefault="00163C6F" w:rsidP="00163C6F">
            <w:pPr>
              <w:spacing w:line="259" w:lineRule="auto"/>
            </w:pPr>
            <w:r w:rsidRPr="009C6449">
              <w:rPr>
                <w:noProof/>
              </w:rPr>
              <w:t>Curtis [1]</w:t>
            </w:r>
          </w:p>
        </w:tc>
      </w:tr>
      <w:tr w:rsidR="009345E8" w:rsidRPr="009C6449" w:rsidTr="00126C6D">
        <w:trPr>
          <w:trHeight w:val="601"/>
        </w:trPr>
        <w:tc>
          <w:tcPr>
            <w:tcW w:w="3742" w:type="dxa"/>
          </w:tcPr>
          <w:p w:rsidR="009345E8" w:rsidRPr="009C6449" w:rsidRDefault="009345E8" w:rsidP="00CE1CE5">
            <w:pPr>
              <w:spacing w:line="259" w:lineRule="auto"/>
            </w:pPr>
            <w:r w:rsidRPr="009C6449">
              <w:t xml:space="preserve">Drug prescriptions – per prescription </w:t>
            </w:r>
          </w:p>
        </w:tc>
        <w:tc>
          <w:tcPr>
            <w:tcW w:w="2721" w:type="dxa"/>
          </w:tcPr>
          <w:p w:rsidR="009345E8" w:rsidRPr="009C6449" w:rsidRDefault="009345E8" w:rsidP="00CE1CE5">
            <w:pPr>
              <w:spacing w:line="259" w:lineRule="auto"/>
            </w:pPr>
            <w:r w:rsidRPr="009C6449">
              <w:t xml:space="preserve">CPRD – therapy section, BNF codes </w:t>
            </w:r>
          </w:p>
        </w:tc>
        <w:tc>
          <w:tcPr>
            <w:tcW w:w="2893" w:type="dxa"/>
          </w:tcPr>
          <w:p w:rsidR="009345E8" w:rsidRPr="009C6449" w:rsidRDefault="00163C6F" w:rsidP="00163C6F">
            <w:pPr>
              <w:spacing w:line="259" w:lineRule="auto"/>
            </w:pPr>
            <w:r w:rsidRPr="009C6449">
              <w:rPr>
                <w:noProof/>
              </w:rPr>
              <w:t>Prescribing and Medicines team [2]</w:t>
            </w:r>
          </w:p>
        </w:tc>
      </w:tr>
      <w:tr w:rsidR="009345E8" w:rsidRPr="009C6449" w:rsidTr="00126C6D">
        <w:trPr>
          <w:trHeight w:val="601"/>
        </w:trPr>
        <w:tc>
          <w:tcPr>
            <w:tcW w:w="3742" w:type="dxa"/>
          </w:tcPr>
          <w:p w:rsidR="009345E8" w:rsidRPr="009C6449" w:rsidRDefault="009345E8" w:rsidP="00CE1CE5">
            <w:pPr>
              <w:spacing w:line="259" w:lineRule="auto"/>
            </w:pPr>
            <w:r w:rsidRPr="009C6449">
              <w:t>Diagnostic tests – per test</w:t>
            </w:r>
          </w:p>
        </w:tc>
        <w:tc>
          <w:tcPr>
            <w:tcW w:w="2721" w:type="dxa"/>
          </w:tcPr>
          <w:p w:rsidR="009345E8" w:rsidRPr="009C6449" w:rsidRDefault="009345E8" w:rsidP="00CE1CE5">
            <w:pPr>
              <w:spacing w:line="259" w:lineRule="auto"/>
            </w:pPr>
            <w:r w:rsidRPr="009C6449">
              <w:t>CPRD – test section, Read terms</w:t>
            </w:r>
          </w:p>
        </w:tc>
        <w:tc>
          <w:tcPr>
            <w:tcW w:w="2893" w:type="dxa"/>
          </w:tcPr>
          <w:p w:rsidR="009345E8" w:rsidRPr="009C6449" w:rsidRDefault="00163C6F" w:rsidP="00163C6F">
            <w:pPr>
              <w:spacing w:line="259" w:lineRule="auto"/>
            </w:pPr>
            <w:r w:rsidRPr="009C6449">
              <w:rPr>
                <w:noProof/>
              </w:rPr>
              <w:t>Department of Health and Social Care [3]</w:t>
            </w:r>
          </w:p>
        </w:tc>
      </w:tr>
      <w:tr w:rsidR="009345E8" w:rsidRPr="009C6449" w:rsidTr="00163C6F">
        <w:tc>
          <w:tcPr>
            <w:tcW w:w="3742" w:type="dxa"/>
            <w:shd w:val="clear" w:color="auto" w:fill="F2F2F2" w:themeFill="background1" w:themeFillShade="F2"/>
          </w:tcPr>
          <w:p w:rsidR="009345E8" w:rsidRPr="009C6449" w:rsidRDefault="009345E8" w:rsidP="00CE1CE5">
            <w:pPr>
              <w:spacing w:line="259" w:lineRule="auto"/>
            </w:pPr>
            <w:r w:rsidRPr="009C6449">
              <w:t>Hospital</w:t>
            </w:r>
          </w:p>
        </w:tc>
        <w:tc>
          <w:tcPr>
            <w:tcW w:w="2721" w:type="dxa"/>
            <w:shd w:val="clear" w:color="auto" w:fill="F2F2F2" w:themeFill="background1" w:themeFillShade="F2"/>
          </w:tcPr>
          <w:p w:rsidR="009345E8" w:rsidRPr="009C6449" w:rsidRDefault="009345E8" w:rsidP="00CE1CE5">
            <w:pPr>
              <w:spacing w:line="259" w:lineRule="auto"/>
            </w:pPr>
          </w:p>
        </w:tc>
        <w:tc>
          <w:tcPr>
            <w:tcW w:w="2893" w:type="dxa"/>
            <w:shd w:val="clear" w:color="auto" w:fill="F2F2F2" w:themeFill="background1" w:themeFillShade="F2"/>
          </w:tcPr>
          <w:p w:rsidR="009345E8" w:rsidRPr="009C6449" w:rsidRDefault="009345E8" w:rsidP="00CE1CE5">
            <w:pPr>
              <w:spacing w:line="259" w:lineRule="auto"/>
            </w:pPr>
          </w:p>
        </w:tc>
      </w:tr>
      <w:tr w:rsidR="009345E8" w:rsidRPr="009C6449" w:rsidTr="00163C6F">
        <w:tc>
          <w:tcPr>
            <w:tcW w:w="3742" w:type="dxa"/>
          </w:tcPr>
          <w:p w:rsidR="009345E8" w:rsidRPr="009C6449" w:rsidRDefault="009345E8" w:rsidP="00CE1CE5">
            <w:pPr>
              <w:spacing w:line="259" w:lineRule="auto"/>
            </w:pPr>
            <w:r w:rsidRPr="009C6449">
              <w:t>Accident and emergency department presentations – per presentation</w:t>
            </w:r>
          </w:p>
        </w:tc>
        <w:tc>
          <w:tcPr>
            <w:tcW w:w="2721" w:type="dxa"/>
          </w:tcPr>
          <w:p w:rsidR="009345E8" w:rsidRPr="009C6449" w:rsidRDefault="009345E8" w:rsidP="00CE1CE5">
            <w:pPr>
              <w:spacing w:line="259" w:lineRule="auto"/>
            </w:pPr>
            <w:r w:rsidRPr="009C6449">
              <w:t>HES</w:t>
            </w:r>
          </w:p>
        </w:tc>
        <w:tc>
          <w:tcPr>
            <w:tcW w:w="2893" w:type="dxa"/>
          </w:tcPr>
          <w:p w:rsidR="009345E8" w:rsidRPr="009C6449" w:rsidRDefault="00163C6F" w:rsidP="00163C6F">
            <w:pPr>
              <w:spacing w:line="259" w:lineRule="auto"/>
            </w:pPr>
            <w:r w:rsidRPr="009C6449">
              <w:rPr>
                <w:noProof/>
              </w:rPr>
              <w:t>Department of Health and Social Care [3]</w:t>
            </w:r>
          </w:p>
        </w:tc>
      </w:tr>
      <w:tr w:rsidR="009345E8" w:rsidRPr="009C6449" w:rsidTr="00163C6F">
        <w:tc>
          <w:tcPr>
            <w:tcW w:w="3742" w:type="dxa"/>
          </w:tcPr>
          <w:p w:rsidR="009345E8" w:rsidRPr="009C6449" w:rsidRDefault="009345E8" w:rsidP="00CE1CE5">
            <w:pPr>
              <w:spacing w:line="259" w:lineRule="auto"/>
            </w:pPr>
            <w:r w:rsidRPr="009C6449">
              <w:t>Inpatient admissions – episode of care</w:t>
            </w:r>
          </w:p>
        </w:tc>
        <w:tc>
          <w:tcPr>
            <w:tcW w:w="2721" w:type="dxa"/>
          </w:tcPr>
          <w:p w:rsidR="009345E8" w:rsidRPr="009C6449" w:rsidRDefault="009345E8" w:rsidP="00CE1CE5">
            <w:pPr>
              <w:spacing w:line="259" w:lineRule="auto"/>
            </w:pPr>
            <w:r w:rsidRPr="009C6449">
              <w:t>HES</w:t>
            </w:r>
          </w:p>
        </w:tc>
        <w:tc>
          <w:tcPr>
            <w:tcW w:w="2893" w:type="dxa"/>
          </w:tcPr>
          <w:p w:rsidR="009345E8" w:rsidRPr="009C6449" w:rsidRDefault="00163C6F" w:rsidP="00CE1CE5">
            <w:pPr>
              <w:spacing w:line="259" w:lineRule="auto"/>
            </w:pPr>
            <w:r w:rsidRPr="009C6449">
              <w:rPr>
                <w:noProof/>
              </w:rPr>
              <w:t>Department of Health and Social Care [3]</w:t>
            </w:r>
          </w:p>
        </w:tc>
      </w:tr>
      <w:tr w:rsidR="009345E8" w:rsidRPr="009C6449" w:rsidTr="00163C6F">
        <w:tc>
          <w:tcPr>
            <w:tcW w:w="3742" w:type="dxa"/>
            <w:shd w:val="clear" w:color="auto" w:fill="F2F2F2" w:themeFill="background1" w:themeFillShade="F2"/>
          </w:tcPr>
          <w:p w:rsidR="009345E8" w:rsidRPr="009C6449" w:rsidRDefault="009345E8" w:rsidP="00CE1CE5">
            <w:pPr>
              <w:spacing w:line="259" w:lineRule="auto"/>
            </w:pPr>
            <w:r w:rsidRPr="009C6449">
              <w:t>Community mental health services</w:t>
            </w:r>
          </w:p>
        </w:tc>
        <w:tc>
          <w:tcPr>
            <w:tcW w:w="2721" w:type="dxa"/>
            <w:shd w:val="clear" w:color="auto" w:fill="F2F2F2" w:themeFill="background1" w:themeFillShade="F2"/>
          </w:tcPr>
          <w:p w:rsidR="009345E8" w:rsidRPr="009C6449" w:rsidRDefault="009345E8" w:rsidP="00CE1CE5">
            <w:pPr>
              <w:spacing w:line="259" w:lineRule="auto"/>
            </w:pPr>
          </w:p>
        </w:tc>
        <w:tc>
          <w:tcPr>
            <w:tcW w:w="2893" w:type="dxa"/>
            <w:shd w:val="clear" w:color="auto" w:fill="F2F2F2" w:themeFill="background1" w:themeFillShade="F2"/>
          </w:tcPr>
          <w:p w:rsidR="009345E8" w:rsidRPr="009C6449" w:rsidRDefault="009345E8" w:rsidP="00CE1CE5">
            <w:pPr>
              <w:spacing w:line="259" w:lineRule="auto"/>
            </w:pPr>
          </w:p>
        </w:tc>
      </w:tr>
      <w:tr w:rsidR="009345E8" w:rsidRPr="009C6449" w:rsidTr="00126C6D">
        <w:trPr>
          <w:trHeight w:val="601"/>
        </w:trPr>
        <w:tc>
          <w:tcPr>
            <w:tcW w:w="3742" w:type="dxa"/>
          </w:tcPr>
          <w:p w:rsidR="009345E8" w:rsidRPr="009C6449" w:rsidRDefault="009345E8" w:rsidP="00CE1CE5">
            <w:pPr>
              <w:spacing w:line="259" w:lineRule="auto"/>
            </w:pPr>
            <w:r w:rsidRPr="009C6449">
              <w:t xml:space="preserve">Consultations – per minute of contact </w:t>
            </w:r>
          </w:p>
        </w:tc>
        <w:tc>
          <w:tcPr>
            <w:tcW w:w="2721" w:type="dxa"/>
          </w:tcPr>
          <w:p w:rsidR="009345E8" w:rsidRPr="009C6449" w:rsidRDefault="009345E8" w:rsidP="00CE1CE5">
            <w:pPr>
              <w:spacing w:line="259" w:lineRule="auto"/>
            </w:pPr>
            <w:r w:rsidRPr="009C6449">
              <w:t>MHMDS</w:t>
            </w:r>
          </w:p>
        </w:tc>
        <w:tc>
          <w:tcPr>
            <w:tcW w:w="2893" w:type="dxa"/>
          </w:tcPr>
          <w:p w:rsidR="009345E8" w:rsidRPr="009C6449" w:rsidRDefault="00163C6F" w:rsidP="00163C6F">
            <w:pPr>
              <w:spacing w:line="259" w:lineRule="auto"/>
            </w:pPr>
            <w:r w:rsidRPr="009C6449">
              <w:rPr>
                <w:noProof/>
              </w:rPr>
              <w:t>Curtis [1]</w:t>
            </w:r>
          </w:p>
        </w:tc>
      </w:tr>
      <w:tr w:rsidR="009345E8" w:rsidRPr="009C6449" w:rsidTr="00126C6D">
        <w:trPr>
          <w:trHeight w:val="601"/>
        </w:trPr>
        <w:tc>
          <w:tcPr>
            <w:tcW w:w="3742" w:type="dxa"/>
          </w:tcPr>
          <w:p w:rsidR="009345E8" w:rsidRPr="009C6449" w:rsidRDefault="009345E8" w:rsidP="00CE1CE5">
            <w:pPr>
              <w:spacing w:line="259" w:lineRule="auto"/>
            </w:pPr>
            <w:r w:rsidRPr="009C6449">
              <w:t>Electroconvulsive therapy – per episode</w:t>
            </w:r>
          </w:p>
        </w:tc>
        <w:tc>
          <w:tcPr>
            <w:tcW w:w="2721" w:type="dxa"/>
          </w:tcPr>
          <w:p w:rsidR="009345E8" w:rsidRPr="009C6449" w:rsidRDefault="009345E8" w:rsidP="00CE1CE5">
            <w:pPr>
              <w:spacing w:line="259" w:lineRule="auto"/>
            </w:pPr>
            <w:r w:rsidRPr="009C6449">
              <w:t>MHMDS</w:t>
            </w:r>
          </w:p>
        </w:tc>
        <w:tc>
          <w:tcPr>
            <w:tcW w:w="2893" w:type="dxa"/>
          </w:tcPr>
          <w:p w:rsidR="009345E8" w:rsidRPr="009C6449" w:rsidRDefault="009345E8" w:rsidP="00163C6F">
            <w:pPr>
              <w:spacing w:line="259" w:lineRule="auto"/>
            </w:pPr>
            <w:r w:rsidRPr="009C6449">
              <w:t xml:space="preserve">Greenhalgh et al. </w:t>
            </w:r>
            <w:r w:rsidR="00163C6F" w:rsidRPr="009C6449">
              <w:rPr>
                <w:noProof/>
              </w:rPr>
              <w:t>[4]</w:t>
            </w:r>
          </w:p>
        </w:tc>
      </w:tr>
      <w:tr w:rsidR="009345E8" w:rsidRPr="009C6449" w:rsidTr="00126C6D">
        <w:trPr>
          <w:trHeight w:val="601"/>
        </w:trPr>
        <w:tc>
          <w:tcPr>
            <w:tcW w:w="3742" w:type="dxa"/>
          </w:tcPr>
          <w:p w:rsidR="009345E8" w:rsidRPr="009C6449" w:rsidRDefault="009345E8" w:rsidP="00CE1CE5">
            <w:pPr>
              <w:spacing w:line="259" w:lineRule="auto"/>
            </w:pPr>
            <w:r w:rsidRPr="009C6449">
              <w:t>Care Plan Approach reviews – per review</w:t>
            </w:r>
          </w:p>
        </w:tc>
        <w:tc>
          <w:tcPr>
            <w:tcW w:w="2721" w:type="dxa"/>
          </w:tcPr>
          <w:p w:rsidR="009345E8" w:rsidRPr="009C6449" w:rsidRDefault="009345E8" w:rsidP="00CE1CE5">
            <w:pPr>
              <w:spacing w:line="259" w:lineRule="auto"/>
            </w:pPr>
            <w:proofErr w:type="spellStart"/>
            <w:r w:rsidRPr="009C6449">
              <w:t>MHMDS</w:t>
            </w:r>
            <w:proofErr w:type="spellEnd"/>
          </w:p>
        </w:tc>
        <w:tc>
          <w:tcPr>
            <w:tcW w:w="2893" w:type="dxa"/>
          </w:tcPr>
          <w:p w:rsidR="009345E8" w:rsidRPr="009C6449" w:rsidRDefault="00163C6F" w:rsidP="00163C6F">
            <w:pPr>
              <w:spacing w:line="259" w:lineRule="auto"/>
            </w:pPr>
            <w:r w:rsidRPr="009C6449">
              <w:rPr>
                <w:noProof/>
              </w:rPr>
              <w:t>Curtis [1]</w:t>
            </w:r>
          </w:p>
        </w:tc>
      </w:tr>
      <w:tr w:rsidR="009345E8" w:rsidRPr="009C6449" w:rsidTr="00126C6D">
        <w:trPr>
          <w:trHeight w:val="601"/>
        </w:trPr>
        <w:tc>
          <w:tcPr>
            <w:tcW w:w="3742" w:type="dxa"/>
          </w:tcPr>
          <w:p w:rsidR="009345E8" w:rsidRPr="009C6449" w:rsidRDefault="009345E8" w:rsidP="00CE1CE5">
            <w:pPr>
              <w:spacing w:line="259" w:lineRule="auto"/>
            </w:pPr>
            <w:r w:rsidRPr="009C6449">
              <w:t>Day attendances – per day</w:t>
            </w:r>
          </w:p>
        </w:tc>
        <w:tc>
          <w:tcPr>
            <w:tcW w:w="2721" w:type="dxa"/>
          </w:tcPr>
          <w:p w:rsidR="009345E8" w:rsidRPr="009C6449" w:rsidRDefault="009345E8" w:rsidP="00CE1CE5">
            <w:pPr>
              <w:spacing w:line="259" w:lineRule="auto"/>
            </w:pPr>
            <w:r w:rsidRPr="009C6449">
              <w:t>MHMDS</w:t>
            </w:r>
          </w:p>
        </w:tc>
        <w:tc>
          <w:tcPr>
            <w:tcW w:w="2893" w:type="dxa"/>
          </w:tcPr>
          <w:p w:rsidR="009345E8" w:rsidRPr="009C6449" w:rsidRDefault="00163C6F" w:rsidP="00163C6F">
            <w:pPr>
              <w:spacing w:line="259" w:lineRule="auto"/>
            </w:pPr>
            <w:r w:rsidRPr="009C6449">
              <w:rPr>
                <w:noProof/>
              </w:rPr>
              <w:t>Curtis [1]</w:t>
            </w:r>
          </w:p>
        </w:tc>
      </w:tr>
      <w:tr w:rsidR="009345E8" w:rsidRPr="009C6449" w:rsidTr="00126C6D">
        <w:trPr>
          <w:trHeight w:val="601"/>
        </w:trPr>
        <w:tc>
          <w:tcPr>
            <w:tcW w:w="3742" w:type="dxa"/>
          </w:tcPr>
          <w:p w:rsidR="009345E8" w:rsidRPr="009C6449" w:rsidRDefault="009345E8" w:rsidP="00CE1CE5">
            <w:pPr>
              <w:spacing w:line="259" w:lineRule="auto"/>
            </w:pPr>
            <w:r w:rsidRPr="009C6449">
              <w:t>MH admissions – per day</w:t>
            </w:r>
          </w:p>
        </w:tc>
        <w:tc>
          <w:tcPr>
            <w:tcW w:w="2721" w:type="dxa"/>
          </w:tcPr>
          <w:p w:rsidR="009345E8" w:rsidRPr="009C6449" w:rsidRDefault="009345E8" w:rsidP="00CE1CE5">
            <w:pPr>
              <w:spacing w:line="259" w:lineRule="auto"/>
            </w:pPr>
            <w:r w:rsidRPr="009C6449">
              <w:t>MHMDS</w:t>
            </w:r>
          </w:p>
        </w:tc>
        <w:tc>
          <w:tcPr>
            <w:tcW w:w="2893" w:type="dxa"/>
          </w:tcPr>
          <w:p w:rsidR="009345E8" w:rsidRPr="009C6449" w:rsidRDefault="00163C6F" w:rsidP="00163C6F">
            <w:pPr>
              <w:spacing w:line="259" w:lineRule="auto"/>
            </w:pPr>
            <w:r w:rsidRPr="009C6449">
              <w:rPr>
                <w:noProof/>
              </w:rPr>
              <w:t>Department of Health and Social Care [3]</w:t>
            </w:r>
          </w:p>
        </w:tc>
      </w:tr>
    </w:tbl>
    <w:p w:rsidR="009345E8" w:rsidRPr="009C6449" w:rsidRDefault="009345E8" w:rsidP="005E08E2"/>
    <w:p w:rsidR="009345E8" w:rsidRPr="009C6449" w:rsidRDefault="009345E8">
      <w:pPr>
        <w:spacing w:line="259" w:lineRule="auto"/>
      </w:pPr>
      <w:r w:rsidRPr="009C6449">
        <w:br w:type="page"/>
      </w:r>
    </w:p>
    <w:p w:rsidR="00916160" w:rsidRPr="009C6449" w:rsidRDefault="00916160" w:rsidP="00FE6258">
      <w:proofErr w:type="gramStart"/>
      <w:r w:rsidRPr="009C6449">
        <w:lastRenderedPageBreak/>
        <w:t xml:space="preserve">Supplementary Table </w:t>
      </w:r>
      <w:r w:rsidR="004B6CF6" w:rsidRPr="009C6449">
        <w:t>3</w:t>
      </w:r>
      <w:r w:rsidRPr="009C6449">
        <w:t>.</w:t>
      </w:r>
      <w:proofErr w:type="gramEnd"/>
      <w:r w:rsidRPr="009C6449">
        <w:t xml:space="preserve"> Visit duration (minutes) in primary care and community mental health services </w:t>
      </w:r>
    </w:p>
    <w:tbl>
      <w:tblPr>
        <w:tblStyle w:val="TableGrid"/>
        <w:tblW w:w="5954" w:type="dxa"/>
        <w:tblLayout w:type="fixed"/>
        <w:tblLook w:val="04A0"/>
      </w:tblPr>
      <w:tblGrid>
        <w:gridCol w:w="3969"/>
        <w:gridCol w:w="992"/>
        <w:gridCol w:w="993"/>
      </w:tblGrid>
      <w:tr w:rsidR="008D5F85" w:rsidRPr="009C6449" w:rsidTr="008D5F85">
        <w:tc>
          <w:tcPr>
            <w:tcW w:w="3969" w:type="dxa"/>
            <w:tcBorders>
              <w:top w:val="nil"/>
              <w:left w:val="nil"/>
              <w:bottom w:val="single" w:sz="4" w:space="0" w:color="auto"/>
              <w:right w:val="single" w:sz="4" w:space="0" w:color="auto"/>
            </w:tcBorders>
            <w:vAlign w:val="center"/>
          </w:tcPr>
          <w:p w:rsidR="008D5F85" w:rsidRPr="009C6449" w:rsidRDefault="008D5F85" w:rsidP="00FE6258"/>
        </w:tc>
        <w:tc>
          <w:tcPr>
            <w:tcW w:w="992" w:type="dxa"/>
            <w:tcBorders>
              <w:top w:val="nil"/>
              <w:left w:val="single" w:sz="4" w:space="0" w:color="auto"/>
              <w:bottom w:val="single" w:sz="4" w:space="0" w:color="auto"/>
              <w:right w:val="nil"/>
            </w:tcBorders>
            <w:vAlign w:val="center"/>
          </w:tcPr>
          <w:p w:rsidR="008D5F85" w:rsidRPr="009C6449" w:rsidRDefault="008D5F85" w:rsidP="00FE6258">
            <w:r w:rsidRPr="009C6449">
              <w:t>Mean</w:t>
            </w:r>
          </w:p>
        </w:tc>
        <w:tc>
          <w:tcPr>
            <w:tcW w:w="993" w:type="dxa"/>
            <w:tcBorders>
              <w:top w:val="nil"/>
              <w:left w:val="nil"/>
              <w:bottom w:val="single" w:sz="4" w:space="0" w:color="auto"/>
              <w:right w:val="nil"/>
            </w:tcBorders>
            <w:vAlign w:val="center"/>
          </w:tcPr>
          <w:p w:rsidR="008D5F85" w:rsidRPr="009C6449" w:rsidRDefault="008D5F85" w:rsidP="00FE6258">
            <w:r w:rsidRPr="009C6449">
              <w:t>Median</w:t>
            </w:r>
          </w:p>
        </w:tc>
      </w:tr>
      <w:tr w:rsidR="008D5F85" w:rsidRPr="009C6449" w:rsidTr="008D5F85">
        <w:tc>
          <w:tcPr>
            <w:tcW w:w="3969" w:type="dxa"/>
            <w:tcBorders>
              <w:top w:val="single" w:sz="4" w:space="0" w:color="auto"/>
              <w:left w:val="nil"/>
              <w:bottom w:val="nil"/>
              <w:right w:val="single" w:sz="4" w:space="0" w:color="auto"/>
            </w:tcBorders>
            <w:shd w:val="clear" w:color="auto" w:fill="F2F2F2" w:themeFill="background1" w:themeFillShade="F2"/>
            <w:vAlign w:val="center"/>
          </w:tcPr>
          <w:p w:rsidR="008D5F85" w:rsidRPr="009C6449" w:rsidRDefault="008D5F85" w:rsidP="005E08E2">
            <w:r w:rsidRPr="009C6449">
              <w:t xml:space="preserve">Primary care </w:t>
            </w:r>
          </w:p>
        </w:tc>
        <w:tc>
          <w:tcPr>
            <w:tcW w:w="992" w:type="dxa"/>
            <w:tcBorders>
              <w:top w:val="single" w:sz="4" w:space="0" w:color="auto"/>
              <w:left w:val="single" w:sz="4" w:space="0" w:color="auto"/>
              <w:bottom w:val="nil"/>
              <w:right w:val="nil"/>
            </w:tcBorders>
            <w:shd w:val="clear" w:color="auto" w:fill="F2F2F2" w:themeFill="background1" w:themeFillShade="F2"/>
            <w:vAlign w:val="center"/>
          </w:tcPr>
          <w:p w:rsidR="008D5F85" w:rsidRPr="009C6449" w:rsidRDefault="008D5F85" w:rsidP="00FE6258"/>
        </w:tc>
        <w:tc>
          <w:tcPr>
            <w:tcW w:w="993" w:type="dxa"/>
            <w:tcBorders>
              <w:top w:val="single" w:sz="4" w:space="0" w:color="auto"/>
              <w:left w:val="nil"/>
              <w:bottom w:val="nil"/>
              <w:right w:val="nil"/>
            </w:tcBorders>
            <w:shd w:val="clear" w:color="auto" w:fill="F2F2F2" w:themeFill="background1" w:themeFillShade="F2"/>
            <w:vAlign w:val="center"/>
          </w:tcPr>
          <w:p w:rsidR="008D5F85" w:rsidRPr="009C6449" w:rsidRDefault="008D5F85" w:rsidP="00FE6258"/>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GP – face to face, clinic</w:t>
            </w:r>
          </w:p>
        </w:tc>
        <w:tc>
          <w:tcPr>
            <w:tcW w:w="992" w:type="dxa"/>
            <w:tcBorders>
              <w:top w:val="nil"/>
              <w:left w:val="single" w:sz="4" w:space="0" w:color="auto"/>
              <w:bottom w:val="nil"/>
              <w:right w:val="nil"/>
            </w:tcBorders>
            <w:vAlign w:val="center"/>
          </w:tcPr>
          <w:p w:rsidR="008D5F85" w:rsidRPr="009C6449" w:rsidRDefault="008D5F85" w:rsidP="00FE6258">
            <w:r w:rsidRPr="009C6449">
              <w:t>10.8</w:t>
            </w:r>
          </w:p>
        </w:tc>
        <w:tc>
          <w:tcPr>
            <w:tcW w:w="993" w:type="dxa"/>
            <w:tcBorders>
              <w:top w:val="nil"/>
              <w:left w:val="nil"/>
              <w:bottom w:val="nil"/>
              <w:right w:val="nil"/>
            </w:tcBorders>
            <w:vAlign w:val="center"/>
          </w:tcPr>
          <w:p w:rsidR="008D5F85" w:rsidRPr="009C6449" w:rsidRDefault="008D5F85" w:rsidP="00FE6258">
            <w:r w:rsidRPr="009C6449">
              <w:t>9</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 xml:space="preserve">GP – telephone </w:t>
            </w:r>
          </w:p>
        </w:tc>
        <w:tc>
          <w:tcPr>
            <w:tcW w:w="992" w:type="dxa"/>
            <w:tcBorders>
              <w:top w:val="nil"/>
              <w:left w:val="single" w:sz="4" w:space="0" w:color="auto"/>
              <w:bottom w:val="nil"/>
              <w:right w:val="nil"/>
            </w:tcBorders>
            <w:vAlign w:val="center"/>
          </w:tcPr>
          <w:p w:rsidR="008D5F85" w:rsidRPr="009C6449" w:rsidRDefault="008D5F85" w:rsidP="00FE6258">
            <w:r w:rsidRPr="009C6449">
              <w:t>6.4</w:t>
            </w:r>
          </w:p>
        </w:tc>
        <w:tc>
          <w:tcPr>
            <w:tcW w:w="993" w:type="dxa"/>
            <w:tcBorders>
              <w:top w:val="nil"/>
              <w:left w:val="nil"/>
              <w:bottom w:val="nil"/>
              <w:right w:val="nil"/>
            </w:tcBorders>
            <w:vAlign w:val="center"/>
          </w:tcPr>
          <w:p w:rsidR="008D5F85" w:rsidRPr="009C6449" w:rsidRDefault="008D5F85" w:rsidP="00FE6258">
            <w:r w:rsidRPr="009C6449">
              <w:t>4</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GP – face to face, home visit/ other</w:t>
            </w:r>
          </w:p>
        </w:tc>
        <w:tc>
          <w:tcPr>
            <w:tcW w:w="992" w:type="dxa"/>
            <w:tcBorders>
              <w:top w:val="nil"/>
              <w:left w:val="single" w:sz="4" w:space="0" w:color="auto"/>
              <w:bottom w:val="nil"/>
              <w:right w:val="nil"/>
            </w:tcBorders>
            <w:vAlign w:val="center"/>
          </w:tcPr>
          <w:p w:rsidR="008D5F85" w:rsidRPr="009C6449" w:rsidRDefault="008D5F85" w:rsidP="00FE6258">
            <w:r w:rsidRPr="009C6449">
              <w:t>11.8</w:t>
            </w:r>
          </w:p>
        </w:tc>
        <w:tc>
          <w:tcPr>
            <w:tcW w:w="993" w:type="dxa"/>
            <w:tcBorders>
              <w:top w:val="nil"/>
              <w:left w:val="nil"/>
              <w:bottom w:val="nil"/>
              <w:right w:val="nil"/>
            </w:tcBorders>
            <w:vAlign w:val="center"/>
          </w:tcPr>
          <w:p w:rsidR="008D5F85" w:rsidRPr="009C6449" w:rsidRDefault="008D5F85" w:rsidP="00FE6258">
            <w:r w:rsidRPr="009C6449">
              <w:t>5</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Nurse – face to face, clinic</w:t>
            </w:r>
          </w:p>
        </w:tc>
        <w:tc>
          <w:tcPr>
            <w:tcW w:w="992" w:type="dxa"/>
            <w:tcBorders>
              <w:top w:val="nil"/>
              <w:left w:val="single" w:sz="4" w:space="0" w:color="auto"/>
              <w:bottom w:val="nil"/>
              <w:right w:val="nil"/>
            </w:tcBorders>
            <w:vAlign w:val="center"/>
          </w:tcPr>
          <w:p w:rsidR="008D5F85" w:rsidRPr="009C6449" w:rsidRDefault="008D5F85" w:rsidP="00FE6258">
            <w:r w:rsidRPr="009C6449">
              <w:t>11.4</w:t>
            </w:r>
          </w:p>
        </w:tc>
        <w:tc>
          <w:tcPr>
            <w:tcW w:w="993" w:type="dxa"/>
            <w:tcBorders>
              <w:top w:val="nil"/>
              <w:left w:val="nil"/>
              <w:bottom w:val="nil"/>
              <w:right w:val="nil"/>
            </w:tcBorders>
            <w:vAlign w:val="center"/>
          </w:tcPr>
          <w:p w:rsidR="008D5F85" w:rsidRPr="009C6449" w:rsidRDefault="008D5F85" w:rsidP="00FE6258">
            <w:r w:rsidRPr="009C6449">
              <w:t>9</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 xml:space="preserve">Nurse – telephone </w:t>
            </w:r>
          </w:p>
        </w:tc>
        <w:tc>
          <w:tcPr>
            <w:tcW w:w="992" w:type="dxa"/>
            <w:tcBorders>
              <w:top w:val="nil"/>
              <w:left w:val="single" w:sz="4" w:space="0" w:color="auto"/>
              <w:bottom w:val="nil"/>
              <w:right w:val="nil"/>
            </w:tcBorders>
            <w:vAlign w:val="center"/>
          </w:tcPr>
          <w:p w:rsidR="008D5F85" w:rsidRPr="009C6449" w:rsidRDefault="008D5F85" w:rsidP="00FE6258">
            <w:r w:rsidRPr="009C6449">
              <w:t>5.8</w:t>
            </w:r>
          </w:p>
        </w:tc>
        <w:tc>
          <w:tcPr>
            <w:tcW w:w="993" w:type="dxa"/>
            <w:tcBorders>
              <w:top w:val="nil"/>
              <w:left w:val="nil"/>
              <w:bottom w:val="nil"/>
              <w:right w:val="nil"/>
            </w:tcBorders>
            <w:vAlign w:val="center"/>
          </w:tcPr>
          <w:p w:rsidR="008D5F85" w:rsidRPr="009C6449" w:rsidRDefault="008D5F85" w:rsidP="00FE6258">
            <w:r w:rsidRPr="009C6449">
              <w:t>4</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Nurse – face to face, home visit/ other</w:t>
            </w:r>
          </w:p>
        </w:tc>
        <w:tc>
          <w:tcPr>
            <w:tcW w:w="992" w:type="dxa"/>
            <w:tcBorders>
              <w:top w:val="nil"/>
              <w:left w:val="single" w:sz="4" w:space="0" w:color="auto"/>
              <w:bottom w:val="nil"/>
              <w:right w:val="nil"/>
            </w:tcBorders>
            <w:vAlign w:val="center"/>
          </w:tcPr>
          <w:p w:rsidR="008D5F85" w:rsidRPr="009C6449" w:rsidRDefault="008D5F85" w:rsidP="00FE6258">
            <w:r w:rsidRPr="009C6449">
              <w:t>7.1</w:t>
            </w:r>
          </w:p>
        </w:tc>
        <w:tc>
          <w:tcPr>
            <w:tcW w:w="993" w:type="dxa"/>
            <w:tcBorders>
              <w:top w:val="nil"/>
              <w:left w:val="nil"/>
              <w:bottom w:val="nil"/>
              <w:right w:val="nil"/>
            </w:tcBorders>
            <w:vAlign w:val="center"/>
          </w:tcPr>
          <w:p w:rsidR="008D5F85" w:rsidRPr="009C6449" w:rsidRDefault="008D5F85" w:rsidP="00FE6258">
            <w:r w:rsidRPr="009C6449">
              <w:t>4</w:t>
            </w:r>
          </w:p>
        </w:tc>
      </w:tr>
      <w:tr w:rsidR="008D5F85" w:rsidRPr="009C6449" w:rsidTr="008D5F85">
        <w:tc>
          <w:tcPr>
            <w:tcW w:w="3969" w:type="dxa"/>
            <w:tcBorders>
              <w:top w:val="nil"/>
              <w:left w:val="nil"/>
              <w:bottom w:val="nil"/>
              <w:right w:val="single" w:sz="4" w:space="0" w:color="auto"/>
            </w:tcBorders>
            <w:shd w:val="clear" w:color="auto" w:fill="F2F2F2" w:themeFill="background1" w:themeFillShade="F2"/>
            <w:vAlign w:val="center"/>
          </w:tcPr>
          <w:p w:rsidR="008D5F85" w:rsidRPr="009C6449" w:rsidRDefault="008D5F85" w:rsidP="005E08E2">
            <w:r w:rsidRPr="009C6449">
              <w:t xml:space="preserve">Community mental health services </w:t>
            </w:r>
          </w:p>
        </w:tc>
        <w:tc>
          <w:tcPr>
            <w:tcW w:w="992" w:type="dxa"/>
            <w:tcBorders>
              <w:top w:val="nil"/>
              <w:left w:val="single" w:sz="4" w:space="0" w:color="auto"/>
              <w:bottom w:val="nil"/>
              <w:right w:val="nil"/>
            </w:tcBorders>
            <w:shd w:val="clear" w:color="auto" w:fill="F2F2F2" w:themeFill="background1" w:themeFillShade="F2"/>
            <w:vAlign w:val="center"/>
          </w:tcPr>
          <w:p w:rsidR="008D5F85" w:rsidRPr="009C6449" w:rsidRDefault="008D5F85" w:rsidP="00FE6258"/>
        </w:tc>
        <w:tc>
          <w:tcPr>
            <w:tcW w:w="993" w:type="dxa"/>
            <w:tcBorders>
              <w:top w:val="nil"/>
              <w:left w:val="nil"/>
              <w:bottom w:val="nil"/>
              <w:right w:val="nil"/>
            </w:tcBorders>
            <w:shd w:val="clear" w:color="auto" w:fill="F2F2F2" w:themeFill="background1" w:themeFillShade="F2"/>
            <w:vAlign w:val="center"/>
          </w:tcPr>
          <w:p w:rsidR="008D5F85" w:rsidRPr="009C6449" w:rsidRDefault="008D5F85" w:rsidP="00FE6258"/>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Doctor</w:t>
            </w:r>
          </w:p>
        </w:tc>
        <w:tc>
          <w:tcPr>
            <w:tcW w:w="992" w:type="dxa"/>
            <w:tcBorders>
              <w:top w:val="nil"/>
              <w:left w:val="single" w:sz="4" w:space="0" w:color="auto"/>
              <w:bottom w:val="nil"/>
              <w:right w:val="nil"/>
            </w:tcBorders>
            <w:vAlign w:val="center"/>
          </w:tcPr>
          <w:p w:rsidR="008D5F85" w:rsidRPr="009C6449" w:rsidRDefault="008D5F85" w:rsidP="00FE6258">
            <w:r w:rsidRPr="009C6449">
              <w:t>53.5</w:t>
            </w:r>
          </w:p>
        </w:tc>
        <w:tc>
          <w:tcPr>
            <w:tcW w:w="993" w:type="dxa"/>
            <w:tcBorders>
              <w:top w:val="nil"/>
              <w:left w:val="nil"/>
              <w:bottom w:val="nil"/>
              <w:right w:val="nil"/>
            </w:tcBorders>
            <w:vAlign w:val="center"/>
          </w:tcPr>
          <w:p w:rsidR="008D5F85" w:rsidRPr="009C6449" w:rsidRDefault="008D5F85" w:rsidP="00FE6258">
            <w:r w:rsidRPr="009C6449">
              <w:t>30</w:t>
            </w:r>
          </w:p>
        </w:tc>
      </w:tr>
      <w:tr w:rsidR="008D5F85" w:rsidRPr="009C6449" w:rsidTr="008D5F85">
        <w:tc>
          <w:tcPr>
            <w:tcW w:w="3969" w:type="dxa"/>
            <w:tcBorders>
              <w:top w:val="nil"/>
              <w:left w:val="nil"/>
              <w:bottom w:val="nil"/>
              <w:right w:val="single" w:sz="4" w:space="0" w:color="auto"/>
            </w:tcBorders>
            <w:vAlign w:val="center"/>
          </w:tcPr>
          <w:p w:rsidR="008D5F85" w:rsidRPr="009C6449" w:rsidRDefault="008D5F85" w:rsidP="005E08E2">
            <w:r w:rsidRPr="009C6449">
              <w:t>Nurse</w:t>
            </w:r>
          </w:p>
        </w:tc>
        <w:tc>
          <w:tcPr>
            <w:tcW w:w="992" w:type="dxa"/>
            <w:tcBorders>
              <w:top w:val="nil"/>
              <w:left w:val="single" w:sz="4" w:space="0" w:color="auto"/>
              <w:bottom w:val="nil"/>
              <w:right w:val="nil"/>
            </w:tcBorders>
            <w:vAlign w:val="center"/>
          </w:tcPr>
          <w:p w:rsidR="008D5F85" w:rsidRPr="009C6449" w:rsidRDefault="008D5F85" w:rsidP="00FE6258">
            <w:r w:rsidRPr="009C6449">
              <w:t>49.1</w:t>
            </w:r>
          </w:p>
        </w:tc>
        <w:tc>
          <w:tcPr>
            <w:tcW w:w="993" w:type="dxa"/>
            <w:tcBorders>
              <w:top w:val="nil"/>
              <w:left w:val="nil"/>
              <w:bottom w:val="nil"/>
              <w:right w:val="nil"/>
            </w:tcBorders>
            <w:vAlign w:val="center"/>
          </w:tcPr>
          <w:p w:rsidR="008D5F85" w:rsidRPr="009C6449" w:rsidRDefault="008D5F85" w:rsidP="00FE6258">
            <w:r w:rsidRPr="009C6449">
              <w:t>35</w:t>
            </w:r>
          </w:p>
        </w:tc>
      </w:tr>
      <w:tr w:rsidR="008D5F85" w:rsidRPr="009C6449" w:rsidTr="008D5F85">
        <w:tc>
          <w:tcPr>
            <w:tcW w:w="3969" w:type="dxa"/>
            <w:tcBorders>
              <w:top w:val="nil"/>
              <w:left w:val="nil"/>
              <w:bottom w:val="single" w:sz="4" w:space="0" w:color="auto"/>
              <w:right w:val="single" w:sz="4" w:space="0" w:color="auto"/>
            </w:tcBorders>
            <w:vAlign w:val="center"/>
          </w:tcPr>
          <w:p w:rsidR="008D5F85" w:rsidRPr="009C6449" w:rsidRDefault="008D5F85" w:rsidP="005E08E2">
            <w:r w:rsidRPr="009C6449">
              <w:t>Other healthcare professional</w:t>
            </w:r>
          </w:p>
        </w:tc>
        <w:tc>
          <w:tcPr>
            <w:tcW w:w="992" w:type="dxa"/>
            <w:tcBorders>
              <w:top w:val="nil"/>
              <w:left w:val="single" w:sz="4" w:space="0" w:color="auto"/>
              <w:bottom w:val="single" w:sz="4" w:space="0" w:color="auto"/>
              <w:right w:val="nil"/>
            </w:tcBorders>
            <w:vAlign w:val="center"/>
          </w:tcPr>
          <w:p w:rsidR="008D5F85" w:rsidRPr="009C6449" w:rsidRDefault="008D5F85" w:rsidP="00FE6258">
            <w:r w:rsidRPr="009C6449">
              <w:t>55.3</w:t>
            </w:r>
          </w:p>
        </w:tc>
        <w:tc>
          <w:tcPr>
            <w:tcW w:w="993" w:type="dxa"/>
            <w:tcBorders>
              <w:top w:val="nil"/>
              <w:left w:val="nil"/>
              <w:bottom w:val="single" w:sz="4" w:space="0" w:color="auto"/>
              <w:right w:val="nil"/>
            </w:tcBorders>
            <w:vAlign w:val="center"/>
          </w:tcPr>
          <w:p w:rsidR="008D5F85" w:rsidRPr="009C6449" w:rsidRDefault="008D5F85" w:rsidP="00FE6258">
            <w:r w:rsidRPr="009C6449">
              <w:t>50</w:t>
            </w:r>
          </w:p>
        </w:tc>
      </w:tr>
    </w:tbl>
    <w:p w:rsidR="00916160" w:rsidRPr="009C6449" w:rsidRDefault="00916160" w:rsidP="005E08E2"/>
    <w:p w:rsidR="00772396" w:rsidRPr="009C6449" w:rsidRDefault="00772396" w:rsidP="005E08E2"/>
    <w:p w:rsidR="00E360C5" w:rsidRPr="009C6449" w:rsidRDefault="00E360C5">
      <w:pPr>
        <w:spacing w:line="259" w:lineRule="auto"/>
        <w:sectPr w:rsidR="00E360C5" w:rsidRPr="009C6449">
          <w:pgSz w:w="11906" w:h="16838"/>
          <w:pgMar w:top="1440" w:right="1440" w:bottom="1440" w:left="1440" w:header="708" w:footer="708" w:gutter="0"/>
          <w:cols w:space="708"/>
          <w:docGrid w:linePitch="360"/>
        </w:sectPr>
      </w:pPr>
    </w:p>
    <w:p w:rsidR="00E360C5" w:rsidRPr="009C6449" w:rsidRDefault="00E360C5" w:rsidP="00E360C5">
      <w:proofErr w:type="gramStart"/>
      <w:r w:rsidRPr="009C6449">
        <w:lastRenderedPageBreak/>
        <w:t xml:space="preserve">Supplementary Table </w:t>
      </w:r>
      <w:r w:rsidR="004B6CF6" w:rsidRPr="009C6449">
        <w:t>4</w:t>
      </w:r>
      <w:r w:rsidRPr="009C6449">
        <w:t>.</w:t>
      </w:r>
      <w:proofErr w:type="gramEnd"/>
      <w:r w:rsidRPr="009C6449">
        <w:t xml:space="preserve"> Average marginal effect of diagnostic grouping for males and females  </w:t>
      </w:r>
    </w:p>
    <w:tbl>
      <w:tblPr>
        <w:tblStyle w:val="TableGrid1"/>
        <w:tblW w:w="4449" w:type="pct"/>
        <w:tblBorders>
          <w:left w:val="none" w:sz="0" w:space="0" w:color="auto"/>
          <w:right w:val="none" w:sz="0" w:space="0" w:color="auto"/>
          <w:insideH w:val="none" w:sz="0" w:space="0" w:color="auto"/>
          <w:insideV w:val="none" w:sz="0" w:space="0" w:color="auto"/>
        </w:tblBorders>
        <w:tblLook w:val="04A0"/>
      </w:tblPr>
      <w:tblGrid>
        <w:gridCol w:w="3636"/>
        <w:gridCol w:w="2288"/>
        <w:gridCol w:w="2162"/>
        <w:gridCol w:w="2036"/>
        <w:gridCol w:w="2490"/>
      </w:tblGrid>
      <w:tr w:rsidR="00E360C5" w:rsidRPr="009C6449" w:rsidTr="002F7DEB">
        <w:trPr>
          <w:trHeight w:val="300"/>
        </w:trPr>
        <w:tc>
          <w:tcPr>
            <w:tcW w:w="1442" w:type="pct"/>
            <w:tcBorders>
              <w:top w:val="single" w:sz="4" w:space="0" w:color="auto"/>
              <w:bottom w:val="nil"/>
              <w:right w:val="single" w:sz="4" w:space="0" w:color="auto"/>
            </w:tcBorders>
            <w:noWrap/>
            <w:hideMark/>
          </w:tcPr>
          <w:p w:rsidR="00E360C5" w:rsidRPr="009C6449" w:rsidRDefault="00E360C5" w:rsidP="002F7DEB">
            <w:pPr>
              <w:rPr>
                <w:rFonts w:eastAsia="Calibri"/>
              </w:rPr>
            </w:pPr>
          </w:p>
        </w:tc>
        <w:tc>
          <w:tcPr>
            <w:tcW w:w="907" w:type="pct"/>
            <w:tcBorders>
              <w:top w:val="single" w:sz="4" w:space="0" w:color="auto"/>
              <w:bottom w:val="nil"/>
              <w:right w:val="nil"/>
            </w:tcBorders>
          </w:tcPr>
          <w:p w:rsidR="00E360C5" w:rsidRPr="009C6449" w:rsidRDefault="00E360C5" w:rsidP="002F7DEB">
            <w:pPr>
              <w:jc w:val="center"/>
              <w:rPr>
                <w:rFonts w:eastAsia="Calibri"/>
              </w:rPr>
            </w:pPr>
            <w:r w:rsidRPr="009C6449">
              <w:rPr>
                <w:rFonts w:eastAsia="Calibri"/>
              </w:rPr>
              <w:t>Total costs^</w:t>
            </w:r>
          </w:p>
        </w:tc>
        <w:tc>
          <w:tcPr>
            <w:tcW w:w="857" w:type="pct"/>
            <w:tcBorders>
              <w:top w:val="single" w:sz="4" w:space="0" w:color="auto"/>
              <w:left w:val="nil"/>
              <w:bottom w:val="nil"/>
              <w:right w:val="nil"/>
            </w:tcBorders>
          </w:tcPr>
          <w:p w:rsidR="00E360C5" w:rsidRPr="009C6449" w:rsidRDefault="00E360C5" w:rsidP="002F7DEB">
            <w:pPr>
              <w:jc w:val="center"/>
              <w:rPr>
                <w:rFonts w:eastAsia="Calibri"/>
              </w:rPr>
            </w:pPr>
            <w:r w:rsidRPr="009C6449">
              <w:rPr>
                <w:rFonts w:eastAsia="Calibri"/>
              </w:rPr>
              <w:t>Primary care</w:t>
            </w:r>
          </w:p>
        </w:tc>
        <w:tc>
          <w:tcPr>
            <w:tcW w:w="807" w:type="pct"/>
            <w:tcBorders>
              <w:top w:val="single" w:sz="4" w:space="0" w:color="auto"/>
              <w:left w:val="nil"/>
              <w:bottom w:val="nil"/>
              <w:right w:val="nil"/>
            </w:tcBorders>
          </w:tcPr>
          <w:p w:rsidR="00E360C5" w:rsidRPr="009C6449" w:rsidRDefault="00E360C5" w:rsidP="002F7DEB">
            <w:pPr>
              <w:jc w:val="center"/>
              <w:rPr>
                <w:rFonts w:eastAsia="Calibri"/>
              </w:rPr>
            </w:pPr>
            <w:r w:rsidRPr="009C6449">
              <w:rPr>
                <w:rFonts w:eastAsia="Calibri"/>
              </w:rPr>
              <w:t>General hospital</w:t>
            </w:r>
          </w:p>
        </w:tc>
        <w:tc>
          <w:tcPr>
            <w:tcW w:w="987" w:type="pct"/>
            <w:tcBorders>
              <w:top w:val="single" w:sz="4" w:space="0" w:color="auto"/>
              <w:left w:val="nil"/>
              <w:bottom w:val="nil"/>
              <w:right w:val="nil"/>
            </w:tcBorders>
          </w:tcPr>
          <w:p w:rsidR="00E360C5" w:rsidRPr="009C6449" w:rsidRDefault="00E360C5" w:rsidP="002F7DEB">
            <w:pPr>
              <w:jc w:val="center"/>
              <w:rPr>
                <w:rFonts w:eastAsia="Calibri"/>
              </w:rPr>
            </w:pPr>
            <w:r w:rsidRPr="009C6449">
              <w:rPr>
                <w:rFonts w:eastAsia="Calibri"/>
              </w:rPr>
              <w:t>Mental health^</w:t>
            </w:r>
          </w:p>
        </w:tc>
      </w:tr>
      <w:tr w:rsidR="00E360C5" w:rsidRPr="009C6449" w:rsidTr="002F7DEB">
        <w:trPr>
          <w:trHeight w:val="300"/>
        </w:trPr>
        <w:tc>
          <w:tcPr>
            <w:tcW w:w="1442" w:type="pct"/>
            <w:tcBorders>
              <w:top w:val="nil"/>
              <w:bottom w:val="single" w:sz="4" w:space="0" w:color="auto"/>
              <w:right w:val="single" w:sz="4" w:space="0" w:color="auto"/>
            </w:tcBorders>
            <w:noWrap/>
            <w:hideMark/>
          </w:tcPr>
          <w:p w:rsidR="00E360C5" w:rsidRPr="009C6449" w:rsidRDefault="00E360C5" w:rsidP="002F7DEB">
            <w:pPr>
              <w:rPr>
                <w:rFonts w:eastAsia="Calibri"/>
              </w:rPr>
            </w:pPr>
          </w:p>
        </w:tc>
        <w:tc>
          <w:tcPr>
            <w:tcW w:w="907" w:type="pct"/>
            <w:tcBorders>
              <w:top w:val="nil"/>
              <w:bottom w:val="single" w:sz="4" w:space="0" w:color="auto"/>
              <w:right w:val="nil"/>
            </w:tcBorders>
          </w:tcPr>
          <w:p w:rsidR="00E360C5" w:rsidRPr="009C6449" w:rsidRDefault="00E360C5" w:rsidP="002F7DEB">
            <w:pPr>
              <w:jc w:val="center"/>
              <w:rPr>
                <w:rFonts w:eastAsia="Calibri"/>
              </w:rPr>
            </w:pPr>
            <w:r w:rsidRPr="009C6449">
              <w:rPr>
                <w:rFonts w:eastAsia="Calibri"/>
              </w:rPr>
              <w:t xml:space="preserve"> (95% CI)</w:t>
            </w:r>
          </w:p>
        </w:tc>
        <w:tc>
          <w:tcPr>
            <w:tcW w:w="857" w:type="pct"/>
            <w:tcBorders>
              <w:top w:val="nil"/>
              <w:left w:val="nil"/>
              <w:bottom w:val="single" w:sz="4" w:space="0" w:color="auto"/>
              <w:right w:val="nil"/>
            </w:tcBorders>
          </w:tcPr>
          <w:p w:rsidR="00E360C5" w:rsidRPr="009C6449" w:rsidRDefault="00E360C5" w:rsidP="002F7DEB">
            <w:pPr>
              <w:jc w:val="center"/>
              <w:rPr>
                <w:rFonts w:eastAsia="Calibri"/>
              </w:rPr>
            </w:pPr>
            <w:r w:rsidRPr="009C6449">
              <w:rPr>
                <w:rFonts w:eastAsia="Calibri"/>
              </w:rPr>
              <w:t xml:space="preserve"> (95% CI)</w:t>
            </w:r>
          </w:p>
        </w:tc>
        <w:tc>
          <w:tcPr>
            <w:tcW w:w="807" w:type="pct"/>
            <w:tcBorders>
              <w:top w:val="nil"/>
              <w:left w:val="nil"/>
              <w:bottom w:val="single" w:sz="4" w:space="0" w:color="auto"/>
              <w:right w:val="nil"/>
            </w:tcBorders>
          </w:tcPr>
          <w:p w:rsidR="00E360C5" w:rsidRPr="009C6449" w:rsidRDefault="00E360C5" w:rsidP="002F7DEB">
            <w:pPr>
              <w:jc w:val="center"/>
              <w:rPr>
                <w:rFonts w:eastAsia="Calibri"/>
              </w:rPr>
            </w:pPr>
            <w:r w:rsidRPr="009C6449">
              <w:rPr>
                <w:rFonts w:eastAsia="Calibri"/>
              </w:rPr>
              <w:t xml:space="preserve"> (95% CI)</w:t>
            </w:r>
          </w:p>
        </w:tc>
        <w:tc>
          <w:tcPr>
            <w:tcW w:w="987" w:type="pct"/>
            <w:tcBorders>
              <w:top w:val="nil"/>
              <w:left w:val="nil"/>
              <w:bottom w:val="single" w:sz="4" w:space="0" w:color="auto"/>
              <w:right w:val="nil"/>
            </w:tcBorders>
          </w:tcPr>
          <w:p w:rsidR="00E360C5" w:rsidRPr="009C6449" w:rsidRDefault="00E360C5" w:rsidP="002F7DEB">
            <w:pPr>
              <w:jc w:val="center"/>
              <w:rPr>
                <w:rFonts w:eastAsia="Calibri"/>
              </w:rPr>
            </w:pPr>
            <w:r w:rsidRPr="009C6449">
              <w:rPr>
                <w:rFonts w:eastAsia="Calibri"/>
              </w:rPr>
              <w:t xml:space="preserve"> (95% CI)</w:t>
            </w:r>
          </w:p>
        </w:tc>
      </w:tr>
      <w:tr w:rsidR="00E360C5" w:rsidRPr="009C6449" w:rsidTr="002F7DEB">
        <w:trPr>
          <w:trHeight w:val="592"/>
        </w:trPr>
        <w:tc>
          <w:tcPr>
            <w:tcW w:w="1442" w:type="pct"/>
            <w:tcBorders>
              <w:top w:val="single" w:sz="4" w:space="0" w:color="auto"/>
              <w:bottom w:val="nil"/>
              <w:right w:val="single" w:sz="4" w:space="0" w:color="auto"/>
            </w:tcBorders>
            <w:shd w:val="clear" w:color="auto" w:fill="auto"/>
            <w:noWrap/>
            <w:hideMark/>
          </w:tcPr>
          <w:p w:rsidR="00E360C5" w:rsidRPr="009C6449" w:rsidRDefault="00E360C5" w:rsidP="002F7DEB">
            <w:pPr>
              <w:rPr>
                <w:rFonts w:eastAsia="Calibri"/>
              </w:rPr>
            </w:pPr>
            <w:r w:rsidRPr="009C6449">
              <w:rPr>
                <w:rFonts w:eastAsia="Calibri"/>
              </w:rPr>
              <w:t xml:space="preserve">Base: Bipolar disorder &amp; </w:t>
            </w:r>
          </w:p>
          <w:p w:rsidR="00E360C5" w:rsidRPr="009C6449" w:rsidRDefault="00E360C5" w:rsidP="002F7DEB">
            <w:pPr>
              <w:rPr>
                <w:rFonts w:eastAsia="Calibri"/>
              </w:rPr>
            </w:pPr>
            <w:r w:rsidRPr="009C6449">
              <w:rPr>
                <w:rFonts w:eastAsia="Calibri"/>
              </w:rPr>
              <w:t>affective psychosis</w:t>
            </w:r>
          </w:p>
        </w:tc>
        <w:tc>
          <w:tcPr>
            <w:tcW w:w="907" w:type="pct"/>
            <w:tcBorders>
              <w:top w:val="single" w:sz="4" w:space="0" w:color="auto"/>
              <w:bottom w:val="nil"/>
              <w:right w:val="nil"/>
            </w:tcBorders>
            <w:shd w:val="clear" w:color="auto" w:fill="auto"/>
          </w:tcPr>
          <w:p w:rsidR="00E360C5" w:rsidRPr="009C6449" w:rsidRDefault="00E360C5" w:rsidP="002F7DEB">
            <w:pPr>
              <w:jc w:val="center"/>
              <w:rPr>
                <w:rFonts w:eastAsia="Calibri"/>
              </w:rPr>
            </w:pPr>
          </w:p>
        </w:tc>
        <w:tc>
          <w:tcPr>
            <w:tcW w:w="857" w:type="pct"/>
            <w:tcBorders>
              <w:top w:val="single" w:sz="4" w:space="0" w:color="auto"/>
              <w:left w:val="nil"/>
              <w:bottom w:val="nil"/>
              <w:right w:val="nil"/>
            </w:tcBorders>
            <w:shd w:val="clear" w:color="auto" w:fill="auto"/>
          </w:tcPr>
          <w:p w:rsidR="00E360C5" w:rsidRPr="009C6449" w:rsidRDefault="00E360C5" w:rsidP="002F7DEB">
            <w:pPr>
              <w:jc w:val="center"/>
              <w:rPr>
                <w:rFonts w:eastAsia="Calibri"/>
              </w:rPr>
            </w:pPr>
          </w:p>
        </w:tc>
        <w:tc>
          <w:tcPr>
            <w:tcW w:w="807" w:type="pct"/>
            <w:tcBorders>
              <w:top w:val="single" w:sz="4" w:space="0" w:color="auto"/>
              <w:left w:val="nil"/>
              <w:bottom w:val="nil"/>
              <w:right w:val="nil"/>
            </w:tcBorders>
            <w:shd w:val="clear" w:color="auto" w:fill="auto"/>
          </w:tcPr>
          <w:p w:rsidR="00E360C5" w:rsidRPr="009C6449" w:rsidRDefault="00E360C5" w:rsidP="002F7DEB">
            <w:pPr>
              <w:jc w:val="center"/>
              <w:rPr>
                <w:rFonts w:eastAsia="Calibri"/>
              </w:rPr>
            </w:pPr>
          </w:p>
        </w:tc>
        <w:tc>
          <w:tcPr>
            <w:tcW w:w="987" w:type="pct"/>
            <w:tcBorders>
              <w:top w:val="single" w:sz="4" w:space="0" w:color="auto"/>
              <w:left w:val="nil"/>
              <w:bottom w:val="nil"/>
              <w:right w:val="nil"/>
            </w:tcBorders>
            <w:shd w:val="clear" w:color="auto" w:fill="auto"/>
          </w:tcPr>
          <w:p w:rsidR="00E360C5" w:rsidRPr="009C6449" w:rsidRDefault="00E360C5" w:rsidP="002F7DEB">
            <w:pPr>
              <w:jc w:val="center"/>
              <w:rPr>
                <w:rFonts w:eastAsia="Calibri"/>
              </w:rPr>
            </w:pPr>
          </w:p>
        </w:tc>
      </w:tr>
      <w:tr w:rsidR="00E360C5" w:rsidRPr="009C6449" w:rsidTr="002F7DEB">
        <w:trPr>
          <w:trHeight w:val="300"/>
        </w:trPr>
        <w:tc>
          <w:tcPr>
            <w:tcW w:w="1442" w:type="pct"/>
            <w:tcBorders>
              <w:top w:val="nil"/>
              <w:bottom w:val="nil"/>
              <w:right w:val="single" w:sz="4" w:space="0" w:color="auto"/>
            </w:tcBorders>
            <w:shd w:val="clear" w:color="auto" w:fill="F2F2F2" w:themeFill="background1" w:themeFillShade="F2"/>
            <w:noWrap/>
            <w:hideMark/>
          </w:tcPr>
          <w:p w:rsidR="00E360C5" w:rsidRPr="009C6449" w:rsidRDefault="00E360C5" w:rsidP="002F7DEB">
            <w:pPr>
              <w:rPr>
                <w:rFonts w:eastAsia="Calibri"/>
              </w:rPr>
            </w:pPr>
            <w:r w:rsidRPr="009C6449">
              <w:rPr>
                <w:rFonts w:eastAsia="Calibri"/>
              </w:rPr>
              <w:t>Schizophrenia and other psychoses</w:t>
            </w:r>
          </w:p>
        </w:tc>
        <w:tc>
          <w:tcPr>
            <w:tcW w:w="907" w:type="pct"/>
            <w:tcBorders>
              <w:top w:val="nil"/>
              <w:bottom w:val="nil"/>
              <w:right w:val="nil"/>
            </w:tcBorders>
            <w:shd w:val="clear" w:color="auto" w:fill="F2F2F2" w:themeFill="background1" w:themeFillShade="F2"/>
          </w:tcPr>
          <w:p w:rsidR="00E360C5" w:rsidRPr="009C6449" w:rsidRDefault="00E360C5" w:rsidP="002F7DEB">
            <w:pPr>
              <w:jc w:val="center"/>
              <w:rPr>
                <w:rFonts w:eastAsia="Calibri"/>
              </w:rPr>
            </w:pPr>
          </w:p>
        </w:tc>
        <w:tc>
          <w:tcPr>
            <w:tcW w:w="85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p>
          <w:p w:rsidR="00E360C5" w:rsidRPr="009C6449" w:rsidRDefault="00E360C5" w:rsidP="002F7DEB">
            <w:pPr>
              <w:jc w:val="center"/>
              <w:rPr>
                <w:rFonts w:eastAsia="Calibri"/>
              </w:rPr>
            </w:pPr>
          </w:p>
        </w:tc>
        <w:tc>
          <w:tcPr>
            <w:tcW w:w="80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p>
        </w:tc>
        <w:tc>
          <w:tcPr>
            <w:tcW w:w="98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p>
        </w:tc>
      </w:tr>
      <w:tr w:rsidR="00E360C5" w:rsidRPr="009C6449" w:rsidTr="002F7DEB">
        <w:trPr>
          <w:trHeight w:val="300"/>
        </w:trPr>
        <w:tc>
          <w:tcPr>
            <w:tcW w:w="1442" w:type="pct"/>
            <w:tcBorders>
              <w:top w:val="nil"/>
              <w:bottom w:val="nil"/>
              <w:right w:val="single" w:sz="4" w:space="0" w:color="auto"/>
            </w:tcBorders>
            <w:shd w:val="clear" w:color="auto" w:fill="F2F2F2" w:themeFill="background1" w:themeFillShade="F2"/>
            <w:noWrap/>
          </w:tcPr>
          <w:p w:rsidR="00E360C5" w:rsidRPr="009C6449" w:rsidRDefault="00E360C5" w:rsidP="002F7DEB">
            <w:pPr>
              <w:jc w:val="right"/>
              <w:rPr>
                <w:rFonts w:eastAsia="Calibri"/>
              </w:rPr>
            </w:pPr>
            <w:r w:rsidRPr="009C6449">
              <w:rPr>
                <w:rFonts w:eastAsia="Calibri"/>
              </w:rPr>
              <w:t>Males</w:t>
            </w:r>
          </w:p>
        </w:tc>
        <w:tc>
          <w:tcPr>
            <w:tcW w:w="907" w:type="pct"/>
            <w:tcBorders>
              <w:top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1,534.17***</w:t>
            </w:r>
          </w:p>
          <w:p w:rsidR="00E360C5" w:rsidRPr="009C6449" w:rsidRDefault="00E360C5" w:rsidP="002F7DEB">
            <w:pPr>
              <w:jc w:val="center"/>
              <w:rPr>
                <w:rFonts w:eastAsia="Calibri"/>
              </w:rPr>
            </w:pPr>
            <w:r w:rsidRPr="009C6449">
              <w:rPr>
                <w:rFonts w:eastAsia="Calibri"/>
              </w:rPr>
              <w:t>(889.55, 2,178.78)</w:t>
            </w:r>
          </w:p>
        </w:tc>
        <w:tc>
          <w:tcPr>
            <w:tcW w:w="85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2.62</w:t>
            </w:r>
          </w:p>
          <w:p w:rsidR="00E360C5" w:rsidRPr="009C6449" w:rsidRDefault="00E360C5" w:rsidP="002F7DEB">
            <w:pPr>
              <w:jc w:val="center"/>
              <w:rPr>
                <w:rFonts w:eastAsia="Calibri"/>
              </w:rPr>
            </w:pPr>
            <w:r w:rsidRPr="009C6449">
              <w:rPr>
                <w:rFonts w:eastAsia="Calibri"/>
              </w:rPr>
              <w:t>(-56.32, 61.57)</w:t>
            </w:r>
          </w:p>
        </w:tc>
        <w:tc>
          <w:tcPr>
            <w:tcW w:w="80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341.25</w:t>
            </w:r>
          </w:p>
          <w:p w:rsidR="00E360C5" w:rsidRPr="009C6449" w:rsidRDefault="00E360C5" w:rsidP="002F7DEB">
            <w:pPr>
              <w:jc w:val="center"/>
              <w:rPr>
                <w:rFonts w:eastAsia="Calibri"/>
              </w:rPr>
            </w:pPr>
            <w:r w:rsidRPr="009C6449">
              <w:rPr>
                <w:rFonts w:eastAsia="Calibri"/>
              </w:rPr>
              <w:t>(-4.36, 686.86)</w:t>
            </w:r>
          </w:p>
        </w:tc>
        <w:tc>
          <w:tcPr>
            <w:tcW w:w="98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1,144.27***</w:t>
            </w:r>
          </w:p>
          <w:p w:rsidR="00E360C5" w:rsidRPr="009C6449" w:rsidRDefault="00E360C5" w:rsidP="002F7DEB">
            <w:pPr>
              <w:jc w:val="center"/>
              <w:rPr>
                <w:rFonts w:eastAsia="Calibri"/>
              </w:rPr>
            </w:pPr>
            <w:r w:rsidRPr="009C6449">
              <w:rPr>
                <w:rFonts w:eastAsia="Calibri"/>
              </w:rPr>
              <w:t>(733.76, 1,554.79)</w:t>
            </w:r>
          </w:p>
        </w:tc>
      </w:tr>
      <w:tr w:rsidR="00E360C5" w:rsidRPr="009C6449" w:rsidTr="002F7DEB">
        <w:trPr>
          <w:trHeight w:val="300"/>
        </w:trPr>
        <w:tc>
          <w:tcPr>
            <w:tcW w:w="1442" w:type="pct"/>
            <w:tcBorders>
              <w:top w:val="nil"/>
              <w:bottom w:val="nil"/>
              <w:right w:val="single" w:sz="4" w:space="0" w:color="auto"/>
            </w:tcBorders>
            <w:shd w:val="clear" w:color="auto" w:fill="F2F2F2" w:themeFill="background1" w:themeFillShade="F2"/>
            <w:noWrap/>
          </w:tcPr>
          <w:p w:rsidR="00E360C5" w:rsidRPr="009C6449" w:rsidRDefault="00E360C5" w:rsidP="002F7DEB">
            <w:pPr>
              <w:jc w:val="right"/>
              <w:rPr>
                <w:rFonts w:eastAsia="Calibri"/>
              </w:rPr>
            </w:pPr>
            <w:r w:rsidRPr="009C6449">
              <w:rPr>
                <w:rFonts w:eastAsia="Calibri"/>
              </w:rPr>
              <w:t>Females</w:t>
            </w:r>
          </w:p>
        </w:tc>
        <w:tc>
          <w:tcPr>
            <w:tcW w:w="907" w:type="pct"/>
            <w:tcBorders>
              <w:top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336.79</w:t>
            </w:r>
          </w:p>
          <w:p w:rsidR="00E360C5" w:rsidRPr="009C6449" w:rsidRDefault="00E360C5" w:rsidP="002F7DEB">
            <w:pPr>
              <w:jc w:val="center"/>
              <w:rPr>
                <w:rFonts w:eastAsia="Calibri"/>
              </w:rPr>
            </w:pPr>
            <w:r w:rsidRPr="009C6449">
              <w:rPr>
                <w:rFonts w:eastAsia="Calibri"/>
              </w:rPr>
              <w:t>(-198.49, 872.08)</w:t>
            </w:r>
          </w:p>
        </w:tc>
        <w:tc>
          <w:tcPr>
            <w:tcW w:w="85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-38.71</w:t>
            </w:r>
          </w:p>
          <w:p w:rsidR="00E360C5" w:rsidRPr="009C6449" w:rsidRDefault="00E360C5" w:rsidP="002F7DEB">
            <w:pPr>
              <w:jc w:val="center"/>
              <w:rPr>
                <w:rFonts w:eastAsia="Calibri"/>
              </w:rPr>
            </w:pPr>
            <w:r w:rsidRPr="009C6449">
              <w:rPr>
                <w:rFonts w:eastAsia="Calibri"/>
              </w:rPr>
              <w:t>(-107.88, 30.45)</w:t>
            </w:r>
          </w:p>
        </w:tc>
        <w:tc>
          <w:tcPr>
            <w:tcW w:w="80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-37.67</w:t>
            </w:r>
          </w:p>
          <w:p w:rsidR="00E360C5" w:rsidRPr="009C6449" w:rsidRDefault="00E360C5" w:rsidP="002F7DEB">
            <w:pPr>
              <w:jc w:val="center"/>
              <w:rPr>
                <w:rFonts w:eastAsia="Calibri"/>
              </w:rPr>
            </w:pPr>
            <w:r w:rsidRPr="009C6449">
              <w:rPr>
                <w:rFonts w:eastAsia="Calibri"/>
              </w:rPr>
              <w:t>(-266.21, 190.87)</w:t>
            </w:r>
          </w:p>
        </w:tc>
        <w:tc>
          <w:tcPr>
            <w:tcW w:w="987" w:type="pct"/>
            <w:tcBorders>
              <w:top w:val="nil"/>
              <w:left w:val="nil"/>
              <w:bottom w:val="nil"/>
              <w:right w:val="nil"/>
            </w:tcBorders>
            <w:shd w:val="clear" w:color="auto" w:fill="F2F2F2" w:themeFill="background1" w:themeFillShade="F2"/>
          </w:tcPr>
          <w:p w:rsidR="00E360C5" w:rsidRPr="009C6449" w:rsidRDefault="00E360C5" w:rsidP="002F7DEB">
            <w:pPr>
              <w:jc w:val="center"/>
              <w:rPr>
                <w:rFonts w:eastAsia="Calibri"/>
              </w:rPr>
            </w:pPr>
            <w:r w:rsidRPr="009C6449">
              <w:rPr>
                <w:rFonts w:eastAsia="Calibri"/>
              </w:rPr>
              <w:t>450.56*</w:t>
            </w:r>
          </w:p>
          <w:p w:rsidR="00E360C5" w:rsidRPr="009C6449" w:rsidRDefault="00E360C5" w:rsidP="002F7DEB">
            <w:pPr>
              <w:jc w:val="center"/>
              <w:rPr>
                <w:rFonts w:eastAsia="Calibri"/>
              </w:rPr>
            </w:pPr>
            <w:r w:rsidRPr="009C6449">
              <w:rPr>
                <w:rFonts w:eastAsia="Calibri"/>
              </w:rPr>
              <w:t>(72.75, 828.37)</w:t>
            </w:r>
          </w:p>
        </w:tc>
      </w:tr>
      <w:tr w:rsidR="00E360C5" w:rsidRPr="009C6449" w:rsidTr="002F7DEB">
        <w:trPr>
          <w:trHeight w:val="300"/>
        </w:trPr>
        <w:tc>
          <w:tcPr>
            <w:tcW w:w="1442" w:type="pct"/>
            <w:tcBorders>
              <w:top w:val="nil"/>
              <w:bottom w:val="nil"/>
              <w:right w:val="single" w:sz="4" w:space="0" w:color="auto"/>
            </w:tcBorders>
            <w:shd w:val="clear" w:color="auto" w:fill="auto"/>
            <w:noWrap/>
            <w:hideMark/>
          </w:tcPr>
          <w:p w:rsidR="00E360C5" w:rsidRPr="009C6449" w:rsidRDefault="00E360C5" w:rsidP="002F7DEB">
            <w:pPr>
              <w:rPr>
                <w:rFonts w:eastAsia="Calibri"/>
              </w:rPr>
            </w:pPr>
            <w:r w:rsidRPr="009C6449">
              <w:rPr>
                <w:rFonts w:eastAsia="Calibri"/>
              </w:rPr>
              <w:t>Both categories</w:t>
            </w:r>
          </w:p>
        </w:tc>
        <w:tc>
          <w:tcPr>
            <w:tcW w:w="907" w:type="pct"/>
            <w:tcBorders>
              <w:top w:val="nil"/>
              <w:bottom w:val="nil"/>
              <w:right w:val="nil"/>
            </w:tcBorders>
            <w:shd w:val="clear" w:color="auto" w:fill="auto"/>
          </w:tcPr>
          <w:p w:rsidR="00E360C5" w:rsidRPr="009C6449" w:rsidRDefault="00E360C5" w:rsidP="002F7DEB">
            <w:pPr>
              <w:jc w:val="center"/>
              <w:rPr>
                <w:rFonts w:eastAsia="Calibri"/>
              </w:rPr>
            </w:pPr>
          </w:p>
        </w:tc>
        <w:tc>
          <w:tcPr>
            <w:tcW w:w="857" w:type="pct"/>
            <w:tcBorders>
              <w:top w:val="nil"/>
              <w:left w:val="nil"/>
              <w:bottom w:val="nil"/>
              <w:right w:val="nil"/>
            </w:tcBorders>
            <w:shd w:val="clear" w:color="auto" w:fill="auto"/>
          </w:tcPr>
          <w:p w:rsidR="00E360C5" w:rsidRPr="009C6449" w:rsidRDefault="00E360C5" w:rsidP="002F7DEB">
            <w:pPr>
              <w:jc w:val="center"/>
              <w:rPr>
                <w:rFonts w:eastAsia="Calibri"/>
              </w:rPr>
            </w:pPr>
          </w:p>
        </w:tc>
        <w:tc>
          <w:tcPr>
            <w:tcW w:w="807" w:type="pct"/>
            <w:tcBorders>
              <w:top w:val="nil"/>
              <w:left w:val="nil"/>
              <w:bottom w:val="nil"/>
              <w:right w:val="nil"/>
            </w:tcBorders>
            <w:shd w:val="clear" w:color="auto" w:fill="auto"/>
          </w:tcPr>
          <w:p w:rsidR="00E360C5" w:rsidRPr="009C6449" w:rsidRDefault="00E360C5" w:rsidP="002F7DEB">
            <w:pPr>
              <w:jc w:val="center"/>
              <w:rPr>
                <w:rFonts w:eastAsia="Calibri"/>
              </w:rPr>
            </w:pPr>
          </w:p>
        </w:tc>
        <w:tc>
          <w:tcPr>
            <w:tcW w:w="987" w:type="pct"/>
            <w:tcBorders>
              <w:top w:val="nil"/>
              <w:left w:val="nil"/>
              <w:bottom w:val="nil"/>
              <w:right w:val="nil"/>
            </w:tcBorders>
            <w:shd w:val="clear" w:color="auto" w:fill="auto"/>
          </w:tcPr>
          <w:p w:rsidR="00E360C5" w:rsidRPr="009C6449" w:rsidRDefault="00E360C5" w:rsidP="002F7DEB">
            <w:pPr>
              <w:jc w:val="center"/>
              <w:rPr>
                <w:rFonts w:eastAsia="Calibri"/>
              </w:rPr>
            </w:pPr>
            <w:r w:rsidRPr="009C6449">
              <w:rPr>
                <w:rFonts w:eastAsia="Calibri"/>
              </w:rPr>
              <w:t>2,021.41***</w:t>
            </w:r>
          </w:p>
          <w:p w:rsidR="00E360C5" w:rsidRPr="009C6449" w:rsidRDefault="00E360C5" w:rsidP="002F7DEB">
            <w:pPr>
              <w:jc w:val="center"/>
              <w:rPr>
                <w:rFonts w:eastAsia="Calibri"/>
              </w:rPr>
            </w:pPr>
            <w:r w:rsidRPr="009C6449">
              <w:rPr>
                <w:rFonts w:eastAsia="Calibri"/>
              </w:rPr>
              <w:t>(1,490.72, 2,552.09)</w:t>
            </w:r>
          </w:p>
        </w:tc>
      </w:tr>
      <w:tr w:rsidR="00E360C5" w:rsidRPr="009C6449" w:rsidTr="002F7DEB">
        <w:trPr>
          <w:trHeight w:val="300"/>
        </w:trPr>
        <w:tc>
          <w:tcPr>
            <w:tcW w:w="1442" w:type="pct"/>
            <w:tcBorders>
              <w:top w:val="nil"/>
              <w:bottom w:val="nil"/>
              <w:right w:val="single" w:sz="4" w:space="0" w:color="auto"/>
            </w:tcBorders>
            <w:shd w:val="clear" w:color="auto" w:fill="auto"/>
            <w:noWrap/>
          </w:tcPr>
          <w:p w:rsidR="00E360C5" w:rsidRPr="009C6449" w:rsidRDefault="00E360C5" w:rsidP="002F7DEB">
            <w:pPr>
              <w:jc w:val="right"/>
              <w:rPr>
                <w:rFonts w:eastAsia="Calibri"/>
              </w:rPr>
            </w:pPr>
            <w:r w:rsidRPr="009C6449">
              <w:rPr>
                <w:rFonts w:eastAsia="Calibri"/>
              </w:rPr>
              <w:t>Males</w:t>
            </w:r>
          </w:p>
        </w:tc>
        <w:tc>
          <w:tcPr>
            <w:tcW w:w="907" w:type="pct"/>
            <w:tcBorders>
              <w:top w:val="nil"/>
              <w:bottom w:val="nil"/>
              <w:right w:val="nil"/>
            </w:tcBorders>
            <w:shd w:val="clear" w:color="auto" w:fill="auto"/>
          </w:tcPr>
          <w:p w:rsidR="00E360C5" w:rsidRPr="009C6449" w:rsidRDefault="00E360C5" w:rsidP="002F7DEB">
            <w:pPr>
              <w:jc w:val="center"/>
              <w:rPr>
                <w:rFonts w:eastAsia="Calibri"/>
              </w:rPr>
            </w:pPr>
            <w:r w:rsidRPr="009C6449">
              <w:rPr>
                <w:rFonts w:eastAsia="Calibri"/>
              </w:rPr>
              <w:t>2,263.35***</w:t>
            </w:r>
          </w:p>
          <w:p w:rsidR="00E360C5" w:rsidRPr="009C6449" w:rsidRDefault="00E360C5" w:rsidP="002F7DEB">
            <w:pPr>
              <w:jc w:val="center"/>
              <w:rPr>
                <w:rFonts w:eastAsia="Calibri"/>
              </w:rPr>
            </w:pPr>
            <w:r w:rsidRPr="009C6449">
              <w:rPr>
                <w:rFonts w:eastAsia="Calibri"/>
              </w:rPr>
              <w:t>(1,150.46, 3,376.24)</w:t>
            </w:r>
          </w:p>
        </w:tc>
        <w:tc>
          <w:tcPr>
            <w:tcW w:w="857" w:type="pct"/>
            <w:tcBorders>
              <w:top w:val="nil"/>
              <w:left w:val="nil"/>
              <w:bottom w:val="nil"/>
              <w:right w:val="nil"/>
            </w:tcBorders>
            <w:shd w:val="clear" w:color="auto" w:fill="auto"/>
          </w:tcPr>
          <w:p w:rsidR="00E360C5" w:rsidRPr="009C6449" w:rsidRDefault="00E360C5" w:rsidP="002F7DEB">
            <w:pPr>
              <w:jc w:val="center"/>
              <w:rPr>
                <w:rFonts w:eastAsia="Calibri"/>
              </w:rPr>
            </w:pPr>
            <w:r w:rsidRPr="009C6449">
              <w:rPr>
                <w:rFonts w:eastAsia="Calibri"/>
              </w:rPr>
              <w:t>126.06*</w:t>
            </w:r>
          </w:p>
          <w:p w:rsidR="00E360C5" w:rsidRPr="009C6449" w:rsidRDefault="00E360C5" w:rsidP="002F7DEB">
            <w:pPr>
              <w:jc w:val="center"/>
              <w:rPr>
                <w:rFonts w:eastAsia="Calibri"/>
              </w:rPr>
            </w:pPr>
            <w:r w:rsidRPr="009C6449">
              <w:rPr>
                <w:rFonts w:eastAsia="Calibri"/>
              </w:rPr>
              <w:t>(18.07, 234.07)</w:t>
            </w:r>
          </w:p>
        </w:tc>
        <w:tc>
          <w:tcPr>
            <w:tcW w:w="807" w:type="pct"/>
            <w:tcBorders>
              <w:top w:val="nil"/>
              <w:left w:val="nil"/>
              <w:bottom w:val="nil"/>
              <w:right w:val="nil"/>
            </w:tcBorders>
            <w:shd w:val="clear" w:color="auto" w:fill="auto"/>
          </w:tcPr>
          <w:p w:rsidR="00E360C5" w:rsidRPr="009C6449" w:rsidRDefault="00E360C5" w:rsidP="002F7DEB">
            <w:pPr>
              <w:jc w:val="center"/>
              <w:rPr>
                <w:rFonts w:eastAsia="Calibri"/>
              </w:rPr>
            </w:pPr>
            <w:r w:rsidRPr="009C6449">
              <w:rPr>
                <w:rFonts w:eastAsia="Calibri"/>
              </w:rPr>
              <w:t>216.82</w:t>
            </w:r>
          </w:p>
          <w:p w:rsidR="00E360C5" w:rsidRPr="009C6449" w:rsidRDefault="00E360C5" w:rsidP="002F7DEB">
            <w:pPr>
              <w:jc w:val="center"/>
              <w:rPr>
                <w:rFonts w:eastAsia="Calibri"/>
              </w:rPr>
            </w:pPr>
            <w:r w:rsidRPr="009C6449">
              <w:rPr>
                <w:rFonts w:eastAsia="Calibri"/>
              </w:rPr>
              <w:t>(-220.63, 654.28)</w:t>
            </w:r>
          </w:p>
        </w:tc>
        <w:tc>
          <w:tcPr>
            <w:tcW w:w="987" w:type="pct"/>
            <w:tcBorders>
              <w:top w:val="nil"/>
              <w:left w:val="nil"/>
              <w:bottom w:val="nil"/>
              <w:right w:val="nil"/>
            </w:tcBorders>
            <w:shd w:val="clear" w:color="auto" w:fill="auto"/>
          </w:tcPr>
          <w:p w:rsidR="00E360C5" w:rsidRPr="009C6449" w:rsidRDefault="00E360C5" w:rsidP="002F7DEB">
            <w:pPr>
              <w:jc w:val="center"/>
              <w:rPr>
                <w:rFonts w:eastAsia="Calibri"/>
              </w:rPr>
            </w:pPr>
            <w:r w:rsidRPr="009C6449">
              <w:rPr>
                <w:rFonts w:eastAsia="Calibri"/>
              </w:rPr>
              <w:t>1,880.70***</w:t>
            </w:r>
          </w:p>
          <w:p w:rsidR="00E360C5" w:rsidRPr="009C6449" w:rsidRDefault="00E360C5" w:rsidP="002F7DEB">
            <w:pPr>
              <w:jc w:val="center"/>
              <w:rPr>
                <w:rFonts w:eastAsia="Calibri"/>
              </w:rPr>
            </w:pPr>
            <w:r w:rsidRPr="009C6449">
              <w:rPr>
                <w:rFonts w:eastAsia="Calibri"/>
              </w:rPr>
              <w:t>(1,125.40, 2,636.00)</w:t>
            </w:r>
          </w:p>
        </w:tc>
      </w:tr>
      <w:tr w:rsidR="00E360C5" w:rsidRPr="009C6449" w:rsidTr="002F7DEB">
        <w:trPr>
          <w:trHeight w:val="300"/>
        </w:trPr>
        <w:tc>
          <w:tcPr>
            <w:tcW w:w="1442" w:type="pct"/>
            <w:tcBorders>
              <w:top w:val="nil"/>
              <w:bottom w:val="single" w:sz="4" w:space="0" w:color="auto"/>
              <w:right w:val="single" w:sz="4" w:space="0" w:color="auto"/>
            </w:tcBorders>
            <w:shd w:val="clear" w:color="auto" w:fill="auto"/>
            <w:noWrap/>
          </w:tcPr>
          <w:p w:rsidR="00E360C5" w:rsidRPr="009C6449" w:rsidRDefault="00E360C5" w:rsidP="002F7DEB">
            <w:pPr>
              <w:jc w:val="right"/>
              <w:rPr>
                <w:rFonts w:eastAsia="Calibri"/>
              </w:rPr>
            </w:pPr>
            <w:r w:rsidRPr="009C6449">
              <w:rPr>
                <w:rFonts w:eastAsia="Calibri"/>
              </w:rPr>
              <w:t>Females</w:t>
            </w:r>
          </w:p>
        </w:tc>
        <w:tc>
          <w:tcPr>
            <w:tcW w:w="907" w:type="pct"/>
            <w:tcBorders>
              <w:top w:val="nil"/>
              <w:bottom w:val="single" w:sz="4" w:space="0" w:color="auto"/>
              <w:right w:val="nil"/>
            </w:tcBorders>
            <w:shd w:val="clear" w:color="auto" w:fill="auto"/>
          </w:tcPr>
          <w:p w:rsidR="00E360C5" w:rsidRPr="009C6449" w:rsidRDefault="00E360C5" w:rsidP="002F7DEB">
            <w:pPr>
              <w:jc w:val="center"/>
              <w:rPr>
                <w:rFonts w:eastAsia="Calibri"/>
              </w:rPr>
            </w:pPr>
            <w:r w:rsidRPr="009C6449">
              <w:rPr>
                <w:rFonts w:eastAsia="Calibri"/>
              </w:rPr>
              <w:t>2,504.35***</w:t>
            </w:r>
          </w:p>
          <w:p w:rsidR="00E360C5" w:rsidRPr="009C6449" w:rsidRDefault="00E360C5" w:rsidP="002F7DEB">
            <w:pPr>
              <w:jc w:val="center"/>
              <w:rPr>
                <w:rFonts w:eastAsia="Calibri"/>
              </w:rPr>
            </w:pPr>
            <w:r w:rsidRPr="009C6449">
              <w:rPr>
                <w:rFonts w:eastAsia="Calibri"/>
              </w:rPr>
              <w:t>(1,543.39, 3,466.14)</w:t>
            </w:r>
          </w:p>
        </w:tc>
        <w:tc>
          <w:tcPr>
            <w:tcW w:w="857" w:type="pct"/>
            <w:tcBorders>
              <w:top w:val="nil"/>
              <w:left w:val="nil"/>
              <w:bottom w:val="single" w:sz="4" w:space="0" w:color="auto"/>
              <w:right w:val="nil"/>
            </w:tcBorders>
            <w:shd w:val="clear" w:color="auto" w:fill="auto"/>
          </w:tcPr>
          <w:p w:rsidR="00E360C5" w:rsidRPr="009C6449" w:rsidRDefault="00E360C5" w:rsidP="002F7DEB">
            <w:pPr>
              <w:jc w:val="center"/>
              <w:rPr>
                <w:rFonts w:eastAsia="Calibri"/>
              </w:rPr>
            </w:pPr>
            <w:r w:rsidRPr="009C6449">
              <w:rPr>
                <w:rFonts w:eastAsia="Calibri"/>
              </w:rPr>
              <w:t>93.17</w:t>
            </w:r>
          </w:p>
          <w:p w:rsidR="00E360C5" w:rsidRPr="009C6449" w:rsidRDefault="00E360C5" w:rsidP="002F7DEB">
            <w:pPr>
              <w:jc w:val="center"/>
              <w:rPr>
                <w:rFonts w:eastAsia="Calibri"/>
              </w:rPr>
            </w:pPr>
            <w:r w:rsidRPr="009C6449">
              <w:rPr>
                <w:rFonts w:eastAsia="Calibri"/>
              </w:rPr>
              <w:t>(-10.12, 196.46)</w:t>
            </w:r>
          </w:p>
        </w:tc>
        <w:tc>
          <w:tcPr>
            <w:tcW w:w="807" w:type="pct"/>
            <w:tcBorders>
              <w:top w:val="nil"/>
              <w:left w:val="nil"/>
              <w:bottom w:val="single" w:sz="4" w:space="0" w:color="auto"/>
              <w:right w:val="nil"/>
            </w:tcBorders>
            <w:shd w:val="clear" w:color="auto" w:fill="auto"/>
          </w:tcPr>
          <w:p w:rsidR="00E360C5" w:rsidRPr="009C6449" w:rsidRDefault="00E360C5" w:rsidP="002F7DEB">
            <w:pPr>
              <w:jc w:val="center"/>
              <w:rPr>
                <w:rFonts w:eastAsia="Calibri"/>
              </w:rPr>
            </w:pPr>
            <w:r w:rsidRPr="009C6449">
              <w:rPr>
                <w:rFonts w:eastAsia="Calibri"/>
              </w:rPr>
              <w:t>352.28*</w:t>
            </w:r>
          </w:p>
          <w:p w:rsidR="00E360C5" w:rsidRPr="009C6449" w:rsidRDefault="00E360C5" w:rsidP="002F7DEB">
            <w:pPr>
              <w:jc w:val="center"/>
              <w:rPr>
                <w:rFonts w:eastAsia="Calibri"/>
              </w:rPr>
            </w:pPr>
            <w:r w:rsidRPr="009C6449">
              <w:rPr>
                <w:rFonts w:eastAsia="Calibri"/>
              </w:rPr>
              <w:t>(21.50, 683.06)</w:t>
            </w:r>
          </w:p>
        </w:tc>
        <w:tc>
          <w:tcPr>
            <w:tcW w:w="987" w:type="pct"/>
            <w:tcBorders>
              <w:top w:val="nil"/>
              <w:left w:val="nil"/>
              <w:bottom w:val="single" w:sz="4" w:space="0" w:color="auto"/>
              <w:right w:val="nil"/>
            </w:tcBorders>
            <w:shd w:val="clear" w:color="auto" w:fill="auto"/>
          </w:tcPr>
          <w:p w:rsidR="00E360C5" w:rsidRPr="009C6449" w:rsidRDefault="00E360C5" w:rsidP="002F7DEB">
            <w:pPr>
              <w:jc w:val="center"/>
              <w:rPr>
                <w:rFonts w:eastAsia="Calibri"/>
              </w:rPr>
            </w:pPr>
            <w:r w:rsidRPr="009C6449">
              <w:rPr>
                <w:rFonts w:eastAsia="Calibri"/>
              </w:rPr>
              <w:t>2,156.65***</w:t>
            </w:r>
          </w:p>
          <w:p w:rsidR="00E360C5" w:rsidRPr="009C6449" w:rsidRDefault="00E360C5" w:rsidP="002F7DEB">
            <w:pPr>
              <w:jc w:val="center"/>
              <w:rPr>
                <w:rFonts w:eastAsia="Calibri"/>
              </w:rPr>
            </w:pPr>
            <w:r w:rsidRPr="009C6449">
              <w:rPr>
                <w:rFonts w:eastAsia="Calibri"/>
              </w:rPr>
              <w:t>(1,431.76, 2,881.54)</w:t>
            </w:r>
          </w:p>
        </w:tc>
      </w:tr>
    </w:tbl>
    <w:p w:rsidR="00E360C5" w:rsidRPr="009C6449" w:rsidRDefault="00E360C5" w:rsidP="00E360C5">
      <w:r w:rsidRPr="009C6449">
        <w:t>Results from models including an interaction term between sex and diagnostic grouping (marginal effects of other variables not displayed)</w:t>
      </w:r>
    </w:p>
    <w:p w:rsidR="00E360C5" w:rsidRPr="009C6449" w:rsidRDefault="00E360C5" w:rsidP="00E360C5">
      <w:r w:rsidRPr="009C6449">
        <w:t>^Interaction term between sex and diagnostic grouping of schizophrenia and other psychoses statistically significant</w:t>
      </w:r>
    </w:p>
    <w:p w:rsidR="006014BC" w:rsidRPr="009C6449" w:rsidRDefault="006014BC">
      <w:pPr>
        <w:spacing w:line="259" w:lineRule="auto"/>
      </w:pPr>
      <w:r w:rsidRPr="009C6449">
        <w:br w:type="page"/>
      </w:r>
    </w:p>
    <w:p w:rsidR="00163C6F" w:rsidRPr="009C6449" w:rsidRDefault="006014BC" w:rsidP="00627051">
      <w:r w:rsidRPr="009C6449">
        <w:lastRenderedPageBreak/>
        <w:t>References</w:t>
      </w:r>
    </w:p>
    <w:p w:rsidR="00163C6F" w:rsidRPr="009C6449" w:rsidRDefault="00163C6F" w:rsidP="00163C6F">
      <w:pPr>
        <w:pStyle w:val="EndNoteBibliography"/>
        <w:spacing w:after="0"/>
        <w:rPr>
          <w:noProof/>
        </w:rPr>
      </w:pPr>
      <w:r w:rsidRPr="009C6449">
        <w:rPr>
          <w:noProof/>
        </w:rPr>
        <w:t>1. Curtis L. Unit costs of health and social care 2014. Personal Social Services Research Unit; 2014.</w:t>
      </w:r>
    </w:p>
    <w:p w:rsidR="00163C6F" w:rsidRPr="009C6449" w:rsidRDefault="00163C6F" w:rsidP="00163C6F">
      <w:pPr>
        <w:pStyle w:val="EndNoteBibliography"/>
        <w:spacing w:after="0"/>
        <w:rPr>
          <w:noProof/>
        </w:rPr>
      </w:pPr>
      <w:r w:rsidRPr="009C6449">
        <w:rPr>
          <w:noProof/>
        </w:rPr>
        <w:t>2. Prescribing and Medicines team. Prescription cost analysis: England 2014. Health and Social Care Information Centre; 2015.</w:t>
      </w:r>
    </w:p>
    <w:p w:rsidR="00163C6F" w:rsidRPr="009C6449" w:rsidRDefault="00163C6F" w:rsidP="00163C6F">
      <w:pPr>
        <w:pStyle w:val="EndNoteBibliography"/>
        <w:spacing w:after="0"/>
        <w:rPr>
          <w:noProof/>
        </w:rPr>
      </w:pPr>
      <w:r w:rsidRPr="009C6449">
        <w:rPr>
          <w:noProof/>
        </w:rPr>
        <w:t>3. Department of Health and Social Care. NHS Reference Costs 2013 to 2014. 2014.</w:t>
      </w:r>
    </w:p>
    <w:p w:rsidR="00163C6F" w:rsidRPr="009C6449" w:rsidRDefault="00163C6F" w:rsidP="00163C6F">
      <w:pPr>
        <w:pStyle w:val="EndNoteBibliography"/>
        <w:rPr>
          <w:noProof/>
        </w:rPr>
      </w:pPr>
      <w:r w:rsidRPr="009C6449">
        <w:rPr>
          <w:noProof/>
        </w:rPr>
        <w:t xml:space="preserve">4. Greenhalgh J, Knight C, Hind D, Beverley C, Walters S. Clinical and cost-effectiveness of electroconvulsive therapy for depressive illness, schizophrenia, catatonia and mania: systematic reviews and economic modelling studies. 2005. </w:t>
      </w:r>
    </w:p>
    <w:p w:rsidR="00916160" w:rsidRPr="009C6449" w:rsidRDefault="00916160" w:rsidP="00627051"/>
    <w:p w:rsidR="00D17190" w:rsidRPr="009C6449" w:rsidRDefault="00D17190"/>
    <w:sectPr w:rsidR="00D17190" w:rsidRPr="009C6449" w:rsidSect="00E360C5">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605" w:rsidRDefault="005B3605" w:rsidP="00BE5908">
      <w:r>
        <w:separator/>
      </w:r>
    </w:p>
  </w:endnote>
  <w:endnote w:type="continuationSeparator" w:id="0">
    <w:p w:rsidR="005B3605" w:rsidRDefault="005B3605" w:rsidP="00BE59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605" w:rsidRDefault="005B3605" w:rsidP="00BE5908">
      <w:r>
        <w:separator/>
      </w:r>
    </w:p>
  </w:footnote>
  <w:footnote w:type="continuationSeparator" w:id="0">
    <w:p w:rsidR="005B3605" w:rsidRDefault="005B3605" w:rsidP="00BE5908">
      <w:r>
        <w:continuationSeparator/>
      </w:r>
    </w:p>
  </w:footnote>
  <w:footnote w:id="1">
    <w:p w:rsidR="005E08E2" w:rsidRPr="00015E72" w:rsidRDefault="005E08E2" w:rsidP="007D42F1">
      <w:pPr>
        <w:pStyle w:val="FootnoteText"/>
      </w:pPr>
      <w:r w:rsidRPr="00015E72">
        <w:rPr>
          <w:rStyle w:val="FootnoteReference"/>
        </w:rPr>
        <w:footnoteRef/>
      </w:r>
      <w:r w:rsidRPr="00015E72">
        <w:t xml:space="preserve"> Other types of staff (Ambulance Staff, Administration and Estates Staff, Healthcare Science, General Payments) have cost equal to zero.</w:t>
      </w:r>
    </w:p>
  </w:footnote>
  <w:footnote w:id="2">
    <w:p w:rsidR="005E08E2" w:rsidRPr="00015E72" w:rsidRDefault="005E08E2" w:rsidP="007D42F1">
      <w:pPr>
        <w:pStyle w:val="FootnoteText"/>
      </w:pPr>
      <w:r w:rsidRPr="00015E72">
        <w:rPr>
          <w:rStyle w:val="FootnoteReference"/>
        </w:rPr>
        <w:footnoteRef/>
      </w:r>
      <w:r w:rsidRPr="00015E72">
        <w:t xml:space="preserve"> When the Occupation Code </w:t>
      </w:r>
      <w:r w:rsidR="00FE6258">
        <w:t>was</w:t>
      </w:r>
      <w:r w:rsidRPr="00015E72">
        <w:t xml:space="preserve"> not recorded, we use</w:t>
      </w:r>
      <w:r w:rsidR="00FE6258">
        <w:t>d</w:t>
      </w:r>
      <w:r w:rsidRPr="00015E72">
        <w:t xml:space="preserve"> the Job Role to assign a </w:t>
      </w:r>
      <w:r>
        <w:t>consultation</w:t>
      </w:r>
      <w:r w:rsidRPr="00015E72">
        <w:t xml:space="preserve"> to one of the three staff groups.  See:  </w:t>
      </w:r>
      <w:r w:rsidRPr="00015E72">
        <w:rPr>
          <w:rStyle w:val="Hyperlink"/>
        </w:rPr>
        <w:t>content.digital.nhs.uk/article/2268/NHS-Occupation-Codes</w:t>
      </w:r>
      <w:r w:rsidRPr="00015E72">
        <w:t xml:space="preserve"> (version 13)</w:t>
      </w:r>
      <w:r>
        <w:t xml:space="preserve"> </w:t>
      </w:r>
      <w:r w:rsidRPr="00015E72">
        <w:t xml:space="preserve">[accessed 23 August 2018] and </w:t>
      </w:r>
      <w:hyperlink r:id="rId1" w:history="1">
        <w:r w:rsidRPr="00015E72">
          <w:rPr>
            <w:rStyle w:val="Hyperlink"/>
          </w:rPr>
          <w:t>www.datadictionary.nhs.uk/data_dictionary/attributes/j/job_role_code_de.asp</w:t>
        </w:r>
      </w:hyperlink>
      <w:r w:rsidRPr="00015E72">
        <w:t xml:space="preserve">  [accessed </w:t>
      </w:r>
      <w:r>
        <w:t>11 December</w:t>
      </w:r>
      <w:r w:rsidRPr="00015E72">
        <w:t xml:space="preserve"> 2018].</w:t>
      </w:r>
    </w:p>
  </w:footnote>
  <w:footnote w:id="3">
    <w:p w:rsidR="005E08E2" w:rsidRPr="00015E72" w:rsidRDefault="005E08E2" w:rsidP="007D42F1">
      <w:pPr>
        <w:pStyle w:val="FootnoteText"/>
      </w:pPr>
      <w:r w:rsidRPr="00015E72">
        <w:rPr>
          <w:rStyle w:val="FootnoteReference"/>
        </w:rPr>
        <w:footnoteRef/>
      </w:r>
      <w:r w:rsidRPr="00015E72">
        <w:t xml:space="preserve"> This overall average includes the staff groups with zero cost (see footnote</w:t>
      </w:r>
      <w:r>
        <w:t xml:space="preserve"> </w:t>
      </w:r>
      <w:r w:rsidR="008D222E">
        <w:fldChar w:fldCharType="begin"/>
      </w:r>
      <w:r>
        <w:instrText xml:space="preserve"> NOTEREF _Ref522812855 \h </w:instrText>
      </w:r>
      <w:r w:rsidR="008D222E">
        <w:fldChar w:fldCharType="separate"/>
      </w:r>
      <w:r>
        <w:t>2</w:t>
      </w:r>
      <w:r w:rsidR="008D222E">
        <w:fldChar w:fldCharType="end"/>
      </w:r>
      <w:r w:rsidRPr="00015E72">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37DC2"/>
    <w:multiLevelType w:val="multilevel"/>
    <w:tmpl w:val="B7B8C6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mimah Ride">
    <w15:presenceInfo w15:providerId="AD" w15:userId="S::jemimah.ride@unimelb.edu.au::1692ddf4-5602-46e9-a823-bfef3aca677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0&lt;/ScanUnformatted&gt;&lt;ScanChanges&gt;1&lt;/ScanChanges&gt;&lt;Suspended&gt;0&lt;/Suspended&gt;&lt;/ENInstantFormat&gt;"/>
    <w:docVar w:name="EN.Layout" w:val="&lt;ENLayout&gt;&lt;Style&gt;AppliedHealthEconomicsHealthPolic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var0xvyasaw1ets97x2v9h905eewfvf0zf&quot;&gt;My EndNote Library-Saved&lt;record-ids&gt;&lt;item&gt;2491&lt;/item&gt;&lt;item&gt;2496&lt;/item&gt;&lt;item&gt;2497&lt;/item&gt;&lt;item&gt;2515&lt;/item&gt;&lt;/record-ids&gt;&lt;/item&gt;&lt;/Libraries&gt;"/>
  </w:docVars>
  <w:rsids>
    <w:rsidRoot w:val="00916160"/>
    <w:rsid w:val="00015BE3"/>
    <w:rsid w:val="00095192"/>
    <w:rsid w:val="000B11FE"/>
    <w:rsid w:val="000C6E7C"/>
    <w:rsid w:val="000D2249"/>
    <w:rsid w:val="00104EEF"/>
    <w:rsid w:val="00120AA7"/>
    <w:rsid w:val="00122E47"/>
    <w:rsid w:val="0012426C"/>
    <w:rsid w:val="00126C6D"/>
    <w:rsid w:val="00155940"/>
    <w:rsid w:val="00163C6F"/>
    <w:rsid w:val="00182D18"/>
    <w:rsid w:val="002279E8"/>
    <w:rsid w:val="002455FA"/>
    <w:rsid w:val="002B1E0D"/>
    <w:rsid w:val="002B32A5"/>
    <w:rsid w:val="002D1F10"/>
    <w:rsid w:val="002F0822"/>
    <w:rsid w:val="0036444F"/>
    <w:rsid w:val="003A097C"/>
    <w:rsid w:val="003B2D37"/>
    <w:rsid w:val="003B663B"/>
    <w:rsid w:val="003B7C23"/>
    <w:rsid w:val="003D215C"/>
    <w:rsid w:val="0042129E"/>
    <w:rsid w:val="00480812"/>
    <w:rsid w:val="004B6CF6"/>
    <w:rsid w:val="004C6C3D"/>
    <w:rsid w:val="004D1243"/>
    <w:rsid w:val="004D7ACA"/>
    <w:rsid w:val="004E7434"/>
    <w:rsid w:val="005365D6"/>
    <w:rsid w:val="005557F2"/>
    <w:rsid w:val="005634F3"/>
    <w:rsid w:val="0059260F"/>
    <w:rsid w:val="005B3605"/>
    <w:rsid w:val="005E08E2"/>
    <w:rsid w:val="005E3EFA"/>
    <w:rsid w:val="005E5C13"/>
    <w:rsid w:val="006014BC"/>
    <w:rsid w:val="00627051"/>
    <w:rsid w:val="006569FF"/>
    <w:rsid w:val="00661E00"/>
    <w:rsid w:val="00666E19"/>
    <w:rsid w:val="00695EC1"/>
    <w:rsid w:val="006B65C2"/>
    <w:rsid w:val="006F04FB"/>
    <w:rsid w:val="00743BD9"/>
    <w:rsid w:val="00770743"/>
    <w:rsid w:val="00772396"/>
    <w:rsid w:val="00773FD1"/>
    <w:rsid w:val="007D42F1"/>
    <w:rsid w:val="007F60B6"/>
    <w:rsid w:val="008114DC"/>
    <w:rsid w:val="00822FE6"/>
    <w:rsid w:val="00837050"/>
    <w:rsid w:val="00872776"/>
    <w:rsid w:val="00874A43"/>
    <w:rsid w:val="00886615"/>
    <w:rsid w:val="008A6294"/>
    <w:rsid w:val="008B4718"/>
    <w:rsid w:val="008D222E"/>
    <w:rsid w:val="008D5F85"/>
    <w:rsid w:val="008E166C"/>
    <w:rsid w:val="008E2B21"/>
    <w:rsid w:val="008F6F4A"/>
    <w:rsid w:val="00916160"/>
    <w:rsid w:val="009345E8"/>
    <w:rsid w:val="00935974"/>
    <w:rsid w:val="009627EA"/>
    <w:rsid w:val="00964D9F"/>
    <w:rsid w:val="009B309A"/>
    <w:rsid w:val="009B4694"/>
    <w:rsid w:val="009C33DF"/>
    <w:rsid w:val="009C6449"/>
    <w:rsid w:val="009D028C"/>
    <w:rsid w:val="009D12CE"/>
    <w:rsid w:val="009E237B"/>
    <w:rsid w:val="00A53958"/>
    <w:rsid w:val="00AB56E4"/>
    <w:rsid w:val="00AC08D3"/>
    <w:rsid w:val="00AD1BB3"/>
    <w:rsid w:val="00AE2142"/>
    <w:rsid w:val="00B04842"/>
    <w:rsid w:val="00B17523"/>
    <w:rsid w:val="00BA7525"/>
    <w:rsid w:val="00BC482F"/>
    <w:rsid w:val="00BD13E4"/>
    <w:rsid w:val="00BE5908"/>
    <w:rsid w:val="00BF7062"/>
    <w:rsid w:val="00C04326"/>
    <w:rsid w:val="00C20F7D"/>
    <w:rsid w:val="00C54D94"/>
    <w:rsid w:val="00C66414"/>
    <w:rsid w:val="00C735DB"/>
    <w:rsid w:val="00C84DD9"/>
    <w:rsid w:val="00CA4C2E"/>
    <w:rsid w:val="00D16D10"/>
    <w:rsid w:val="00D17190"/>
    <w:rsid w:val="00D776B0"/>
    <w:rsid w:val="00D8040E"/>
    <w:rsid w:val="00D83C02"/>
    <w:rsid w:val="00D90AB4"/>
    <w:rsid w:val="00DA7769"/>
    <w:rsid w:val="00DD333B"/>
    <w:rsid w:val="00DD78B8"/>
    <w:rsid w:val="00E30A54"/>
    <w:rsid w:val="00E360C5"/>
    <w:rsid w:val="00E5318C"/>
    <w:rsid w:val="00E876CE"/>
    <w:rsid w:val="00EA25FA"/>
    <w:rsid w:val="00EB492B"/>
    <w:rsid w:val="00EE6C61"/>
    <w:rsid w:val="00EF349B"/>
    <w:rsid w:val="00EF69F2"/>
    <w:rsid w:val="00F01720"/>
    <w:rsid w:val="00F21BC2"/>
    <w:rsid w:val="00F26B5A"/>
    <w:rsid w:val="00F31DD1"/>
    <w:rsid w:val="00F868FC"/>
    <w:rsid w:val="00FD6B3C"/>
    <w:rsid w:val="00FE6258"/>
    <w:rsid w:val="00FF17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8E2"/>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72396"/>
    <w:pPr>
      <w:keepNext/>
      <w:keepLines/>
      <w:numPr>
        <w:numId w:val="1"/>
      </w:numPr>
      <w:spacing w:before="240" w:after="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772396"/>
    <w:pPr>
      <w:keepNext/>
      <w:keepLines/>
      <w:numPr>
        <w:ilvl w:val="1"/>
        <w:numId w:val="1"/>
      </w:numPr>
      <w:spacing w:before="40" w:after="0"/>
      <w:outlineLvl w:val="1"/>
    </w:pPr>
    <w:rPr>
      <w:rFonts w:eastAsiaTheme="majorEastAsia"/>
      <w:sz w:val="26"/>
      <w:szCs w:val="26"/>
    </w:rPr>
  </w:style>
  <w:style w:type="paragraph" w:styleId="Heading3">
    <w:name w:val="heading 3"/>
    <w:basedOn w:val="Normal"/>
    <w:next w:val="Normal"/>
    <w:link w:val="Heading3Char"/>
    <w:uiPriority w:val="9"/>
    <w:unhideWhenUsed/>
    <w:qFormat/>
    <w:rsid w:val="00772396"/>
    <w:pPr>
      <w:keepNext/>
      <w:keepLines/>
      <w:numPr>
        <w:ilvl w:val="2"/>
        <w:numId w:val="1"/>
      </w:numPr>
      <w:spacing w:before="40"/>
      <w:outlineLvl w:val="2"/>
    </w:pPr>
    <w:rPr>
      <w:rFonts w:eastAsiaTheme="majorEastAsia" w:cstheme="majorBidi"/>
    </w:rPr>
  </w:style>
  <w:style w:type="paragraph" w:styleId="Heading4">
    <w:name w:val="heading 4"/>
    <w:basedOn w:val="Normal"/>
    <w:next w:val="Normal"/>
    <w:link w:val="Heading4Char"/>
    <w:uiPriority w:val="9"/>
    <w:unhideWhenUsed/>
    <w:qFormat/>
    <w:rsid w:val="0077239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7239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7239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7239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7239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239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1616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916160"/>
    <w:rPr>
      <w:rFonts w:eastAsiaTheme="minorEastAsia"/>
      <w:sz w:val="20"/>
      <w:szCs w:val="20"/>
    </w:rPr>
  </w:style>
  <w:style w:type="character" w:styleId="FootnoteReference">
    <w:name w:val="footnote reference"/>
    <w:basedOn w:val="DefaultParagraphFont"/>
    <w:uiPriority w:val="99"/>
    <w:unhideWhenUsed/>
    <w:rsid w:val="00916160"/>
    <w:rPr>
      <w:vertAlign w:val="superscript"/>
    </w:rPr>
  </w:style>
  <w:style w:type="character" w:styleId="CommentReference">
    <w:name w:val="annotation reference"/>
    <w:basedOn w:val="DefaultParagraphFont"/>
    <w:uiPriority w:val="99"/>
    <w:semiHidden/>
    <w:unhideWhenUsed/>
    <w:rsid w:val="00916160"/>
    <w:rPr>
      <w:sz w:val="16"/>
      <w:szCs w:val="16"/>
    </w:rPr>
  </w:style>
  <w:style w:type="paragraph" w:styleId="CommentText">
    <w:name w:val="annotation text"/>
    <w:basedOn w:val="Normal"/>
    <w:link w:val="CommentTextChar"/>
    <w:uiPriority w:val="99"/>
    <w:unhideWhenUsed/>
    <w:rsid w:val="00916160"/>
    <w:rPr>
      <w:sz w:val="20"/>
      <w:szCs w:val="20"/>
    </w:rPr>
  </w:style>
  <w:style w:type="character" w:customStyle="1" w:styleId="CommentTextChar">
    <w:name w:val="Comment Text Char"/>
    <w:basedOn w:val="DefaultParagraphFont"/>
    <w:link w:val="CommentText"/>
    <w:uiPriority w:val="99"/>
    <w:rsid w:val="00916160"/>
    <w:rPr>
      <w:rFonts w:ascii="Times New Roman" w:hAnsi="Times New Roman" w:cs="Times New Roman"/>
      <w:sz w:val="20"/>
      <w:szCs w:val="20"/>
    </w:rPr>
  </w:style>
  <w:style w:type="table" w:styleId="TableGrid">
    <w:name w:val="Table Grid"/>
    <w:basedOn w:val="TableNormal"/>
    <w:uiPriority w:val="39"/>
    <w:rsid w:val="00916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6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16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72396"/>
    <w:pPr>
      <w:spacing w:line="240" w:lineRule="auto"/>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772396"/>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772396"/>
    <w:rPr>
      <w:rFonts w:ascii="Times New Roman" w:eastAsiaTheme="majorEastAsia" w:hAnsi="Times New Roman" w:cstheme="majorBidi"/>
      <w:color w:val="000000" w:themeColor="text1"/>
      <w:sz w:val="28"/>
      <w:szCs w:val="32"/>
    </w:rPr>
  </w:style>
  <w:style w:type="character" w:customStyle="1" w:styleId="Heading2Char">
    <w:name w:val="Heading 2 Char"/>
    <w:basedOn w:val="DefaultParagraphFont"/>
    <w:link w:val="Heading2"/>
    <w:uiPriority w:val="9"/>
    <w:rsid w:val="00772396"/>
    <w:rPr>
      <w:rFonts w:ascii="Times New Roman" w:eastAsiaTheme="majorEastAsia" w:hAnsi="Times New Roman" w:cs="Times New Roman"/>
      <w:sz w:val="26"/>
      <w:szCs w:val="26"/>
    </w:rPr>
  </w:style>
  <w:style w:type="character" w:customStyle="1" w:styleId="Heading3Char">
    <w:name w:val="Heading 3 Char"/>
    <w:basedOn w:val="DefaultParagraphFont"/>
    <w:link w:val="Heading3"/>
    <w:uiPriority w:val="9"/>
    <w:rsid w:val="0077239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772396"/>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772396"/>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772396"/>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772396"/>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7723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2396"/>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772396"/>
    <w:rPr>
      <w:color w:val="0563C1" w:themeColor="hyperlink"/>
      <w:u w:val="single"/>
    </w:rPr>
  </w:style>
  <w:style w:type="character" w:styleId="FollowedHyperlink">
    <w:name w:val="FollowedHyperlink"/>
    <w:basedOn w:val="DefaultParagraphFont"/>
    <w:uiPriority w:val="99"/>
    <w:semiHidden/>
    <w:unhideWhenUsed/>
    <w:rsid w:val="00FE6258"/>
    <w:rPr>
      <w:color w:val="954F72" w:themeColor="followedHyperlink"/>
      <w:u w:val="single"/>
    </w:rPr>
  </w:style>
  <w:style w:type="paragraph" w:customStyle="1" w:styleId="EndNoteBibliographyTitle">
    <w:name w:val="EndNote Bibliography Title"/>
    <w:basedOn w:val="Normal"/>
    <w:rsid w:val="00163C6F"/>
    <w:pPr>
      <w:spacing w:after="0"/>
      <w:jc w:val="center"/>
    </w:pPr>
    <w:rPr>
      <w:lang w:val="en-US"/>
    </w:rPr>
  </w:style>
  <w:style w:type="paragraph" w:customStyle="1" w:styleId="EndNoteBibliography">
    <w:name w:val="EndNote Bibliography"/>
    <w:basedOn w:val="Normal"/>
    <w:rsid w:val="00163C6F"/>
    <w:pPr>
      <w:spacing w:line="240" w:lineRule="auto"/>
    </w:pPr>
    <w:rPr>
      <w:lang w:val="en-US"/>
    </w:rPr>
  </w:style>
  <w:style w:type="table" w:customStyle="1" w:styleId="TableGrid1">
    <w:name w:val="Table Grid1"/>
    <w:basedOn w:val="TableNormal"/>
    <w:next w:val="TableGrid"/>
    <w:uiPriority w:val="39"/>
    <w:rsid w:val="00F21BC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94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datadictionary.nhs.uk/data_dictionary/attributes/j/job_role_code_de.asp"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3CBACB-5764-4554-98F4-067F7D67E4E0}" type="doc">
      <dgm:prSet loTypeId="urn:microsoft.com/office/officeart/2005/8/layout/process2" loCatId="process" qsTypeId="urn:microsoft.com/office/officeart/2005/8/quickstyle/simple1" qsCatId="simple" csTypeId="urn:microsoft.com/office/officeart/2005/8/colors/accent0_1" csCatId="mainScheme" phldr="1"/>
      <dgm:spPr/>
    </dgm:pt>
    <dgm:pt modelId="{48DD3FCA-0F66-41A7-A54A-33A4F980D6D6}">
      <dgm:prSet phldrT="[Text]" custT="1"/>
      <dgm:spPr>
        <a:xfrm>
          <a:off x="0" y="4118"/>
          <a:ext cx="3352800" cy="98287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All patients in CPRD data with a diagnosis of SMI, eligible for linkage to HES data, with active registration between 1 April 2011 and 31 March 2014, with patient and practice data meeting quality standards</a:t>
          </a:r>
        </a:p>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N=17,815</a:t>
          </a:r>
        </a:p>
      </dgm:t>
    </dgm:pt>
    <dgm:pt modelId="{627E39F0-FB95-4665-947F-156B2030C7E7}" type="parTrans" cxnId="{B398C284-9D32-4390-BC31-72E1659A4797}">
      <dgm:prSet/>
      <dgm:spPr/>
      <dgm:t>
        <a:bodyPr/>
        <a:lstStyle/>
        <a:p>
          <a:endParaRPr lang="en-US"/>
        </a:p>
      </dgm:t>
    </dgm:pt>
    <dgm:pt modelId="{C3FCAC1F-3EA7-4093-B620-DC9DF91A244D}" type="sibTrans" cxnId="{B398C284-9D32-4390-BC31-72E1659A4797}">
      <dgm:prSet/>
      <dgm:spPr>
        <a:xfrm rot="5400000">
          <a:off x="1379146" y="1026623"/>
          <a:ext cx="594507" cy="713409"/>
        </a:xfr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panose="020F0502020204030204"/>
            <a:ea typeface=""/>
            <a:cs typeface=""/>
          </a:endParaRPr>
        </a:p>
      </dgm:t>
    </dgm:pt>
    <dgm:pt modelId="{E1302C10-86D3-4F47-9570-61BE418FF9A8}">
      <dgm:prSet phldrT="[Text]" custT="1"/>
      <dgm:spPr>
        <a:xfrm>
          <a:off x="0" y="3394808"/>
          <a:ext cx="3352800" cy="163922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Start date of observation defined as latest of: date of diagnosis of SMI, registration at the practice for at least 365 days, 1 January of the calendar year after the patient turned 18, 1 April 2011. </a:t>
          </a:r>
        </a:p>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End date of observation  defined as earliest of: registration ending, date of death, 31 March 2014. </a:t>
          </a:r>
        </a:p>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Restrict to patients observed during 1 April 2011 to 31 March 2014. </a:t>
          </a:r>
        </a:p>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N=17,753</a:t>
          </a:r>
        </a:p>
      </dgm:t>
    </dgm:pt>
    <dgm:pt modelId="{1D62B266-A382-4FD6-B1E4-F6990EC91FC2}" type="parTrans" cxnId="{8FAE44E3-C8E9-4BD2-B170-F55564791114}">
      <dgm:prSet/>
      <dgm:spPr/>
      <dgm:t>
        <a:bodyPr/>
        <a:lstStyle/>
        <a:p>
          <a:endParaRPr lang="en-US"/>
        </a:p>
      </dgm:t>
    </dgm:pt>
    <dgm:pt modelId="{9DBCF56B-8EB0-43E9-A49F-BC3C5194BA7F}" type="sibTrans" cxnId="{8FAE44E3-C8E9-4BD2-B170-F55564791114}">
      <dgm:prSet/>
      <dgm:spPr>
        <a:xfrm rot="5400000">
          <a:off x="1379146" y="5073666"/>
          <a:ext cx="594507" cy="713409"/>
        </a:xfr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panose="020F0502020204030204"/>
            <a:ea typeface=""/>
            <a:cs typeface=""/>
          </a:endParaRPr>
        </a:p>
      </dgm:t>
    </dgm:pt>
    <dgm:pt modelId="{6E00342D-5D9B-4252-ADD8-206BD99C373A}">
      <dgm:prSet phldrT="[Text]" custT="1"/>
      <dgm:spPr>
        <a:xfrm>
          <a:off x="0" y="5826709"/>
          <a:ext cx="3352800" cy="74142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Restrict to patients observed for at least one full financial year</a:t>
          </a:r>
        </a:p>
        <a:p>
          <a:r>
            <a:rPr lang="en-US" sz="11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N=13,846</a:t>
          </a:r>
        </a:p>
      </dgm:t>
    </dgm:pt>
    <dgm:pt modelId="{04CE3CFF-7CEE-4C5F-BE7D-914553911DC1}" type="parTrans" cxnId="{97096DF0-CC2C-406F-9940-2370E9017016}">
      <dgm:prSet/>
      <dgm:spPr/>
      <dgm:t>
        <a:bodyPr/>
        <a:lstStyle/>
        <a:p>
          <a:endParaRPr lang="en-US"/>
        </a:p>
      </dgm:t>
    </dgm:pt>
    <dgm:pt modelId="{DC83206E-0088-4516-A32B-F1895F5B33D5}" type="sibTrans" cxnId="{97096DF0-CC2C-406F-9940-2370E9017016}">
      <dgm:prSet/>
      <dgm:spPr/>
      <dgm:t>
        <a:bodyPr/>
        <a:lstStyle/>
        <a:p>
          <a:endParaRPr lang="en-US"/>
        </a:p>
      </dgm:t>
    </dgm:pt>
    <dgm:pt modelId="{C3B10114-5549-A143-BF8B-976F29D70BB7}">
      <dgm:prSet custT="1"/>
      <dgm:spPr>
        <a:xfrm>
          <a:off x="0" y="1779666"/>
          <a:ext cx="3352800" cy="82246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AU" sz="1100">
              <a:solidFill>
                <a:sysClr val="windowText" lastClr="000000">
                  <a:hueOff val="0"/>
                  <a:satOff val="0"/>
                  <a:lumOff val="0"/>
                  <a:alphaOff val="0"/>
                </a:sysClr>
              </a:solidFill>
              <a:latin typeface="Times New Roman" charset="0"/>
              <a:ea typeface="Times New Roman" charset="0"/>
              <a:cs typeface="Times New Roman" charset="0"/>
            </a:rPr>
            <a:t>Able</a:t>
          </a:r>
          <a:r>
            <a:rPr lang="en-AU" sz="1100" baseline="0">
              <a:solidFill>
                <a:sysClr val="windowText" lastClr="000000">
                  <a:hueOff val="0"/>
                  <a:satOff val="0"/>
                  <a:lumOff val="0"/>
                  <a:alphaOff val="0"/>
                </a:sysClr>
              </a:solidFill>
              <a:latin typeface="Times New Roman" charset="0"/>
              <a:ea typeface="Times New Roman" charset="0"/>
              <a:cs typeface="Times New Roman" charset="0"/>
            </a:rPr>
            <a:t> to link data on Index of Multiple Deprivation for the patient's area of residence (Lower Layer Super Output Area) </a:t>
          </a:r>
        </a:p>
        <a:p>
          <a:r>
            <a:rPr lang="en-AU" sz="1100" baseline="0">
              <a:solidFill>
                <a:sysClr val="windowText" lastClr="000000">
                  <a:hueOff val="0"/>
                  <a:satOff val="0"/>
                  <a:lumOff val="0"/>
                  <a:alphaOff val="0"/>
                </a:sysClr>
              </a:solidFill>
              <a:latin typeface="Times New Roman" charset="0"/>
              <a:ea typeface="Times New Roman" charset="0"/>
              <a:cs typeface="Times New Roman" charset="0"/>
            </a:rPr>
            <a:t>N=17,795</a:t>
          </a:r>
          <a:endParaRPr lang="en-AU" sz="1100">
            <a:solidFill>
              <a:sysClr val="windowText" lastClr="000000">
                <a:hueOff val="0"/>
                <a:satOff val="0"/>
                <a:lumOff val="0"/>
                <a:alphaOff val="0"/>
              </a:sysClr>
            </a:solidFill>
            <a:latin typeface="Times New Roman" charset="0"/>
            <a:ea typeface="Times New Roman" charset="0"/>
            <a:cs typeface="Times New Roman" charset="0"/>
          </a:endParaRPr>
        </a:p>
      </dgm:t>
    </dgm:pt>
    <dgm:pt modelId="{33604C3F-96C7-914D-85D1-D95731626373}" type="parTrans" cxnId="{CDC2D93A-F05F-9E47-971A-0B238FA86C19}">
      <dgm:prSet/>
      <dgm:spPr/>
      <dgm:t>
        <a:bodyPr/>
        <a:lstStyle/>
        <a:p>
          <a:endParaRPr lang="en-AU"/>
        </a:p>
      </dgm:t>
    </dgm:pt>
    <dgm:pt modelId="{00D05E33-52F2-444D-B277-A8D5F9ABE445}" type="sibTrans" cxnId="{CDC2D93A-F05F-9E47-971A-0B238FA86C19}">
      <dgm:prSet/>
      <dgm:spPr>
        <a:xfrm rot="5400000">
          <a:off x="1379146" y="2641766"/>
          <a:ext cx="594507" cy="713409"/>
        </a:xfrm>
        <a:solidFill>
          <a:sysClr val="windowText" lastClr="000000">
            <a:tint val="60000"/>
            <a:hueOff val="0"/>
            <a:satOff val="0"/>
            <a:lumOff val="0"/>
            <a:alphaOff val="0"/>
          </a:sysClr>
        </a:solidFill>
        <a:ln>
          <a:noFill/>
        </a:ln>
        <a:effectLst/>
      </dgm:spPr>
      <dgm:t>
        <a:bodyPr/>
        <a:lstStyle/>
        <a:p>
          <a:endParaRPr lang="en-AU">
            <a:solidFill>
              <a:sysClr val="windowText" lastClr="000000">
                <a:hueOff val="0"/>
                <a:satOff val="0"/>
                <a:lumOff val="0"/>
                <a:alphaOff val="0"/>
              </a:sysClr>
            </a:solidFill>
            <a:latin typeface="Calibri" panose="020F0502020204030204"/>
            <a:ea typeface=""/>
            <a:cs typeface=""/>
          </a:endParaRPr>
        </a:p>
      </dgm:t>
    </dgm:pt>
    <dgm:pt modelId="{2F434916-09D3-40F4-A8DB-01DC72B63C84}" type="pres">
      <dgm:prSet presAssocID="{273CBACB-5764-4554-98F4-067F7D67E4E0}" presName="linearFlow" presStyleCnt="0">
        <dgm:presLayoutVars>
          <dgm:resizeHandles val="exact"/>
        </dgm:presLayoutVars>
      </dgm:prSet>
      <dgm:spPr/>
    </dgm:pt>
    <dgm:pt modelId="{4E1D5565-8C48-478C-9857-10CEFE09267D}" type="pres">
      <dgm:prSet presAssocID="{48DD3FCA-0F66-41A7-A54A-33A4F980D6D6}" presName="node" presStyleLbl="node1" presStyleIdx="0" presStyleCnt="4" custScaleY="61997">
        <dgm:presLayoutVars>
          <dgm:bulletEnabled val="1"/>
        </dgm:presLayoutVars>
      </dgm:prSet>
      <dgm:spPr>
        <a:prstGeom prst="roundRect">
          <a:avLst>
            <a:gd name="adj" fmla="val 10000"/>
          </a:avLst>
        </a:prstGeom>
      </dgm:spPr>
      <dgm:t>
        <a:bodyPr/>
        <a:lstStyle/>
        <a:p>
          <a:endParaRPr lang="en-IN"/>
        </a:p>
      </dgm:t>
    </dgm:pt>
    <dgm:pt modelId="{31DE4EC7-C7DC-46E8-9C31-C5875B85CDB0}" type="pres">
      <dgm:prSet presAssocID="{C3FCAC1F-3EA7-4093-B620-DC9DF91A244D}" presName="sibTrans" presStyleLbl="sibTrans2D1" presStyleIdx="0" presStyleCnt="3"/>
      <dgm:spPr>
        <a:prstGeom prst="rightArrow">
          <a:avLst>
            <a:gd name="adj1" fmla="val 60000"/>
            <a:gd name="adj2" fmla="val 50000"/>
          </a:avLst>
        </a:prstGeom>
      </dgm:spPr>
      <dgm:t>
        <a:bodyPr/>
        <a:lstStyle/>
        <a:p>
          <a:endParaRPr lang="en-IN"/>
        </a:p>
      </dgm:t>
    </dgm:pt>
    <dgm:pt modelId="{FD74FB44-FF2E-4420-B292-207BFA268D79}" type="pres">
      <dgm:prSet presAssocID="{C3FCAC1F-3EA7-4093-B620-DC9DF91A244D}" presName="connectorText" presStyleLbl="sibTrans2D1" presStyleIdx="0" presStyleCnt="3"/>
      <dgm:spPr/>
      <dgm:t>
        <a:bodyPr/>
        <a:lstStyle/>
        <a:p>
          <a:endParaRPr lang="en-IN"/>
        </a:p>
      </dgm:t>
    </dgm:pt>
    <dgm:pt modelId="{3E4EFBBA-0622-8A4B-B32A-352AD95CBFD6}" type="pres">
      <dgm:prSet presAssocID="{C3B10114-5549-A143-BF8B-976F29D70BB7}" presName="node" presStyleLbl="node1" presStyleIdx="1" presStyleCnt="4" custScaleY="51879">
        <dgm:presLayoutVars>
          <dgm:bulletEnabled val="1"/>
        </dgm:presLayoutVars>
      </dgm:prSet>
      <dgm:spPr>
        <a:prstGeom prst="roundRect">
          <a:avLst>
            <a:gd name="adj" fmla="val 10000"/>
          </a:avLst>
        </a:prstGeom>
      </dgm:spPr>
      <dgm:t>
        <a:bodyPr/>
        <a:lstStyle/>
        <a:p>
          <a:endParaRPr lang="en-IN"/>
        </a:p>
      </dgm:t>
    </dgm:pt>
    <dgm:pt modelId="{47F7A898-84D3-C84C-8E67-AF0003E77637}" type="pres">
      <dgm:prSet presAssocID="{00D05E33-52F2-444D-B277-A8D5F9ABE445}" presName="sibTrans" presStyleLbl="sibTrans2D1" presStyleIdx="1" presStyleCnt="3"/>
      <dgm:spPr>
        <a:prstGeom prst="rightArrow">
          <a:avLst>
            <a:gd name="adj1" fmla="val 60000"/>
            <a:gd name="adj2" fmla="val 50000"/>
          </a:avLst>
        </a:prstGeom>
      </dgm:spPr>
      <dgm:t>
        <a:bodyPr/>
        <a:lstStyle/>
        <a:p>
          <a:endParaRPr lang="en-IN"/>
        </a:p>
      </dgm:t>
    </dgm:pt>
    <dgm:pt modelId="{7FCF5175-C9FE-154E-A2E2-E8FA9AC1E36C}" type="pres">
      <dgm:prSet presAssocID="{00D05E33-52F2-444D-B277-A8D5F9ABE445}" presName="connectorText" presStyleLbl="sibTrans2D1" presStyleIdx="1" presStyleCnt="3"/>
      <dgm:spPr/>
      <dgm:t>
        <a:bodyPr/>
        <a:lstStyle/>
        <a:p>
          <a:endParaRPr lang="en-IN"/>
        </a:p>
      </dgm:t>
    </dgm:pt>
    <dgm:pt modelId="{DCB4A30D-58C0-49B0-AD89-5227CC305E07}" type="pres">
      <dgm:prSet presAssocID="{E1302C10-86D3-4F47-9570-61BE418FF9A8}" presName="node" presStyleLbl="node1" presStyleIdx="2" presStyleCnt="4" custScaleY="103398">
        <dgm:presLayoutVars>
          <dgm:bulletEnabled val="1"/>
        </dgm:presLayoutVars>
      </dgm:prSet>
      <dgm:spPr>
        <a:prstGeom prst="roundRect">
          <a:avLst>
            <a:gd name="adj" fmla="val 10000"/>
          </a:avLst>
        </a:prstGeom>
      </dgm:spPr>
      <dgm:t>
        <a:bodyPr/>
        <a:lstStyle/>
        <a:p>
          <a:endParaRPr lang="en-IN"/>
        </a:p>
      </dgm:t>
    </dgm:pt>
    <dgm:pt modelId="{4CE815D0-73B4-4CCF-96DA-228D9A0AA8E6}" type="pres">
      <dgm:prSet presAssocID="{9DBCF56B-8EB0-43E9-A49F-BC3C5194BA7F}" presName="sibTrans" presStyleLbl="sibTrans2D1" presStyleIdx="2" presStyleCnt="3"/>
      <dgm:spPr>
        <a:prstGeom prst="rightArrow">
          <a:avLst>
            <a:gd name="adj1" fmla="val 60000"/>
            <a:gd name="adj2" fmla="val 50000"/>
          </a:avLst>
        </a:prstGeom>
      </dgm:spPr>
      <dgm:t>
        <a:bodyPr/>
        <a:lstStyle/>
        <a:p>
          <a:endParaRPr lang="en-IN"/>
        </a:p>
      </dgm:t>
    </dgm:pt>
    <dgm:pt modelId="{BCC1260F-6776-4317-A7CF-A8F0BB4FE01F}" type="pres">
      <dgm:prSet presAssocID="{9DBCF56B-8EB0-43E9-A49F-BC3C5194BA7F}" presName="connectorText" presStyleLbl="sibTrans2D1" presStyleIdx="2" presStyleCnt="3"/>
      <dgm:spPr/>
      <dgm:t>
        <a:bodyPr/>
        <a:lstStyle/>
        <a:p>
          <a:endParaRPr lang="en-IN"/>
        </a:p>
      </dgm:t>
    </dgm:pt>
    <dgm:pt modelId="{37080D71-F92E-428F-9B4F-2C10A4D9CECC}" type="pres">
      <dgm:prSet presAssocID="{6E00342D-5D9B-4252-ADD8-206BD99C373A}" presName="node" presStyleLbl="node1" presStyleIdx="3" presStyleCnt="4" custScaleY="46767">
        <dgm:presLayoutVars>
          <dgm:bulletEnabled val="1"/>
        </dgm:presLayoutVars>
      </dgm:prSet>
      <dgm:spPr>
        <a:prstGeom prst="roundRect">
          <a:avLst>
            <a:gd name="adj" fmla="val 10000"/>
          </a:avLst>
        </a:prstGeom>
      </dgm:spPr>
      <dgm:t>
        <a:bodyPr/>
        <a:lstStyle/>
        <a:p>
          <a:endParaRPr lang="en-IN"/>
        </a:p>
      </dgm:t>
    </dgm:pt>
  </dgm:ptLst>
  <dgm:cxnLst>
    <dgm:cxn modelId="{976FEEBE-D691-9D46-8A70-B9FEBE23E55C}" type="presOf" srcId="{48DD3FCA-0F66-41A7-A54A-33A4F980D6D6}" destId="{4E1D5565-8C48-478C-9857-10CEFE09267D}" srcOrd="0" destOrd="0" presId="urn:microsoft.com/office/officeart/2005/8/layout/process2"/>
    <dgm:cxn modelId="{E6DA46F3-0943-BD43-8959-FEF9F6265E9B}" type="presOf" srcId="{00D05E33-52F2-444D-B277-A8D5F9ABE445}" destId="{47F7A898-84D3-C84C-8E67-AF0003E77637}" srcOrd="0" destOrd="0" presId="urn:microsoft.com/office/officeart/2005/8/layout/process2"/>
    <dgm:cxn modelId="{FE52FDF9-E75E-9D43-86BB-F1B83A2120BF}" type="presOf" srcId="{E1302C10-86D3-4F47-9570-61BE418FF9A8}" destId="{DCB4A30D-58C0-49B0-AD89-5227CC305E07}" srcOrd="0" destOrd="0" presId="urn:microsoft.com/office/officeart/2005/8/layout/process2"/>
    <dgm:cxn modelId="{7F075A9B-69EC-7448-AED8-895FCCB6119D}" type="presOf" srcId="{00D05E33-52F2-444D-B277-A8D5F9ABE445}" destId="{7FCF5175-C9FE-154E-A2E2-E8FA9AC1E36C}" srcOrd="1" destOrd="0" presId="urn:microsoft.com/office/officeart/2005/8/layout/process2"/>
    <dgm:cxn modelId="{CDC2D93A-F05F-9E47-971A-0B238FA86C19}" srcId="{273CBACB-5764-4554-98F4-067F7D67E4E0}" destId="{C3B10114-5549-A143-BF8B-976F29D70BB7}" srcOrd="1" destOrd="0" parTransId="{33604C3F-96C7-914D-85D1-D95731626373}" sibTransId="{00D05E33-52F2-444D-B277-A8D5F9ABE445}"/>
    <dgm:cxn modelId="{846B0E6E-B88E-DF4D-965E-F3479D1D6BAD}" type="presOf" srcId="{C3B10114-5549-A143-BF8B-976F29D70BB7}" destId="{3E4EFBBA-0622-8A4B-B32A-352AD95CBFD6}" srcOrd="0" destOrd="0" presId="urn:microsoft.com/office/officeart/2005/8/layout/process2"/>
    <dgm:cxn modelId="{97096DF0-CC2C-406F-9940-2370E9017016}" srcId="{273CBACB-5764-4554-98F4-067F7D67E4E0}" destId="{6E00342D-5D9B-4252-ADD8-206BD99C373A}" srcOrd="3" destOrd="0" parTransId="{04CE3CFF-7CEE-4C5F-BE7D-914553911DC1}" sibTransId="{DC83206E-0088-4516-A32B-F1895F5B33D5}"/>
    <dgm:cxn modelId="{A45B174C-AD03-C146-837F-F2F9B4F38CD8}" type="presOf" srcId="{273CBACB-5764-4554-98F4-067F7D67E4E0}" destId="{2F434916-09D3-40F4-A8DB-01DC72B63C84}" srcOrd="0" destOrd="0" presId="urn:microsoft.com/office/officeart/2005/8/layout/process2"/>
    <dgm:cxn modelId="{72F4CE35-DD6E-254F-9672-B8F587D40077}" type="presOf" srcId="{6E00342D-5D9B-4252-ADD8-206BD99C373A}" destId="{37080D71-F92E-428F-9B4F-2C10A4D9CECC}" srcOrd="0" destOrd="0" presId="urn:microsoft.com/office/officeart/2005/8/layout/process2"/>
    <dgm:cxn modelId="{2A770ABF-DFEB-9F49-A8BD-FA68CE68BE09}" type="presOf" srcId="{C3FCAC1F-3EA7-4093-B620-DC9DF91A244D}" destId="{FD74FB44-FF2E-4420-B292-207BFA268D79}" srcOrd="1" destOrd="0" presId="urn:microsoft.com/office/officeart/2005/8/layout/process2"/>
    <dgm:cxn modelId="{EBCB1900-2F2E-FE4F-9247-D4B295407783}" type="presOf" srcId="{C3FCAC1F-3EA7-4093-B620-DC9DF91A244D}" destId="{31DE4EC7-C7DC-46E8-9C31-C5875B85CDB0}" srcOrd="0" destOrd="0" presId="urn:microsoft.com/office/officeart/2005/8/layout/process2"/>
    <dgm:cxn modelId="{B398C284-9D32-4390-BC31-72E1659A4797}" srcId="{273CBACB-5764-4554-98F4-067F7D67E4E0}" destId="{48DD3FCA-0F66-41A7-A54A-33A4F980D6D6}" srcOrd="0" destOrd="0" parTransId="{627E39F0-FB95-4665-947F-156B2030C7E7}" sibTransId="{C3FCAC1F-3EA7-4093-B620-DC9DF91A244D}"/>
    <dgm:cxn modelId="{8FAE44E3-C8E9-4BD2-B170-F55564791114}" srcId="{273CBACB-5764-4554-98F4-067F7D67E4E0}" destId="{E1302C10-86D3-4F47-9570-61BE418FF9A8}" srcOrd="2" destOrd="0" parTransId="{1D62B266-A382-4FD6-B1E4-F6990EC91FC2}" sibTransId="{9DBCF56B-8EB0-43E9-A49F-BC3C5194BA7F}"/>
    <dgm:cxn modelId="{8A678FF8-67ED-E249-8155-687DCDC3733A}" type="presOf" srcId="{9DBCF56B-8EB0-43E9-A49F-BC3C5194BA7F}" destId="{BCC1260F-6776-4317-A7CF-A8F0BB4FE01F}" srcOrd="1" destOrd="0" presId="urn:microsoft.com/office/officeart/2005/8/layout/process2"/>
    <dgm:cxn modelId="{292C4A42-F3BB-9D4D-9790-6A18A2DD87F4}" type="presOf" srcId="{9DBCF56B-8EB0-43E9-A49F-BC3C5194BA7F}" destId="{4CE815D0-73B4-4CCF-96DA-228D9A0AA8E6}" srcOrd="0" destOrd="0" presId="urn:microsoft.com/office/officeart/2005/8/layout/process2"/>
    <dgm:cxn modelId="{8B64A29E-9424-0540-934C-8EF56F429AB4}" type="presParOf" srcId="{2F434916-09D3-40F4-A8DB-01DC72B63C84}" destId="{4E1D5565-8C48-478C-9857-10CEFE09267D}" srcOrd="0" destOrd="0" presId="urn:microsoft.com/office/officeart/2005/8/layout/process2"/>
    <dgm:cxn modelId="{1AEA76FE-4FA2-2C4D-A58A-99BDB5AEC2E1}" type="presParOf" srcId="{2F434916-09D3-40F4-A8DB-01DC72B63C84}" destId="{31DE4EC7-C7DC-46E8-9C31-C5875B85CDB0}" srcOrd="1" destOrd="0" presId="urn:microsoft.com/office/officeart/2005/8/layout/process2"/>
    <dgm:cxn modelId="{3182E327-9A96-1C4B-8E17-AF901FCE3153}" type="presParOf" srcId="{31DE4EC7-C7DC-46E8-9C31-C5875B85CDB0}" destId="{FD74FB44-FF2E-4420-B292-207BFA268D79}" srcOrd="0" destOrd="0" presId="urn:microsoft.com/office/officeart/2005/8/layout/process2"/>
    <dgm:cxn modelId="{2931BF10-ABD9-1D43-AFFE-A62E84858E45}" type="presParOf" srcId="{2F434916-09D3-40F4-A8DB-01DC72B63C84}" destId="{3E4EFBBA-0622-8A4B-B32A-352AD95CBFD6}" srcOrd="2" destOrd="0" presId="urn:microsoft.com/office/officeart/2005/8/layout/process2"/>
    <dgm:cxn modelId="{056FA15B-BA9E-5F4E-9038-092675D1F5EC}" type="presParOf" srcId="{2F434916-09D3-40F4-A8DB-01DC72B63C84}" destId="{47F7A898-84D3-C84C-8E67-AF0003E77637}" srcOrd="3" destOrd="0" presId="urn:microsoft.com/office/officeart/2005/8/layout/process2"/>
    <dgm:cxn modelId="{F629962F-5D75-AF4E-B529-2CEEA51C8CEF}" type="presParOf" srcId="{47F7A898-84D3-C84C-8E67-AF0003E77637}" destId="{7FCF5175-C9FE-154E-A2E2-E8FA9AC1E36C}" srcOrd="0" destOrd="0" presId="urn:microsoft.com/office/officeart/2005/8/layout/process2"/>
    <dgm:cxn modelId="{CF1149EC-8B54-0245-AF4E-FEAFEC221C19}" type="presParOf" srcId="{2F434916-09D3-40F4-A8DB-01DC72B63C84}" destId="{DCB4A30D-58C0-49B0-AD89-5227CC305E07}" srcOrd="4" destOrd="0" presId="urn:microsoft.com/office/officeart/2005/8/layout/process2"/>
    <dgm:cxn modelId="{9C212D5F-83F8-C046-8C88-FA91F808BB05}" type="presParOf" srcId="{2F434916-09D3-40F4-A8DB-01DC72B63C84}" destId="{4CE815D0-73B4-4CCF-96DA-228D9A0AA8E6}" srcOrd="5" destOrd="0" presId="urn:microsoft.com/office/officeart/2005/8/layout/process2"/>
    <dgm:cxn modelId="{7359807C-9ADE-7D41-A348-AF11900A7D40}" type="presParOf" srcId="{4CE815D0-73B4-4CCF-96DA-228D9A0AA8E6}" destId="{BCC1260F-6776-4317-A7CF-A8F0BB4FE01F}" srcOrd="0" destOrd="0" presId="urn:microsoft.com/office/officeart/2005/8/layout/process2"/>
    <dgm:cxn modelId="{CA472B56-02EC-9C42-A3C8-98870A1E6D26}" type="presParOf" srcId="{2F434916-09D3-40F4-A8DB-01DC72B63C84}" destId="{37080D71-F92E-428F-9B4F-2C10A4D9CECC}" srcOrd="6" destOrd="0" presId="urn:microsoft.com/office/officeart/2005/8/layout/process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E1D5565-8C48-478C-9857-10CEFE09267D}">
      <dsp:nvSpPr>
        <dsp:cNvPr id="0" name=""/>
        <dsp:cNvSpPr/>
      </dsp:nvSpPr>
      <dsp:spPr>
        <a:xfrm>
          <a:off x="0" y="4118"/>
          <a:ext cx="3352800" cy="98287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All patients in CPRD data with a diagnosis of SMI, eligible for linkage to HES data, with active registration between 1 April 2011 and 31 March 2014, with patient and practice data meeting quality standards</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N=17,815</a:t>
          </a:r>
        </a:p>
      </dsp:txBody>
      <dsp:txXfrm>
        <a:off x="0" y="4118"/>
        <a:ext cx="3352800" cy="982871"/>
      </dsp:txXfrm>
    </dsp:sp>
    <dsp:sp modelId="{31DE4EC7-C7DC-46E8-9C31-C5875B85CDB0}">
      <dsp:nvSpPr>
        <dsp:cNvPr id="0" name=""/>
        <dsp:cNvSpPr/>
      </dsp:nvSpPr>
      <dsp:spPr>
        <a:xfrm rot="5400000">
          <a:off x="1379146" y="1026623"/>
          <a:ext cx="594507" cy="71340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89050">
            <a:lnSpc>
              <a:spcPct val="90000"/>
            </a:lnSpc>
            <a:spcBef>
              <a:spcPct val="0"/>
            </a:spcBef>
            <a:spcAft>
              <a:spcPct val="35000"/>
            </a:spcAft>
          </a:pPr>
          <a:endParaRPr lang="en-US" sz="2900" kern="1200">
            <a:solidFill>
              <a:sysClr val="windowText" lastClr="000000">
                <a:hueOff val="0"/>
                <a:satOff val="0"/>
                <a:lumOff val="0"/>
                <a:alphaOff val="0"/>
              </a:sysClr>
            </a:solidFill>
            <a:latin typeface="Calibri" panose="020F0502020204030204"/>
            <a:ea typeface=""/>
            <a:cs typeface=""/>
          </a:endParaRPr>
        </a:p>
      </dsp:txBody>
      <dsp:txXfrm rot="5400000">
        <a:off x="1379146" y="1026623"/>
        <a:ext cx="594507" cy="713409"/>
      </dsp:txXfrm>
    </dsp:sp>
    <dsp:sp modelId="{3E4EFBBA-0622-8A4B-B32A-352AD95CBFD6}">
      <dsp:nvSpPr>
        <dsp:cNvPr id="0" name=""/>
        <dsp:cNvSpPr/>
      </dsp:nvSpPr>
      <dsp:spPr>
        <a:xfrm>
          <a:off x="0" y="1779666"/>
          <a:ext cx="3352800" cy="82246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AU" sz="1100" kern="1200">
              <a:solidFill>
                <a:sysClr val="windowText" lastClr="000000">
                  <a:hueOff val="0"/>
                  <a:satOff val="0"/>
                  <a:lumOff val="0"/>
                  <a:alphaOff val="0"/>
                </a:sysClr>
              </a:solidFill>
              <a:latin typeface="Times New Roman" charset="0"/>
              <a:ea typeface="Times New Roman" charset="0"/>
              <a:cs typeface="Times New Roman" charset="0"/>
            </a:rPr>
            <a:t>Able</a:t>
          </a:r>
          <a:r>
            <a:rPr lang="en-AU" sz="1100" kern="1200" baseline="0">
              <a:solidFill>
                <a:sysClr val="windowText" lastClr="000000">
                  <a:hueOff val="0"/>
                  <a:satOff val="0"/>
                  <a:lumOff val="0"/>
                  <a:alphaOff val="0"/>
                </a:sysClr>
              </a:solidFill>
              <a:latin typeface="Times New Roman" charset="0"/>
              <a:ea typeface="Times New Roman" charset="0"/>
              <a:cs typeface="Times New Roman" charset="0"/>
            </a:rPr>
            <a:t> to link data on Index of Multiple Deprivation for the patient's area of residence (Lower Layer Super Output Area) </a:t>
          </a:r>
        </a:p>
        <a:p>
          <a:pPr lvl="0" algn="ctr" defTabSz="488950">
            <a:lnSpc>
              <a:spcPct val="90000"/>
            </a:lnSpc>
            <a:spcBef>
              <a:spcPct val="0"/>
            </a:spcBef>
            <a:spcAft>
              <a:spcPct val="35000"/>
            </a:spcAft>
          </a:pPr>
          <a:r>
            <a:rPr lang="en-AU" sz="1100" kern="1200" baseline="0">
              <a:solidFill>
                <a:sysClr val="windowText" lastClr="000000">
                  <a:hueOff val="0"/>
                  <a:satOff val="0"/>
                  <a:lumOff val="0"/>
                  <a:alphaOff val="0"/>
                </a:sysClr>
              </a:solidFill>
              <a:latin typeface="Times New Roman" charset="0"/>
              <a:ea typeface="Times New Roman" charset="0"/>
              <a:cs typeface="Times New Roman" charset="0"/>
            </a:rPr>
            <a:t>N=17,795</a:t>
          </a:r>
          <a:endParaRPr lang="en-AU" sz="1100" kern="1200">
            <a:solidFill>
              <a:sysClr val="windowText" lastClr="000000">
                <a:hueOff val="0"/>
                <a:satOff val="0"/>
                <a:lumOff val="0"/>
                <a:alphaOff val="0"/>
              </a:sysClr>
            </a:solidFill>
            <a:latin typeface="Times New Roman" charset="0"/>
            <a:ea typeface="Times New Roman" charset="0"/>
            <a:cs typeface="Times New Roman" charset="0"/>
          </a:endParaRPr>
        </a:p>
      </dsp:txBody>
      <dsp:txXfrm>
        <a:off x="0" y="1779666"/>
        <a:ext cx="3352800" cy="822465"/>
      </dsp:txXfrm>
    </dsp:sp>
    <dsp:sp modelId="{47F7A898-84D3-C84C-8E67-AF0003E77637}">
      <dsp:nvSpPr>
        <dsp:cNvPr id="0" name=""/>
        <dsp:cNvSpPr/>
      </dsp:nvSpPr>
      <dsp:spPr>
        <a:xfrm rot="5400000">
          <a:off x="1379146" y="2641766"/>
          <a:ext cx="594507" cy="71340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89050">
            <a:lnSpc>
              <a:spcPct val="90000"/>
            </a:lnSpc>
            <a:spcBef>
              <a:spcPct val="0"/>
            </a:spcBef>
            <a:spcAft>
              <a:spcPct val="35000"/>
            </a:spcAft>
          </a:pPr>
          <a:endParaRPr lang="en-AU" sz="2900" kern="1200">
            <a:solidFill>
              <a:sysClr val="windowText" lastClr="000000">
                <a:hueOff val="0"/>
                <a:satOff val="0"/>
                <a:lumOff val="0"/>
                <a:alphaOff val="0"/>
              </a:sysClr>
            </a:solidFill>
            <a:latin typeface="Calibri" panose="020F0502020204030204"/>
            <a:ea typeface=""/>
            <a:cs typeface=""/>
          </a:endParaRPr>
        </a:p>
      </dsp:txBody>
      <dsp:txXfrm rot="5400000">
        <a:off x="1379146" y="2641766"/>
        <a:ext cx="594507" cy="713409"/>
      </dsp:txXfrm>
    </dsp:sp>
    <dsp:sp modelId="{DCB4A30D-58C0-49B0-AD89-5227CC305E07}">
      <dsp:nvSpPr>
        <dsp:cNvPr id="0" name=""/>
        <dsp:cNvSpPr/>
      </dsp:nvSpPr>
      <dsp:spPr>
        <a:xfrm>
          <a:off x="0" y="3394808"/>
          <a:ext cx="3352800" cy="163922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Start date of observation defined as latest of: date of diagnosis of SMI, registration at the practice for at least 365 days, 1 January of the calendar year after the patient turned 18, 1 April 2011. </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End date of observation  defined as earliest of: registration ending, date of death, 31 March 2014. </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Restrict to patients observed during 1 April 2011 to 31 March 2014. </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N=17,753</a:t>
          </a:r>
        </a:p>
      </dsp:txBody>
      <dsp:txXfrm>
        <a:off x="0" y="3394808"/>
        <a:ext cx="3352800" cy="1639223"/>
      </dsp:txXfrm>
    </dsp:sp>
    <dsp:sp modelId="{4CE815D0-73B4-4CCF-96DA-228D9A0AA8E6}">
      <dsp:nvSpPr>
        <dsp:cNvPr id="0" name=""/>
        <dsp:cNvSpPr/>
      </dsp:nvSpPr>
      <dsp:spPr>
        <a:xfrm rot="5400000">
          <a:off x="1379146" y="5073666"/>
          <a:ext cx="594507" cy="71340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89050">
            <a:lnSpc>
              <a:spcPct val="90000"/>
            </a:lnSpc>
            <a:spcBef>
              <a:spcPct val="0"/>
            </a:spcBef>
            <a:spcAft>
              <a:spcPct val="35000"/>
            </a:spcAft>
          </a:pPr>
          <a:endParaRPr lang="en-US" sz="2900" kern="1200">
            <a:solidFill>
              <a:sysClr val="windowText" lastClr="000000">
                <a:hueOff val="0"/>
                <a:satOff val="0"/>
                <a:lumOff val="0"/>
                <a:alphaOff val="0"/>
              </a:sysClr>
            </a:solidFill>
            <a:latin typeface="Calibri" panose="020F0502020204030204"/>
            <a:ea typeface=""/>
            <a:cs typeface=""/>
          </a:endParaRPr>
        </a:p>
      </dsp:txBody>
      <dsp:txXfrm rot="5400000">
        <a:off x="1379146" y="5073666"/>
        <a:ext cx="594507" cy="713409"/>
      </dsp:txXfrm>
    </dsp:sp>
    <dsp:sp modelId="{37080D71-F92E-428F-9B4F-2C10A4D9CECC}">
      <dsp:nvSpPr>
        <dsp:cNvPr id="0" name=""/>
        <dsp:cNvSpPr/>
      </dsp:nvSpPr>
      <dsp:spPr>
        <a:xfrm>
          <a:off x="0" y="5826709"/>
          <a:ext cx="3352800" cy="741422"/>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Restrict to patients observed for at least one full financial year</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
              <a:cs typeface="Times New Roman" panose="02020603050405020304" pitchFamily="18" charset="0"/>
            </a:rPr>
            <a:t>N=13,846</a:t>
          </a:r>
        </a:p>
      </dsp:txBody>
      <dsp:txXfrm>
        <a:off x="0" y="5826709"/>
        <a:ext cx="3352800" cy="74142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15618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Ride</dc:creator>
  <cp:keywords/>
  <dc:description/>
  <cp:lastModifiedBy>0012588</cp:lastModifiedBy>
  <cp:revision>5</cp:revision>
  <dcterms:created xsi:type="dcterms:W3CDTF">2019-10-08T05:34:00Z</dcterms:created>
  <dcterms:modified xsi:type="dcterms:W3CDTF">2019-10-30T10:34:00Z</dcterms:modified>
</cp:coreProperties>
</file>