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A612D1" w14:textId="22B99B2A" w:rsidR="008461EA" w:rsidRPr="00800A49" w:rsidRDefault="008461EA" w:rsidP="008461EA">
      <w:pPr>
        <w:spacing w:after="0" w:line="240" w:lineRule="auto"/>
        <w:rPr>
          <w:rFonts w:ascii="Times New Roman" w:hAnsi="Times New Roman" w:cs="Times New Roman"/>
          <w:b/>
          <w:bCs/>
          <w:sz w:val="24"/>
          <w:szCs w:val="24"/>
        </w:rPr>
      </w:pPr>
      <w:r w:rsidRPr="00800A49">
        <w:rPr>
          <w:rFonts w:ascii="Times New Roman" w:hAnsi="Times New Roman" w:cs="Times New Roman"/>
          <w:b/>
          <w:bCs/>
          <w:sz w:val="24"/>
          <w:szCs w:val="24"/>
        </w:rPr>
        <w:t>Applied Health Economics and Health Policy</w:t>
      </w:r>
    </w:p>
    <w:p w14:paraId="1A1B41D7" w14:textId="77777777" w:rsidR="008461EA" w:rsidRPr="00800A49" w:rsidRDefault="008461EA" w:rsidP="008461EA">
      <w:pPr>
        <w:spacing w:after="0" w:line="240" w:lineRule="auto"/>
        <w:rPr>
          <w:rFonts w:ascii="Times New Roman" w:hAnsi="Times New Roman" w:cs="Times New Roman"/>
          <w:b/>
          <w:bCs/>
          <w:sz w:val="24"/>
          <w:szCs w:val="24"/>
        </w:rPr>
      </w:pPr>
    </w:p>
    <w:p w14:paraId="7DDADB2C" w14:textId="262CA74F" w:rsidR="008461EA" w:rsidRPr="00800A49" w:rsidRDefault="008461EA" w:rsidP="008461EA">
      <w:pPr>
        <w:spacing w:after="0" w:line="240" w:lineRule="auto"/>
        <w:rPr>
          <w:rFonts w:ascii="Times New Roman" w:hAnsi="Times New Roman" w:cs="Times New Roman"/>
          <w:sz w:val="24"/>
          <w:szCs w:val="24"/>
        </w:rPr>
      </w:pPr>
      <w:r w:rsidRPr="00800A49">
        <w:rPr>
          <w:rFonts w:ascii="Times New Roman" w:hAnsi="Times New Roman" w:cs="Times New Roman"/>
          <w:b/>
          <w:bCs/>
          <w:sz w:val="24"/>
          <w:szCs w:val="24"/>
        </w:rPr>
        <w:t>Manuscript title:</w:t>
      </w:r>
      <w:r w:rsidRPr="00800A49">
        <w:rPr>
          <w:rFonts w:ascii="Times New Roman" w:hAnsi="Times New Roman" w:cs="Times New Roman"/>
          <w:sz w:val="24"/>
          <w:szCs w:val="24"/>
        </w:rPr>
        <w:t xml:space="preserve"> Economic evaluations of preventive interventions for dental caries and periodontitis – a systematic review.</w:t>
      </w:r>
    </w:p>
    <w:p w14:paraId="50172025" w14:textId="77777777" w:rsidR="008461EA" w:rsidRPr="00800A49" w:rsidRDefault="008461EA" w:rsidP="008461EA">
      <w:pPr>
        <w:spacing w:after="0" w:line="240" w:lineRule="auto"/>
        <w:rPr>
          <w:rFonts w:ascii="Times New Roman" w:hAnsi="Times New Roman" w:cs="Times New Roman"/>
          <w:sz w:val="24"/>
          <w:szCs w:val="24"/>
        </w:rPr>
      </w:pPr>
    </w:p>
    <w:p w14:paraId="2238FA58" w14:textId="77777777" w:rsidR="008461EA" w:rsidRPr="00800A49" w:rsidRDefault="008461EA" w:rsidP="008461EA">
      <w:pPr>
        <w:spacing w:after="0" w:line="240" w:lineRule="auto"/>
        <w:rPr>
          <w:rFonts w:ascii="Times New Roman" w:hAnsi="Times New Roman" w:cs="Times New Roman"/>
          <w:sz w:val="24"/>
          <w:szCs w:val="24"/>
        </w:rPr>
      </w:pPr>
      <w:r w:rsidRPr="00800A49">
        <w:rPr>
          <w:rFonts w:ascii="Times New Roman" w:hAnsi="Times New Roman" w:cs="Times New Roman"/>
          <w:sz w:val="24"/>
          <w:szCs w:val="24"/>
        </w:rPr>
        <w:t>Tan M. Nguyen, MPH MSc</w:t>
      </w:r>
    </w:p>
    <w:p w14:paraId="7EE8BFB5" w14:textId="77777777" w:rsidR="008461EA" w:rsidRPr="00800A49" w:rsidRDefault="008461EA" w:rsidP="008461EA">
      <w:pPr>
        <w:spacing w:after="0" w:line="240" w:lineRule="auto"/>
        <w:rPr>
          <w:rFonts w:ascii="Times New Roman" w:hAnsi="Times New Roman" w:cs="Times New Roman"/>
          <w:sz w:val="24"/>
          <w:szCs w:val="24"/>
        </w:rPr>
      </w:pPr>
      <w:r w:rsidRPr="00800A49">
        <w:rPr>
          <w:rFonts w:ascii="Times New Roman" w:hAnsi="Times New Roman" w:cs="Times New Roman"/>
          <w:sz w:val="24"/>
          <w:szCs w:val="24"/>
        </w:rPr>
        <w:t>Deakin Health Economics</w:t>
      </w:r>
    </w:p>
    <w:p w14:paraId="420F765E" w14:textId="77777777" w:rsidR="008461EA" w:rsidRPr="00800A49" w:rsidRDefault="008461EA" w:rsidP="008461EA">
      <w:pPr>
        <w:spacing w:after="0" w:line="240" w:lineRule="auto"/>
        <w:rPr>
          <w:rFonts w:ascii="Times New Roman" w:hAnsi="Times New Roman" w:cs="Times New Roman"/>
          <w:sz w:val="24"/>
          <w:szCs w:val="24"/>
        </w:rPr>
      </w:pPr>
      <w:r w:rsidRPr="00800A49">
        <w:rPr>
          <w:rFonts w:ascii="Times New Roman" w:hAnsi="Times New Roman" w:cs="Times New Roman"/>
          <w:sz w:val="24"/>
          <w:szCs w:val="24"/>
        </w:rPr>
        <w:t>Deakin University</w:t>
      </w:r>
    </w:p>
    <w:p w14:paraId="663CD87A" w14:textId="77777777" w:rsidR="008461EA" w:rsidRPr="00800A49" w:rsidRDefault="008461EA" w:rsidP="008461EA">
      <w:pPr>
        <w:spacing w:after="0" w:line="240" w:lineRule="auto"/>
        <w:rPr>
          <w:rFonts w:ascii="Times New Roman" w:hAnsi="Times New Roman" w:cs="Times New Roman"/>
          <w:sz w:val="24"/>
          <w:szCs w:val="24"/>
        </w:rPr>
      </w:pPr>
      <w:r w:rsidRPr="00800A49">
        <w:rPr>
          <w:rFonts w:ascii="Times New Roman" w:hAnsi="Times New Roman" w:cs="Times New Roman"/>
          <w:sz w:val="24"/>
          <w:szCs w:val="24"/>
        </w:rPr>
        <w:t>Melbourne, Victoria</w:t>
      </w:r>
    </w:p>
    <w:p w14:paraId="4749A27A" w14:textId="77777777" w:rsidR="008461EA" w:rsidRPr="00800A49" w:rsidRDefault="008461EA" w:rsidP="008461EA">
      <w:pPr>
        <w:spacing w:after="0" w:line="240" w:lineRule="auto"/>
        <w:rPr>
          <w:rFonts w:ascii="Times New Roman" w:hAnsi="Times New Roman" w:cs="Times New Roman"/>
          <w:sz w:val="24"/>
          <w:szCs w:val="24"/>
        </w:rPr>
      </w:pPr>
      <w:r w:rsidRPr="00800A49">
        <w:rPr>
          <w:rFonts w:ascii="Times New Roman" w:hAnsi="Times New Roman" w:cs="Times New Roman"/>
          <w:sz w:val="24"/>
          <w:szCs w:val="24"/>
        </w:rPr>
        <w:t>Australia</w:t>
      </w:r>
    </w:p>
    <w:p w14:paraId="6EEAFA35" w14:textId="77777777" w:rsidR="008461EA" w:rsidRPr="00800A49" w:rsidRDefault="008461EA" w:rsidP="008461EA">
      <w:pPr>
        <w:spacing w:after="0" w:line="240" w:lineRule="auto"/>
        <w:rPr>
          <w:rFonts w:ascii="Times New Roman" w:hAnsi="Times New Roman" w:cs="Times New Roman"/>
          <w:sz w:val="24"/>
          <w:szCs w:val="24"/>
        </w:rPr>
      </w:pPr>
      <w:r w:rsidRPr="00800A49">
        <w:rPr>
          <w:rFonts w:ascii="Times New Roman" w:hAnsi="Times New Roman" w:cs="Times New Roman"/>
          <w:sz w:val="24"/>
          <w:szCs w:val="24"/>
        </w:rPr>
        <w:t>ORCID: 0000-0002-9986-7629</w:t>
      </w:r>
    </w:p>
    <w:p w14:paraId="478DC5EE" w14:textId="77777777" w:rsidR="008461EA" w:rsidRPr="00800A49" w:rsidRDefault="008461EA" w:rsidP="008461EA">
      <w:pPr>
        <w:spacing w:after="0" w:line="240" w:lineRule="auto"/>
        <w:rPr>
          <w:rFonts w:ascii="Times New Roman" w:hAnsi="Times New Roman" w:cs="Times New Roman"/>
          <w:sz w:val="24"/>
          <w:szCs w:val="24"/>
        </w:rPr>
      </w:pPr>
    </w:p>
    <w:p w14:paraId="24EF0CE9" w14:textId="77777777" w:rsidR="008461EA" w:rsidRPr="00800A49" w:rsidRDefault="008461EA" w:rsidP="008461EA">
      <w:pPr>
        <w:spacing w:after="0" w:line="240" w:lineRule="auto"/>
        <w:rPr>
          <w:rFonts w:ascii="Times New Roman" w:hAnsi="Times New Roman" w:cs="Times New Roman"/>
          <w:sz w:val="24"/>
          <w:szCs w:val="24"/>
        </w:rPr>
      </w:pPr>
      <w:proofErr w:type="spellStart"/>
      <w:r w:rsidRPr="00800A49">
        <w:rPr>
          <w:rFonts w:ascii="Times New Roman" w:hAnsi="Times New Roman" w:cs="Times New Roman"/>
          <w:sz w:val="24"/>
          <w:szCs w:val="24"/>
        </w:rPr>
        <w:t>Utsana</w:t>
      </w:r>
      <w:proofErr w:type="spellEnd"/>
      <w:r w:rsidRPr="00800A49">
        <w:rPr>
          <w:rFonts w:ascii="Times New Roman" w:hAnsi="Times New Roman" w:cs="Times New Roman"/>
          <w:sz w:val="24"/>
          <w:szCs w:val="24"/>
        </w:rPr>
        <w:t xml:space="preserve"> </w:t>
      </w:r>
      <w:proofErr w:type="spellStart"/>
      <w:r w:rsidRPr="00800A49">
        <w:rPr>
          <w:rFonts w:ascii="Times New Roman" w:hAnsi="Times New Roman" w:cs="Times New Roman"/>
          <w:sz w:val="24"/>
          <w:szCs w:val="24"/>
        </w:rPr>
        <w:t>Tonmukayakul</w:t>
      </w:r>
      <w:proofErr w:type="spellEnd"/>
      <w:r w:rsidRPr="00800A49">
        <w:rPr>
          <w:rFonts w:ascii="Times New Roman" w:hAnsi="Times New Roman" w:cs="Times New Roman"/>
          <w:sz w:val="24"/>
          <w:szCs w:val="24"/>
        </w:rPr>
        <w:t xml:space="preserve">, DDS MPH </w:t>
      </w:r>
      <w:proofErr w:type="spellStart"/>
      <w:r w:rsidRPr="00800A49">
        <w:rPr>
          <w:rFonts w:ascii="Times New Roman" w:hAnsi="Times New Roman" w:cs="Times New Roman"/>
          <w:sz w:val="24"/>
          <w:szCs w:val="24"/>
        </w:rPr>
        <w:t>MHEcon</w:t>
      </w:r>
      <w:proofErr w:type="spellEnd"/>
    </w:p>
    <w:p w14:paraId="01CF0B22" w14:textId="77777777" w:rsidR="008461EA" w:rsidRPr="00800A49" w:rsidRDefault="008461EA" w:rsidP="008461EA">
      <w:pPr>
        <w:spacing w:after="0" w:line="240" w:lineRule="auto"/>
        <w:rPr>
          <w:rFonts w:ascii="Times New Roman" w:hAnsi="Times New Roman" w:cs="Times New Roman"/>
          <w:sz w:val="24"/>
          <w:szCs w:val="24"/>
        </w:rPr>
      </w:pPr>
      <w:r w:rsidRPr="00800A49">
        <w:rPr>
          <w:rFonts w:ascii="Times New Roman" w:hAnsi="Times New Roman" w:cs="Times New Roman"/>
          <w:sz w:val="24"/>
          <w:szCs w:val="24"/>
        </w:rPr>
        <w:t>Deakin Health Economics</w:t>
      </w:r>
    </w:p>
    <w:p w14:paraId="7EEACB93" w14:textId="77777777" w:rsidR="008461EA" w:rsidRPr="00800A49" w:rsidRDefault="008461EA" w:rsidP="008461EA">
      <w:pPr>
        <w:spacing w:after="0" w:line="240" w:lineRule="auto"/>
        <w:rPr>
          <w:rFonts w:ascii="Times New Roman" w:hAnsi="Times New Roman" w:cs="Times New Roman"/>
          <w:sz w:val="24"/>
          <w:szCs w:val="24"/>
        </w:rPr>
      </w:pPr>
      <w:r w:rsidRPr="00800A49">
        <w:rPr>
          <w:rFonts w:ascii="Times New Roman" w:hAnsi="Times New Roman" w:cs="Times New Roman"/>
          <w:sz w:val="24"/>
          <w:szCs w:val="24"/>
        </w:rPr>
        <w:t>Deakin University</w:t>
      </w:r>
    </w:p>
    <w:p w14:paraId="1090B766" w14:textId="77777777" w:rsidR="008461EA" w:rsidRPr="00800A49" w:rsidRDefault="008461EA" w:rsidP="008461EA">
      <w:pPr>
        <w:spacing w:after="0" w:line="240" w:lineRule="auto"/>
        <w:rPr>
          <w:rFonts w:ascii="Times New Roman" w:hAnsi="Times New Roman" w:cs="Times New Roman"/>
          <w:sz w:val="24"/>
          <w:szCs w:val="24"/>
        </w:rPr>
      </w:pPr>
      <w:r w:rsidRPr="00800A49">
        <w:rPr>
          <w:rFonts w:ascii="Times New Roman" w:hAnsi="Times New Roman" w:cs="Times New Roman"/>
          <w:sz w:val="24"/>
          <w:szCs w:val="24"/>
        </w:rPr>
        <w:t>Melbourne, Victoria</w:t>
      </w:r>
    </w:p>
    <w:p w14:paraId="1AD88B50" w14:textId="77777777" w:rsidR="008461EA" w:rsidRPr="00800A49" w:rsidRDefault="008461EA" w:rsidP="008461EA">
      <w:pPr>
        <w:spacing w:after="0" w:line="240" w:lineRule="auto"/>
        <w:rPr>
          <w:rFonts w:ascii="Times New Roman" w:hAnsi="Times New Roman" w:cs="Times New Roman"/>
          <w:sz w:val="24"/>
          <w:szCs w:val="24"/>
        </w:rPr>
      </w:pPr>
      <w:r w:rsidRPr="00800A49">
        <w:rPr>
          <w:rFonts w:ascii="Times New Roman" w:hAnsi="Times New Roman" w:cs="Times New Roman"/>
          <w:sz w:val="24"/>
          <w:szCs w:val="24"/>
        </w:rPr>
        <w:t>Australia</w:t>
      </w:r>
    </w:p>
    <w:p w14:paraId="00654BF1" w14:textId="77777777" w:rsidR="008461EA" w:rsidRPr="00800A49" w:rsidRDefault="008461EA" w:rsidP="008461EA">
      <w:pPr>
        <w:spacing w:after="0" w:line="240" w:lineRule="auto"/>
        <w:rPr>
          <w:rFonts w:ascii="Times New Roman" w:hAnsi="Times New Roman" w:cs="Times New Roman"/>
          <w:sz w:val="24"/>
          <w:szCs w:val="24"/>
        </w:rPr>
      </w:pPr>
      <w:r w:rsidRPr="00800A49">
        <w:rPr>
          <w:rFonts w:ascii="Times New Roman" w:hAnsi="Times New Roman" w:cs="Times New Roman"/>
          <w:sz w:val="24"/>
          <w:szCs w:val="24"/>
        </w:rPr>
        <w:t>ORCID: 0000-0002-6464-744X</w:t>
      </w:r>
    </w:p>
    <w:p w14:paraId="491F01CA" w14:textId="77777777" w:rsidR="008461EA" w:rsidRPr="00800A49" w:rsidRDefault="008461EA" w:rsidP="008461EA">
      <w:pPr>
        <w:spacing w:after="0" w:line="240" w:lineRule="auto"/>
        <w:rPr>
          <w:rFonts w:ascii="Times New Roman" w:hAnsi="Times New Roman" w:cs="Times New Roman"/>
          <w:sz w:val="24"/>
          <w:szCs w:val="24"/>
        </w:rPr>
      </w:pPr>
    </w:p>
    <w:p w14:paraId="459486CA" w14:textId="77777777" w:rsidR="008461EA" w:rsidRPr="00800A49" w:rsidRDefault="008461EA" w:rsidP="008461EA">
      <w:pPr>
        <w:spacing w:after="0" w:line="240" w:lineRule="auto"/>
        <w:rPr>
          <w:rFonts w:ascii="Times New Roman" w:hAnsi="Times New Roman" w:cs="Times New Roman"/>
          <w:sz w:val="24"/>
          <w:szCs w:val="24"/>
        </w:rPr>
      </w:pPr>
      <w:r w:rsidRPr="00800A49">
        <w:rPr>
          <w:rFonts w:ascii="Times New Roman" w:hAnsi="Times New Roman" w:cs="Times New Roman"/>
          <w:sz w:val="24"/>
          <w:szCs w:val="24"/>
        </w:rPr>
        <w:t>Long Khanh-Dao Le, PhD</w:t>
      </w:r>
    </w:p>
    <w:p w14:paraId="6E03C487" w14:textId="77777777" w:rsidR="008461EA" w:rsidRPr="00800A49" w:rsidRDefault="008461EA" w:rsidP="008461EA">
      <w:pPr>
        <w:spacing w:after="0" w:line="240" w:lineRule="auto"/>
        <w:rPr>
          <w:rFonts w:ascii="Times New Roman" w:hAnsi="Times New Roman" w:cs="Times New Roman"/>
          <w:sz w:val="24"/>
          <w:szCs w:val="24"/>
        </w:rPr>
      </w:pPr>
      <w:r w:rsidRPr="00800A49">
        <w:rPr>
          <w:rFonts w:ascii="Times New Roman" w:hAnsi="Times New Roman" w:cs="Times New Roman"/>
          <w:sz w:val="24"/>
          <w:szCs w:val="24"/>
        </w:rPr>
        <w:t>Public Health and Preventive Medicine</w:t>
      </w:r>
    </w:p>
    <w:p w14:paraId="21976462" w14:textId="77777777" w:rsidR="008461EA" w:rsidRPr="00800A49" w:rsidRDefault="008461EA" w:rsidP="008461EA">
      <w:pPr>
        <w:spacing w:after="0" w:line="240" w:lineRule="auto"/>
        <w:rPr>
          <w:rFonts w:ascii="Times New Roman" w:hAnsi="Times New Roman" w:cs="Times New Roman"/>
          <w:sz w:val="24"/>
          <w:szCs w:val="24"/>
        </w:rPr>
      </w:pPr>
      <w:r w:rsidRPr="00800A49">
        <w:rPr>
          <w:rFonts w:ascii="Times New Roman" w:hAnsi="Times New Roman" w:cs="Times New Roman"/>
          <w:sz w:val="24"/>
          <w:szCs w:val="24"/>
        </w:rPr>
        <w:t>Monash University</w:t>
      </w:r>
    </w:p>
    <w:p w14:paraId="47F2C876" w14:textId="77777777" w:rsidR="008461EA" w:rsidRPr="00800A49" w:rsidRDefault="008461EA" w:rsidP="008461EA">
      <w:pPr>
        <w:spacing w:after="0" w:line="240" w:lineRule="auto"/>
        <w:rPr>
          <w:rFonts w:ascii="Times New Roman" w:hAnsi="Times New Roman" w:cs="Times New Roman"/>
          <w:sz w:val="24"/>
          <w:szCs w:val="24"/>
        </w:rPr>
      </w:pPr>
      <w:r w:rsidRPr="00800A49">
        <w:rPr>
          <w:rFonts w:ascii="Times New Roman" w:hAnsi="Times New Roman" w:cs="Times New Roman"/>
          <w:sz w:val="24"/>
          <w:szCs w:val="24"/>
        </w:rPr>
        <w:t>Melbourne, Victoria</w:t>
      </w:r>
    </w:p>
    <w:p w14:paraId="48012DEF" w14:textId="77777777" w:rsidR="008461EA" w:rsidRPr="00800A49" w:rsidRDefault="008461EA" w:rsidP="008461EA">
      <w:pPr>
        <w:spacing w:after="0" w:line="240" w:lineRule="auto"/>
        <w:rPr>
          <w:rFonts w:ascii="Times New Roman" w:hAnsi="Times New Roman" w:cs="Times New Roman"/>
          <w:sz w:val="24"/>
          <w:szCs w:val="24"/>
        </w:rPr>
      </w:pPr>
      <w:r w:rsidRPr="00800A49">
        <w:rPr>
          <w:rFonts w:ascii="Times New Roman" w:hAnsi="Times New Roman" w:cs="Times New Roman"/>
          <w:sz w:val="24"/>
          <w:szCs w:val="24"/>
        </w:rPr>
        <w:t>Australia</w:t>
      </w:r>
    </w:p>
    <w:p w14:paraId="704C0635" w14:textId="77777777" w:rsidR="008461EA" w:rsidRPr="00800A49" w:rsidRDefault="008461EA" w:rsidP="008461EA">
      <w:pPr>
        <w:spacing w:after="0" w:line="240" w:lineRule="auto"/>
        <w:rPr>
          <w:rFonts w:ascii="Times New Roman" w:hAnsi="Times New Roman" w:cs="Times New Roman"/>
          <w:sz w:val="24"/>
          <w:szCs w:val="24"/>
        </w:rPr>
      </w:pPr>
      <w:r w:rsidRPr="00800A49">
        <w:rPr>
          <w:rFonts w:ascii="Times New Roman" w:hAnsi="Times New Roman" w:cs="Times New Roman"/>
          <w:sz w:val="24"/>
          <w:szCs w:val="24"/>
        </w:rPr>
        <w:t>ORCID: 0000-0002-9442-6824</w:t>
      </w:r>
    </w:p>
    <w:p w14:paraId="2F971E09" w14:textId="77777777" w:rsidR="008461EA" w:rsidRPr="00800A49" w:rsidRDefault="008461EA" w:rsidP="008461EA">
      <w:pPr>
        <w:spacing w:after="0" w:line="240" w:lineRule="auto"/>
        <w:rPr>
          <w:rFonts w:ascii="Times New Roman" w:hAnsi="Times New Roman" w:cs="Times New Roman"/>
          <w:sz w:val="24"/>
          <w:szCs w:val="24"/>
        </w:rPr>
      </w:pPr>
    </w:p>
    <w:p w14:paraId="5367FFA2" w14:textId="77777777" w:rsidR="008461EA" w:rsidRPr="00800A49" w:rsidRDefault="008461EA" w:rsidP="008461EA">
      <w:pPr>
        <w:spacing w:after="0" w:line="240" w:lineRule="auto"/>
        <w:rPr>
          <w:rFonts w:ascii="Times New Roman" w:hAnsi="Times New Roman" w:cs="Times New Roman"/>
          <w:sz w:val="24"/>
          <w:szCs w:val="24"/>
        </w:rPr>
      </w:pPr>
      <w:r w:rsidRPr="00800A49">
        <w:rPr>
          <w:rFonts w:ascii="Times New Roman" w:hAnsi="Times New Roman" w:cs="Times New Roman"/>
          <w:sz w:val="24"/>
          <w:szCs w:val="24"/>
        </w:rPr>
        <w:t>Hanny Calache, DPH</w:t>
      </w:r>
    </w:p>
    <w:p w14:paraId="57C6C4D0" w14:textId="77777777" w:rsidR="008461EA" w:rsidRPr="00800A49" w:rsidRDefault="008461EA" w:rsidP="008461EA">
      <w:pPr>
        <w:spacing w:after="0" w:line="240" w:lineRule="auto"/>
        <w:rPr>
          <w:rFonts w:ascii="Times New Roman" w:hAnsi="Times New Roman" w:cs="Times New Roman"/>
          <w:sz w:val="24"/>
          <w:szCs w:val="24"/>
        </w:rPr>
      </w:pPr>
      <w:r w:rsidRPr="00800A49">
        <w:rPr>
          <w:rFonts w:ascii="Times New Roman" w:hAnsi="Times New Roman" w:cs="Times New Roman"/>
          <w:sz w:val="24"/>
          <w:szCs w:val="24"/>
        </w:rPr>
        <w:t>Deakin Health Economics</w:t>
      </w:r>
    </w:p>
    <w:p w14:paraId="7F794D07" w14:textId="77777777" w:rsidR="008461EA" w:rsidRPr="00800A49" w:rsidRDefault="008461EA" w:rsidP="008461EA">
      <w:pPr>
        <w:spacing w:after="0" w:line="240" w:lineRule="auto"/>
        <w:rPr>
          <w:rFonts w:ascii="Times New Roman" w:hAnsi="Times New Roman" w:cs="Times New Roman"/>
          <w:sz w:val="24"/>
          <w:szCs w:val="24"/>
        </w:rPr>
      </w:pPr>
      <w:r w:rsidRPr="00800A49">
        <w:rPr>
          <w:rFonts w:ascii="Times New Roman" w:hAnsi="Times New Roman" w:cs="Times New Roman"/>
          <w:sz w:val="24"/>
          <w:szCs w:val="24"/>
        </w:rPr>
        <w:t>Deakin University</w:t>
      </w:r>
    </w:p>
    <w:p w14:paraId="6B8D1434" w14:textId="77777777" w:rsidR="008461EA" w:rsidRPr="00800A49" w:rsidRDefault="008461EA" w:rsidP="008461EA">
      <w:pPr>
        <w:spacing w:after="0" w:line="240" w:lineRule="auto"/>
        <w:rPr>
          <w:rFonts w:ascii="Times New Roman" w:hAnsi="Times New Roman" w:cs="Times New Roman"/>
          <w:sz w:val="24"/>
          <w:szCs w:val="24"/>
        </w:rPr>
      </w:pPr>
      <w:r w:rsidRPr="00800A49">
        <w:rPr>
          <w:rFonts w:ascii="Times New Roman" w:hAnsi="Times New Roman" w:cs="Times New Roman"/>
          <w:sz w:val="24"/>
          <w:szCs w:val="24"/>
        </w:rPr>
        <w:t>Melbourne, Victoria</w:t>
      </w:r>
    </w:p>
    <w:p w14:paraId="1E4D091A" w14:textId="77777777" w:rsidR="008461EA" w:rsidRPr="00800A49" w:rsidRDefault="008461EA" w:rsidP="008461EA">
      <w:pPr>
        <w:spacing w:after="0" w:line="240" w:lineRule="auto"/>
        <w:rPr>
          <w:rFonts w:ascii="Times New Roman" w:hAnsi="Times New Roman" w:cs="Times New Roman"/>
          <w:sz w:val="24"/>
          <w:szCs w:val="24"/>
        </w:rPr>
      </w:pPr>
      <w:r w:rsidRPr="00800A49">
        <w:rPr>
          <w:rFonts w:ascii="Times New Roman" w:hAnsi="Times New Roman" w:cs="Times New Roman"/>
          <w:sz w:val="24"/>
          <w:szCs w:val="24"/>
        </w:rPr>
        <w:t>Australia</w:t>
      </w:r>
    </w:p>
    <w:p w14:paraId="0C62E7D1" w14:textId="77777777" w:rsidR="008461EA" w:rsidRPr="00800A49" w:rsidRDefault="008461EA" w:rsidP="008461EA">
      <w:pPr>
        <w:spacing w:after="0" w:line="240" w:lineRule="auto"/>
        <w:rPr>
          <w:rFonts w:ascii="Times New Roman" w:hAnsi="Times New Roman" w:cs="Times New Roman"/>
          <w:sz w:val="24"/>
          <w:szCs w:val="24"/>
        </w:rPr>
      </w:pPr>
      <w:r w:rsidRPr="00800A49">
        <w:rPr>
          <w:rFonts w:ascii="Times New Roman" w:hAnsi="Times New Roman" w:cs="Times New Roman"/>
          <w:sz w:val="24"/>
          <w:szCs w:val="24"/>
        </w:rPr>
        <w:t>ORCID: 0000-0002-1613-0585</w:t>
      </w:r>
    </w:p>
    <w:p w14:paraId="4963E756" w14:textId="77777777" w:rsidR="008461EA" w:rsidRPr="00800A49" w:rsidRDefault="008461EA" w:rsidP="008461EA">
      <w:pPr>
        <w:spacing w:after="0" w:line="240" w:lineRule="auto"/>
        <w:rPr>
          <w:rFonts w:ascii="Times New Roman" w:hAnsi="Times New Roman" w:cs="Times New Roman"/>
          <w:sz w:val="24"/>
          <w:szCs w:val="24"/>
        </w:rPr>
      </w:pPr>
    </w:p>
    <w:p w14:paraId="18AEA0BE" w14:textId="77777777" w:rsidR="008461EA" w:rsidRPr="00800A49" w:rsidRDefault="008461EA" w:rsidP="008461EA">
      <w:pPr>
        <w:spacing w:after="0" w:line="240" w:lineRule="auto"/>
        <w:rPr>
          <w:rFonts w:ascii="Times New Roman" w:hAnsi="Times New Roman" w:cs="Times New Roman"/>
          <w:sz w:val="24"/>
          <w:szCs w:val="24"/>
        </w:rPr>
      </w:pPr>
      <w:proofErr w:type="spellStart"/>
      <w:r w:rsidRPr="00800A49">
        <w:rPr>
          <w:rFonts w:ascii="Times New Roman" w:hAnsi="Times New Roman" w:cs="Times New Roman"/>
          <w:sz w:val="24"/>
          <w:szCs w:val="24"/>
        </w:rPr>
        <w:t>Cathrine</w:t>
      </w:r>
      <w:proofErr w:type="spellEnd"/>
      <w:r w:rsidRPr="00800A49">
        <w:rPr>
          <w:rFonts w:ascii="Times New Roman" w:hAnsi="Times New Roman" w:cs="Times New Roman"/>
          <w:sz w:val="24"/>
          <w:szCs w:val="24"/>
        </w:rPr>
        <w:t xml:space="preserve"> </w:t>
      </w:r>
      <w:proofErr w:type="spellStart"/>
      <w:r w:rsidRPr="00800A49">
        <w:rPr>
          <w:rFonts w:ascii="Times New Roman" w:hAnsi="Times New Roman" w:cs="Times New Roman"/>
          <w:sz w:val="24"/>
          <w:szCs w:val="24"/>
        </w:rPr>
        <w:t>Mihalopoulos</w:t>
      </w:r>
      <w:proofErr w:type="spellEnd"/>
      <w:r w:rsidRPr="00800A49">
        <w:rPr>
          <w:rFonts w:ascii="Times New Roman" w:hAnsi="Times New Roman" w:cs="Times New Roman"/>
          <w:sz w:val="24"/>
          <w:szCs w:val="24"/>
        </w:rPr>
        <w:t>, PhD</w:t>
      </w:r>
    </w:p>
    <w:p w14:paraId="7E594BF9" w14:textId="77777777" w:rsidR="008461EA" w:rsidRPr="00800A49" w:rsidRDefault="008461EA" w:rsidP="008461EA">
      <w:pPr>
        <w:spacing w:after="0" w:line="240" w:lineRule="auto"/>
        <w:rPr>
          <w:rFonts w:ascii="Times New Roman" w:hAnsi="Times New Roman" w:cs="Times New Roman"/>
          <w:sz w:val="24"/>
          <w:szCs w:val="24"/>
        </w:rPr>
      </w:pPr>
      <w:r w:rsidRPr="00800A49">
        <w:rPr>
          <w:rFonts w:ascii="Times New Roman" w:hAnsi="Times New Roman" w:cs="Times New Roman"/>
          <w:sz w:val="24"/>
          <w:szCs w:val="24"/>
        </w:rPr>
        <w:t>Public Health and Preventive Medicine</w:t>
      </w:r>
    </w:p>
    <w:p w14:paraId="42C47D14" w14:textId="77777777" w:rsidR="008461EA" w:rsidRPr="00800A49" w:rsidRDefault="008461EA" w:rsidP="008461EA">
      <w:pPr>
        <w:spacing w:after="0" w:line="240" w:lineRule="auto"/>
        <w:rPr>
          <w:rFonts w:ascii="Times New Roman" w:hAnsi="Times New Roman" w:cs="Times New Roman"/>
          <w:sz w:val="24"/>
          <w:szCs w:val="24"/>
        </w:rPr>
      </w:pPr>
      <w:r w:rsidRPr="00800A49">
        <w:rPr>
          <w:rFonts w:ascii="Times New Roman" w:hAnsi="Times New Roman" w:cs="Times New Roman"/>
          <w:sz w:val="24"/>
          <w:szCs w:val="24"/>
        </w:rPr>
        <w:t>Monash University</w:t>
      </w:r>
    </w:p>
    <w:p w14:paraId="06FF3838" w14:textId="77777777" w:rsidR="008461EA" w:rsidRPr="00800A49" w:rsidRDefault="008461EA" w:rsidP="008461EA">
      <w:pPr>
        <w:spacing w:after="0" w:line="240" w:lineRule="auto"/>
        <w:rPr>
          <w:rFonts w:ascii="Times New Roman" w:hAnsi="Times New Roman" w:cs="Times New Roman"/>
          <w:sz w:val="24"/>
          <w:szCs w:val="24"/>
        </w:rPr>
      </w:pPr>
      <w:r w:rsidRPr="00800A49">
        <w:rPr>
          <w:rFonts w:ascii="Times New Roman" w:hAnsi="Times New Roman" w:cs="Times New Roman"/>
          <w:sz w:val="24"/>
          <w:szCs w:val="24"/>
        </w:rPr>
        <w:t>Melbourne, Victoria</w:t>
      </w:r>
    </w:p>
    <w:p w14:paraId="081C688E" w14:textId="77777777" w:rsidR="008461EA" w:rsidRPr="00800A49" w:rsidRDefault="008461EA" w:rsidP="008461EA">
      <w:pPr>
        <w:spacing w:after="0" w:line="240" w:lineRule="auto"/>
        <w:rPr>
          <w:rFonts w:ascii="Times New Roman" w:hAnsi="Times New Roman" w:cs="Times New Roman"/>
          <w:sz w:val="24"/>
          <w:szCs w:val="24"/>
        </w:rPr>
      </w:pPr>
      <w:r w:rsidRPr="00800A49">
        <w:rPr>
          <w:rFonts w:ascii="Times New Roman" w:hAnsi="Times New Roman" w:cs="Times New Roman"/>
          <w:sz w:val="24"/>
          <w:szCs w:val="24"/>
        </w:rPr>
        <w:t>Australia</w:t>
      </w:r>
    </w:p>
    <w:p w14:paraId="44E3C981" w14:textId="77777777" w:rsidR="008461EA" w:rsidRPr="00800A49" w:rsidRDefault="008461EA" w:rsidP="008461EA">
      <w:pPr>
        <w:spacing w:after="0" w:line="240" w:lineRule="auto"/>
        <w:rPr>
          <w:rFonts w:ascii="Times New Roman" w:hAnsi="Times New Roman" w:cs="Times New Roman"/>
          <w:sz w:val="24"/>
          <w:szCs w:val="24"/>
        </w:rPr>
      </w:pPr>
      <w:r w:rsidRPr="00800A49">
        <w:rPr>
          <w:rFonts w:ascii="Times New Roman" w:hAnsi="Times New Roman" w:cs="Times New Roman"/>
          <w:sz w:val="24"/>
          <w:szCs w:val="24"/>
        </w:rPr>
        <w:t>ORCID: 0000-0002-7127-9462</w:t>
      </w:r>
    </w:p>
    <w:p w14:paraId="71B6435C" w14:textId="77777777" w:rsidR="008461EA" w:rsidRPr="00800A49" w:rsidRDefault="008461EA" w:rsidP="008461EA">
      <w:pPr>
        <w:spacing w:after="0" w:line="240" w:lineRule="auto"/>
        <w:rPr>
          <w:rFonts w:ascii="Times New Roman" w:hAnsi="Times New Roman" w:cs="Times New Roman"/>
          <w:sz w:val="24"/>
          <w:szCs w:val="24"/>
        </w:rPr>
      </w:pPr>
    </w:p>
    <w:p w14:paraId="78431708" w14:textId="77777777" w:rsidR="008461EA" w:rsidRPr="00800A49" w:rsidRDefault="008461EA" w:rsidP="008461EA">
      <w:pPr>
        <w:spacing w:after="0" w:line="240" w:lineRule="auto"/>
        <w:rPr>
          <w:rFonts w:ascii="Times New Roman" w:hAnsi="Times New Roman" w:cs="Times New Roman"/>
          <w:b/>
          <w:bCs/>
          <w:sz w:val="24"/>
          <w:szCs w:val="24"/>
        </w:rPr>
      </w:pPr>
      <w:r w:rsidRPr="00800A49">
        <w:rPr>
          <w:rFonts w:ascii="Times New Roman" w:hAnsi="Times New Roman" w:cs="Times New Roman"/>
          <w:b/>
          <w:bCs/>
          <w:sz w:val="24"/>
          <w:szCs w:val="24"/>
        </w:rPr>
        <w:t>Correspondence:</w:t>
      </w:r>
    </w:p>
    <w:p w14:paraId="40D77C6D" w14:textId="77777777" w:rsidR="008461EA" w:rsidRPr="00800A49" w:rsidRDefault="008461EA" w:rsidP="008461EA">
      <w:pPr>
        <w:spacing w:after="0" w:line="240" w:lineRule="auto"/>
        <w:rPr>
          <w:rFonts w:ascii="Times New Roman" w:hAnsi="Times New Roman" w:cs="Times New Roman"/>
          <w:sz w:val="24"/>
          <w:szCs w:val="24"/>
        </w:rPr>
      </w:pPr>
      <w:r w:rsidRPr="00800A49">
        <w:rPr>
          <w:rFonts w:ascii="Times New Roman" w:hAnsi="Times New Roman" w:cs="Times New Roman"/>
          <w:sz w:val="24"/>
          <w:szCs w:val="24"/>
        </w:rPr>
        <w:t>Tan Minh Nguyen</w:t>
      </w:r>
    </w:p>
    <w:p w14:paraId="25CD3871" w14:textId="77777777" w:rsidR="008461EA" w:rsidRPr="00800A49" w:rsidRDefault="008461EA" w:rsidP="008461EA">
      <w:pPr>
        <w:spacing w:after="0" w:line="240" w:lineRule="auto"/>
        <w:rPr>
          <w:rFonts w:ascii="Times New Roman" w:hAnsi="Times New Roman" w:cs="Times New Roman"/>
          <w:sz w:val="24"/>
          <w:szCs w:val="24"/>
        </w:rPr>
      </w:pPr>
      <w:proofErr w:type="spellStart"/>
      <w:r w:rsidRPr="00800A49">
        <w:rPr>
          <w:rFonts w:ascii="Times New Roman" w:hAnsi="Times New Roman" w:cs="Times New Roman"/>
          <w:sz w:val="24"/>
          <w:szCs w:val="24"/>
        </w:rPr>
        <w:t>BOralHlth</w:t>
      </w:r>
      <w:proofErr w:type="spellEnd"/>
      <w:r w:rsidRPr="00800A49">
        <w:rPr>
          <w:rFonts w:ascii="Times New Roman" w:hAnsi="Times New Roman" w:cs="Times New Roman"/>
          <w:sz w:val="24"/>
          <w:szCs w:val="24"/>
        </w:rPr>
        <w:t xml:space="preserve"> </w:t>
      </w:r>
      <w:proofErr w:type="spellStart"/>
      <w:r w:rsidRPr="00800A49">
        <w:rPr>
          <w:rFonts w:ascii="Times New Roman" w:hAnsi="Times New Roman" w:cs="Times New Roman"/>
          <w:sz w:val="24"/>
          <w:szCs w:val="24"/>
        </w:rPr>
        <w:t>GCertDenThrpy</w:t>
      </w:r>
      <w:proofErr w:type="spellEnd"/>
      <w:r w:rsidRPr="00800A49">
        <w:rPr>
          <w:rFonts w:ascii="Times New Roman" w:hAnsi="Times New Roman" w:cs="Times New Roman"/>
          <w:sz w:val="24"/>
          <w:szCs w:val="24"/>
        </w:rPr>
        <w:t xml:space="preserve"> MPH (</w:t>
      </w:r>
      <w:proofErr w:type="spellStart"/>
      <w:r w:rsidRPr="00800A49">
        <w:rPr>
          <w:rFonts w:ascii="Times New Roman" w:hAnsi="Times New Roman" w:cs="Times New Roman"/>
          <w:sz w:val="24"/>
          <w:szCs w:val="24"/>
        </w:rPr>
        <w:t>Melb</w:t>
      </w:r>
      <w:proofErr w:type="spellEnd"/>
      <w:r w:rsidRPr="00800A49">
        <w:rPr>
          <w:rFonts w:ascii="Times New Roman" w:hAnsi="Times New Roman" w:cs="Times New Roman"/>
          <w:sz w:val="24"/>
          <w:szCs w:val="24"/>
        </w:rPr>
        <w:t>) MSc (Clin Ed) (Edin)</w:t>
      </w:r>
    </w:p>
    <w:p w14:paraId="4CFB0E88" w14:textId="77777777" w:rsidR="008461EA" w:rsidRPr="00800A49" w:rsidRDefault="008461EA" w:rsidP="008461EA">
      <w:pPr>
        <w:spacing w:after="0" w:line="240" w:lineRule="auto"/>
        <w:rPr>
          <w:rFonts w:ascii="Times New Roman" w:hAnsi="Times New Roman" w:cs="Times New Roman"/>
          <w:sz w:val="24"/>
          <w:szCs w:val="24"/>
        </w:rPr>
      </w:pPr>
      <w:r w:rsidRPr="00800A49">
        <w:rPr>
          <w:rFonts w:ascii="Times New Roman" w:hAnsi="Times New Roman" w:cs="Times New Roman"/>
          <w:sz w:val="24"/>
          <w:szCs w:val="24"/>
        </w:rPr>
        <w:t>Deakin Health Economics, Institute of Health Transformation, Deakin University</w:t>
      </w:r>
    </w:p>
    <w:p w14:paraId="56695C2F" w14:textId="77777777" w:rsidR="008461EA" w:rsidRPr="00800A49" w:rsidRDefault="008461EA" w:rsidP="008461EA">
      <w:pPr>
        <w:spacing w:after="0" w:line="240" w:lineRule="auto"/>
        <w:rPr>
          <w:rFonts w:ascii="Times New Roman" w:hAnsi="Times New Roman" w:cs="Times New Roman"/>
          <w:sz w:val="24"/>
          <w:szCs w:val="24"/>
        </w:rPr>
      </w:pPr>
      <w:r w:rsidRPr="00800A49">
        <w:rPr>
          <w:rFonts w:ascii="Times New Roman" w:hAnsi="Times New Roman" w:cs="Times New Roman"/>
          <w:sz w:val="24"/>
          <w:szCs w:val="24"/>
        </w:rPr>
        <w:t>Level 3, Building BC, 221 Burwood Highway, Burwood VIC 2125 AUSTRALIA</w:t>
      </w:r>
    </w:p>
    <w:p w14:paraId="23025CAE" w14:textId="77777777" w:rsidR="008461EA" w:rsidRPr="00800A49" w:rsidRDefault="008461EA" w:rsidP="008461EA">
      <w:pPr>
        <w:spacing w:after="0" w:line="240" w:lineRule="auto"/>
        <w:rPr>
          <w:rFonts w:ascii="Times New Roman" w:hAnsi="Times New Roman" w:cs="Times New Roman"/>
          <w:sz w:val="24"/>
          <w:szCs w:val="24"/>
        </w:rPr>
      </w:pPr>
      <w:r w:rsidRPr="00800A49">
        <w:rPr>
          <w:rFonts w:ascii="Times New Roman" w:hAnsi="Times New Roman" w:cs="Times New Roman"/>
          <w:sz w:val="24"/>
          <w:szCs w:val="24"/>
        </w:rPr>
        <w:t>Email: tan.nguyen@deakin.edu.au</w:t>
      </w:r>
    </w:p>
    <w:p w14:paraId="2CAA3E61" w14:textId="77777777" w:rsidR="008461EA" w:rsidRPr="00800A49" w:rsidRDefault="008461EA" w:rsidP="008461EA">
      <w:pPr>
        <w:spacing w:after="0" w:line="240" w:lineRule="auto"/>
        <w:rPr>
          <w:rFonts w:ascii="Times New Roman" w:hAnsi="Times New Roman" w:cs="Times New Roman"/>
          <w:sz w:val="24"/>
          <w:szCs w:val="24"/>
        </w:rPr>
      </w:pPr>
      <w:r w:rsidRPr="00800A49">
        <w:rPr>
          <w:rFonts w:ascii="Times New Roman" w:hAnsi="Times New Roman" w:cs="Times New Roman"/>
          <w:sz w:val="24"/>
          <w:szCs w:val="24"/>
        </w:rPr>
        <w:t>Phone: +61432715420</w:t>
      </w:r>
    </w:p>
    <w:p w14:paraId="1A27C770" w14:textId="77777777" w:rsidR="008461EA" w:rsidRPr="00800A49" w:rsidRDefault="008461EA" w:rsidP="008461EA">
      <w:pPr>
        <w:spacing w:after="0" w:line="240" w:lineRule="auto"/>
        <w:rPr>
          <w:rFonts w:ascii="Times New Roman" w:hAnsi="Times New Roman" w:cs="Times New Roman"/>
          <w:sz w:val="24"/>
          <w:szCs w:val="24"/>
        </w:rPr>
      </w:pPr>
    </w:p>
    <w:p w14:paraId="42919C9A" w14:textId="77777777" w:rsidR="008461EA" w:rsidRPr="00800A49" w:rsidRDefault="008461EA" w:rsidP="008461EA">
      <w:pPr>
        <w:spacing w:after="0" w:line="240" w:lineRule="auto"/>
        <w:rPr>
          <w:rFonts w:ascii="Times New Roman" w:hAnsi="Times New Roman" w:cs="Times New Roman"/>
          <w:sz w:val="24"/>
          <w:szCs w:val="24"/>
        </w:rPr>
      </w:pPr>
      <w:r w:rsidRPr="00800A49">
        <w:rPr>
          <w:rFonts w:ascii="Times New Roman" w:hAnsi="Times New Roman" w:cs="Times New Roman"/>
          <w:b/>
          <w:bCs/>
          <w:sz w:val="24"/>
          <w:szCs w:val="24"/>
        </w:rPr>
        <w:lastRenderedPageBreak/>
        <w:t>Funding:</w:t>
      </w:r>
      <w:r w:rsidRPr="00800A49">
        <w:rPr>
          <w:rFonts w:ascii="Times New Roman" w:hAnsi="Times New Roman" w:cs="Times New Roman"/>
          <w:sz w:val="24"/>
          <w:szCs w:val="24"/>
        </w:rPr>
        <w:t xml:space="preserve"> This study was supported by the National Health and Medical Research Council Postgraduate Scholarship Scheme APP1189802 and the Australian Government Research Training Program (RTP) Scholarship.</w:t>
      </w:r>
    </w:p>
    <w:p w14:paraId="742AAE18" w14:textId="77777777" w:rsidR="008461EA" w:rsidRPr="00800A49" w:rsidRDefault="008461EA" w:rsidP="008461EA">
      <w:pPr>
        <w:spacing w:after="0" w:line="240" w:lineRule="auto"/>
        <w:rPr>
          <w:rFonts w:ascii="Times New Roman" w:hAnsi="Times New Roman" w:cs="Times New Roman"/>
          <w:sz w:val="24"/>
          <w:szCs w:val="24"/>
        </w:rPr>
      </w:pPr>
    </w:p>
    <w:p w14:paraId="3FA22491" w14:textId="673194E9" w:rsidR="008461EA" w:rsidRPr="00800A49" w:rsidRDefault="008461EA" w:rsidP="008461EA">
      <w:pPr>
        <w:spacing w:after="0" w:line="240" w:lineRule="auto"/>
        <w:rPr>
          <w:rFonts w:ascii="Times New Roman" w:hAnsi="Times New Roman" w:cs="Times New Roman"/>
          <w:sz w:val="24"/>
          <w:szCs w:val="24"/>
        </w:rPr>
      </w:pPr>
      <w:r w:rsidRPr="00800A49">
        <w:rPr>
          <w:rFonts w:ascii="Times New Roman" w:eastAsia="Times New Roman" w:hAnsi="Times New Roman" w:cs="Times New Roman"/>
          <w:b/>
          <w:sz w:val="24"/>
          <w:szCs w:val="24"/>
        </w:rPr>
        <w:t xml:space="preserve">Competing Interests: </w:t>
      </w:r>
      <w:r w:rsidRPr="00800A49">
        <w:rPr>
          <w:rFonts w:ascii="Times New Roman" w:eastAsia="Times New Roman" w:hAnsi="Times New Roman" w:cs="Times New Roman"/>
          <w:sz w:val="24"/>
          <w:szCs w:val="24"/>
        </w:rPr>
        <w:t>The authors have no competing interests to declare that are relevant to the content of this article.</w:t>
      </w:r>
    </w:p>
    <w:p w14:paraId="615D0949" w14:textId="3F357B5C" w:rsidR="008461EA" w:rsidRPr="00800A49" w:rsidRDefault="008461EA" w:rsidP="008461EA">
      <w:pPr>
        <w:spacing w:line="259" w:lineRule="auto"/>
        <w:rPr>
          <w:rFonts w:ascii="Times New Roman" w:hAnsi="Times New Roman" w:cs="Times New Roman"/>
          <w:b/>
          <w:bCs/>
          <w:sz w:val="24"/>
          <w:szCs w:val="24"/>
        </w:rPr>
      </w:pPr>
      <w:r w:rsidRPr="00800A49">
        <w:br w:type="page"/>
      </w:r>
    </w:p>
    <w:p w14:paraId="53EE541E" w14:textId="77777777" w:rsidR="008461EA" w:rsidRPr="00800A49" w:rsidRDefault="008461EA" w:rsidP="008461EA">
      <w:pPr>
        <w:rPr>
          <w:rFonts w:ascii="Times New Roman" w:hAnsi="Times New Roman" w:cs="Times New Roman"/>
          <w:b/>
          <w:bCs/>
          <w:sz w:val="24"/>
          <w:szCs w:val="24"/>
        </w:rPr>
      </w:pPr>
      <w:r w:rsidRPr="00800A49">
        <w:rPr>
          <w:rFonts w:ascii="Times New Roman" w:hAnsi="Times New Roman" w:cs="Times New Roman"/>
          <w:b/>
          <w:bCs/>
          <w:sz w:val="24"/>
          <w:szCs w:val="24"/>
        </w:rPr>
        <w:lastRenderedPageBreak/>
        <w:t>Appendix 1</w:t>
      </w:r>
    </w:p>
    <w:p w14:paraId="791DE9D9" w14:textId="77777777" w:rsidR="008461EA" w:rsidRPr="00800A49" w:rsidRDefault="008461EA" w:rsidP="008461EA">
      <w:pPr>
        <w:jc w:val="both"/>
        <w:rPr>
          <w:rFonts w:ascii="Times New Roman" w:hAnsi="Times New Roman" w:cs="Times New Roman"/>
          <w:sz w:val="24"/>
          <w:szCs w:val="24"/>
        </w:rPr>
      </w:pPr>
      <w:r w:rsidRPr="00800A49">
        <w:rPr>
          <w:rFonts w:ascii="Times New Roman" w:hAnsi="Times New Roman" w:cs="Times New Roman"/>
          <w:sz w:val="24"/>
          <w:szCs w:val="24"/>
        </w:rPr>
        <w:t>Key search terms:</w:t>
      </w:r>
    </w:p>
    <w:p w14:paraId="0BA119B4" w14:textId="77777777" w:rsidR="008461EA" w:rsidRPr="00800A49" w:rsidRDefault="008461EA" w:rsidP="008461EA">
      <w:pPr>
        <w:pStyle w:val="ListParagraph"/>
        <w:numPr>
          <w:ilvl w:val="0"/>
          <w:numId w:val="3"/>
        </w:numPr>
        <w:jc w:val="both"/>
        <w:rPr>
          <w:rFonts w:ascii="Times New Roman" w:hAnsi="Times New Roman" w:cs="Times New Roman"/>
          <w:sz w:val="24"/>
          <w:szCs w:val="24"/>
        </w:rPr>
      </w:pPr>
      <w:r w:rsidRPr="00800A49">
        <w:rPr>
          <w:rFonts w:ascii="Times New Roman" w:hAnsi="Times New Roman" w:cs="Times New Roman"/>
          <w:sz w:val="24"/>
          <w:szCs w:val="24"/>
        </w:rPr>
        <w:t>Dental caries [</w:t>
      </w:r>
      <w:proofErr w:type="spellStart"/>
      <w:r w:rsidRPr="00800A49">
        <w:rPr>
          <w:rFonts w:ascii="Times New Roman" w:hAnsi="Times New Roman" w:cs="Times New Roman"/>
          <w:sz w:val="24"/>
          <w:szCs w:val="24"/>
        </w:rPr>
        <w:t>MeSH</w:t>
      </w:r>
      <w:proofErr w:type="spellEnd"/>
      <w:r w:rsidRPr="00800A49">
        <w:rPr>
          <w:rFonts w:ascii="Times New Roman" w:hAnsi="Times New Roman" w:cs="Times New Roman"/>
          <w:sz w:val="24"/>
          <w:szCs w:val="24"/>
        </w:rPr>
        <w:t>], caries, dental decay, tooth decay, teeth decay</w:t>
      </w:r>
    </w:p>
    <w:p w14:paraId="3E63C936" w14:textId="77777777" w:rsidR="008461EA" w:rsidRPr="00800A49" w:rsidRDefault="008461EA" w:rsidP="008461EA">
      <w:pPr>
        <w:pStyle w:val="ListParagraph"/>
        <w:numPr>
          <w:ilvl w:val="0"/>
          <w:numId w:val="3"/>
        </w:numPr>
        <w:jc w:val="both"/>
        <w:rPr>
          <w:rFonts w:ascii="Times New Roman" w:hAnsi="Times New Roman" w:cs="Times New Roman"/>
          <w:sz w:val="24"/>
          <w:szCs w:val="24"/>
        </w:rPr>
      </w:pPr>
      <w:r w:rsidRPr="00800A49">
        <w:rPr>
          <w:rFonts w:ascii="Times New Roman" w:hAnsi="Times New Roman" w:cs="Times New Roman"/>
          <w:sz w:val="24"/>
          <w:szCs w:val="24"/>
        </w:rPr>
        <w:t>Periodontitis [</w:t>
      </w:r>
      <w:proofErr w:type="spellStart"/>
      <w:r w:rsidRPr="00800A49">
        <w:rPr>
          <w:rFonts w:ascii="Times New Roman" w:hAnsi="Times New Roman" w:cs="Times New Roman"/>
          <w:sz w:val="24"/>
          <w:szCs w:val="24"/>
        </w:rPr>
        <w:t>MeSH</w:t>
      </w:r>
      <w:proofErr w:type="spellEnd"/>
      <w:r w:rsidRPr="00800A49">
        <w:rPr>
          <w:rFonts w:ascii="Times New Roman" w:hAnsi="Times New Roman" w:cs="Times New Roman"/>
          <w:sz w:val="24"/>
          <w:szCs w:val="24"/>
        </w:rPr>
        <w:t>], periodontitis, periodontal disease, gingival disease, gum disease</w:t>
      </w:r>
    </w:p>
    <w:p w14:paraId="152AE6A6" w14:textId="77777777" w:rsidR="008461EA" w:rsidRPr="00800A49" w:rsidRDefault="008461EA" w:rsidP="008461EA">
      <w:pPr>
        <w:pStyle w:val="ListParagraph"/>
        <w:numPr>
          <w:ilvl w:val="0"/>
          <w:numId w:val="3"/>
        </w:numPr>
        <w:jc w:val="both"/>
        <w:rPr>
          <w:rFonts w:ascii="Times New Roman" w:hAnsi="Times New Roman" w:cs="Times New Roman"/>
          <w:sz w:val="24"/>
          <w:szCs w:val="24"/>
        </w:rPr>
      </w:pPr>
      <w:r w:rsidRPr="00800A49">
        <w:rPr>
          <w:rFonts w:ascii="Times New Roman" w:hAnsi="Times New Roman" w:cs="Times New Roman"/>
          <w:sz w:val="24"/>
          <w:szCs w:val="24"/>
        </w:rPr>
        <w:t>Tooth loss [</w:t>
      </w:r>
      <w:proofErr w:type="spellStart"/>
      <w:r w:rsidRPr="00800A49">
        <w:rPr>
          <w:rFonts w:ascii="Times New Roman" w:hAnsi="Times New Roman" w:cs="Times New Roman"/>
          <w:sz w:val="24"/>
          <w:szCs w:val="24"/>
        </w:rPr>
        <w:t>MeSH</w:t>
      </w:r>
      <w:proofErr w:type="spellEnd"/>
      <w:r w:rsidRPr="00800A49">
        <w:rPr>
          <w:rFonts w:ascii="Times New Roman" w:hAnsi="Times New Roman" w:cs="Times New Roman"/>
          <w:sz w:val="24"/>
          <w:szCs w:val="24"/>
        </w:rPr>
        <w:t>], tooth loss, teeth loss, tooth removal, teeth removal</w:t>
      </w:r>
    </w:p>
    <w:p w14:paraId="29DF3377" w14:textId="77777777" w:rsidR="008461EA" w:rsidRPr="00800A49" w:rsidRDefault="008461EA" w:rsidP="008461EA">
      <w:pPr>
        <w:pStyle w:val="ListParagraph"/>
        <w:numPr>
          <w:ilvl w:val="0"/>
          <w:numId w:val="3"/>
        </w:numPr>
        <w:jc w:val="both"/>
        <w:rPr>
          <w:rFonts w:ascii="Times New Roman" w:hAnsi="Times New Roman" w:cs="Times New Roman"/>
          <w:sz w:val="24"/>
          <w:szCs w:val="24"/>
        </w:rPr>
      </w:pPr>
      <w:r w:rsidRPr="00800A49">
        <w:rPr>
          <w:rFonts w:ascii="Times New Roman" w:hAnsi="Times New Roman" w:cs="Times New Roman"/>
          <w:sz w:val="24"/>
          <w:szCs w:val="24"/>
        </w:rPr>
        <w:t>Costs and Cost Analysis [</w:t>
      </w:r>
      <w:proofErr w:type="spellStart"/>
      <w:r w:rsidRPr="00800A49">
        <w:rPr>
          <w:rFonts w:ascii="Times New Roman" w:hAnsi="Times New Roman" w:cs="Times New Roman"/>
          <w:sz w:val="24"/>
          <w:szCs w:val="24"/>
        </w:rPr>
        <w:t>MeSH</w:t>
      </w:r>
      <w:proofErr w:type="spellEnd"/>
      <w:r w:rsidRPr="00800A49">
        <w:rPr>
          <w:rFonts w:ascii="Times New Roman" w:hAnsi="Times New Roman" w:cs="Times New Roman"/>
          <w:sz w:val="24"/>
          <w:szCs w:val="24"/>
        </w:rPr>
        <w:t>], economic evaluation, cost-effectiveness, cost-benefit, cost-utility, cost-minimisation, cost-saving, cost-consequence, return on investment, return in investment</w:t>
      </w:r>
    </w:p>
    <w:p w14:paraId="72C628CE" w14:textId="77777777" w:rsidR="008461EA" w:rsidRPr="00800A49" w:rsidRDefault="008461EA" w:rsidP="008461EA">
      <w:pPr>
        <w:spacing w:after="0"/>
        <w:jc w:val="center"/>
        <w:rPr>
          <w:rFonts w:ascii="Times New Roman" w:hAnsi="Times New Roman" w:cs="Times New Roman"/>
          <w:color w:val="000000"/>
          <w:sz w:val="24"/>
          <w:szCs w:val="24"/>
        </w:rPr>
      </w:pPr>
      <w:r w:rsidRPr="00800A49">
        <w:rPr>
          <w:rFonts w:ascii="Times New Roman" w:hAnsi="Times New Roman" w:cs="Times New Roman"/>
          <w:b/>
          <w:bCs/>
          <w:color w:val="000000"/>
          <w:sz w:val="24"/>
          <w:szCs w:val="24"/>
        </w:rPr>
        <w:t xml:space="preserve">Table 6. </w:t>
      </w:r>
      <w:r w:rsidRPr="00800A49">
        <w:rPr>
          <w:rFonts w:ascii="Times New Roman" w:hAnsi="Times New Roman" w:cs="Times New Roman"/>
          <w:color w:val="000000"/>
          <w:sz w:val="24"/>
          <w:szCs w:val="24"/>
        </w:rPr>
        <w:t>The following search strategy was applied in Medline and used consistently with all other electronic databases, wherever possible.</w:t>
      </w:r>
    </w:p>
    <w:tbl>
      <w:tblPr>
        <w:tblStyle w:val="TableGrid"/>
        <w:tblW w:w="0" w:type="auto"/>
        <w:tblLook w:val="04A0" w:firstRow="1" w:lastRow="0" w:firstColumn="1" w:lastColumn="0" w:noHBand="0" w:noVBand="1"/>
      </w:tblPr>
      <w:tblGrid>
        <w:gridCol w:w="1129"/>
        <w:gridCol w:w="7887"/>
      </w:tblGrid>
      <w:tr w:rsidR="008461EA" w:rsidRPr="00800A49" w14:paraId="0F5FC5F0" w14:textId="77777777" w:rsidTr="00720BDC">
        <w:tc>
          <w:tcPr>
            <w:tcW w:w="1129" w:type="dxa"/>
          </w:tcPr>
          <w:p w14:paraId="3718591A" w14:textId="77777777" w:rsidR="008461EA" w:rsidRPr="00800A49" w:rsidRDefault="008461EA" w:rsidP="00720BDC">
            <w:pPr>
              <w:spacing w:line="240" w:lineRule="auto"/>
              <w:rPr>
                <w:rFonts w:ascii="Times New Roman" w:hAnsi="Times New Roman" w:cs="Times New Roman"/>
              </w:rPr>
            </w:pPr>
            <w:r w:rsidRPr="00800A49">
              <w:rPr>
                <w:rFonts w:ascii="Times New Roman" w:hAnsi="Times New Roman" w:cs="Times New Roman"/>
              </w:rPr>
              <w:t>S1</w:t>
            </w:r>
          </w:p>
        </w:tc>
        <w:tc>
          <w:tcPr>
            <w:tcW w:w="7887" w:type="dxa"/>
          </w:tcPr>
          <w:p w14:paraId="3C1F146F" w14:textId="77777777" w:rsidR="008461EA" w:rsidRPr="00800A49" w:rsidRDefault="008461EA" w:rsidP="00720BDC">
            <w:pPr>
              <w:spacing w:line="240" w:lineRule="auto"/>
              <w:rPr>
                <w:rFonts w:ascii="Times New Roman" w:hAnsi="Times New Roman" w:cs="Times New Roman"/>
              </w:rPr>
            </w:pPr>
            <w:r w:rsidRPr="00800A49">
              <w:rPr>
                <w:rFonts w:ascii="Times New Roman" w:hAnsi="Times New Roman" w:cs="Times New Roman"/>
              </w:rPr>
              <w:t>"</w:t>
            </w:r>
            <w:proofErr w:type="gramStart"/>
            <w:r w:rsidRPr="00800A49">
              <w:rPr>
                <w:rFonts w:ascii="Times New Roman" w:hAnsi="Times New Roman" w:cs="Times New Roman"/>
              </w:rPr>
              <w:t>dental</w:t>
            </w:r>
            <w:proofErr w:type="gramEnd"/>
            <w:r w:rsidRPr="00800A49">
              <w:rPr>
                <w:rFonts w:ascii="Times New Roman" w:hAnsi="Times New Roman" w:cs="Times New Roman"/>
              </w:rPr>
              <w:t xml:space="preserve"> caries"</w:t>
            </w:r>
          </w:p>
        </w:tc>
      </w:tr>
      <w:tr w:rsidR="008461EA" w:rsidRPr="00800A49" w14:paraId="49BEEC09" w14:textId="77777777" w:rsidTr="00720BDC">
        <w:tc>
          <w:tcPr>
            <w:tcW w:w="1129" w:type="dxa"/>
          </w:tcPr>
          <w:p w14:paraId="683932F8" w14:textId="77777777" w:rsidR="008461EA" w:rsidRPr="00800A49" w:rsidRDefault="008461EA" w:rsidP="00720BDC">
            <w:pPr>
              <w:spacing w:line="240" w:lineRule="auto"/>
              <w:rPr>
                <w:rFonts w:ascii="Times New Roman" w:hAnsi="Times New Roman" w:cs="Times New Roman"/>
              </w:rPr>
            </w:pPr>
            <w:r w:rsidRPr="00800A49">
              <w:rPr>
                <w:rFonts w:ascii="Times New Roman" w:hAnsi="Times New Roman" w:cs="Times New Roman"/>
              </w:rPr>
              <w:t>S2</w:t>
            </w:r>
          </w:p>
        </w:tc>
        <w:tc>
          <w:tcPr>
            <w:tcW w:w="7887" w:type="dxa"/>
          </w:tcPr>
          <w:p w14:paraId="7565496E" w14:textId="77777777" w:rsidR="008461EA" w:rsidRPr="00800A49" w:rsidRDefault="008461EA" w:rsidP="00720BDC">
            <w:pPr>
              <w:autoSpaceDE w:val="0"/>
              <w:autoSpaceDN w:val="0"/>
              <w:adjustRightInd w:val="0"/>
              <w:spacing w:line="240" w:lineRule="auto"/>
              <w:rPr>
                <w:rFonts w:ascii="Times New Roman" w:hAnsi="Times New Roman" w:cs="Times New Roman"/>
              </w:rPr>
            </w:pPr>
            <w:r w:rsidRPr="00800A49">
              <w:rPr>
                <w:rFonts w:ascii="Times New Roman" w:hAnsi="Times New Roman" w:cs="Times New Roman"/>
              </w:rPr>
              <w:t>TI "caries" OR AB "caries"</w:t>
            </w:r>
          </w:p>
        </w:tc>
      </w:tr>
      <w:tr w:rsidR="008461EA" w:rsidRPr="00800A49" w14:paraId="39A52222" w14:textId="77777777" w:rsidTr="00720BDC">
        <w:tc>
          <w:tcPr>
            <w:tcW w:w="1129" w:type="dxa"/>
          </w:tcPr>
          <w:p w14:paraId="3C71DE7A" w14:textId="77777777" w:rsidR="008461EA" w:rsidRPr="00800A49" w:rsidRDefault="008461EA" w:rsidP="00720BDC">
            <w:pPr>
              <w:spacing w:line="240" w:lineRule="auto"/>
              <w:rPr>
                <w:rFonts w:ascii="Times New Roman" w:hAnsi="Times New Roman" w:cs="Times New Roman"/>
              </w:rPr>
            </w:pPr>
            <w:r w:rsidRPr="00800A49">
              <w:rPr>
                <w:rFonts w:ascii="Times New Roman" w:hAnsi="Times New Roman" w:cs="Times New Roman"/>
              </w:rPr>
              <w:t>S3</w:t>
            </w:r>
          </w:p>
        </w:tc>
        <w:tc>
          <w:tcPr>
            <w:tcW w:w="7887" w:type="dxa"/>
          </w:tcPr>
          <w:p w14:paraId="7770B38D" w14:textId="77777777" w:rsidR="008461EA" w:rsidRPr="00800A49" w:rsidRDefault="008461EA" w:rsidP="00720BDC">
            <w:pPr>
              <w:autoSpaceDE w:val="0"/>
              <w:autoSpaceDN w:val="0"/>
              <w:adjustRightInd w:val="0"/>
              <w:spacing w:line="240" w:lineRule="auto"/>
              <w:rPr>
                <w:rFonts w:ascii="Times New Roman" w:hAnsi="Times New Roman" w:cs="Times New Roman"/>
              </w:rPr>
            </w:pPr>
            <w:r w:rsidRPr="00800A49">
              <w:rPr>
                <w:rFonts w:ascii="Times New Roman" w:hAnsi="Times New Roman" w:cs="Times New Roman"/>
              </w:rPr>
              <w:t>TI "dental decay" OR AB "dental decay"</w:t>
            </w:r>
          </w:p>
        </w:tc>
      </w:tr>
      <w:tr w:rsidR="008461EA" w:rsidRPr="00800A49" w14:paraId="450F4696" w14:textId="77777777" w:rsidTr="00720BDC">
        <w:tc>
          <w:tcPr>
            <w:tcW w:w="1129" w:type="dxa"/>
          </w:tcPr>
          <w:p w14:paraId="0F1B3A36" w14:textId="77777777" w:rsidR="008461EA" w:rsidRPr="00800A49" w:rsidRDefault="008461EA" w:rsidP="00720BDC">
            <w:pPr>
              <w:spacing w:line="240" w:lineRule="auto"/>
              <w:rPr>
                <w:rFonts w:ascii="Times New Roman" w:hAnsi="Times New Roman" w:cs="Times New Roman"/>
              </w:rPr>
            </w:pPr>
            <w:r w:rsidRPr="00800A49">
              <w:rPr>
                <w:rFonts w:ascii="Times New Roman" w:hAnsi="Times New Roman" w:cs="Times New Roman"/>
              </w:rPr>
              <w:t>S4</w:t>
            </w:r>
          </w:p>
        </w:tc>
        <w:tc>
          <w:tcPr>
            <w:tcW w:w="7887" w:type="dxa"/>
          </w:tcPr>
          <w:p w14:paraId="2294E483" w14:textId="77777777" w:rsidR="008461EA" w:rsidRPr="00800A49" w:rsidRDefault="008461EA" w:rsidP="00720BDC">
            <w:pPr>
              <w:autoSpaceDE w:val="0"/>
              <w:autoSpaceDN w:val="0"/>
              <w:adjustRightInd w:val="0"/>
              <w:spacing w:line="240" w:lineRule="auto"/>
              <w:rPr>
                <w:rFonts w:ascii="Times New Roman" w:hAnsi="Times New Roman" w:cs="Times New Roman"/>
              </w:rPr>
            </w:pPr>
            <w:r w:rsidRPr="00800A49">
              <w:rPr>
                <w:rFonts w:ascii="Times New Roman" w:hAnsi="Times New Roman" w:cs="Times New Roman"/>
              </w:rPr>
              <w:t>TI "tooth decay" OR AB "tooth decay"</w:t>
            </w:r>
          </w:p>
        </w:tc>
      </w:tr>
      <w:tr w:rsidR="008461EA" w:rsidRPr="00800A49" w14:paraId="4004C0E6" w14:textId="77777777" w:rsidTr="00720BDC">
        <w:tc>
          <w:tcPr>
            <w:tcW w:w="1129" w:type="dxa"/>
          </w:tcPr>
          <w:p w14:paraId="7613CFE4" w14:textId="77777777" w:rsidR="008461EA" w:rsidRPr="00800A49" w:rsidRDefault="008461EA" w:rsidP="00720BDC">
            <w:pPr>
              <w:spacing w:line="240" w:lineRule="auto"/>
              <w:rPr>
                <w:rFonts w:ascii="Times New Roman" w:hAnsi="Times New Roman" w:cs="Times New Roman"/>
              </w:rPr>
            </w:pPr>
            <w:r w:rsidRPr="00800A49">
              <w:rPr>
                <w:rFonts w:ascii="Times New Roman" w:hAnsi="Times New Roman" w:cs="Times New Roman"/>
              </w:rPr>
              <w:t>S5</w:t>
            </w:r>
          </w:p>
        </w:tc>
        <w:tc>
          <w:tcPr>
            <w:tcW w:w="7887" w:type="dxa"/>
          </w:tcPr>
          <w:p w14:paraId="711B5124" w14:textId="77777777" w:rsidR="008461EA" w:rsidRPr="00800A49" w:rsidRDefault="008461EA" w:rsidP="00720BDC">
            <w:pPr>
              <w:autoSpaceDE w:val="0"/>
              <w:autoSpaceDN w:val="0"/>
              <w:adjustRightInd w:val="0"/>
              <w:spacing w:line="240" w:lineRule="auto"/>
              <w:rPr>
                <w:rFonts w:ascii="Times New Roman" w:hAnsi="Times New Roman" w:cs="Times New Roman"/>
              </w:rPr>
            </w:pPr>
            <w:r w:rsidRPr="00800A49">
              <w:rPr>
                <w:rFonts w:ascii="Times New Roman" w:hAnsi="Times New Roman" w:cs="Times New Roman"/>
              </w:rPr>
              <w:t>TI "teeth decay" OR AB "teeth decay"</w:t>
            </w:r>
          </w:p>
        </w:tc>
      </w:tr>
      <w:tr w:rsidR="008461EA" w:rsidRPr="00800A49" w14:paraId="7D0351DA" w14:textId="77777777" w:rsidTr="00720BDC">
        <w:tc>
          <w:tcPr>
            <w:tcW w:w="1129" w:type="dxa"/>
          </w:tcPr>
          <w:p w14:paraId="116903E9" w14:textId="77777777" w:rsidR="008461EA" w:rsidRPr="00800A49" w:rsidRDefault="008461EA" w:rsidP="00720BDC">
            <w:pPr>
              <w:spacing w:line="240" w:lineRule="auto"/>
              <w:rPr>
                <w:rFonts w:ascii="Times New Roman" w:hAnsi="Times New Roman" w:cs="Times New Roman"/>
              </w:rPr>
            </w:pPr>
            <w:r w:rsidRPr="00800A49">
              <w:rPr>
                <w:rFonts w:ascii="Times New Roman" w:hAnsi="Times New Roman" w:cs="Times New Roman"/>
              </w:rPr>
              <w:t>S6</w:t>
            </w:r>
          </w:p>
        </w:tc>
        <w:tc>
          <w:tcPr>
            <w:tcW w:w="7887" w:type="dxa"/>
          </w:tcPr>
          <w:p w14:paraId="04C7B8A5" w14:textId="77777777" w:rsidR="008461EA" w:rsidRPr="00800A49" w:rsidRDefault="008461EA" w:rsidP="00720BDC">
            <w:pPr>
              <w:autoSpaceDE w:val="0"/>
              <w:autoSpaceDN w:val="0"/>
              <w:adjustRightInd w:val="0"/>
              <w:spacing w:line="240" w:lineRule="auto"/>
              <w:rPr>
                <w:rFonts w:ascii="Times New Roman" w:hAnsi="Times New Roman" w:cs="Times New Roman"/>
              </w:rPr>
            </w:pPr>
            <w:r w:rsidRPr="00800A49">
              <w:rPr>
                <w:rFonts w:ascii="Times New Roman" w:hAnsi="Times New Roman" w:cs="Times New Roman"/>
              </w:rPr>
              <w:t>S1 OR S2 OR S3 OR S4 OR S5</w:t>
            </w:r>
          </w:p>
        </w:tc>
      </w:tr>
      <w:tr w:rsidR="008461EA" w:rsidRPr="00800A49" w14:paraId="3426305A" w14:textId="77777777" w:rsidTr="00720BDC">
        <w:tc>
          <w:tcPr>
            <w:tcW w:w="1129" w:type="dxa"/>
          </w:tcPr>
          <w:p w14:paraId="03681614" w14:textId="77777777" w:rsidR="008461EA" w:rsidRPr="00800A49" w:rsidRDefault="008461EA" w:rsidP="00720BDC">
            <w:pPr>
              <w:spacing w:line="240" w:lineRule="auto"/>
              <w:rPr>
                <w:rFonts w:ascii="Times New Roman" w:hAnsi="Times New Roman" w:cs="Times New Roman"/>
              </w:rPr>
            </w:pPr>
            <w:r w:rsidRPr="00800A49">
              <w:rPr>
                <w:rFonts w:ascii="Times New Roman" w:hAnsi="Times New Roman" w:cs="Times New Roman"/>
              </w:rPr>
              <w:t>S7</w:t>
            </w:r>
          </w:p>
        </w:tc>
        <w:tc>
          <w:tcPr>
            <w:tcW w:w="7887" w:type="dxa"/>
          </w:tcPr>
          <w:p w14:paraId="4B23B6BC" w14:textId="77777777" w:rsidR="008461EA" w:rsidRPr="00800A49" w:rsidRDefault="008461EA" w:rsidP="00720BDC">
            <w:pPr>
              <w:autoSpaceDE w:val="0"/>
              <w:autoSpaceDN w:val="0"/>
              <w:adjustRightInd w:val="0"/>
              <w:spacing w:line="240" w:lineRule="auto"/>
              <w:rPr>
                <w:rFonts w:ascii="Times New Roman" w:hAnsi="Times New Roman" w:cs="Times New Roman"/>
              </w:rPr>
            </w:pPr>
            <w:r w:rsidRPr="00800A49">
              <w:rPr>
                <w:rFonts w:ascii="Times New Roman" w:hAnsi="Times New Roman" w:cs="Times New Roman"/>
              </w:rPr>
              <w:t>"periodontitis"</w:t>
            </w:r>
          </w:p>
        </w:tc>
      </w:tr>
      <w:tr w:rsidR="008461EA" w:rsidRPr="00800A49" w14:paraId="2D975956" w14:textId="77777777" w:rsidTr="00720BDC">
        <w:tc>
          <w:tcPr>
            <w:tcW w:w="1129" w:type="dxa"/>
          </w:tcPr>
          <w:p w14:paraId="3819AF4F" w14:textId="77777777" w:rsidR="008461EA" w:rsidRPr="00800A49" w:rsidRDefault="008461EA" w:rsidP="00720BDC">
            <w:pPr>
              <w:spacing w:line="240" w:lineRule="auto"/>
              <w:rPr>
                <w:rFonts w:ascii="Times New Roman" w:hAnsi="Times New Roman" w:cs="Times New Roman"/>
              </w:rPr>
            </w:pPr>
            <w:r w:rsidRPr="00800A49">
              <w:rPr>
                <w:rFonts w:ascii="Times New Roman" w:hAnsi="Times New Roman" w:cs="Times New Roman"/>
              </w:rPr>
              <w:t>S8</w:t>
            </w:r>
          </w:p>
        </w:tc>
        <w:tc>
          <w:tcPr>
            <w:tcW w:w="7887" w:type="dxa"/>
          </w:tcPr>
          <w:p w14:paraId="4C672F88" w14:textId="77777777" w:rsidR="008461EA" w:rsidRPr="00800A49" w:rsidRDefault="008461EA" w:rsidP="00720BDC">
            <w:pPr>
              <w:autoSpaceDE w:val="0"/>
              <w:autoSpaceDN w:val="0"/>
              <w:adjustRightInd w:val="0"/>
              <w:spacing w:line="240" w:lineRule="auto"/>
              <w:rPr>
                <w:rFonts w:ascii="Times New Roman" w:hAnsi="Times New Roman" w:cs="Times New Roman"/>
              </w:rPr>
            </w:pPr>
            <w:r w:rsidRPr="00800A49">
              <w:rPr>
                <w:rFonts w:ascii="Times New Roman" w:hAnsi="Times New Roman" w:cs="Times New Roman"/>
              </w:rPr>
              <w:t>TI "periodontitis" OR AB "periodontitis"</w:t>
            </w:r>
          </w:p>
        </w:tc>
      </w:tr>
      <w:tr w:rsidR="008461EA" w:rsidRPr="00800A49" w14:paraId="494E58D7" w14:textId="77777777" w:rsidTr="00720BDC">
        <w:tc>
          <w:tcPr>
            <w:tcW w:w="1129" w:type="dxa"/>
          </w:tcPr>
          <w:p w14:paraId="224B056C" w14:textId="77777777" w:rsidR="008461EA" w:rsidRPr="00800A49" w:rsidRDefault="008461EA" w:rsidP="00720BDC">
            <w:pPr>
              <w:spacing w:line="240" w:lineRule="auto"/>
              <w:rPr>
                <w:rFonts w:ascii="Times New Roman" w:hAnsi="Times New Roman" w:cs="Times New Roman"/>
              </w:rPr>
            </w:pPr>
            <w:r w:rsidRPr="00800A49">
              <w:rPr>
                <w:rFonts w:ascii="Times New Roman" w:hAnsi="Times New Roman" w:cs="Times New Roman"/>
              </w:rPr>
              <w:t>S9</w:t>
            </w:r>
          </w:p>
        </w:tc>
        <w:tc>
          <w:tcPr>
            <w:tcW w:w="7887" w:type="dxa"/>
          </w:tcPr>
          <w:p w14:paraId="331BB728" w14:textId="77777777" w:rsidR="008461EA" w:rsidRPr="00800A49" w:rsidRDefault="008461EA" w:rsidP="00720BDC">
            <w:pPr>
              <w:autoSpaceDE w:val="0"/>
              <w:autoSpaceDN w:val="0"/>
              <w:adjustRightInd w:val="0"/>
              <w:spacing w:line="240" w:lineRule="auto"/>
              <w:rPr>
                <w:rFonts w:ascii="Times New Roman" w:hAnsi="Times New Roman" w:cs="Times New Roman"/>
              </w:rPr>
            </w:pPr>
            <w:r w:rsidRPr="00800A49">
              <w:rPr>
                <w:rFonts w:ascii="Times New Roman" w:hAnsi="Times New Roman" w:cs="Times New Roman"/>
              </w:rPr>
              <w:t>TI "periodontal disease" OR AB "periodontal disease"</w:t>
            </w:r>
          </w:p>
        </w:tc>
      </w:tr>
      <w:tr w:rsidR="008461EA" w:rsidRPr="00800A49" w14:paraId="11E6F343" w14:textId="77777777" w:rsidTr="00720BDC">
        <w:tc>
          <w:tcPr>
            <w:tcW w:w="1129" w:type="dxa"/>
          </w:tcPr>
          <w:p w14:paraId="5DB30BBE" w14:textId="77777777" w:rsidR="008461EA" w:rsidRPr="00800A49" w:rsidRDefault="008461EA" w:rsidP="00720BDC">
            <w:pPr>
              <w:spacing w:line="240" w:lineRule="auto"/>
              <w:rPr>
                <w:rFonts w:ascii="Times New Roman" w:hAnsi="Times New Roman" w:cs="Times New Roman"/>
              </w:rPr>
            </w:pPr>
            <w:r w:rsidRPr="00800A49">
              <w:rPr>
                <w:rFonts w:ascii="Times New Roman" w:hAnsi="Times New Roman" w:cs="Times New Roman"/>
              </w:rPr>
              <w:t>S10</w:t>
            </w:r>
          </w:p>
        </w:tc>
        <w:tc>
          <w:tcPr>
            <w:tcW w:w="7887" w:type="dxa"/>
          </w:tcPr>
          <w:p w14:paraId="38D6577C" w14:textId="77777777" w:rsidR="008461EA" w:rsidRPr="00800A49" w:rsidRDefault="008461EA" w:rsidP="00720BDC">
            <w:pPr>
              <w:autoSpaceDE w:val="0"/>
              <w:autoSpaceDN w:val="0"/>
              <w:adjustRightInd w:val="0"/>
              <w:spacing w:line="240" w:lineRule="auto"/>
              <w:rPr>
                <w:rFonts w:ascii="Times New Roman" w:hAnsi="Times New Roman" w:cs="Times New Roman"/>
              </w:rPr>
            </w:pPr>
            <w:r w:rsidRPr="00800A49">
              <w:rPr>
                <w:rFonts w:ascii="Times New Roman" w:hAnsi="Times New Roman" w:cs="Times New Roman"/>
              </w:rPr>
              <w:t>TI "gingival disease" OR AB "gingival disease"</w:t>
            </w:r>
          </w:p>
        </w:tc>
      </w:tr>
      <w:tr w:rsidR="008461EA" w:rsidRPr="00800A49" w14:paraId="157C27CD" w14:textId="77777777" w:rsidTr="00720BDC">
        <w:tc>
          <w:tcPr>
            <w:tcW w:w="1129" w:type="dxa"/>
          </w:tcPr>
          <w:p w14:paraId="640F0231" w14:textId="77777777" w:rsidR="008461EA" w:rsidRPr="00800A49" w:rsidRDefault="008461EA" w:rsidP="00720BDC">
            <w:pPr>
              <w:spacing w:line="240" w:lineRule="auto"/>
              <w:rPr>
                <w:rFonts w:ascii="Times New Roman" w:hAnsi="Times New Roman" w:cs="Times New Roman"/>
              </w:rPr>
            </w:pPr>
            <w:r w:rsidRPr="00800A49">
              <w:rPr>
                <w:rFonts w:ascii="Times New Roman" w:hAnsi="Times New Roman" w:cs="Times New Roman"/>
              </w:rPr>
              <w:t>S11</w:t>
            </w:r>
          </w:p>
        </w:tc>
        <w:tc>
          <w:tcPr>
            <w:tcW w:w="7887" w:type="dxa"/>
          </w:tcPr>
          <w:p w14:paraId="2ED3FC20" w14:textId="77777777" w:rsidR="008461EA" w:rsidRPr="00800A49" w:rsidRDefault="008461EA" w:rsidP="00720BDC">
            <w:pPr>
              <w:autoSpaceDE w:val="0"/>
              <w:autoSpaceDN w:val="0"/>
              <w:adjustRightInd w:val="0"/>
              <w:spacing w:line="240" w:lineRule="auto"/>
              <w:rPr>
                <w:rFonts w:ascii="Times New Roman" w:hAnsi="Times New Roman" w:cs="Times New Roman"/>
              </w:rPr>
            </w:pPr>
            <w:r w:rsidRPr="00800A49">
              <w:rPr>
                <w:rFonts w:ascii="Times New Roman" w:hAnsi="Times New Roman" w:cs="Times New Roman"/>
              </w:rPr>
              <w:t>TI "gum disease" OR AB "gum disease"</w:t>
            </w:r>
          </w:p>
        </w:tc>
      </w:tr>
      <w:tr w:rsidR="008461EA" w:rsidRPr="00800A49" w14:paraId="77DFC0C4" w14:textId="77777777" w:rsidTr="00720BDC">
        <w:tc>
          <w:tcPr>
            <w:tcW w:w="1129" w:type="dxa"/>
          </w:tcPr>
          <w:p w14:paraId="570FA496" w14:textId="77777777" w:rsidR="008461EA" w:rsidRPr="00800A49" w:rsidRDefault="008461EA" w:rsidP="00720BDC">
            <w:pPr>
              <w:spacing w:line="240" w:lineRule="auto"/>
              <w:rPr>
                <w:rFonts w:ascii="Times New Roman" w:hAnsi="Times New Roman" w:cs="Times New Roman"/>
              </w:rPr>
            </w:pPr>
            <w:r w:rsidRPr="00800A49">
              <w:rPr>
                <w:rFonts w:ascii="Times New Roman" w:hAnsi="Times New Roman" w:cs="Times New Roman"/>
              </w:rPr>
              <w:t>S12</w:t>
            </w:r>
          </w:p>
        </w:tc>
        <w:tc>
          <w:tcPr>
            <w:tcW w:w="7887" w:type="dxa"/>
          </w:tcPr>
          <w:p w14:paraId="0E29E26A" w14:textId="77777777" w:rsidR="008461EA" w:rsidRPr="00800A49" w:rsidRDefault="008461EA" w:rsidP="00720BDC">
            <w:pPr>
              <w:autoSpaceDE w:val="0"/>
              <w:autoSpaceDN w:val="0"/>
              <w:adjustRightInd w:val="0"/>
              <w:spacing w:line="240" w:lineRule="auto"/>
              <w:rPr>
                <w:rFonts w:ascii="Times New Roman" w:hAnsi="Times New Roman" w:cs="Times New Roman"/>
              </w:rPr>
            </w:pPr>
            <w:r w:rsidRPr="00800A49">
              <w:rPr>
                <w:rFonts w:ascii="Times New Roman" w:hAnsi="Times New Roman" w:cs="Times New Roman"/>
              </w:rPr>
              <w:t>S7 OR S8 OR S9 OR S10 OR S11</w:t>
            </w:r>
          </w:p>
        </w:tc>
      </w:tr>
      <w:tr w:rsidR="008461EA" w:rsidRPr="00800A49" w14:paraId="2E8878AF" w14:textId="77777777" w:rsidTr="00720BDC">
        <w:tc>
          <w:tcPr>
            <w:tcW w:w="1129" w:type="dxa"/>
          </w:tcPr>
          <w:p w14:paraId="5DF30B40" w14:textId="77777777" w:rsidR="008461EA" w:rsidRPr="00800A49" w:rsidRDefault="008461EA" w:rsidP="00720BDC">
            <w:pPr>
              <w:spacing w:line="240" w:lineRule="auto"/>
              <w:rPr>
                <w:rFonts w:ascii="Times New Roman" w:hAnsi="Times New Roman" w:cs="Times New Roman"/>
              </w:rPr>
            </w:pPr>
            <w:r w:rsidRPr="00800A49">
              <w:rPr>
                <w:rFonts w:ascii="Times New Roman" w:hAnsi="Times New Roman" w:cs="Times New Roman"/>
              </w:rPr>
              <w:t>S13</w:t>
            </w:r>
          </w:p>
        </w:tc>
        <w:tc>
          <w:tcPr>
            <w:tcW w:w="7887" w:type="dxa"/>
          </w:tcPr>
          <w:p w14:paraId="50036D64" w14:textId="77777777" w:rsidR="008461EA" w:rsidRPr="00800A49" w:rsidRDefault="008461EA" w:rsidP="00720BDC">
            <w:pPr>
              <w:autoSpaceDE w:val="0"/>
              <w:autoSpaceDN w:val="0"/>
              <w:adjustRightInd w:val="0"/>
              <w:spacing w:line="240" w:lineRule="auto"/>
              <w:rPr>
                <w:rFonts w:ascii="Times New Roman" w:hAnsi="Times New Roman" w:cs="Times New Roman"/>
              </w:rPr>
            </w:pPr>
            <w:r w:rsidRPr="00800A49">
              <w:rPr>
                <w:rFonts w:ascii="Times New Roman" w:hAnsi="Times New Roman" w:cs="Times New Roman"/>
              </w:rPr>
              <w:t>"</w:t>
            </w:r>
            <w:proofErr w:type="gramStart"/>
            <w:r w:rsidRPr="00800A49">
              <w:rPr>
                <w:rFonts w:ascii="Times New Roman" w:hAnsi="Times New Roman" w:cs="Times New Roman"/>
              </w:rPr>
              <w:t>tooth</w:t>
            </w:r>
            <w:proofErr w:type="gramEnd"/>
            <w:r w:rsidRPr="00800A49">
              <w:rPr>
                <w:rFonts w:ascii="Times New Roman" w:hAnsi="Times New Roman" w:cs="Times New Roman"/>
              </w:rPr>
              <w:t xml:space="preserve"> loss"</w:t>
            </w:r>
          </w:p>
        </w:tc>
      </w:tr>
      <w:tr w:rsidR="008461EA" w:rsidRPr="00800A49" w14:paraId="1CFDC932" w14:textId="77777777" w:rsidTr="00720BDC">
        <w:tc>
          <w:tcPr>
            <w:tcW w:w="1129" w:type="dxa"/>
          </w:tcPr>
          <w:p w14:paraId="448AA5DE" w14:textId="77777777" w:rsidR="008461EA" w:rsidRPr="00800A49" w:rsidRDefault="008461EA" w:rsidP="00720BDC">
            <w:pPr>
              <w:spacing w:line="240" w:lineRule="auto"/>
              <w:rPr>
                <w:rFonts w:ascii="Times New Roman" w:hAnsi="Times New Roman" w:cs="Times New Roman"/>
              </w:rPr>
            </w:pPr>
            <w:r w:rsidRPr="00800A49">
              <w:rPr>
                <w:rFonts w:ascii="Times New Roman" w:hAnsi="Times New Roman" w:cs="Times New Roman"/>
              </w:rPr>
              <w:t>S14</w:t>
            </w:r>
          </w:p>
        </w:tc>
        <w:tc>
          <w:tcPr>
            <w:tcW w:w="7887" w:type="dxa"/>
          </w:tcPr>
          <w:p w14:paraId="160A1CC1" w14:textId="77777777" w:rsidR="008461EA" w:rsidRPr="00800A49" w:rsidRDefault="008461EA" w:rsidP="00720BDC">
            <w:pPr>
              <w:autoSpaceDE w:val="0"/>
              <w:autoSpaceDN w:val="0"/>
              <w:adjustRightInd w:val="0"/>
              <w:spacing w:line="240" w:lineRule="auto"/>
              <w:rPr>
                <w:rFonts w:ascii="Times New Roman" w:hAnsi="Times New Roman" w:cs="Times New Roman"/>
              </w:rPr>
            </w:pPr>
            <w:r w:rsidRPr="00800A49">
              <w:rPr>
                <w:rFonts w:ascii="Times New Roman" w:hAnsi="Times New Roman" w:cs="Times New Roman"/>
              </w:rPr>
              <w:t>TI "tooth loss" OR AB "tooth loss"</w:t>
            </w:r>
          </w:p>
        </w:tc>
      </w:tr>
      <w:tr w:rsidR="008461EA" w:rsidRPr="00800A49" w14:paraId="261B2710" w14:textId="77777777" w:rsidTr="00720BDC">
        <w:tc>
          <w:tcPr>
            <w:tcW w:w="1129" w:type="dxa"/>
          </w:tcPr>
          <w:p w14:paraId="4F1C35AA" w14:textId="77777777" w:rsidR="008461EA" w:rsidRPr="00800A49" w:rsidRDefault="008461EA" w:rsidP="00720BDC">
            <w:pPr>
              <w:spacing w:line="240" w:lineRule="auto"/>
              <w:rPr>
                <w:rFonts w:ascii="Times New Roman" w:hAnsi="Times New Roman" w:cs="Times New Roman"/>
              </w:rPr>
            </w:pPr>
            <w:r w:rsidRPr="00800A49">
              <w:rPr>
                <w:rFonts w:ascii="Times New Roman" w:hAnsi="Times New Roman" w:cs="Times New Roman"/>
              </w:rPr>
              <w:t>S15</w:t>
            </w:r>
          </w:p>
        </w:tc>
        <w:tc>
          <w:tcPr>
            <w:tcW w:w="7887" w:type="dxa"/>
          </w:tcPr>
          <w:p w14:paraId="0843A4EF" w14:textId="77777777" w:rsidR="008461EA" w:rsidRPr="00800A49" w:rsidRDefault="008461EA" w:rsidP="00720BDC">
            <w:pPr>
              <w:autoSpaceDE w:val="0"/>
              <w:autoSpaceDN w:val="0"/>
              <w:adjustRightInd w:val="0"/>
              <w:spacing w:line="240" w:lineRule="auto"/>
              <w:rPr>
                <w:rFonts w:ascii="Times New Roman" w:hAnsi="Times New Roman" w:cs="Times New Roman"/>
              </w:rPr>
            </w:pPr>
            <w:r w:rsidRPr="00800A49">
              <w:rPr>
                <w:rFonts w:ascii="Times New Roman" w:hAnsi="Times New Roman" w:cs="Times New Roman"/>
              </w:rPr>
              <w:t>TI "teeth loss" OR AB "teeth loss"</w:t>
            </w:r>
          </w:p>
        </w:tc>
      </w:tr>
      <w:tr w:rsidR="008461EA" w:rsidRPr="00800A49" w14:paraId="6CE19532" w14:textId="77777777" w:rsidTr="00720BDC">
        <w:tc>
          <w:tcPr>
            <w:tcW w:w="1129" w:type="dxa"/>
          </w:tcPr>
          <w:p w14:paraId="7AB65A2A" w14:textId="77777777" w:rsidR="008461EA" w:rsidRPr="00800A49" w:rsidRDefault="008461EA" w:rsidP="00720BDC">
            <w:pPr>
              <w:spacing w:line="240" w:lineRule="auto"/>
              <w:rPr>
                <w:rFonts w:ascii="Times New Roman" w:hAnsi="Times New Roman" w:cs="Times New Roman"/>
              </w:rPr>
            </w:pPr>
            <w:r w:rsidRPr="00800A49">
              <w:rPr>
                <w:rFonts w:ascii="Times New Roman" w:hAnsi="Times New Roman" w:cs="Times New Roman"/>
              </w:rPr>
              <w:t>S16</w:t>
            </w:r>
          </w:p>
        </w:tc>
        <w:tc>
          <w:tcPr>
            <w:tcW w:w="7887" w:type="dxa"/>
          </w:tcPr>
          <w:p w14:paraId="40ADF6CB" w14:textId="77777777" w:rsidR="008461EA" w:rsidRPr="00800A49" w:rsidRDefault="008461EA" w:rsidP="00720BDC">
            <w:pPr>
              <w:autoSpaceDE w:val="0"/>
              <w:autoSpaceDN w:val="0"/>
              <w:adjustRightInd w:val="0"/>
              <w:spacing w:line="240" w:lineRule="auto"/>
              <w:rPr>
                <w:rFonts w:ascii="Times New Roman" w:hAnsi="Times New Roman" w:cs="Times New Roman"/>
              </w:rPr>
            </w:pPr>
            <w:r w:rsidRPr="00800A49">
              <w:rPr>
                <w:rFonts w:ascii="Times New Roman" w:hAnsi="Times New Roman" w:cs="Times New Roman"/>
              </w:rPr>
              <w:t>TI "tooth removal" OR AB "tooth removal"</w:t>
            </w:r>
          </w:p>
        </w:tc>
      </w:tr>
      <w:tr w:rsidR="008461EA" w:rsidRPr="00800A49" w14:paraId="21CE3658" w14:textId="77777777" w:rsidTr="00720BDC">
        <w:tc>
          <w:tcPr>
            <w:tcW w:w="1129" w:type="dxa"/>
          </w:tcPr>
          <w:p w14:paraId="25259BFF" w14:textId="77777777" w:rsidR="008461EA" w:rsidRPr="00800A49" w:rsidRDefault="008461EA" w:rsidP="00720BDC">
            <w:pPr>
              <w:spacing w:line="240" w:lineRule="auto"/>
              <w:rPr>
                <w:rFonts w:ascii="Times New Roman" w:hAnsi="Times New Roman" w:cs="Times New Roman"/>
              </w:rPr>
            </w:pPr>
            <w:r w:rsidRPr="00800A49">
              <w:rPr>
                <w:rFonts w:ascii="Times New Roman" w:hAnsi="Times New Roman" w:cs="Times New Roman"/>
              </w:rPr>
              <w:t>S17</w:t>
            </w:r>
          </w:p>
        </w:tc>
        <w:tc>
          <w:tcPr>
            <w:tcW w:w="7887" w:type="dxa"/>
          </w:tcPr>
          <w:p w14:paraId="2EDE50CB" w14:textId="77777777" w:rsidR="008461EA" w:rsidRPr="00800A49" w:rsidRDefault="008461EA" w:rsidP="00720BDC">
            <w:pPr>
              <w:autoSpaceDE w:val="0"/>
              <w:autoSpaceDN w:val="0"/>
              <w:adjustRightInd w:val="0"/>
              <w:spacing w:line="240" w:lineRule="auto"/>
              <w:rPr>
                <w:rFonts w:ascii="Times New Roman" w:hAnsi="Times New Roman" w:cs="Times New Roman"/>
              </w:rPr>
            </w:pPr>
            <w:r w:rsidRPr="00800A49">
              <w:rPr>
                <w:rFonts w:ascii="Times New Roman" w:hAnsi="Times New Roman" w:cs="Times New Roman"/>
              </w:rPr>
              <w:t>TI "teeth removal" OR AB "teeth removal"</w:t>
            </w:r>
          </w:p>
        </w:tc>
      </w:tr>
      <w:tr w:rsidR="008461EA" w:rsidRPr="00800A49" w14:paraId="656572F9" w14:textId="77777777" w:rsidTr="00720BDC">
        <w:tc>
          <w:tcPr>
            <w:tcW w:w="1129" w:type="dxa"/>
          </w:tcPr>
          <w:p w14:paraId="7F078317" w14:textId="77777777" w:rsidR="008461EA" w:rsidRPr="00800A49" w:rsidRDefault="008461EA" w:rsidP="00720BDC">
            <w:pPr>
              <w:spacing w:line="240" w:lineRule="auto"/>
              <w:rPr>
                <w:rFonts w:ascii="Times New Roman" w:hAnsi="Times New Roman" w:cs="Times New Roman"/>
              </w:rPr>
            </w:pPr>
            <w:r w:rsidRPr="00800A49">
              <w:rPr>
                <w:rFonts w:ascii="Times New Roman" w:hAnsi="Times New Roman" w:cs="Times New Roman"/>
              </w:rPr>
              <w:t>S18</w:t>
            </w:r>
          </w:p>
        </w:tc>
        <w:tc>
          <w:tcPr>
            <w:tcW w:w="7887" w:type="dxa"/>
          </w:tcPr>
          <w:p w14:paraId="5E3D013D" w14:textId="77777777" w:rsidR="008461EA" w:rsidRPr="00800A49" w:rsidRDefault="008461EA" w:rsidP="00720BDC">
            <w:pPr>
              <w:autoSpaceDE w:val="0"/>
              <w:autoSpaceDN w:val="0"/>
              <w:adjustRightInd w:val="0"/>
              <w:spacing w:line="240" w:lineRule="auto"/>
              <w:rPr>
                <w:rFonts w:ascii="Times New Roman" w:hAnsi="Times New Roman" w:cs="Times New Roman"/>
              </w:rPr>
            </w:pPr>
            <w:r w:rsidRPr="00800A49">
              <w:rPr>
                <w:rFonts w:ascii="Times New Roman" w:hAnsi="Times New Roman" w:cs="Times New Roman"/>
              </w:rPr>
              <w:t>S13 OR S14 OR S15 OR S16 OR S17</w:t>
            </w:r>
          </w:p>
        </w:tc>
      </w:tr>
      <w:tr w:rsidR="008461EA" w:rsidRPr="00800A49" w14:paraId="20A44390" w14:textId="77777777" w:rsidTr="00720BDC">
        <w:tc>
          <w:tcPr>
            <w:tcW w:w="1129" w:type="dxa"/>
          </w:tcPr>
          <w:p w14:paraId="7FF8B749" w14:textId="77777777" w:rsidR="008461EA" w:rsidRPr="00800A49" w:rsidRDefault="008461EA" w:rsidP="00720BDC">
            <w:pPr>
              <w:spacing w:line="240" w:lineRule="auto"/>
              <w:rPr>
                <w:rFonts w:ascii="Times New Roman" w:hAnsi="Times New Roman" w:cs="Times New Roman"/>
              </w:rPr>
            </w:pPr>
            <w:r w:rsidRPr="00800A49">
              <w:rPr>
                <w:rFonts w:ascii="Times New Roman" w:hAnsi="Times New Roman" w:cs="Times New Roman"/>
              </w:rPr>
              <w:t>S19</w:t>
            </w:r>
          </w:p>
        </w:tc>
        <w:tc>
          <w:tcPr>
            <w:tcW w:w="7887" w:type="dxa"/>
          </w:tcPr>
          <w:p w14:paraId="039C5CE4" w14:textId="77777777" w:rsidR="008461EA" w:rsidRPr="00800A49" w:rsidRDefault="008461EA" w:rsidP="00720BDC">
            <w:pPr>
              <w:autoSpaceDE w:val="0"/>
              <w:autoSpaceDN w:val="0"/>
              <w:adjustRightInd w:val="0"/>
              <w:spacing w:line="240" w:lineRule="auto"/>
              <w:rPr>
                <w:rFonts w:ascii="Times New Roman" w:hAnsi="Times New Roman" w:cs="Times New Roman"/>
              </w:rPr>
            </w:pPr>
            <w:r w:rsidRPr="00800A49">
              <w:rPr>
                <w:rFonts w:ascii="Times New Roman" w:hAnsi="Times New Roman" w:cs="Times New Roman"/>
              </w:rPr>
              <w:t>"</w:t>
            </w:r>
            <w:proofErr w:type="gramStart"/>
            <w:r w:rsidRPr="00800A49">
              <w:rPr>
                <w:rFonts w:ascii="Times New Roman" w:hAnsi="Times New Roman" w:cs="Times New Roman"/>
              </w:rPr>
              <w:t>costs</w:t>
            </w:r>
            <w:proofErr w:type="gramEnd"/>
            <w:r w:rsidRPr="00800A49">
              <w:rPr>
                <w:rFonts w:ascii="Times New Roman" w:hAnsi="Times New Roman" w:cs="Times New Roman"/>
              </w:rPr>
              <w:t xml:space="preserve"> and cost analysis"</w:t>
            </w:r>
          </w:p>
        </w:tc>
      </w:tr>
      <w:tr w:rsidR="008461EA" w:rsidRPr="00800A49" w14:paraId="10E56CE1" w14:textId="77777777" w:rsidTr="00720BDC">
        <w:tc>
          <w:tcPr>
            <w:tcW w:w="1129" w:type="dxa"/>
          </w:tcPr>
          <w:p w14:paraId="58C0AFA5" w14:textId="77777777" w:rsidR="008461EA" w:rsidRPr="00800A49" w:rsidRDefault="008461EA" w:rsidP="00720BDC">
            <w:pPr>
              <w:spacing w:line="240" w:lineRule="auto"/>
              <w:rPr>
                <w:rFonts w:ascii="Times New Roman" w:hAnsi="Times New Roman" w:cs="Times New Roman"/>
              </w:rPr>
            </w:pPr>
            <w:r w:rsidRPr="00800A49">
              <w:rPr>
                <w:rFonts w:ascii="Times New Roman" w:hAnsi="Times New Roman" w:cs="Times New Roman"/>
              </w:rPr>
              <w:t>S20</w:t>
            </w:r>
          </w:p>
        </w:tc>
        <w:tc>
          <w:tcPr>
            <w:tcW w:w="7887" w:type="dxa"/>
          </w:tcPr>
          <w:p w14:paraId="731F3FF4" w14:textId="77777777" w:rsidR="008461EA" w:rsidRPr="00800A49" w:rsidRDefault="008461EA" w:rsidP="00720BDC">
            <w:pPr>
              <w:autoSpaceDE w:val="0"/>
              <w:autoSpaceDN w:val="0"/>
              <w:adjustRightInd w:val="0"/>
              <w:spacing w:line="240" w:lineRule="auto"/>
              <w:rPr>
                <w:rFonts w:ascii="Times New Roman" w:hAnsi="Times New Roman" w:cs="Times New Roman"/>
              </w:rPr>
            </w:pPr>
            <w:r w:rsidRPr="00800A49">
              <w:rPr>
                <w:rFonts w:ascii="Times New Roman" w:hAnsi="Times New Roman" w:cs="Times New Roman"/>
              </w:rPr>
              <w:t>"</w:t>
            </w:r>
            <w:proofErr w:type="gramStart"/>
            <w:r w:rsidRPr="00800A49">
              <w:rPr>
                <w:rFonts w:ascii="Times New Roman" w:hAnsi="Times New Roman" w:cs="Times New Roman"/>
              </w:rPr>
              <w:t>economic</w:t>
            </w:r>
            <w:proofErr w:type="gramEnd"/>
            <w:r w:rsidRPr="00800A49">
              <w:rPr>
                <w:rFonts w:ascii="Times New Roman" w:hAnsi="Times New Roman" w:cs="Times New Roman"/>
              </w:rPr>
              <w:t xml:space="preserve"> evaluation"</w:t>
            </w:r>
          </w:p>
        </w:tc>
      </w:tr>
      <w:tr w:rsidR="008461EA" w:rsidRPr="00800A49" w14:paraId="3204EFBE" w14:textId="77777777" w:rsidTr="00720BDC">
        <w:tc>
          <w:tcPr>
            <w:tcW w:w="1129" w:type="dxa"/>
          </w:tcPr>
          <w:p w14:paraId="4C8EA351" w14:textId="77777777" w:rsidR="008461EA" w:rsidRPr="00800A49" w:rsidRDefault="008461EA" w:rsidP="00720BDC">
            <w:pPr>
              <w:spacing w:line="240" w:lineRule="auto"/>
              <w:rPr>
                <w:rFonts w:ascii="Times New Roman" w:hAnsi="Times New Roman" w:cs="Times New Roman"/>
              </w:rPr>
            </w:pPr>
            <w:r w:rsidRPr="00800A49">
              <w:rPr>
                <w:rFonts w:ascii="Times New Roman" w:hAnsi="Times New Roman" w:cs="Times New Roman"/>
              </w:rPr>
              <w:t>S21</w:t>
            </w:r>
          </w:p>
        </w:tc>
        <w:tc>
          <w:tcPr>
            <w:tcW w:w="7887" w:type="dxa"/>
          </w:tcPr>
          <w:p w14:paraId="171C4161" w14:textId="77777777" w:rsidR="008461EA" w:rsidRPr="00800A49" w:rsidRDefault="008461EA" w:rsidP="00720BDC">
            <w:pPr>
              <w:autoSpaceDE w:val="0"/>
              <w:autoSpaceDN w:val="0"/>
              <w:adjustRightInd w:val="0"/>
              <w:spacing w:line="240" w:lineRule="auto"/>
              <w:rPr>
                <w:rFonts w:ascii="Times New Roman" w:hAnsi="Times New Roman" w:cs="Times New Roman"/>
              </w:rPr>
            </w:pPr>
            <w:r w:rsidRPr="00800A49">
              <w:rPr>
                <w:rFonts w:ascii="Times New Roman" w:hAnsi="Times New Roman" w:cs="Times New Roman"/>
              </w:rPr>
              <w:t>"</w:t>
            </w:r>
            <w:proofErr w:type="gramStart"/>
            <w:r w:rsidRPr="00800A49">
              <w:rPr>
                <w:rFonts w:ascii="Times New Roman" w:hAnsi="Times New Roman" w:cs="Times New Roman"/>
              </w:rPr>
              <w:t>cost</w:t>
            </w:r>
            <w:proofErr w:type="gramEnd"/>
            <w:r w:rsidRPr="00800A49">
              <w:rPr>
                <w:rFonts w:ascii="Times New Roman" w:hAnsi="Times New Roman" w:cs="Times New Roman"/>
              </w:rPr>
              <w:t xml:space="preserve"> effect*"</w:t>
            </w:r>
          </w:p>
        </w:tc>
      </w:tr>
      <w:tr w:rsidR="008461EA" w:rsidRPr="00800A49" w14:paraId="69D58FCA" w14:textId="77777777" w:rsidTr="00720BDC">
        <w:tc>
          <w:tcPr>
            <w:tcW w:w="1129" w:type="dxa"/>
          </w:tcPr>
          <w:p w14:paraId="026E2D22" w14:textId="77777777" w:rsidR="008461EA" w:rsidRPr="00800A49" w:rsidRDefault="008461EA" w:rsidP="00720BDC">
            <w:pPr>
              <w:spacing w:line="240" w:lineRule="auto"/>
              <w:rPr>
                <w:rFonts w:ascii="Times New Roman" w:hAnsi="Times New Roman" w:cs="Times New Roman"/>
              </w:rPr>
            </w:pPr>
            <w:r w:rsidRPr="00800A49">
              <w:rPr>
                <w:rFonts w:ascii="Times New Roman" w:hAnsi="Times New Roman" w:cs="Times New Roman"/>
              </w:rPr>
              <w:t>S22</w:t>
            </w:r>
          </w:p>
        </w:tc>
        <w:tc>
          <w:tcPr>
            <w:tcW w:w="7887" w:type="dxa"/>
          </w:tcPr>
          <w:p w14:paraId="57C63469" w14:textId="77777777" w:rsidR="008461EA" w:rsidRPr="00800A49" w:rsidRDefault="008461EA" w:rsidP="00720BDC">
            <w:pPr>
              <w:autoSpaceDE w:val="0"/>
              <w:autoSpaceDN w:val="0"/>
              <w:adjustRightInd w:val="0"/>
              <w:spacing w:line="240" w:lineRule="auto"/>
              <w:rPr>
                <w:rFonts w:ascii="Times New Roman" w:hAnsi="Times New Roman" w:cs="Times New Roman"/>
              </w:rPr>
            </w:pPr>
            <w:r w:rsidRPr="00800A49">
              <w:rPr>
                <w:rFonts w:ascii="Times New Roman" w:hAnsi="Times New Roman" w:cs="Times New Roman"/>
              </w:rPr>
              <w:t>"</w:t>
            </w:r>
            <w:proofErr w:type="gramStart"/>
            <w:r w:rsidRPr="00800A49">
              <w:rPr>
                <w:rFonts w:ascii="Times New Roman" w:hAnsi="Times New Roman" w:cs="Times New Roman"/>
              </w:rPr>
              <w:t>cost</w:t>
            </w:r>
            <w:proofErr w:type="gramEnd"/>
            <w:r w:rsidRPr="00800A49">
              <w:rPr>
                <w:rFonts w:ascii="Times New Roman" w:hAnsi="Times New Roman" w:cs="Times New Roman"/>
              </w:rPr>
              <w:t xml:space="preserve"> </w:t>
            </w:r>
            <w:proofErr w:type="spellStart"/>
            <w:r w:rsidRPr="00800A49">
              <w:rPr>
                <w:rFonts w:ascii="Times New Roman" w:hAnsi="Times New Roman" w:cs="Times New Roman"/>
              </w:rPr>
              <w:t>benefi</w:t>
            </w:r>
            <w:proofErr w:type="spellEnd"/>
            <w:r w:rsidRPr="00800A49">
              <w:rPr>
                <w:rFonts w:ascii="Times New Roman" w:hAnsi="Times New Roman" w:cs="Times New Roman"/>
              </w:rPr>
              <w:t>*"</w:t>
            </w:r>
          </w:p>
        </w:tc>
      </w:tr>
      <w:tr w:rsidR="008461EA" w:rsidRPr="00800A49" w14:paraId="0789A4F7" w14:textId="77777777" w:rsidTr="00720BDC">
        <w:tc>
          <w:tcPr>
            <w:tcW w:w="1129" w:type="dxa"/>
          </w:tcPr>
          <w:p w14:paraId="40FA1B97" w14:textId="77777777" w:rsidR="008461EA" w:rsidRPr="00800A49" w:rsidRDefault="008461EA" w:rsidP="00720BDC">
            <w:pPr>
              <w:spacing w:line="240" w:lineRule="auto"/>
              <w:rPr>
                <w:rFonts w:ascii="Times New Roman" w:hAnsi="Times New Roman" w:cs="Times New Roman"/>
              </w:rPr>
            </w:pPr>
            <w:r w:rsidRPr="00800A49">
              <w:rPr>
                <w:rFonts w:ascii="Times New Roman" w:hAnsi="Times New Roman" w:cs="Times New Roman"/>
              </w:rPr>
              <w:t>S23</w:t>
            </w:r>
          </w:p>
        </w:tc>
        <w:tc>
          <w:tcPr>
            <w:tcW w:w="7887" w:type="dxa"/>
          </w:tcPr>
          <w:p w14:paraId="56013636" w14:textId="77777777" w:rsidR="008461EA" w:rsidRPr="00800A49" w:rsidRDefault="008461EA" w:rsidP="00720BDC">
            <w:pPr>
              <w:autoSpaceDE w:val="0"/>
              <w:autoSpaceDN w:val="0"/>
              <w:adjustRightInd w:val="0"/>
              <w:spacing w:line="240" w:lineRule="auto"/>
              <w:rPr>
                <w:rFonts w:ascii="Times New Roman" w:hAnsi="Times New Roman" w:cs="Times New Roman"/>
              </w:rPr>
            </w:pPr>
            <w:r w:rsidRPr="00800A49">
              <w:rPr>
                <w:rFonts w:ascii="Times New Roman" w:hAnsi="Times New Roman" w:cs="Times New Roman"/>
              </w:rPr>
              <w:t>"</w:t>
            </w:r>
            <w:proofErr w:type="gramStart"/>
            <w:r w:rsidRPr="00800A49">
              <w:rPr>
                <w:rFonts w:ascii="Times New Roman" w:hAnsi="Times New Roman" w:cs="Times New Roman"/>
              </w:rPr>
              <w:t>cost</w:t>
            </w:r>
            <w:proofErr w:type="gramEnd"/>
            <w:r w:rsidRPr="00800A49">
              <w:rPr>
                <w:rFonts w:ascii="Times New Roman" w:hAnsi="Times New Roman" w:cs="Times New Roman"/>
              </w:rPr>
              <w:t xml:space="preserve"> </w:t>
            </w:r>
            <w:proofErr w:type="spellStart"/>
            <w:r w:rsidRPr="00800A49">
              <w:rPr>
                <w:rFonts w:ascii="Times New Roman" w:hAnsi="Times New Roman" w:cs="Times New Roman"/>
              </w:rPr>
              <w:t>utilit</w:t>
            </w:r>
            <w:proofErr w:type="spellEnd"/>
            <w:r w:rsidRPr="00800A49">
              <w:rPr>
                <w:rFonts w:ascii="Times New Roman" w:hAnsi="Times New Roman" w:cs="Times New Roman"/>
              </w:rPr>
              <w:t>*"</w:t>
            </w:r>
          </w:p>
        </w:tc>
      </w:tr>
      <w:tr w:rsidR="008461EA" w:rsidRPr="00800A49" w14:paraId="5FED5B14" w14:textId="77777777" w:rsidTr="00720BDC">
        <w:tc>
          <w:tcPr>
            <w:tcW w:w="1129" w:type="dxa"/>
          </w:tcPr>
          <w:p w14:paraId="468A480F" w14:textId="77777777" w:rsidR="008461EA" w:rsidRPr="00800A49" w:rsidRDefault="008461EA" w:rsidP="00720BDC">
            <w:pPr>
              <w:spacing w:line="240" w:lineRule="auto"/>
              <w:rPr>
                <w:rFonts w:ascii="Times New Roman" w:hAnsi="Times New Roman" w:cs="Times New Roman"/>
              </w:rPr>
            </w:pPr>
            <w:r w:rsidRPr="00800A49">
              <w:rPr>
                <w:rFonts w:ascii="Times New Roman" w:hAnsi="Times New Roman" w:cs="Times New Roman"/>
              </w:rPr>
              <w:t>S24</w:t>
            </w:r>
          </w:p>
        </w:tc>
        <w:tc>
          <w:tcPr>
            <w:tcW w:w="7887" w:type="dxa"/>
          </w:tcPr>
          <w:p w14:paraId="41FB475C" w14:textId="77777777" w:rsidR="008461EA" w:rsidRPr="00800A49" w:rsidRDefault="008461EA" w:rsidP="00720BDC">
            <w:pPr>
              <w:autoSpaceDE w:val="0"/>
              <w:autoSpaceDN w:val="0"/>
              <w:adjustRightInd w:val="0"/>
              <w:spacing w:line="240" w:lineRule="auto"/>
              <w:rPr>
                <w:rFonts w:ascii="Times New Roman" w:hAnsi="Times New Roman" w:cs="Times New Roman"/>
              </w:rPr>
            </w:pPr>
            <w:r w:rsidRPr="00800A49">
              <w:rPr>
                <w:rFonts w:ascii="Times New Roman" w:hAnsi="Times New Roman" w:cs="Times New Roman"/>
              </w:rPr>
              <w:t>"</w:t>
            </w:r>
            <w:proofErr w:type="gramStart"/>
            <w:r w:rsidRPr="00800A49">
              <w:rPr>
                <w:rFonts w:ascii="Times New Roman" w:hAnsi="Times New Roman" w:cs="Times New Roman"/>
              </w:rPr>
              <w:t>cost</w:t>
            </w:r>
            <w:proofErr w:type="gramEnd"/>
            <w:r w:rsidRPr="00800A49">
              <w:rPr>
                <w:rFonts w:ascii="Times New Roman" w:hAnsi="Times New Roman" w:cs="Times New Roman"/>
              </w:rPr>
              <w:t xml:space="preserve"> minim*"</w:t>
            </w:r>
          </w:p>
        </w:tc>
      </w:tr>
      <w:tr w:rsidR="008461EA" w:rsidRPr="00800A49" w14:paraId="6CDD8700" w14:textId="77777777" w:rsidTr="00720BDC">
        <w:tc>
          <w:tcPr>
            <w:tcW w:w="1129" w:type="dxa"/>
          </w:tcPr>
          <w:p w14:paraId="2FCBF31F" w14:textId="77777777" w:rsidR="008461EA" w:rsidRPr="00800A49" w:rsidRDefault="008461EA" w:rsidP="00720BDC">
            <w:pPr>
              <w:spacing w:line="240" w:lineRule="auto"/>
              <w:rPr>
                <w:rFonts w:ascii="Times New Roman" w:hAnsi="Times New Roman" w:cs="Times New Roman"/>
              </w:rPr>
            </w:pPr>
            <w:r w:rsidRPr="00800A49">
              <w:rPr>
                <w:rFonts w:ascii="Times New Roman" w:hAnsi="Times New Roman" w:cs="Times New Roman"/>
              </w:rPr>
              <w:t>S25</w:t>
            </w:r>
          </w:p>
        </w:tc>
        <w:tc>
          <w:tcPr>
            <w:tcW w:w="7887" w:type="dxa"/>
          </w:tcPr>
          <w:p w14:paraId="3E3AB278" w14:textId="77777777" w:rsidR="008461EA" w:rsidRPr="00800A49" w:rsidRDefault="008461EA" w:rsidP="00720BDC">
            <w:pPr>
              <w:autoSpaceDE w:val="0"/>
              <w:autoSpaceDN w:val="0"/>
              <w:adjustRightInd w:val="0"/>
              <w:spacing w:line="240" w:lineRule="auto"/>
              <w:rPr>
                <w:rFonts w:ascii="Times New Roman" w:hAnsi="Times New Roman" w:cs="Times New Roman"/>
              </w:rPr>
            </w:pPr>
            <w:r w:rsidRPr="00800A49">
              <w:rPr>
                <w:rFonts w:ascii="Times New Roman" w:hAnsi="Times New Roman" w:cs="Times New Roman"/>
              </w:rPr>
              <w:t>"</w:t>
            </w:r>
            <w:proofErr w:type="gramStart"/>
            <w:r w:rsidRPr="00800A49">
              <w:rPr>
                <w:rFonts w:ascii="Times New Roman" w:hAnsi="Times New Roman" w:cs="Times New Roman"/>
              </w:rPr>
              <w:t>cost</w:t>
            </w:r>
            <w:proofErr w:type="gramEnd"/>
            <w:r w:rsidRPr="00800A49">
              <w:rPr>
                <w:rFonts w:ascii="Times New Roman" w:hAnsi="Times New Roman" w:cs="Times New Roman"/>
              </w:rPr>
              <w:t xml:space="preserve"> saving*"</w:t>
            </w:r>
          </w:p>
        </w:tc>
      </w:tr>
      <w:tr w:rsidR="008461EA" w:rsidRPr="00800A49" w14:paraId="0BAAF51F" w14:textId="77777777" w:rsidTr="00720BDC">
        <w:tc>
          <w:tcPr>
            <w:tcW w:w="1129" w:type="dxa"/>
          </w:tcPr>
          <w:p w14:paraId="0990E9F0" w14:textId="77777777" w:rsidR="008461EA" w:rsidRPr="00800A49" w:rsidRDefault="008461EA" w:rsidP="00720BDC">
            <w:pPr>
              <w:spacing w:line="240" w:lineRule="auto"/>
              <w:rPr>
                <w:rFonts w:ascii="Times New Roman" w:hAnsi="Times New Roman" w:cs="Times New Roman"/>
              </w:rPr>
            </w:pPr>
            <w:r w:rsidRPr="00800A49">
              <w:rPr>
                <w:rFonts w:ascii="Times New Roman" w:hAnsi="Times New Roman" w:cs="Times New Roman"/>
              </w:rPr>
              <w:t>S26</w:t>
            </w:r>
          </w:p>
        </w:tc>
        <w:tc>
          <w:tcPr>
            <w:tcW w:w="7887" w:type="dxa"/>
          </w:tcPr>
          <w:p w14:paraId="176B5510" w14:textId="77777777" w:rsidR="008461EA" w:rsidRPr="00800A49" w:rsidRDefault="008461EA" w:rsidP="00720BDC">
            <w:pPr>
              <w:autoSpaceDE w:val="0"/>
              <w:autoSpaceDN w:val="0"/>
              <w:adjustRightInd w:val="0"/>
              <w:spacing w:line="240" w:lineRule="auto"/>
              <w:rPr>
                <w:rFonts w:ascii="Times New Roman" w:hAnsi="Times New Roman" w:cs="Times New Roman"/>
              </w:rPr>
            </w:pPr>
            <w:r w:rsidRPr="00800A49">
              <w:rPr>
                <w:rFonts w:ascii="Times New Roman" w:hAnsi="Times New Roman" w:cs="Times New Roman"/>
              </w:rPr>
              <w:t>"</w:t>
            </w:r>
            <w:proofErr w:type="gramStart"/>
            <w:r w:rsidRPr="00800A49">
              <w:rPr>
                <w:rFonts w:ascii="Times New Roman" w:hAnsi="Times New Roman" w:cs="Times New Roman"/>
              </w:rPr>
              <w:t>cost</w:t>
            </w:r>
            <w:proofErr w:type="gramEnd"/>
            <w:r w:rsidRPr="00800A49">
              <w:rPr>
                <w:rFonts w:ascii="Times New Roman" w:hAnsi="Times New Roman" w:cs="Times New Roman"/>
              </w:rPr>
              <w:t xml:space="preserve"> </w:t>
            </w:r>
            <w:proofErr w:type="spellStart"/>
            <w:r w:rsidRPr="00800A49">
              <w:rPr>
                <w:rFonts w:ascii="Times New Roman" w:hAnsi="Times New Roman" w:cs="Times New Roman"/>
              </w:rPr>
              <w:t>consequen</w:t>
            </w:r>
            <w:proofErr w:type="spellEnd"/>
            <w:r w:rsidRPr="00800A49">
              <w:rPr>
                <w:rFonts w:ascii="Times New Roman" w:hAnsi="Times New Roman" w:cs="Times New Roman"/>
              </w:rPr>
              <w:t>*"</w:t>
            </w:r>
          </w:p>
        </w:tc>
      </w:tr>
      <w:tr w:rsidR="008461EA" w:rsidRPr="00800A49" w14:paraId="037A510F" w14:textId="77777777" w:rsidTr="00720BDC">
        <w:tc>
          <w:tcPr>
            <w:tcW w:w="1129" w:type="dxa"/>
          </w:tcPr>
          <w:p w14:paraId="388A637B" w14:textId="77777777" w:rsidR="008461EA" w:rsidRPr="00800A49" w:rsidRDefault="008461EA" w:rsidP="00720BDC">
            <w:pPr>
              <w:spacing w:line="240" w:lineRule="auto"/>
              <w:rPr>
                <w:rFonts w:ascii="Times New Roman" w:hAnsi="Times New Roman" w:cs="Times New Roman"/>
              </w:rPr>
            </w:pPr>
            <w:r w:rsidRPr="00800A49">
              <w:rPr>
                <w:rFonts w:ascii="Times New Roman" w:hAnsi="Times New Roman" w:cs="Times New Roman"/>
              </w:rPr>
              <w:t>S27</w:t>
            </w:r>
          </w:p>
        </w:tc>
        <w:tc>
          <w:tcPr>
            <w:tcW w:w="7887" w:type="dxa"/>
          </w:tcPr>
          <w:p w14:paraId="30172885" w14:textId="77777777" w:rsidR="008461EA" w:rsidRPr="00800A49" w:rsidRDefault="008461EA" w:rsidP="00720BDC">
            <w:pPr>
              <w:autoSpaceDE w:val="0"/>
              <w:autoSpaceDN w:val="0"/>
              <w:adjustRightInd w:val="0"/>
              <w:spacing w:line="240" w:lineRule="auto"/>
              <w:rPr>
                <w:rFonts w:ascii="Times New Roman" w:hAnsi="Times New Roman" w:cs="Times New Roman"/>
              </w:rPr>
            </w:pPr>
            <w:r w:rsidRPr="00800A49">
              <w:rPr>
                <w:rFonts w:ascii="Times New Roman" w:hAnsi="Times New Roman" w:cs="Times New Roman"/>
              </w:rPr>
              <w:t>"</w:t>
            </w:r>
            <w:proofErr w:type="gramStart"/>
            <w:r w:rsidRPr="00800A49">
              <w:rPr>
                <w:rFonts w:ascii="Times New Roman" w:hAnsi="Times New Roman" w:cs="Times New Roman"/>
              </w:rPr>
              <w:t>return</w:t>
            </w:r>
            <w:proofErr w:type="gramEnd"/>
            <w:r w:rsidRPr="00800A49">
              <w:rPr>
                <w:rFonts w:ascii="Times New Roman" w:hAnsi="Times New Roman" w:cs="Times New Roman"/>
              </w:rPr>
              <w:t xml:space="preserve"> on investment"</w:t>
            </w:r>
          </w:p>
        </w:tc>
      </w:tr>
      <w:tr w:rsidR="008461EA" w:rsidRPr="00800A49" w14:paraId="0EBBCED1" w14:textId="77777777" w:rsidTr="00720BDC">
        <w:tc>
          <w:tcPr>
            <w:tcW w:w="1129" w:type="dxa"/>
          </w:tcPr>
          <w:p w14:paraId="06845EA8" w14:textId="77777777" w:rsidR="008461EA" w:rsidRPr="00800A49" w:rsidRDefault="008461EA" w:rsidP="00720BDC">
            <w:pPr>
              <w:spacing w:line="240" w:lineRule="auto"/>
              <w:rPr>
                <w:rFonts w:ascii="Times New Roman" w:hAnsi="Times New Roman" w:cs="Times New Roman"/>
              </w:rPr>
            </w:pPr>
            <w:r w:rsidRPr="00800A49">
              <w:rPr>
                <w:rFonts w:ascii="Times New Roman" w:hAnsi="Times New Roman" w:cs="Times New Roman"/>
              </w:rPr>
              <w:t>S28</w:t>
            </w:r>
          </w:p>
        </w:tc>
        <w:tc>
          <w:tcPr>
            <w:tcW w:w="7887" w:type="dxa"/>
          </w:tcPr>
          <w:p w14:paraId="1F2FFAF8" w14:textId="77777777" w:rsidR="008461EA" w:rsidRPr="00800A49" w:rsidRDefault="008461EA" w:rsidP="00720BDC">
            <w:pPr>
              <w:autoSpaceDE w:val="0"/>
              <w:autoSpaceDN w:val="0"/>
              <w:adjustRightInd w:val="0"/>
              <w:spacing w:line="240" w:lineRule="auto"/>
              <w:rPr>
                <w:rFonts w:ascii="Times New Roman" w:hAnsi="Times New Roman" w:cs="Times New Roman"/>
              </w:rPr>
            </w:pPr>
            <w:r w:rsidRPr="00800A49">
              <w:rPr>
                <w:rFonts w:ascii="Times New Roman" w:hAnsi="Times New Roman" w:cs="Times New Roman"/>
              </w:rPr>
              <w:t>"</w:t>
            </w:r>
            <w:proofErr w:type="gramStart"/>
            <w:r w:rsidRPr="00800A49">
              <w:rPr>
                <w:rFonts w:ascii="Times New Roman" w:hAnsi="Times New Roman" w:cs="Times New Roman"/>
              </w:rPr>
              <w:t>return</w:t>
            </w:r>
            <w:proofErr w:type="gramEnd"/>
            <w:r w:rsidRPr="00800A49">
              <w:rPr>
                <w:rFonts w:ascii="Times New Roman" w:hAnsi="Times New Roman" w:cs="Times New Roman"/>
              </w:rPr>
              <w:t xml:space="preserve"> in investment"</w:t>
            </w:r>
          </w:p>
        </w:tc>
      </w:tr>
      <w:tr w:rsidR="008461EA" w:rsidRPr="00800A49" w14:paraId="2DA65E02" w14:textId="77777777" w:rsidTr="00720BDC">
        <w:tc>
          <w:tcPr>
            <w:tcW w:w="1129" w:type="dxa"/>
          </w:tcPr>
          <w:p w14:paraId="55F9EFC8" w14:textId="77777777" w:rsidR="008461EA" w:rsidRPr="00800A49" w:rsidRDefault="008461EA" w:rsidP="00720BDC">
            <w:pPr>
              <w:spacing w:line="240" w:lineRule="auto"/>
              <w:rPr>
                <w:rFonts w:ascii="Times New Roman" w:hAnsi="Times New Roman" w:cs="Times New Roman"/>
              </w:rPr>
            </w:pPr>
            <w:r w:rsidRPr="00800A49">
              <w:rPr>
                <w:rFonts w:ascii="Times New Roman" w:hAnsi="Times New Roman" w:cs="Times New Roman"/>
              </w:rPr>
              <w:t>S29</w:t>
            </w:r>
          </w:p>
        </w:tc>
        <w:tc>
          <w:tcPr>
            <w:tcW w:w="7887" w:type="dxa"/>
          </w:tcPr>
          <w:p w14:paraId="7070ACE9" w14:textId="77777777" w:rsidR="008461EA" w:rsidRPr="00800A49" w:rsidRDefault="008461EA" w:rsidP="00720BDC">
            <w:pPr>
              <w:autoSpaceDE w:val="0"/>
              <w:autoSpaceDN w:val="0"/>
              <w:adjustRightInd w:val="0"/>
              <w:spacing w:line="240" w:lineRule="auto"/>
              <w:rPr>
                <w:rFonts w:ascii="Times New Roman" w:hAnsi="Times New Roman" w:cs="Times New Roman"/>
              </w:rPr>
            </w:pPr>
            <w:r w:rsidRPr="00800A49">
              <w:rPr>
                <w:rFonts w:ascii="Times New Roman" w:hAnsi="Times New Roman" w:cs="Times New Roman"/>
              </w:rPr>
              <w:t>S19 OR S20 OR S21 OR S22 OR S23 OR S24 OR S25 OR S26 OR S27 OR S28</w:t>
            </w:r>
          </w:p>
        </w:tc>
      </w:tr>
      <w:tr w:rsidR="008461EA" w:rsidRPr="00800A49" w14:paraId="14BB37CE" w14:textId="77777777" w:rsidTr="00720BDC">
        <w:tc>
          <w:tcPr>
            <w:tcW w:w="1129" w:type="dxa"/>
          </w:tcPr>
          <w:p w14:paraId="627133D6" w14:textId="77777777" w:rsidR="008461EA" w:rsidRPr="00800A49" w:rsidRDefault="008461EA" w:rsidP="00720BDC">
            <w:pPr>
              <w:spacing w:line="240" w:lineRule="auto"/>
              <w:rPr>
                <w:rFonts w:ascii="Times New Roman" w:hAnsi="Times New Roman" w:cs="Times New Roman"/>
              </w:rPr>
            </w:pPr>
            <w:r w:rsidRPr="00800A49">
              <w:rPr>
                <w:rFonts w:ascii="Times New Roman" w:hAnsi="Times New Roman" w:cs="Times New Roman"/>
              </w:rPr>
              <w:t>S30</w:t>
            </w:r>
          </w:p>
        </w:tc>
        <w:tc>
          <w:tcPr>
            <w:tcW w:w="7887" w:type="dxa"/>
          </w:tcPr>
          <w:p w14:paraId="2BDE9307" w14:textId="77777777" w:rsidR="008461EA" w:rsidRPr="00800A49" w:rsidRDefault="008461EA" w:rsidP="00720BDC">
            <w:pPr>
              <w:autoSpaceDE w:val="0"/>
              <w:autoSpaceDN w:val="0"/>
              <w:adjustRightInd w:val="0"/>
              <w:spacing w:line="240" w:lineRule="auto"/>
              <w:rPr>
                <w:rFonts w:ascii="Times New Roman" w:hAnsi="Times New Roman" w:cs="Times New Roman"/>
              </w:rPr>
            </w:pPr>
            <w:r w:rsidRPr="00800A49">
              <w:rPr>
                <w:rFonts w:ascii="Times New Roman" w:hAnsi="Times New Roman" w:cs="Times New Roman"/>
              </w:rPr>
              <w:t>S6 OR S12 OR S18</w:t>
            </w:r>
          </w:p>
        </w:tc>
      </w:tr>
      <w:tr w:rsidR="008461EA" w:rsidRPr="00800A49" w14:paraId="3C361431" w14:textId="77777777" w:rsidTr="00720BDC">
        <w:tc>
          <w:tcPr>
            <w:tcW w:w="1129" w:type="dxa"/>
          </w:tcPr>
          <w:p w14:paraId="6D589F84" w14:textId="77777777" w:rsidR="008461EA" w:rsidRPr="00800A49" w:rsidRDefault="008461EA" w:rsidP="00720BDC">
            <w:pPr>
              <w:spacing w:line="240" w:lineRule="auto"/>
              <w:rPr>
                <w:rFonts w:ascii="Times New Roman" w:hAnsi="Times New Roman" w:cs="Times New Roman"/>
              </w:rPr>
            </w:pPr>
            <w:r w:rsidRPr="00800A49">
              <w:rPr>
                <w:rFonts w:ascii="Times New Roman" w:hAnsi="Times New Roman" w:cs="Times New Roman"/>
              </w:rPr>
              <w:t>S31</w:t>
            </w:r>
          </w:p>
        </w:tc>
        <w:tc>
          <w:tcPr>
            <w:tcW w:w="7887" w:type="dxa"/>
          </w:tcPr>
          <w:p w14:paraId="7BEC884E" w14:textId="77777777" w:rsidR="008461EA" w:rsidRPr="00800A49" w:rsidRDefault="008461EA" w:rsidP="00720BDC">
            <w:pPr>
              <w:autoSpaceDE w:val="0"/>
              <w:autoSpaceDN w:val="0"/>
              <w:adjustRightInd w:val="0"/>
              <w:spacing w:line="240" w:lineRule="auto"/>
              <w:rPr>
                <w:rFonts w:ascii="Times New Roman" w:hAnsi="Times New Roman" w:cs="Times New Roman"/>
              </w:rPr>
            </w:pPr>
            <w:r w:rsidRPr="00800A49">
              <w:rPr>
                <w:rFonts w:ascii="Times New Roman" w:hAnsi="Times New Roman" w:cs="Times New Roman"/>
              </w:rPr>
              <w:t>S29 AND S30</w:t>
            </w:r>
          </w:p>
        </w:tc>
      </w:tr>
    </w:tbl>
    <w:p w14:paraId="01B17F62" w14:textId="77777777" w:rsidR="008461EA" w:rsidRPr="00800A49" w:rsidRDefault="008461EA" w:rsidP="008461EA">
      <w:pPr>
        <w:spacing w:after="0" w:line="240" w:lineRule="auto"/>
        <w:rPr>
          <w:rFonts w:ascii="Times New Roman" w:hAnsi="Times New Roman" w:cs="Times New Roman"/>
        </w:rPr>
      </w:pPr>
      <w:r w:rsidRPr="00800A49">
        <w:rPr>
          <w:rFonts w:ascii="Times New Roman" w:hAnsi="Times New Roman" w:cs="Times New Roman"/>
        </w:rPr>
        <w:t>S = search</w:t>
      </w:r>
    </w:p>
    <w:p w14:paraId="11709571" w14:textId="77777777" w:rsidR="008461EA" w:rsidRPr="00800A49" w:rsidRDefault="008461EA" w:rsidP="008461EA">
      <w:pPr>
        <w:spacing w:after="0" w:line="240" w:lineRule="auto"/>
        <w:rPr>
          <w:rFonts w:ascii="Times New Roman" w:hAnsi="Times New Roman" w:cs="Times New Roman"/>
        </w:rPr>
      </w:pPr>
      <w:r w:rsidRPr="00800A49">
        <w:rPr>
          <w:rFonts w:ascii="Times New Roman" w:hAnsi="Times New Roman" w:cs="Times New Roman"/>
        </w:rPr>
        <w:t xml:space="preserve">* </w:t>
      </w:r>
      <w:proofErr w:type="gramStart"/>
      <w:r w:rsidRPr="00800A49">
        <w:rPr>
          <w:rFonts w:ascii="Times New Roman" w:hAnsi="Times New Roman" w:cs="Times New Roman"/>
        </w:rPr>
        <w:t>truncation</w:t>
      </w:r>
      <w:proofErr w:type="gramEnd"/>
    </w:p>
    <w:p w14:paraId="2721C46E" w14:textId="77777777" w:rsidR="008461EA" w:rsidRPr="00800A49" w:rsidRDefault="008461EA" w:rsidP="008461EA">
      <w:pPr>
        <w:spacing w:after="0" w:line="240" w:lineRule="auto"/>
        <w:rPr>
          <w:rFonts w:ascii="Times New Roman" w:hAnsi="Times New Roman" w:cs="Times New Roman"/>
        </w:rPr>
      </w:pPr>
      <w:r w:rsidRPr="00800A49">
        <w:rPr>
          <w:rFonts w:ascii="Times New Roman" w:hAnsi="Times New Roman" w:cs="Times New Roman"/>
        </w:rPr>
        <w:t>TI = Title</w:t>
      </w:r>
    </w:p>
    <w:p w14:paraId="5579792A" w14:textId="77777777" w:rsidR="008461EA" w:rsidRPr="00800A49" w:rsidRDefault="008461EA" w:rsidP="008461EA">
      <w:pPr>
        <w:spacing w:after="0" w:line="240" w:lineRule="auto"/>
        <w:rPr>
          <w:rFonts w:ascii="Times New Roman" w:hAnsi="Times New Roman" w:cs="Times New Roman"/>
        </w:rPr>
      </w:pPr>
      <w:r w:rsidRPr="00800A49">
        <w:rPr>
          <w:rFonts w:ascii="Times New Roman" w:hAnsi="Times New Roman" w:cs="Times New Roman"/>
        </w:rPr>
        <w:t>AB = Abstract</w:t>
      </w:r>
    </w:p>
    <w:p w14:paraId="302A2BDB" w14:textId="77777777" w:rsidR="008461EA" w:rsidRPr="00800A49" w:rsidRDefault="008461EA" w:rsidP="008461EA">
      <w:pPr>
        <w:spacing w:line="259" w:lineRule="auto"/>
        <w:rPr>
          <w:rFonts w:ascii="Times New Roman" w:hAnsi="Times New Roman" w:cs="Times New Roman"/>
        </w:rPr>
      </w:pPr>
      <w:r w:rsidRPr="00800A49">
        <w:rPr>
          <w:rFonts w:ascii="Times New Roman" w:hAnsi="Times New Roman" w:cs="Times New Roman"/>
        </w:rPr>
        <w:br w:type="page"/>
      </w:r>
    </w:p>
    <w:p w14:paraId="5CE1441A" w14:textId="77777777" w:rsidR="008461EA" w:rsidRPr="00800A49" w:rsidRDefault="008461EA" w:rsidP="008461EA">
      <w:pPr>
        <w:rPr>
          <w:rFonts w:ascii="Times New Roman" w:hAnsi="Times New Roman" w:cs="Times New Roman"/>
          <w:b/>
          <w:bCs/>
          <w:sz w:val="24"/>
          <w:szCs w:val="24"/>
        </w:rPr>
      </w:pPr>
      <w:r w:rsidRPr="00800A49">
        <w:rPr>
          <w:rFonts w:ascii="Times New Roman" w:hAnsi="Times New Roman" w:cs="Times New Roman"/>
          <w:b/>
          <w:bCs/>
          <w:sz w:val="24"/>
          <w:szCs w:val="24"/>
        </w:rPr>
        <w:lastRenderedPageBreak/>
        <w:t>Appendix 2</w:t>
      </w:r>
    </w:p>
    <w:p w14:paraId="48FE8797" w14:textId="77777777" w:rsidR="008461EA" w:rsidRPr="00800A49" w:rsidRDefault="008461EA" w:rsidP="008461EA">
      <w:pPr>
        <w:spacing w:line="259" w:lineRule="auto"/>
        <w:ind w:left="720"/>
        <w:jc w:val="both"/>
        <w:rPr>
          <w:rFonts w:ascii="Times New Roman" w:hAnsi="Times New Roman" w:cs="Times New Roman"/>
          <w:sz w:val="24"/>
          <w:szCs w:val="24"/>
        </w:rPr>
      </w:pPr>
      <w:r w:rsidRPr="00800A49">
        <w:rPr>
          <w:rFonts w:ascii="Times New Roman" w:hAnsi="Times New Roman" w:cs="Times New Roman"/>
          <w:b/>
          <w:bCs/>
          <w:sz w:val="24"/>
          <w:szCs w:val="24"/>
        </w:rPr>
        <w:t>Universal Interventions</w:t>
      </w:r>
      <w:r w:rsidRPr="00800A49">
        <w:rPr>
          <w:rFonts w:ascii="Times New Roman" w:hAnsi="Times New Roman" w:cs="Times New Roman"/>
          <w:sz w:val="24"/>
          <w:szCs w:val="24"/>
        </w:rPr>
        <w:t xml:space="preserve"> - target the whole population and not people identified based on individual risk for dental caries or periodontitis. Examples of universal interventions include water fluoridation, sugar-sweetened beverages (SSB) tax, increased use of sugar-free gum, fluoridation of toothpastes, regular oral hygiene practices including toothbrushing, flossing, and using interdental aids (oral hygiene products for cleaning in-between teeth), etc.</w:t>
      </w:r>
    </w:p>
    <w:p w14:paraId="67A48624" w14:textId="77777777" w:rsidR="008461EA" w:rsidRPr="00800A49" w:rsidRDefault="008461EA" w:rsidP="008461EA">
      <w:pPr>
        <w:spacing w:line="259" w:lineRule="auto"/>
        <w:ind w:left="720"/>
        <w:jc w:val="both"/>
        <w:rPr>
          <w:rFonts w:ascii="Times New Roman" w:hAnsi="Times New Roman" w:cs="Times New Roman"/>
          <w:sz w:val="24"/>
          <w:szCs w:val="24"/>
        </w:rPr>
      </w:pPr>
      <w:r w:rsidRPr="00800A49">
        <w:rPr>
          <w:rFonts w:ascii="Times New Roman" w:hAnsi="Times New Roman" w:cs="Times New Roman"/>
          <w:b/>
          <w:bCs/>
          <w:sz w:val="24"/>
          <w:szCs w:val="24"/>
        </w:rPr>
        <w:t>Selective Interventions</w:t>
      </w:r>
      <w:r w:rsidRPr="00800A49">
        <w:rPr>
          <w:rFonts w:ascii="Times New Roman" w:hAnsi="Times New Roman" w:cs="Times New Roman"/>
          <w:sz w:val="24"/>
          <w:szCs w:val="24"/>
        </w:rPr>
        <w:t xml:space="preserve"> - target community population subgroups whose risk of developing dental caries or periodontitis is higher than average. Examples of selective interventions include school-based dental programs, aged-care settings, etc.</w:t>
      </w:r>
    </w:p>
    <w:p w14:paraId="2DBB0E90" w14:textId="77777777" w:rsidR="008461EA" w:rsidRPr="00800A49" w:rsidRDefault="008461EA" w:rsidP="008461EA">
      <w:pPr>
        <w:spacing w:line="259" w:lineRule="auto"/>
        <w:ind w:left="720"/>
        <w:jc w:val="both"/>
        <w:rPr>
          <w:rFonts w:ascii="Times New Roman" w:hAnsi="Times New Roman" w:cs="Times New Roman"/>
          <w:sz w:val="24"/>
          <w:szCs w:val="24"/>
        </w:rPr>
      </w:pPr>
      <w:r w:rsidRPr="00800A49">
        <w:rPr>
          <w:rFonts w:ascii="Times New Roman" w:hAnsi="Times New Roman" w:cs="Times New Roman"/>
          <w:b/>
          <w:bCs/>
          <w:sz w:val="24"/>
          <w:szCs w:val="24"/>
        </w:rPr>
        <w:t>Indicated Interventions</w:t>
      </w:r>
      <w:r w:rsidRPr="00800A49">
        <w:rPr>
          <w:rFonts w:ascii="Times New Roman" w:hAnsi="Times New Roman" w:cs="Times New Roman"/>
          <w:sz w:val="24"/>
          <w:szCs w:val="24"/>
        </w:rPr>
        <w:t xml:space="preserve"> - target at high-risk individuals or those with initial stages of dental caries or periodontitis. Examples of indicated interventions include dental clinic-based procedures, such as the interval of dental check-ups, fluoride varnish, fissure sealants, scaling, etc.</w:t>
      </w:r>
      <w:r w:rsidRPr="00800A49">
        <w:rPr>
          <w:rFonts w:ascii="Times New Roman" w:hAnsi="Times New Roman" w:cs="Times New Roman"/>
          <w:sz w:val="24"/>
          <w:szCs w:val="24"/>
        </w:rPr>
        <w:tab/>
      </w:r>
    </w:p>
    <w:p w14:paraId="7C2A6AF9" w14:textId="77777777" w:rsidR="008461EA" w:rsidRPr="00800A49" w:rsidRDefault="008461EA" w:rsidP="008461EA">
      <w:pPr>
        <w:spacing w:line="259" w:lineRule="auto"/>
        <w:ind w:left="720"/>
        <w:jc w:val="both"/>
        <w:rPr>
          <w:rFonts w:ascii="Times New Roman" w:hAnsi="Times New Roman" w:cs="Times New Roman"/>
          <w:sz w:val="24"/>
          <w:szCs w:val="24"/>
        </w:rPr>
      </w:pPr>
      <w:r w:rsidRPr="00800A49">
        <w:rPr>
          <w:rFonts w:ascii="Times New Roman" w:hAnsi="Times New Roman" w:cs="Times New Roman"/>
          <w:b/>
          <w:bCs/>
          <w:sz w:val="24"/>
          <w:szCs w:val="24"/>
        </w:rPr>
        <w:t>Minimally Invasive Interventions</w:t>
      </w:r>
      <w:r w:rsidRPr="00800A49">
        <w:rPr>
          <w:rFonts w:ascii="Times New Roman" w:hAnsi="Times New Roman" w:cs="Times New Roman"/>
          <w:sz w:val="24"/>
          <w:szCs w:val="24"/>
        </w:rPr>
        <w:t xml:space="preserve"> – target individuals identified as having moderate stages of dental caries and periodontitis that can be managed using minimally invasive treatment approaches. Examples of minimally invasive interventions includes silver fluoride, atraumatic restorative technique, use of </w:t>
      </w:r>
      <w:proofErr w:type="gramStart"/>
      <w:r w:rsidRPr="00800A49">
        <w:rPr>
          <w:rFonts w:ascii="Times New Roman" w:hAnsi="Times New Roman" w:cs="Times New Roman"/>
          <w:sz w:val="24"/>
          <w:szCs w:val="24"/>
        </w:rPr>
        <w:t>stainless steel</w:t>
      </w:r>
      <w:proofErr w:type="gramEnd"/>
      <w:r w:rsidRPr="00800A49">
        <w:rPr>
          <w:rFonts w:ascii="Times New Roman" w:hAnsi="Times New Roman" w:cs="Times New Roman"/>
          <w:sz w:val="24"/>
          <w:szCs w:val="24"/>
        </w:rPr>
        <w:t xml:space="preserve"> crowns, (conventional and Hall crown technique), quadrant scaling/root planning, full mouth disinfection, etc.</w:t>
      </w:r>
    </w:p>
    <w:p w14:paraId="0256C94C" w14:textId="77777777" w:rsidR="008461EA" w:rsidRPr="00800A49" w:rsidRDefault="008461EA" w:rsidP="008461EA">
      <w:pPr>
        <w:spacing w:line="259" w:lineRule="auto"/>
        <w:ind w:left="720"/>
        <w:jc w:val="both"/>
        <w:rPr>
          <w:rFonts w:ascii="Times New Roman" w:hAnsi="Times New Roman" w:cs="Times New Roman"/>
          <w:sz w:val="24"/>
          <w:szCs w:val="24"/>
        </w:rPr>
      </w:pPr>
      <w:r w:rsidRPr="00800A49">
        <w:rPr>
          <w:rFonts w:ascii="Times New Roman" w:hAnsi="Times New Roman" w:cs="Times New Roman"/>
          <w:b/>
          <w:bCs/>
          <w:sz w:val="24"/>
          <w:szCs w:val="24"/>
        </w:rPr>
        <w:t>Invasive Interventions</w:t>
      </w:r>
      <w:r w:rsidRPr="00800A49">
        <w:rPr>
          <w:rFonts w:ascii="Times New Roman" w:hAnsi="Times New Roman" w:cs="Times New Roman"/>
          <w:sz w:val="24"/>
          <w:szCs w:val="24"/>
        </w:rPr>
        <w:t xml:space="preserve"> – targeted to individuals identified as having moderate and severe stages of dental caries and periodontitis using invasive treatment approaches. Examples of invasive interventions include direct/indirect fillings, direct/indirect pulp caps, root canal treatment, extractions, root debridement, bone grafting, etc.</w:t>
      </w:r>
    </w:p>
    <w:p w14:paraId="56751F62" w14:textId="77777777" w:rsidR="008461EA" w:rsidRPr="00800A49" w:rsidRDefault="008461EA" w:rsidP="008461EA">
      <w:pPr>
        <w:spacing w:line="259" w:lineRule="auto"/>
        <w:ind w:left="720"/>
        <w:jc w:val="both"/>
        <w:rPr>
          <w:rFonts w:ascii="Times New Roman" w:hAnsi="Times New Roman" w:cs="Times New Roman"/>
          <w:sz w:val="24"/>
          <w:szCs w:val="24"/>
        </w:rPr>
      </w:pPr>
      <w:r w:rsidRPr="00800A49">
        <w:rPr>
          <w:rFonts w:ascii="Times New Roman" w:hAnsi="Times New Roman" w:cs="Times New Roman"/>
          <w:b/>
          <w:bCs/>
          <w:sz w:val="24"/>
          <w:szCs w:val="24"/>
        </w:rPr>
        <w:t>Rehabilitation Interventions</w:t>
      </w:r>
      <w:r w:rsidRPr="00800A49">
        <w:rPr>
          <w:rFonts w:ascii="Times New Roman" w:hAnsi="Times New Roman" w:cs="Times New Roman"/>
          <w:sz w:val="24"/>
          <w:szCs w:val="24"/>
        </w:rPr>
        <w:t xml:space="preserve"> – target individuals identified as having lost teeth due to dental caries and periodontitis, where these have been replaced (with prosthesis) to restore oral function. Examples of rehabilitation interventions includes dental implants, bridges, dentures, etc.</w:t>
      </w:r>
    </w:p>
    <w:p w14:paraId="6641C3F9" w14:textId="77777777" w:rsidR="008461EA" w:rsidRPr="00800A49" w:rsidRDefault="008461EA" w:rsidP="008461EA">
      <w:pPr>
        <w:spacing w:after="0" w:line="240" w:lineRule="auto"/>
        <w:rPr>
          <w:rFonts w:ascii="Times New Roman" w:hAnsi="Times New Roman" w:cs="Times New Roman"/>
        </w:rPr>
      </w:pPr>
      <w:r w:rsidRPr="00800A49">
        <w:rPr>
          <w:rFonts w:ascii="Times New Roman" w:hAnsi="Times New Roman" w:cs="Times New Roman"/>
        </w:rPr>
        <w:br w:type="page"/>
      </w:r>
    </w:p>
    <w:p w14:paraId="04082258" w14:textId="77777777" w:rsidR="008461EA" w:rsidRPr="00800A49" w:rsidRDefault="008461EA" w:rsidP="008461EA">
      <w:pPr>
        <w:rPr>
          <w:rFonts w:ascii="Times New Roman" w:hAnsi="Times New Roman" w:cs="Times New Roman"/>
          <w:b/>
          <w:bCs/>
          <w:sz w:val="24"/>
          <w:szCs w:val="24"/>
        </w:rPr>
      </w:pPr>
      <w:r w:rsidRPr="00800A49">
        <w:rPr>
          <w:rFonts w:ascii="Times New Roman" w:hAnsi="Times New Roman" w:cs="Times New Roman"/>
          <w:b/>
          <w:bCs/>
          <w:sz w:val="24"/>
          <w:szCs w:val="24"/>
        </w:rPr>
        <w:lastRenderedPageBreak/>
        <w:t>Appendix 3</w:t>
      </w:r>
    </w:p>
    <w:p w14:paraId="471A3940" w14:textId="77777777" w:rsidR="008461EA" w:rsidRPr="00800A49" w:rsidRDefault="008461EA" w:rsidP="008461EA">
      <w:pPr>
        <w:rPr>
          <w:rFonts w:ascii="Times New Roman" w:hAnsi="Times New Roman" w:cs="Times New Roman"/>
          <w:b/>
          <w:bCs/>
          <w:sz w:val="24"/>
          <w:szCs w:val="24"/>
        </w:rPr>
      </w:pPr>
      <w:r w:rsidRPr="00800A49">
        <w:rPr>
          <w:rFonts w:ascii="Times New Roman" w:hAnsi="Times New Roman" w:cs="Times New Roman"/>
          <w:b/>
          <w:bCs/>
          <w:sz w:val="24"/>
          <w:szCs w:val="24"/>
        </w:rPr>
        <w:t xml:space="preserve">Table 7. </w:t>
      </w:r>
      <w:r w:rsidRPr="00800A49">
        <w:rPr>
          <w:rFonts w:ascii="Times New Roman" w:hAnsi="Times New Roman" w:cs="Times New Roman"/>
          <w:sz w:val="24"/>
          <w:szCs w:val="24"/>
        </w:rPr>
        <w:t>Individual question evaluation of the Cohen’s Kappa using the Drummond 10-point checklist [34].</w:t>
      </w:r>
    </w:p>
    <w:tbl>
      <w:tblPr>
        <w:tblW w:w="101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1"/>
        <w:gridCol w:w="828"/>
        <w:gridCol w:w="1005"/>
        <w:gridCol w:w="1005"/>
        <w:gridCol w:w="1005"/>
        <w:gridCol w:w="1005"/>
        <w:gridCol w:w="718"/>
        <w:gridCol w:w="718"/>
        <w:gridCol w:w="832"/>
        <w:gridCol w:w="718"/>
        <w:gridCol w:w="834"/>
      </w:tblGrid>
      <w:tr w:rsidR="008461EA" w:rsidRPr="00800A49" w14:paraId="5A3E7318" w14:textId="77777777" w:rsidTr="00720BDC">
        <w:trPr>
          <w:trHeight w:val="300"/>
        </w:trPr>
        <w:tc>
          <w:tcPr>
            <w:tcW w:w="1491" w:type="dxa"/>
            <w:tcBorders>
              <w:top w:val="single" w:sz="4" w:space="0" w:color="auto"/>
              <w:left w:val="single" w:sz="4" w:space="0" w:color="auto"/>
              <w:bottom w:val="single" w:sz="4" w:space="0" w:color="auto"/>
              <w:right w:val="nil"/>
            </w:tcBorders>
            <w:shd w:val="clear" w:color="auto" w:fill="auto"/>
            <w:noWrap/>
            <w:vAlign w:val="center"/>
            <w:hideMark/>
          </w:tcPr>
          <w:p w14:paraId="54131754" w14:textId="77777777" w:rsidR="008461EA" w:rsidRPr="00800A49" w:rsidRDefault="008461EA" w:rsidP="00720BDC">
            <w:pPr>
              <w:spacing w:after="0" w:line="240" w:lineRule="auto"/>
              <w:jc w:val="center"/>
              <w:rPr>
                <w:rFonts w:eastAsia="Times New Roman" w:cstheme="minorHAnsi"/>
                <w:b/>
                <w:bCs/>
                <w:lang w:eastAsia="en-AU"/>
              </w:rPr>
            </w:pPr>
            <w:bookmarkStart w:id="0" w:name="_Hlk79680950"/>
            <w:r w:rsidRPr="00800A49">
              <w:rPr>
                <w:rFonts w:eastAsia="Times New Roman" w:cstheme="minorHAnsi"/>
                <w:b/>
                <w:bCs/>
                <w:lang w:eastAsia="en-AU"/>
              </w:rPr>
              <w:t>Reviewers</w:t>
            </w:r>
          </w:p>
        </w:tc>
        <w:tc>
          <w:tcPr>
            <w:tcW w:w="828" w:type="dxa"/>
            <w:tcBorders>
              <w:top w:val="single" w:sz="4" w:space="0" w:color="auto"/>
              <w:left w:val="nil"/>
              <w:bottom w:val="single" w:sz="4" w:space="0" w:color="auto"/>
              <w:right w:val="nil"/>
            </w:tcBorders>
            <w:shd w:val="clear" w:color="auto" w:fill="auto"/>
            <w:noWrap/>
            <w:vAlign w:val="center"/>
            <w:hideMark/>
          </w:tcPr>
          <w:p w14:paraId="7B72CB80" w14:textId="77777777" w:rsidR="008461EA" w:rsidRPr="00800A49" w:rsidRDefault="008461EA" w:rsidP="00720BDC">
            <w:pPr>
              <w:spacing w:after="0" w:line="240" w:lineRule="auto"/>
              <w:jc w:val="center"/>
              <w:rPr>
                <w:rFonts w:eastAsia="Times New Roman" w:cstheme="minorHAnsi"/>
                <w:b/>
                <w:bCs/>
                <w:color w:val="000000"/>
                <w:lang w:eastAsia="en-AU"/>
              </w:rPr>
            </w:pPr>
            <w:r w:rsidRPr="00800A49">
              <w:rPr>
                <w:rFonts w:eastAsia="Times New Roman" w:cstheme="minorHAnsi"/>
                <w:b/>
                <w:bCs/>
                <w:color w:val="000000"/>
                <w:lang w:eastAsia="en-AU"/>
              </w:rPr>
              <w:t>Q1</w:t>
            </w:r>
          </w:p>
        </w:tc>
        <w:tc>
          <w:tcPr>
            <w:tcW w:w="1005" w:type="dxa"/>
            <w:tcBorders>
              <w:top w:val="single" w:sz="4" w:space="0" w:color="auto"/>
              <w:left w:val="nil"/>
              <w:bottom w:val="single" w:sz="4" w:space="0" w:color="auto"/>
              <w:right w:val="nil"/>
            </w:tcBorders>
            <w:shd w:val="clear" w:color="auto" w:fill="auto"/>
            <w:noWrap/>
            <w:vAlign w:val="center"/>
            <w:hideMark/>
          </w:tcPr>
          <w:p w14:paraId="7DF5F378" w14:textId="77777777" w:rsidR="008461EA" w:rsidRPr="00800A49" w:rsidRDefault="008461EA" w:rsidP="00720BDC">
            <w:pPr>
              <w:spacing w:after="0" w:line="240" w:lineRule="auto"/>
              <w:jc w:val="center"/>
              <w:rPr>
                <w:rFonts w:eastAsia="Times New Roman" w:cstheme="minorHAnsi"/>
                <w:b/>
                <w:bCs/>
                <w:color w:val="000000"/>
                <w:lang w:eastAsia="en-AU"/>
              </w:rPr>
            </w:pPr>
            <w:r w:rsidRPr="00800A49">
              <w:rPr>
                <w:rFonts w:eastAsia="Times New Roman" w:cstheme="minorHAnsi"/>
                <w:b/>
                <w:bCs/>
                <w:color w:val="000000"/>
                <w:lang w:eastAsia="en-AU"/>
              </w:rPr>
              <w:t>Q2</w:t>
            </w:r>
          </w:p>
        </w:tc>
        <w:tc>
          <w:tcPr>
            <w:tcW w:w="1005" w:type="dxa"/>
            <w:tcBorders>
              <w:top w:val="single" w:sz="4" w:space="0" w:color="auto"/>
              <w:left w:val="nil"/>
              <w:bottom w:val="single" w:sz="4" w:space="0" w:color="auto"/>
              <w:right w:val="nil"/>
            </w:tcBorders>
            <w:shd w:val="clear" w:color="auto" w:fill="auto"/>
            <w:noWrap/>
            <w:vAlign w:val="center"/>
            <w:hideMark/>
          </w:tcPr>
          <w:p w14:paraId="5F8A3A1A" w14:textId="77777777" w:rsidR="008461EA" w:rsidRPr="00800A49" w:rsidRDefault="008461EA" w:rsidP="00720BDC">
            <w:pPr>
              <w:spacing w:after="0" w:line="240" w:lineRule="auto"/>
              <w:jc w:val="center"/>
              <w:rPr>
                <w:rFonts w:eastAsia="Times New Roman" w:cstheme="minorHAnsi"/>
                <w:b/>
                <w:bCs/>
                <w:color w:val="000000"/>
                <w:lang w:eastAsia="en-AU"/>
              </w:rPr>
            </w:pPr>
            <w:r w:rsidRPr="00800A49">
              <w:rPr>
                <w:rFonts w:eastAsia="Times New Roman" w:cstheme="minorHAnsi"/>
                <w:b/>
                <w:bCs/>
                <w:color w:val="000000"/>
                <w:lang w:eastAsia="en-AU"/>
              </w:rPr>
              <w:t>Q3</w:t>
            </w:r>
          </w:p>
        </w:tc>
        <w:tc>
          <w:tcPr>
            <w:tcW w:w="1005" w:type="dxa"/>
            <w:tcBorders>
              <w:top w:val="single" w:sz="4" w:space="0" w:color="auto"/>
              <w:left w:val="nil"/>
              <w:bottom w:val="single" w:sz="4" w:space="0" w:color="auto"/>
              <w:right w:val="nil"/>
            </w:tcBorders>
            <w:shd w:val="clear" w:color="auto" w:fill="auto"/>
            <w:noWrap/>
            <w:vAlign w:val="center"/>
            <w:hideMark/>
          </w:tcPr>
          <w:p w14:paraId="54E3ECDB" w14:textId="77777777" w:rsidR="008461EA" w:rsidRPr="00800A49" w:rsidRDefault="008461EA" w:rsidP="00720BDC">
            <w:pPr>
              <w:spacing w:after="0" w:line="240" w:lineRule="auto"/>
              <w:jc w:val="center"/>
              <w:rPr>
                <w:rFonts w:eastAsia="Times New Roman" w:cstheme="minorHAnsi"/>
                <w:b/>
                <w:bCs/>
                <w:color w:val="000000"/>
                <w:lang w:eastAsia="en-AU"/>
              </w:rPr>
            </w:pPr>
            <w:r w:rsidRPr="00800A49">
              <w:rPr>
                <w:rFonts w:eastAsia="Times New Roman" w:cstheme="minorHAnsi"/>
                <w:b/>
                <w:bCs/>
                <w:color w:val="000000"/>
                <w:lang w:eastAsia="en-AU"/>
              </w:rPr>
              <w:t>Q4</w:t>
            </w:r>
          </w:p>
        </w:tc>
        <w:tc>
          <w:tcPr>
            <w:tcW w:w="1005" w:type="dxa"/>
            <w:tcBorders>
              <w:top w:val="single" w:sz="4" w:space="0" w:color="auto"/>
              <w:left w:val="nil"/>
              <w:bottom w:val="single" w:sz="4" w:space="0" w:color="auto"/>
              <w:right w:val="nil"/>
            </w:tcBorders>
            <w:shd w:val="clear" w:color="auto" w:fill="auto"/>
            <w:noWrap/>
            <w:vAlign w:val="center"/>
            <w:hideMark/>
          </w:tcPr>
          <w:p w14:paraId="47027F99" w14:textId="77777777" w:rsidR="008461EA" w:rsidRPr="00800A49" w:rsidRDefault="008461EA" w:rsidP="00720BDC">
            <w:pPr>
              <w:spacing w:after="0" w:line="240" w:lineRule="auto"/>
              <w:jc w:val="center"/>
              <w:rPr>
                <w:rFonts w:eastAsia="Times New Roman" w:cstheme="minorHAnsi"/>
                <w:b/>
                <w:bCs/>
                <w:color w:val="000000"/>
                <w:lang w:eastAsia="en-AU"/>
              </w:rPr>
            </w:pPr>
            <w:r w:rsidRPr="00800A49">
              <w:rPr>
                <w:rFonts w:eastAsia="Times New Roman" w:cstheme="minorHAnsi"/>
                <w:b/>
                <w:bCs/>
                <w:color w:val="000000"/>
                <w:lang w:eastAsia="en-AU"/>
              </w:rPr>
              <w:t>Q5</w:t>
            </w:r>
          </w:p>
        </w:tc>
        <w:tc>
          <w:tcPr>
            <w:tcW w:w="718" w:type="dxa"/>
            <w:tcBorders>
              <w:top w:val="single" w:sz="4" w:space="0" w:color="auto"/>
              <w:left w:val="nil"/>
              <w:bottom w:val="single" w:sz="4" w:space="0" w:color="auto"/>
              <w:right w:val="nil"/>
            </w:tcBorders>
            <w:shd w:val="clear" w:color="auto" w:fill="auto"/>
            <w:noWrap/>
            <w:vAlign w:val="center"/>
            <w:hideMark/>
          </w:tcPr>
          <w:p w14:paraId="45E5FBF4" w14:textId="77777777" w:rsidR="008461EA" w:rsidRPr="00800A49" w:rsidRDefault="008461EA" w:rsidP="00720BDC">
            <w:pPr>
              <w:spacing w:after="0" w:line="240" w:lineRule="auto"/>
              <w:jc w:val="center"/>
              <w:rPr>
                <w:rFonts w:eastAsia="Times New Roman" w:cstheme="minorHAnsi"/>
                <w:b/>
                <w:bCs/>
                <w:color w:val="000000"/>
                <w:lang w:eastAsia="en-AU"/>
              </w:rPr>
            </w:pPr>
            <w:r w:rsidRPr="00800A49">
              <w:rPr>
                <w:rFonts w:eastAsia="Times New Roman" w:cstheme="minorHAnsi"/>
                <w:b/>
                <w:bCs/>
                <w:color w:val="000000"/>
                <w:lang w:eastAsia="en-AU"/>
              </w:rPr>
              <w:t>Q6</w:t>
            </w:r>
          </w:p>
        </w:tc>
        <w:tc>
          <w:tcPr>
            <w:tcW w:w="718" w:type="dxa"/>
            <w:tcBorders>
              <w:top w:val="single" w:sz="4" w:space="0" w:color="auto"/>
              <w:left w:val="nil"/>
              <w:bottom w:val="single" w:sz="4" w:space="0" w:color="auto"/>
              <w:right w:val="nil"/>
            </w:tcBorders>
            <w:shd w:val="clear" w:color="auto" w:fill="auto"/>
            <w:noWrap/>
            <w:vAlign w:val="center"/>
            <w:hideMark/>
          </w:tcPr>
          <w:p w14:paraId="22FFA4A5" w14:textId="77777777" w:rsidR="008461EA" w:rsidRPr="00800A49" w:rsidRDefault="008461EA" w:rsidP="00720BDC">
            <w:pPr>
              <w:spacing w:after="0" w:line="240" w:lineRule="auto"/>
              <w:jc w:val="center"/>
              <w:rPr>
                <w:rFonts w:eastAsia="Times New Roman" w:cstheme="minorHAnsi"/>
                <w:b/>
                <w:bCs/>
                <w:color w:val="000000"/>
                <w:lang w:eastAsia="en-AU"/>
              </w:rPr>
            </w:pPr>
            <w:r w:rsidRPr="00800A49">
              <w:rPr>
                <w:rFonts w:eastAsia="Times New Roman" w:cstheme="minorHAnsi"/>
                <w:b/>
                <w:bCs/>
                <w:color w:val="000000"/>
                <w:lang w:eastAsia="en-AU"/>
              </w:rPr>
              <w:t>Q7</w:t>
            </w:r>
          </w:p>
        </w:tc>
        <w:tc>
          <w:tcPr>
            <w:tcW w:w="832" w:type="dxa"/>
            <w:tcBorders>
              <w:top w:val="single" w:sz="4" w:space="0" w:color="auto"/>
              <w:left w:val="nil"/>
              <w:bottom w:val="single" w:sz="4" w:space="0" w:color="auto"/>
              <w:right w:val="nil"/>
            </w:tcBorders>
            <w:shd w:val="clear" w:color="auto" w:fill="auto"/>
            <w:noWrap/>
            <w:vAlign w:val="center"/>
            <w:hideMark/>
          </w:tcPr>
          <w:p w14:paraId="445C2216" w14:textId="77777777" w:rsidR="008461EA" w:rsidRPr="00800A49" w:rsidRDefault="008461EA" w:rsidP="00720BDC">
            <w:pPr>
              <w:spacing w:after="0" w:line="240" w:lineRule="auto"/>
              <w:jc w:val="center"/>
              <w:rPr>
                <w:rFonts w:eastAsia="Times New Roman" w:cstheme="minorHAnsi"/>
                <w:b/>
                <w:bCs/>
                <w:color w:val="000000"/>
                <w:lang w:eastAsia="en-AU"/>
              </w:rPr>
            </w:pPr>
            <w:r w:rsidRPr="00800A49">
              <w:rPr>
                <w:rFonts w:eastAsia="Times New Roman" w:cstheme="minorHAnsi"/>
                <w:b/>
                <w:bCs/>
                <w:color w:val="000000"/>
                <w:lang w:eastAsia="en-AU"/>
              </w:rPr>
              <w:t>Q8</w:t>
            </w:r>
          </w:p>
        </w:tc>
        <w:tc>
          <w:tcPr>
            <w:tcW w:w="718" w:type="dxa"/>
            <w:tcBorders>
              <w:top w:val="single" w:sz="4" w:space="0" w:color="auto"/>
              <w:left w:val="nil"/>
              <w:bottom w:val="single" w:sz="4" w:space="0" w:color="auto"/>
              <w:right w:val="nil"/>
            </w:tcBorders>
            <w:shd w:val="clear" w:color="auto" w:fill="auto"/>
            <w:noWrap/>
            <w:vAlign w:val="center"/>
            <w:hideMark/>
          </w:tcPr>
          <w:p w14:paraId="1D947F29" w14:textId="77777777" w:rsidR="008461EA" w:rsidRPr="00800A49" w:rsidRDefault="008461EA" w:rsidP="00720BDC">
            <w:pPr>
              <w:spacing w:after="0" w:line="240" w:lineRule="auto"/>
              <w:jc w:val="center"/>
              <w:rPr>
                <w:rFonts w:eastAsia="Times New Roman" w:cstheme="minorHAnsi"/>
                <w:b/>
                <w:bCs/>
                <w:color w:val="000000"/>
                <w:lang w:eastAsia="en-AU"/>
              </w:rPr>
            </w:pPr>
            <w:r w:rsidRPr="00800A49">
              <w:rPr>
                <w:rFonts w:eastAsia="Times New Roman" w:cstheme="minorHAnsi"/>
                <w:b/>
                <w:bCs/>
                <w:color w:val="000000"/>
                <w:lang w:eastAsia="en-AU"/>
              </w:rPr>
              <w:t>Q9</w:t>
            </w:r>
          </w:p>
        </w:tc>
        <w:tc>
          <w:tcPr>
            <w:tcW w:w="834" w:type="dxa"/>
            <w:tcBorders>
              <w:top w:val="single" w:sz="4" w:space="0" w:color="auto"/>
              <w:left w:val="nil"/>
              <w:bottom w:val="single" w:sz="4" w:space="0" w:color="auto"/>
              <w:right w:val="single" w:sz="4" w:space="0" w:color="auto"/>
            </w:tcBorders>
            <w:shd w:val="clear" w:color="auto" w:fill="auto"/>
            <w:noWrap/>
            <w:vAlign w:val="center"/>
            <w:hideMark/>
          </w:tcPr>
          <w:p w14:paraId="64DF0136" w14:textId="77777777" w:rsidR="008461EA" w:rsidRPr="00800A49" w:rsidRDefault="008461EA" w:rsidP="00720BDC">
            <w:pPr>
              <w:spacing w:after="0" w:line="240" w:lineRule="auto"/>
              <w:jc w:val="center"/>
              <w:rPr>
                <w:rFonts w:eastAsia="Times New Roman" w:cstheme="minorHAnsi"/>
                <w:b/>
                <w:bCs/>
                <w:color w:val="000000"/>
                <w:lang w:eastAsia="en-AU"/>
              </w:rPr>
            </w:pPr>
            <w:r w:rsidRPr="00800A49">
              <w:rPr>
                <w:rFonts w:eastAsia="Times New Roman" w:cstheme="minorHAnsi"/>
                <w:b/>
                <w:bCs/>
                <w:color w:val="000000"/>
                <w:lang w:eastAsia="en-AU"/>
              </w:rPr>
              <w:t>Q10</w:t>
            </w:r>
          </w:p>
        </w:tc>
      </w:tr>
      <w:tr w:rsidR="008461EA" w:rsidRPr="00800A49" w14:paraId="2777CC46" w14:textId="77777777" w:rsidTr="00720BDC">
        <w:trPr>
          <w:trHeight w:val="300"/>
        </w:trPr>
        <w:tc>
          <w:tcPr>
            <w:tcW w:w="10156" w:type="dxa"/>
            <w:gridSpan w:val="11"/>
            <w:tcBorders>
              <w:top w:val="single" w:sz="4" w:space="0" w:color="auto"/>
              <w:left w:val="single" w:sz="4" w:space="0" w:color="auto"/>
              <w:bottom w:val="nil"/>
              <w:right w:val="single" w:sz="4" w:space="0" w:color="auto"/>
            </w:tcBorders>
            <w:shd w:val="clear" w:color="auto" w:fill="auto"/>
            <w:noWrap/>
            <w:vAlign w:val="bottom"/>
          </w:tcPr>
          <w:p w14:paraId="28D250F0" w14:textId="77777777" w:rsidR="008461EA" w:rsidRPr="00800A49" w:rsidRDefault="008461EA" w:rsidP="00720BDC">
            <w:pPr>
              <w:keepNext/>
              <w:spacing w:after="0" w:line="240" w:lineRule="auto"/>
              <w:jc w:val="center"/>
              <w:rPr>
                <w:rFonts w:eastAsia="Times New Roman" w:cstheme="minorHAnsi"/>
                <w:color w:val="000000"/>
                <w:lang w:eastAsia="en-AU"/>
              </w:rPr>
            </w:pPr>
            <w:r w:rsidRPr="00800A49">
              <w:rPr>
                <w:rFonts w:eastAsia="Times New Roman" w:cstheme="minorHAnsi"/>
                <w:b/>
                <w:bCs/>
                <w:color w:val="000000"/>
                <w:lang w:eastAsia="en-AU"/>
              </w:rPr>
              <w:t>Cohen’s Kappa Score</w:t>
            </w:r>
          </w:p>
        </w:tc>
      </w:tr>
      <w:tr w:rsidR="008461EA" w:rsidRPr="00800A49" w14:paraId="5B008ADF" w14:textId="77777777" w:rsidTr="00720BDC">
        <w:trPr>
          <w:trHeight w:val="300"/>
        </w:trPr>
        <w:tc>
          <w:tcPr>
            <w:tcW w:w="1491" w:type="dxa"/>
            <w:tcBorders>
              <w:top w:val="nil"/>
              <w:left w:val="single" w:sz="4" w:space="0" w:color="auto"/>
              <w:bottom w:val="nil"/>
              <w:right w:val="nil"/>
            </w:tcBorders>
            <w:shd w:val="clear" w:color="auto" w:fill="auto"/>
            <w:noWrap/>
            <w:vAlign w:val="bottom"/>
          </w:tcPr>
          <w:p w14:paraId="39E45F0A" w14:textId="77777777" w:rsidR="008461EA" w:rsidRPr="00800A49" w:rsidRDefault="008461EA" w:rsidP="00720BDC">
            <w:pPr>
              <w:spacing w:after="0" w:line="240" w:lineRule="auto"/>
              <w:jc w:val="center"/>
              <w:rPr>
                <w:rFonts w:eastAsia="Times New Roman" w:cstheme="minorHAnsi"/>
                <w:b/>
                <w:bCs/>
                <w:color w:val="000000"/>
                <w:lang w:eastAsia="en-AU"/>
              </w:rPr>
            </w:pPr>
            <w:r w:rsidRPr="00800A49">
              <w:rPr>
                <w:rFonts w:eastAsia="Times New Roman" w:cstheme="minorHAnsi"/>
                <w:b/>
                <w:bCs/>
                <w:color w:val="000000"/>
                <w:lang w:eastAsia="en-AU"/>
              </w:rPr>
              <w:t>TMN and LL</w:t>
            </w:r>
          </w:p>
          <w:p w14:paraId="091ED2A9" w14:textId="77777777" w:rsidR="008461EA" w:rsidRPr="00800A49" w:rsidRDefault="008461EA" w:rsidP="00720BDC">
            <w:pPr>
              <w:spacing w:after="0" w:line="240" w:lineRule="auto"/>
              <w:jc w:val="center"/>
              <w:rPr>
                <w:rFonts w:eastAsia="Times New Roman" w:cstheme="minorHAnsi"/>
                <w:color w:val="000000"/>
                <w:lang w:eastAsia="en-AU"/>
              </w:rPr>
            </w:pPr>
            <w:r w:rsidRPr="00800A49">
              <w:rPr>
                <w:rFonts w:eastAsia="Times New Roman" w:cstheme="minorHAnsi"/>
                <w:b/>
                <w:bCs/>
                <w:color w:val="000000"/>
                <w:lang w:eastAsia="en-AU"/>
              </w:rPr>
              <w:t>N = 37</w:t>
            </w:r>
          </w:p>
        </w:tc>
        <w:tc>
          <w:tcPr>
            <w:tcW w:w="828" w:type="dxa"/>
            <w:tcBorders>
              <w:top w:val="nil"/>
              <w:left w:val="nil"/>
              <w:bottom w:val="nil"/>
              <w:right w:val="nil"/>
            </w:tcBorders>
            <w:shd w:val="clear" w:color="auto" w:fill="auto"/>
            <w:noWrap/>
            <w:vAlign w:val="center"/>
          </w:tcPr>
          <w:p w14:paraId="7E845091" w14:textId="77777777" w:rsidR="008461EA" w:rsidRPr="00800A49" w:rsidRDefault="008461EA" w:rsidP="00720BDC">
            <w:pPr>
              <w:spacing w:after="0" w:line="240" w:lineRule="auto"/>
              <w:jc w:val="center"/>
              <w:rPr>
                <w:rFonts w:eastAsia="Times New Roman" w:cstheme="minorHAnsi"/>
                <w:color w:val="000000"/>
                <w:lang w:eastAsia="en-AU"/>
              </w:rPr>
            </w:pPr>
            <w:r w:rsidRPr="00800A49">
              <w:rPr>
                <w:rFonts w:eastAsia="Times New Roman" w:cstheme="minorHAnsi"/>
                <w:color w:val="000000"/>
                <w:lang w:eastAsia="en-AU"/>
              </w:rPr>
              <w:t>0.189</w:t>
            </w:r>
          </w:p>
        </w:tc>
        <w:tc>
          <w:tcPr>
            <w:tcW w:w="1005" w:type="dxa"/>
            <w:tcBorders>
              <w:top w:val="nil"/>
              <w:left w:val="nil"/>
              <w:bottom w:val="nil"/>
              <w:right w:val="nil"/>
            </w:tcBorders>
            <w:shd w:val="clear" w:color="auto" w:fill="auto"/>
            <w:noWrap/>
            <w:vAlign w:val="center"/>
          </w:tcPr>
          <w:p w14:paraId="3513CD34" w14:textId="77777777" w:rsidR="008461EA" w:rsidRPr="00800A49" w:rsidRDefault="008461EA" w:rsidP="00720BDC">
            <w:pPr>
              <w:spacing w:after="0" w:line="240" w:lineRule="auto"/>
              <w:jc w:val="center"/>
              <w:rPr>
                <w:rFonts w:eastAsia="Times New Roman" w:cstheme="minorHAnsi"/>
                <w:color w:val="000000"/>
                <w:lang w:eastAsia="en-AU"/>
              </w:rPr>
            </w:pPr>
            <w:r w:rsidRPr="00800A49">
              <w:rPr>
                <w:rFonts w:eastAsia="Times New Roman" w:cstheme="minorHAnsi"/>
                <w:color w:val="000000"/>
                <w:lang w:eastAsia="en-AU"/>
              </w:rPr>
              <w:t>-0.028*</w:t>
            </w:r>
          </w:p>
        </w:tc>
        <w:tc>
          <w:tcPr>
            <w:tcW w:w="1005" w:type="dxa"/>
            <w:tcBorders>
              <w:top w:val="nil"/>
              <w:left w:val="nil"/>
              <w:bottom w:val="nil"/>
              <w:right w:val="nil"/>
            </w:tcBorders>
            <w:shd w:val="clear" w:color="auto" w:fill="auto"/>
            <w:noWrap/>
            <w:vAlign w:val="center"/>
          </w:tcPr>
          <w:p w14:paraId="53B4078D" w14:textId="77777777" w:rsidR="008461EA" w:rsidRPr="00800A49" w:rsidRDefault="008461EA" w:rsidP="00720BDC">
            <w:pPr>
              <w:spacing w:after="0" w:line="240" w:lineRule="auto"/>
              <w:jc w:val="center"/>
              <w:rPr>
                <w:rFonts w:eastAsia="Times New Roman" w:cstheme="minorHAnsi"/>
                <w:color w:val="000000"/>
                <w:lang w:eastAsia="en-AU"/>
              </w:rPr>
            </w:pPr>
            <w:r w:rsidRPr="00800A49">
              <w:rPr>
                <w:rFonts w:eastAsia="Times New Roman" w:cstheme="minorHAnsi"/>
                <w:color w:val="000000"/>
                <w:lang w:eastAsia="en-AU"/>
              </w:rPr>
              <w:t>-0.014*</w:t>
            </w:r>
          </w:p>
        </w:tc>
        <w:tc>
          <w:tcPr>
            <w:tcW w:w="1005" w:type="dxa"/>
            <w:tcBorders>
              <w:top w:val="nil"/>
              <w:left w:val="nil"/>
              <w:bottom w:val="nil"/>
              <w:right w:val="nil"/>
            </w:tcBorders>
            <w:shd w:val="clear" w:color="auto" w:fill="auto"/>
            <w:noWrap/>
            <w:vAlign w:val="center"/>
          </w:tcPr>
          <w:p w14:paraId="3C9286E3" w14:textId="77777777" w:rsidR="008461EA" w:rsidRPr="00800A49" w:rsidRDefault="008461EA" w:rsidP="00720BDC">
            <w:pPr>
              <w:spacing w:after="0" w:line="240" w:lineRule="auto"/>
              <w:jc w:val="center"/>
              <w:rPr>
                <w:rFonts w:eastAsia="Times New Roman" w:cstheme="minorHAnsi"/>
                <w:color w:val="000000"/>
                <w:lang w:eastAsia="en-AU"/>
              </w:rPr>
            </w:pPr>
            <w:r w:rsidRPr="00800A49">
              <w:rPr>
                <w:rFonts w:eastAsia="Times New Roman" w:cstheme="minorHAnsi"/>
                <w:color w:val="000000"/>
                <w:lang w:eastAsia="en-AU"/>
              </w:rPr>
              <w:t>-0.047*</w:t>
            </w:r>
          </w:p>
        </w:tc>
        <w:tc>
          <w:tcPr>
            <w:tcW w:w="1005" w:type="dxa"/>
            <w:tcBorders>
              <w:top w:val="nil"/>
              <w:left w:val="nil"/>
              <w:bottom w:val="nil"/>
              <w:right w:val="nil"/>
            </w:tcBorders>
            <w:shd w:val="clear" w:color="auto" w:fill="auto"/>
            <w:noWrap/>
            <w:vAlign w:val="center"/>
          </w:tcPr>
          <w:p w14:paraId="5C4D840F" w14:textId="77777777" w:rsidR="008461EA" w:rsidRPr="00800A49" w:rsidRDefault="008461EA" w:rsidP="00720BDC">
            <w:pPr>
              <w:spacing w:after="0" w:line="240" w:lineRule="auto"/>
              <w:jc w:val="center"/>
              <w:rPr>
                <w:rFonts w:eastAsia="Times New Roman" w:cstheme="minorHAnsi"/>
                <w:color w:val="000000"/>
                <w:lang w:eastAsia="en-AU"/>
              </w:rPr>
            </w:pPr>
            <w:r w:rsidRPr="00800A49">
              <w:rPr>
                <w:rFonts w:eastAsia="Times New Roman" w:cstheme="minorHAnsi"/>
                <w:color w:val="000000"/>
                <w:lang w:eastAsia="en-AU"/>
              </w:rPr>
              <w:t>-0.021*</w:t>
            </w:r>
          </w:p>
        </w:tc>
        <w:tc>
          <w:tcPr>
            <w:tcW w:w="718" w:type="dxa"/>
            <w:tcBorders>
              <w:top w:val="nil"/>
              <w:left w:val="nil"/>
              <w:bottom w:val="nil"/>
              <w:right w:val="nil"/>
            </w:tcBorders>
            <w:shd w:val="clear" w:color="auto" w:fill="auto"/>
            <w:noWrap/>
            <w:vAlign w:val="center"/>
          </w:tcPr>
          <w:p w14:paraId="24D02C3C" w14:textId="77777777" w:rsidR="008461EA" w:rsidRPr="00800A49" w:rsidRDefault="008461EA" w:rsidP="00720BDC">
            <w:pPr>
              <w:spacing w:after="0" w:line="240" w:lineRule="auto"/>
              <w:jc w:val="center"/>
              <w:rPr>
                <w:rFonts w:eastAsia="Times New Roman" w:cstheme="minorHAnsi"/>
                <w:color w:val="000000"/>
                <w:lang w:eastAsia="en-AU"/>
              </w:rPr>
            </w:pPr>
            <w:r w:rsidRPr="00800A49">
              <w:rPr>
                <w:rFonts w:eastAsia="Times New Roman" w:cstheme="minorHAnsi"/>
                <w:color w:val="000000"/>
                <w:lang w:eastAsia="en-AU"/>
              </w:rPr>
              <w:t>0.138</w:t>
            </w:r>
          </w:p>
        </w:tc>
        <w:tc>
          <w:tcPr>
            <w:tcW w:w="718" w:type="dxa"/>
            <w:tcBorders>
              <w:top w:val="nil"/>
              <w:left w:val="nil"/>
              <w:bottom w:val="nil"/>
              <w:right w:val="nil"/>
            </w:tcBorders>
            <w:shd w:val="clear" w:color="auto" w:fill="auto"/>
            <w:noWrap/>
            <w:vAlign w:val="center"/>
          </w:tcPr>
          <w:p w14:paraId="613DCC24" w14:textId="77777777" w:rsidR="008461EA" w:rsidRPr="00800A49" w:rsidRDefault="008461EA" w:rsidP="00720BDC">
            <w:pPr>
              <w:spacing w:after="0" w:line="240" w:lineRule="auto"/>
              <w:jc w:val="center"/>
              <w:rPr>
                <w:rFonts w:eastAsia="Times New Roman" w:cstheme="minorHAnsi"/>
                <w:color w:val="000000"/>
                <w:lang w:eastAsia="en-AU"/>
              </w:rPr>
            </w:pPr>
            <w:r w:rsidRPr="00800A49">
              <w:rPr>
                <w:rFonts w:eastAsia="Times New Roman" w:cstheme="minorHAnsi"/>
                <w:color w:val="000000"/>
                <w:lang w:eastAsia="en-AU"/>
              </w:rPr>
              <w:t>0.169</w:t>
            </w:r>
          </w:p>
        </w:tc>
        <w:tc>
          <w:tcPr>
            <w:tcW w:w="832" w:type="dxa"/>
            <w:tcBorders>
              <w:top w:val="nil"/>
              <w:left w:val="nil"/>
              <w:bottom w:val="nil"/>
              <w:right w:val="nil"/>
            </w:tcBorders>
            <w:shd w:val="clear" w:color="auto" w:fill="auto"/>
            <w:noWrap/>
            <w:vAlign w:val="center"/>
          </w:tcPr>
          <w:p w14:paraId="1ACD72D2" w14:textId="77777777" w:rsidR="008461EA" w:rsidRPr="00800A49" w:rsidRDefault="008461EA" w:rsidP="00720BDC">
            <w:pPr>
              <w:spacing w:after="0" w:line="240" w:lineRule="auto"/>
              <w:jc w:val="center"/>
              <w:rPr>
                <w:rFonts w:eastAsia="Times New Roman" w:cstheme="minorHAnsi"/>
                <w:color w:val="000000"/>
                <w:lang w:eastAsia="en-AU"/>
              </w:rPr>
            </w:pPr>
            <w:r w:rsidRPr="00800A49">
              <w:rPr>
                <w:rFonts w:eastAsia="Times New Roman" w:cstheme="minorHAnsi"/>
                <w:color w:val="000000"/>
                <w:lang w:eastAsia="en-AU"/>
              </w:rPr>
              <w:t>0.528</w:t>
            </w:r>
          </w:p>
        </w:tc>
        <w:tc>
          <w:tcPr>
            <w:tcW w:w="718" w:type="dxa"/>
            <w:tcBorders>
              <w:top w:val="nil"/>
              <w:left w:val="nil"/>
              <w:bottom w:val="nil"/>
              <w:right w:val="nil"/>
            </w:tcBorders>
            <w:shd w:val="clear" w:color="auto" w:fill="auto"/>
            <w:noWrap/>
            <w:vAlign w:val="center"/>
          </w:tcPr>
          <w:p w14:paraId="56BAB1C9" w14:textId="77777777" w:rsidR="008461EA" w:rsidRPr="00800A49" w:rsidRDefault="008461EA" w:rsidP="00720BDC">
            <w:pPr>
              <w:spacing w:after="0" w:line="240" w:lineRule="auto"/>
              <w:jc w:val="center"/>
              <w:rPr>
                <w:rFonts w:eastAsia="Times New Roman" w:cstheme="minorHAnsi"/>
                <w:color w:val="000000"/>
                <w:lang w:eastAsia="en-AU"/>
              </w:rPr>
            </w:pPr>
            <w:r w:rsidRPr="00800A49">
              <w:rPr>
                <w:rFonts w:eastAsia="Times New Roman" w:cstheme="minorHAnsi"/>
                <w:color w:val="000000"/>
                <w:lang w:eastAsia="en-AU"/>
              </w:rPr>
              <w:t>0.346</w:t>
            </w:r>
          </w:p>
        </w:tc>
        <w:tc>
          <w:tcPr>
            <w:tcW w:w="834" w:type="dxa"/>
            <w:tcBorders>
              <w:top w:val="nil"/>
              <w:left w:val="nil"/>
              <w:bottom w:val="nil"/>
              <w:right w:val="single" w:sz="4" w:space="0" w:color="auto"/>
            </w:tcBorders>
            <w:shd w:val="clear" w:color="auto" w:fill="auto"/>
            <w:noWrap/>
            <w:vAlign w:val="center"/>
          </w:tcPr>
          <w:p w14:paraId="53436182" w14:textId="77777777" w:rsidR="008461EA" w:rsidRPr="00800A49" w:rsidRDefault="008461EA" w:rsidP="00720BDC">
            <w:pPr>
              <w:keepNext/>
              <w:spacing w:after="0" w:line="240" w:lineRule="auto"/>
              <w:jc w:val="center"/>
              <w:rPr>
                <w:rFonts w:eastAsia="Times New Roman" w:cstheme="minorHAnsi"/>
                <w:color w:val="000000"/>
                <w:lang w:eastAsia="en-AU"/>
              </w:rPr>
            </w:pPr>
            <w:r w:rsidRPr="00800A49">
              <w:rPr>
                <w:rFonts w:eastAsia="Times New Roman" w:cstheme="minorHAnsi"/>
                <w:color w:val="000000"/>
                <w:lang w:eastAsia="en-AU"/>
              </w:rPr>
              <w:t>0.013</w:t>
            </w:r>
          </w:p>
        </w:tc>
      </w:tr>
      <w:tr w:rsidR="008461EA" w:rsidRPr="00800A49" w14:paraId="1F6BECAC" w14:textId="77777777" w:rsidTr="00720BDC">
        <w:trPr>
          <w:trHeight w:val="300"/>
        </w:trPr>
        <w:tc>
          <w:tcPr>
            <w:tcW w:w="1491" w:type="dxa"/>
            <w:tcBorders>
              <w:top w:val="nil"/>
              <w:left w:val="single" w:sz="4" w:space="0" w:color="auto"/>
              <w:bottom w:val="single" w:sz="4" w:space="0" w:color="auto"/>
              <w:right w:val="nil"/>
            </w:tcBorders>
            <w:shd w:val="clear" w:color="auto" w:fill="auto"/>
            <w:noWrap/>
            <w:vAlign w:val="bottom"/>
          </w:tcPr>
          <w:p w14:paraId="3EDC7443" w14:textId="77777777" w:rsidR="008461EA" w:rsidRPr="00800A49" w:rsidRDefault="008461EA" w:rsidP="00720BDC">
            <w:pPr>
              <w:spacing w:after="0" w:line="240" w:lineRule="auto"/>
              <w:jc w:val="center"/>
              <w:rPr>
                <w:rFonts w:eastAsia="Times New Roman" w:cstheme="minorHAnsi"/>
                <w:b/>
                <w:bCs/>
                <w:color w:val="000000"/>
                <w:lang w:eastAsia="en-AU"/>
              </w:rPr>
            </w:pPr>
            <w:r w:rsidRPr="00800A49">
              <w:rPr>
                <w:rFonts w:eastAsia="Times New Roman" w:cstheme="minorHAnsi"/>
                <w:b/>
                <w:bCs/>
                <w:color w:val="000000"/>
                <w:lang w:eastAsia="en-AU"/>
              </w:rPr>
              <w:t>TMN and UT</w:t>
            </w:r>
          </w:p>
          <w:p w14:paraId="2A6513B8" w14:textId="77777777" w:rsidR="008461EA" w:rsidRPr="00800A49" w:rsidRDefault="008461EA" w:rsidP="00720BDC">
            <w:pPr>
              <w:spacing w:after="0" w:line="240" w:lineRule="auto"/>
              <w:jc w:val="center"/>
              <w:rPr>
                <w:rFonts w:eastAsia="Times New Roman" w:cstheme="minorHAnsi"/>
                <w:color w:val="000000"/>
                <w:lang w:eastAsia="en-AU"/>
              </w:rPr>
            </w:pPr>
            <w:r w:rsidRPr="00800A49">
              <w:rPr>
                <w:rFonts w:eastAsia="Times New Roman" w:cstheme="minorHAnsi"/>
                <w:b/>
                <w:bCs/>
                <w:color w:val="000000"/>
                <w:lang w:eastAsia="en-AU"/>
              </w:rPr>
              <w:t>N = 36</w:t>
            </w:r>
          </w:p>
        </w:tc>
        <w:tc>
          <w:tcPr>
            <w:tcW w:w="828" w:type="dxa"/>
            <w:tcBorders>
              <w:top w:val="nil"/>
              <w:left w:val="nil"/>
              <w:bottom w:val="single" w:sz="4" w:space="0" w:color="auto"/>
              <w:right w:val="nil"/>
            </w:tcBorders>
            <w:shd w:val="clear" w:color="auto" w:fill="auto"/>
            <w:noWrap/>
            <w:vAlign w:val="center"/>
          </w:tcPr>
          <w:p w14:paraId="02B24A78" w14:textId="77777777" w:rsidR="008461EA" w:rsidRPr="00800A49" w:rsidRDefault="008461EA" w:rsidP="00720BDC">
            <w:pPr>
              <w:spacing w:after="0" w:line="240" w:lineRule="auto"/>
              <w:jc w:val="center"/>
              <w:rPr>
                <w:rFonts w:eastAsia="Times New Roman" w:cstheme="minorHAnsi"/>
                <w:color w:val="000000"/>
                <w:lang w:eastAsia="en-AU"/>
              </w:rPr>
            </w:pPr>
            <w:r w:rsidRPr="00800A49">
              <w:rPr>
                <w:rFonts w:eastAsia="Times New Roman" w:cstheme="minorHAnsi"/>
                <w:color w:val="000000"/>
                <w:lang w:eastAsia="en-AU"/>
              </w:rPr>
              <w:t>&lt;0.001</w:t>
            </w:r>
          </w:p>
        </w:tc>
        <w:tc>
          <w:tcPr>
            <w:tcW w:w="1005" w:type="dxa"/>
            <w:tcBorders>
              <w:top w:val="nil"/>
              <w:left w:val="nil"/>
              <w:bottom w:val="single" w:sz="4" w:space="0" w:color="auto"/>
              <w:right w:val="nil"/>
            </w:tcBorders>
            <w:shd w:val="clear" w:color="auto" w:fill="auto"/>
            <w:noWrap/>
            <w:vAlign w:val="center"/>
          </w:tcPr>
          <w:p w14:paraId="0CDFA228" w14:textId="77777777" w:rsidR="008461EA" w:rsidRPr="00800A49" w:rsidRDefault="008461EA" w:rsidP="00720BDC">
            <w:pPr>
              <w:spacing w:after="0" w:line="240" w:lineRule="auto"/>
              <w:jc w:val="center"/>
              <w:rPr>
                <w:rFonts w:eastAsia="Times New Roman" w:cstheme="minorHAnsi"/>
                <w:color w:val="000000"/>
                <w:lang w:eastAsia="en-AU"/>
              </w:rPr>
            </w:pPr>
            <w:r w:rsidRPr="00800A49">
              <w:rPr>
                <w:rFonts w:eastAsia="Times New Roman" w:cstheme="minorHAnsi"/>
                <w:color w:val="000000"/>
                <w:lang w:eastAsia="en-AU"/>
              </w:rPr>
              <w:t>0.321</w:t>
            </w:r>
          </w:p>
        </w:tc>
        <w:tc>
          <w:tcPr>
            <w:tcW w:w="1005" w:type="dxa"/>
            <w:tcBorders>
              <w:top w:val="nil"/>
              <w:left w:val="nil"/>
              <w:bottom w:val="single" w:sz="4" w:space="0" w:color="auto"/>
              <w:right w:val="nil"/>
            </w:tcBorders>
            <w:shd w:val="clear" w:color="auto" w:fill="auto"/>
            <w:noWrap/>
            <w:vAlign w:val="center"/>
          </w:tcPr>
          <w:p w14:paraId="7A5C93B9" w14:textId="77777777" w:rsidR="008461EA" w:rsidRPr="00800A49" w:rsidRDefault="008461EA" w:rsidP="00720BDC">
            <w:pPr>
              <w:spacing w:after="0" w:line="240" w:lineRule="auto"/>
              <w:jc w:val="center"/>
              <w:rPr>
                <w:rFonts w:eastAsia="Times New Roman" w:cstheme="minorHAnsi"/>
                <w:color w:val="000000"/>
                <w:lang w:eastAsia="en-AU"/>
              </w:rPr>
            </w:pPr>
            <w:r w:rsidRPr="00800A49">
              <w:rPr>
                <w:rFonts w:eastAsia="Times New Roman" w:cstheme="minorHAnsi"/>
                <w:color w:val="000000"/>
                <w:lang w:eastAsia="en-AU"/>
              </w:rPr>
              <w:t>-0.014*</w:t>
            </w:r>
          </w:p>
        </w:tc>
        <w:tc>
          <w:tcPr>
            <w:tcW w:w="1005" w:type="dxa"/>
            <w:tcBorders>
              <w:top w:val="nil"/>
              <w:left w:val="nil"/>
              <w:bottom w:val="single" w:sz="4" w:space="0" w:color="auto"/>
              <w:right w:val="nil"/>
            </w:tcBorders>
            <w:shd w:val="clear" w:color="auto" w:fill="auto"/>
            <w:noWrap/>
            <w:vAlign w:val="center"/>
          </w:tcPr>
          <w:p w14:paraId="4C9C2412" w14:textId="77777777" w:rsidR="008461EA" w:rsidRPr="00800A49" w:rsidRDefault="008461EA" w:rsidP="00720BDC">
            <w:pPr>
              <w:spacing w:after="0" w:line="240" w:lineRule="auto"/>
              <w:jc w:val="center"/>
              <w:rPr>
                <w:rFonts w:eastAsia="Times New Roman" w:cstheme="minorHAnsi"/>
                <w:color w:val="000000"/>
                <w:lang w:eastAsia="en-AU"/>
              </w:rPr>
            </w:pPr>
            <w:r w:rsidRPr="00800A49">
              <w:rPr>
                <w:rFonts w:eastAsia="Times New Roman" w:cstheme="minorHAnsi"/>
                <w:color w:val="000000"/>
                <w:lang w:eastAsia="en-AU"/>
              </w:rPr>
              <w:t>-0.070*</w:t>
            </w:r>
          </w:p>
        </w:tc>
        <w:tc>
          <w:tcPr>
            <w:tcW w:w="1005" w:type="dxa"/>
            <w:tcBorders>
              <w:top w:val="nil"/>
              <w:left w:val="nil"/>
              <w:bottom w:val="single" w:sz="4" w:space="0" w:color="auto"/>
              <w:right w:val="nil"/>
            </w:tcBorders>
            <w:shd w:val="clear" w:color="auto" w:fill="auto"/>
            <w:noWrap/>
            <w:vAlign w:val="center"/>
          </w:tcPr>
          <w:p w14:paraId="1D20AB9F" w14:textId="77777777" w:rsidR="008461EA" w:rsidRPr="00800A49" w:rsidRDefault="008461EA" w:rsidP="00720BDC">
            <w:pPr>
              <w:spacing w:after="0" w:line="240" w:lineRule="auto"/>
              <w:jc w:val="center"/>
              <w:rPr>
                <w:rFonts w:eastAsia="Times New Roman" w:cstheme="minorHAnsi"/>
                <w:color w:val="000000"/>
                <w:lang w:eastAsia="en-AU"/>
              </w:rPr>
            </w:pPr>
            <w:r w:rsidRPr="00800A49">
              <w:rPr>
                <w:rFonts w:eastAsia="Times New Roman" w:cstheme="minorHAnsi"/>
                <w:color w:val="000000"/>
                <w:lang w:eastAsia="en-AU"/>
              </w:rPr>
              <w:t>0.262</w:t>
            </w:r>
          </w:p>
        </w:tc>
        <w:tc>
          <w:tcPr>
            <w:tcW w:w="718" w:type="dxa"/>
            <w:tcBorders>
              <w:top w:val="nil"/>
              <w:left w:val="nil"/>
              <w:bottom w:val="single" w:sz="4" w:space="0" w:color="auto"/>
              <w:right w:val="nil"/>
            </w:tcBorders>
            <w:shd w:val="clear" w:color="auto" w:fill="auto"/>
            <w:noWrap/>
            <w:vAlign w:val="center"/>
          </w:tcPr>
          <w:p w14:paraId="0964A784" w14:textId="77777777" w:rsidR="008461EA" w:rsidRPr="00800A49" w:rsidRDefault="008461EA" w:rsidP="00720BDC">
            <w:pPr>
              <w:spacing w:after="0" w:line="240" w:lineRule="auto"/>
              <w:jc w:val="center"/>
              <w:rPr>
                <w:rFonts w:eastAsia="Times New Roman" w:cstheme="minorHAnsi"/>
                <w:color w:val="000000"/>
                <w:lang w:eastAsia="en-AU"/>
              </w:rPr>
            </w:pPr>
            <w:r w:rsidRPr="00800A49">
              <w:rPr>
                <w:rFonts w:eastAsia="Times New Roman" w:cstheme="minorHAnsi"/>
                <w:color w:val="000000"/>
                <w:lang w:eastAsia="en-AU"/>
              </w:rPr>
              <w:t>0.037</w:t>
            </w:r>
          </w:p>
        </w:tc>
        <w:tc>
          <w:tcPr>
            <w:tcW w:w="718" w:type="dxa"/>
            <w:tcBorders>
              <w:top w:val="nil"/>
              <w:left w:val="nil"/>
              <w:bottom w:val="single" w:sz="4" w:space="0" w:color="auto"/>
              <w:right w:val="nil"/>
            </w:tcBorders>
            <w:shd w:val="clear" w:color="auto" w:fill="auto"/>
            <w:noWrap/>
            <w:vAlign w:val="center"/>
          </w:tcPr>
          <w:p w14:paraId="757B21A1" w14:textId="77777777" w:rsidR="008461EA" w:rsidRPr="00800A49" w:rsidRDefault="008461EA" w:rsidP="00720BDC">
            <w:pPr>
              <w:spacing w:after="0" w:line="240" w:lineRule="auto"/>
              <w:jc w:val="center"/>
              <w:rPr>
                <w:rFonts w:eastAsia="Times New Roman" w:cstheme="minorHAnsi"/>
                <w:color w:val="000000"/>
                <w:lang w:eastAsia="en-AU"/>
              </w:rPr>
            </w:pPr>
            <w:r w:rsidRPr="00800A49">
              <w:rPr>
                <w:rFonts w:eastAsia="Times New Roman" w:cstheme="minorHAnsi"/>
                <w:color w:val="000000"/>
                <w:lang w:eastAsia="en-AU"/>
              </w:rPr>
              <w:t>0.094</w:t>
            </w:r>
          </w:p>
        </w:tc>
        <w:tc>
          <w:tcPr>
            <w:tcW w:w="832" w:type="dxa"/>
            <w:tcBorders>
              <w:top w:val="nil"/>
              <w:left w:val="nil"/>
              <w:bottom w:val="single" w:sz="4" w:space="0" w:color="auto"/>
              <w:right w:val="nil"/>
            </w:tcBorders>
            <w:shd w:val="clear" w:color="auto" w:fill="auto"/>
            <w:noWrap/>
            <w:vAlign w:val="center"/>
          </w:tcPr>
          <w:p w14:paraId="0FC623EA" w14:textId="77777777" w:rsidR="008461EA" w:rsidRPr="00800A49" w:rsidRDefault="008461EA" w:rsidP="00720BDC">
            <w:pPr>
              <w:spacing w:after="0" w:line="240" w:lineRule="auto"/>
              <w:jc w:val="center"/>
              <w:rPr>
                <w:rFonts w:eastAsia="Times New Roman" w:cstheme="minorHAnsi"/>
                <w:color w:val="000000"/>
                <w:lang w:eastAsia="en-AU"/>
              </w:rPr>
            </w:pPr>
            <w:r w:rsidRPr="00800A49">
              <w:rPr>
                <w:rFonts w:eastAsia="Times New Roman" w:cstheme="minorHAnsi"/>
                <w:color w:val="000000"/>
                <w:lang w:eastAsia="en-AU"/>
              </w:rPr>
              <w:t>-0.059</w:t>
            </w:r>
          </w:p>
        </w:tc>
        <w:tc>
          <w:tcPr>
            <w:tcW w:w="718" w:type="dxa"/>
            <w:tcBorders>
              <w:top w:val="nil"/>
              <w:left w:val="nil"/>
              <w:bottom w:val="single" w:sz="4" w:space="0" w:color="auto"/>
              <w:right w:val="nil"/>
            </w:tcBorders>
            <w:shd w:val="clear" w:color="auto" w:fill="auto"/>
            <w:noWrap/>
            <w:vAlign w:val="center"/>
          </w:tcPr>
          <w:p w14:paraId="3F5C7664" w14:textId="77777777" w:rsidR="008461EA" w:rsidRPr="00800A49" w:rsidRDefault="008461EA" w:rsidP="00720BDC">
            <w:pPr>
              <w:spacing w:after="0" w:line="240" w:lineRule="auto"/>
              <w:jc w:val="center"/>
              <w:rPr>
                <w:rFonts w:eastAsia="Times New Roman" w:cstheme="minorHAnsi"/>
                <w:color w:val="000000"/>
                <w:lang w:eastAsia="en-AU"/>
              </w:rPr>
            </w:pPr>
            <w:r w:rsidRPr="00800A49">
              <w:rPr>
                <w:rFonts w:eastAsia="Times New Roman" w:cstheme="minorHAnsi"/>
                <w:color w:val="000000"/>
                <w:lang w:eastAsia="en-AU"/>
              </w:rPr>
              <w:t>0.087</w:t>
            </w:r>
          </w:p>
        </w:tc>
        <w:tc>
          <w:tcPr>
            <w:tcW w:w="834" w:type="dxa"/>
            <w:tcBorders>
              <w:top w:val="nil"/>
              <w:left w:val="nil"/>
              <w:bottom w:val="single" w:sz="4" w:space="0" w:color="auto"/>
              <w:right w:val="single" w:sz="4" w:space="0" w:color="auto"/>
            </w:tcBorders>
            <w:shd w:val="clear" w:color="auto" w:fill="auto"/>
            <w:noWrap/>
            <w:vAlign w:val="center"/>
          </w:tcPr>
          <w:p w14:paraId="59369E83" w14:textId="77777777" w:rsidR="008461EA" w:rsidRPr="00800A49" w:rsidRDefault="008461EA" w:rsidP="00720BDC">
            <w:pPr>
              <w:keepNext/>
              <w:spacing w:after="0" w:line="240" w:lineRule="auto"/>
              <w:jc w:val="center"/>
              <w:rPr>
                <w:rFonts w:eastAsia="Times New Roman" w:cstheme="minorHAnsi"/>
                <w:color w:val="000000"/>
                <w:lang w:eastAsia="en-AU"/>
              </w:rPr>
            </w:pPr>
            <w:r w:rsidRPr="00800A49">
              <w:rPr>
                <w:rFonts w:eastAsia="Times New Roman" w:cstheme="minorHAnsi"/>
                <w:color w:val="000000"/>
                <w:lang w:eastAsia="en-AU"/>
              </w:rPr>
              <w:t>0.0910</w:t>
            </w:r>
          </w:p>
        </w:tc>
      </w:tr>
    </w:tbl>
    <w:bookmarkEnd w:id="0"/>
    <w:p w14:paraId="0A63373D" w14:textId="77777777" w:rsidR="008461EA" w:rsidRPr="00800A49" w:rsidRDefault="008461EA" w:rsidP="008461EA">
      <w:pPr>
        <w:spacing w:after="0" w:line="240" w:lineRule="auto"/>
        <w:rPr>
          <w:rFonts w:ascii="Times New Roman" w:hAnsi="Times New Roman" w:cs="Times New Roman"/>
          <w:sz w:val="24"/>
          <w:szCs w:val="24"/>
        </w:rPr>
      </w:pPr>
      <w:r w:rsidRPr="00800A49">
        <w:rPr>
          <w:rFonts w:ascii="Times New Roman" w:hAnsi="Times New Roman" w:cs="Times New Roman"/>
          <w:sz w:val="24"/>
          <w:szCs w:val="24"/>
        </w:rPr>
        <w:t>Q = question</w:t>
      </w:r>
    </w:p>
    <w:p w14:paraId="3F7F507C" w14:textId="77777777" w:rsidR="008461EA" w:rsidRPr="00800A49" w:rsidRDefault="008461EA" w:rsidP="008461EA">
      <w:pPr>
        <w:spacing w:after="0" w:line="240" w:lineRule="auto"/>
        <w:rPr>
          <w:rFonts w:ascii="Times New Roman" w:hAnsi="Times New Roman" w:cs="Times New Roman"/>
          <w:sz w:val="24"/>
          <w:szCs w:val="24"/>
        </w:rPr>
        <w:sectPr w:rsidR="008461EA" w:rsidRPr="00800A49" w:rsidSect="002F79E5">
          <w:type w:val="continuous"/>
          <w:pgSz w:w="11906" w:h="16838"/>
          <w:pgMar w:top="1440" w:right="1440" w:bottom="1440" w:left="1440" w:header="709" w:footer="709" w:gutter="0"/>
          <w:cols w:space="708"/>
          <w:docGrid w:linePitch="360"/>
        </w:sectPr>
      </w:pPr>
      <w:r w:rsidRPr="00800A49">
        <w:rPr>
          <w:rFonts w:ascii="Times New Roman" w:hAnsi="Times New Roman" w:cs="Times New Roman"/>
          <w:sz w:val="24"/>
          <w:szCs w:val="24"/>
        </w:rPr>
        <w:t xml:space="preserve">*  </w:t>
      </w:r>
      <w:proofErr w:type="gramStart"/>
      <w:r w:rsidRPr="00800A49">
        <w:rPr>
          <w:rFonts w:ascii="Times New Roman" w:hAnsi="Times New Roman" w:cs="Times New Roman"/>
          <w:sz w:val="24"/>
          <w:szCs w:val="24"/>
        </w:rPr>
        <w:t>negative</w:t>
      </w:r>
      <w:proofErr w:type="gramEnd"/>
      <w:r w:rsidRPr="00800A49">
        <w:rPr>
          <w:rFonts w:ascii="Times New Roman" w:hAnsi="Times New Roman" w:cs="Times New Roman"/>
          <w:sz w:val="24"/>
          <w:szCs w:val="24"/>
        </w:rPr>
        <w:t xml:space="preserve"> values indicate no agreement</w:t>
      </w:r>
    </w:p>
    <w:p w14:paraId="1FC7912A" w14:textId="77777777" w:rsidR="008461EA" w:rsidRPr="00800A49" w:rsidRDefault="008461EA" w:rsidP="008461EA">
      <w:pPr>
        <w:spacing w:after="0" w:line="240" w:lineRule="auto"/>
        <w:jc w:val="both"/>
        <w:rPr>
          <w:rFonts w:ascii="Times New Roman" w:hAnsi="Times New Roman" w:cs="Times New Roman"/>
          <w:b/>
          <w:bCs/>
          <w:sz w:val="24"/>
          <w:szCs w:val="24"/>
        </w:rPr>
      </w:pPr>
      <w:r w:rsidRPr="00800A49">
        <w:rPr>
          <w:rFonts w:ascii="Times New Roman" w:hAnsi="Times New Roman" w:cs="Times New Roman"/>
          <w:b/>
          <w:bCs/>
          <w:sz w:val="24"/>
          <w:szCs w:val="24"/>
        </w:rPr>
        <w:lastRenderedPageBreak/>
        <w:t>Appendix 4</w:t>
      </w:r>
    </w:p>
    <w:p w14:paraId="4618CCDA" w14:textId="77777777" w:rsidR="008461EA" w:rsidRPr="00800A49" w:rsidRDefault="008461EA" w:rsidP="008461EA">
      <w:pPr>
        <w:spacing w:after="0" w:line="240" w:lineRule="auto"/>
        <w:jc w:val="both"/>
        <w:rPr>
          <w:rFonts w:ascii="Times New Roman" w:hAnsi="Times New Roman" w:cs="Times New Roman"/>
          <w:b/>
          <w:bCs/>
          <w:sz w:val="24"/>
          <w:szCs w:val="24"/>
        </w:rPr>
      </w:pPr>
    </w:p>
    <w:p w14:paraId="4077A3CF" w14:textId="77777777" w:rsidR="008461EA" w:rsidRPr="00800A49" w:rsidRDefault="008461EA" w:rsidP="008461EA">
      <w:pPr>
        <w:spacing w:after="0" w:line="240" w:lineRule="auto"/>
        <w:jc w:val="both"/>
        <w:rPr>
          <w:rFonts w:ascii="Times New Roman" w:hAnsi="Times New Roman" w:cs="Times New Roman"/>
          <w:sz w:val="24"/>
          <w:szCs w:val="24"/>
        </w:rPr>
      </w:pPr>
      <w:r w:rsidRPr="00CC6161">
        <w:rPr>
          <w:rFonts w:ascii="Times New Roman" w:hAnsi="Times New Roman" w:cs="Times New Roman"/>
          <w:b/>
          <w:bCs/>
          <w:sz w:val="24"/>
          <w:szCs w:val="24"/>
        </w:rPr>
        <w:t xml:space="preserve">Table 8. </w:t>
      </w:r>
      <w:r w:rsidRPr="00CC6161">
        <w:rPr>
          <w:rFonts w:ascii="Times New Roman" w:hAnsi="Times New Roman" w:cs="Times New Roman"/>
          <w:sz w:val="24"/>
          <w:szCs w:val="24"/>
        </w:rPr>
        <w:t xml:space="preserve"> Summary data analysis of the economic evaluation studies included in the review and overall study quality using the </w:t>
      </w:r>
      <w:r w:rsidRPr="00CC6161">
        <w:rPr>
          <w:rFonts w:ascii="Times New Roman" w:hAnsi="Times New Roman" w:cs="Times New Roman"/>
          <w:sz w:val="24"/>
          <w:szCs w:val="24"/>
          <w:shd w:val="clear" w:color="auto" w:fill="FFFF00"/>
        </w:rPr>
        <w:t>Gonzalez-Perez 2002 criteria [38]</w:t>
      </w:r>
      <w:r w:rsidRPr="00CC6161">
        <w:rPr>
          <w:rFonts w:ascii="Times New Roman" w:hAnsi="Times New Roman" w:cs="Times New Roman"/>
          <w:sz w:val="24"/>
          <w:szCs w:val="24"/>
        </w:rPr>
        <w:t xml:space="preserve"> for the Drummond 10-point checklist </w:t>
      </w:r>
      <w:r w:rsidRPr="00CC6161">
        <w:rPr>
          <w:rFonts w:ascii="Times New Roman" w:hAnsi="Times New Roman" w:cs="Times New Roman"/>
          <w:noProof/>
          <w:sz w:val="24"/>
          <w:szCs w:val="24"/>
        </w:rPr>
        <w:t>[34]</w:t>
      </w:r>
      <w:r w:rsidRPr="00CC6161">
        <w:rPr>
          <w:rFonts w:ascii="Times New Roman" w:hAnsi="Times New Roman" w:cs="Times New Roman"/>
          <w:sz w:val="24"/>
          <w:szCs w:val="24"/>
        </w:rPr>
        <w:t>.</w:t>
      </w:r>
    </w:p>
    <w:tbl>
      <w:tblPr>
        <w:tblW w:w="15588" w:type="dxa"/>
        <w:tblInd w:w="-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28"/>
        <w:gridCol w:w="283"/>
        <w:gridCol w:w="709"/>
        <w:gridCol w:w="2409"/>
        <w:gridCol w:w="1105"/>
        <w:gridCol w:w="851"/>
        <w:gridCol w:w="851"/>
        <w:gridCol w:w="1190"/>
        <w:gridCol w:w="2760"/>
        <w:gridCol w:w="634"/>
        <w:gridCol w:w="556"/>
        <w:gridCol w:w="1978"/>
        <w:gridCol w:w="1134"/>
      </w:tblGrid>
      <w:tr w:rsidR="008461EA" w:rsidRPr="00800A49" w14:paraId="3D8DD783" w14:textId="77777777" w:rsidTr="00720BDC">
        <w:trPr>
          <w:trHeight w:val="699"/>
        </w:trPr>
        <w:tc>
          <w:tcPr>
            <w:tcW w:w="1411" w:type="dxa"/>
            <w:gridSpan w:val="2"/>
            <w:vMerge w:val="restart"/>
            <w:shd w:val="clear" w:color="auto" w:fill="auto"/>
            <w:noWrap/>
            <w:vAlign w:val="center"/>
            <w:hideMark/>
          </w:tcPr>
          <w:p w14:paraId="48D40328" w14:textId="77777777" w:rsidR="008461EA" w:rsidRPr="00800A49" w:rsidRDefault="008461EA" w:rsidP="00720BDC">
            <w:pPr>
              <w:spacing w:after="0" w:line="240" w:lineRule="auto"/>
              <w:jc w:val="center"/>
              <w:rPr>
                <w:rFonts w:ascii="Times New Roman" w:eastAsia="Times New Roman" w:hAnsi="Times New Roman" w:cs="Times New Roman"/>
                <w:b/>
                <w:bCs/>
                <w:color w:val="000000"/>
                <w:sz w:val="18"/>
                <w:szCs w:val="18"/>
                <w:lang w:eastAsia="en-AU"/>
              </w:rPr>
            </w:pPr>
            <w:r w:rsidRPr="00800A49">
              <w:rPr>
                <w:rFonts w:ascii="Times New Roman" w:eastAsia="Times New Roman" w:hAnsi="Times New Roman" w:cs="Times New Roman"/>
                <w:b/>
                <w:bCs/>
                <w:color w:val="000000"/>
                <w:sz w:val="18"/>
                <w:szCs w:val="18"/>
                <w:lang w:eastAsia="en-AU"/>
              </w:rPr>
              <w:t>Publication</w:t>
            </w:r>
          </w:p>
        </w:tc>
        <w:tc>
          <w:tcPr>
            <w:tcW w:w="709" w:type="dxa"/>
            <w:vMerge w:val="restart"/>
            <w:vAlign w:val="center"/>
          </w:tcPr>
          <w:p w14:paraId="0889EFE6" w14:textId="77777777" w:rsidR="008461EA" w:rsidRPr="00800A49" w:rsidRDefault="008461EA" w:rsidP="00720BDC">
            <w:pPr>
              <w:spacing w:after="0" w:line="240" w:lineRule="auto"/>
              <w:jc w:val="center"/>
              <w:rPr>
                <w:rFonts w:ascii="Times New Roman" w:eastAsia="Times New Roman" w:hAnsi="Times New Roman" w:cs="Times New Roman"/>
                <w:b/>
                <w:bCs/>
                <w:color w:val="000000"/>
                <w:sz w:val="18"/>
                <w:szCs w:val="18"/>
                <w:lang w:eastAsia="en-AU"/>
              </w:rPr>
            </w:pPr>
            <w:r w:rsidRPr="00800A49">
              <w:rPr>
                <w:rFonts w:ascii="Times New Roman" w:eastAsia="Times New Roman" w:hAnsi="Times New Roman" w:cs="Times New Roman"/>
                <w:b/>
                <w:bCs/>
                <w:color w:val="000000"/>
                <w:sz w:val="18"/>
                <w:szCs w:val="18"/>
                <w:lang w:eastAsia="en-AU"/>
              </w:rPr>
              <w:t>Class.</w:t>
            </w:r>
          </w:p>
        </w:tc>
        <w:tc>
          <w:tcPr>
            <w:tcW w:w="2409" w:type="dxa"/>
            <w:vMerge w:val="restart"/>
            <w:shd w:val="clear" w:color="auto" w:fill="auto"/>
            <w:noWrap/>
            <w:vAlign w:val="center"/>
            <w:hideMark/>
          </w:tcPr>
          <w:p w14:paraId="2EC50048" w14:textId="77777777" w:rsidR="008461EA" w:rsidRPr="00800A49" w:rsidRDefault="008461EA" w:rsidP="00720BDC">
            <w:pPr>
              <w:spacing w:after="0" w:line="240" w:lineRule="auto"/>
              <w:jc w:val="center"/>
              <w:rPr>
                <w:rFonts w:ascii="Times New Roman" w:eastAsia="Times New Roman" w:hAnsi="Times New Roman" w:cs="Times New Roman"/>
                <w:b/>
                <w:bCs/>
                <w:color w:val="000000"/>
                <w:sz w:val="18"/>
                <w:szCs w:val="18"/>
                <w:lang w:eastAsia="en-AU"/>
              </w:rPr>
            </w:pPr>
            <w:r w:rsidRPr="00800A49">
              <w:rPr>
                <w:rFonts w:ascii="Times New Roman" w:eastAsia="Times New Roman" w:hAnsi="Times New Roman" w:cs="Times New Roman"/>
                <w:b/>
                <w:bCs/>
                <w:color w:val="000000"/>
                <w:sz w:val="18"/>
                <w:szCs w:val="18"/>
                <w:lang w:eastAsia="en-AU"/>
              </w:rPr>
              <w:t>Intervention(s) / Comparator</w:t>
            </w:r>
          </w:p>
          <w:p w14:paraId="56A886B2" w14:textId="77777777" w:rsidR="008461EA" w:rsidRPr="00800A49" w:rsidRDefault="008461EA" w:rsidP="00720BDC">
            <w:pPr>
              <w:spacing w:after="0" w:line="240" w:lineRule="auto"/>
              <w:jc w:val="center"/>
              <w:rPr>
                <w:rFonts w:ascii="Times New Roman" w:eastAsia="Times New Roman" w:hAnsi="Times New Roman" w:cs="Times New Roman"/>
                <w:b/>
                <w:bCs/>
                <w:color w:val="000000"/>
                <w:sz w:val="18"/>
                <w:szCs w:val="18"/>
                <w:lang w:eastAsia="en-AU"/>
              </w:rPr>
            </w:pPr>
            <w:r w:rsidRPr="00800A49">
              <w:rPr>
                <w:rFonts w:ascii="Times New Roman" w:eastAsia="Times New Roman" w:hAnsi="Times New Roman" w:cs="Times New Roman"/>
                <w:b/>
                <w:bCs/>
                <w:color w:val="000000"/>
                <w:sz w:val="18"/>
                <w:szCs w:val="18"/>
                <w:lang w:eastAsia="en-AU"/>
              </w:rPr>
              <w:t>Description</w:t>
            </w:r>
          </w:p>
        </w:tc>
        <w:tc>
          <w:tcPr>
            <w:tcW w:w="1105" w:type="dxa"/>
            <w:vMerge w:val="restart"/>
            <w:vAlign w:val="center"/>
          </w:tcPr>
          <w:p w14:paraId="1A4451E1" w14:textId="77777777" w:rsidR="008461EA" w:rsidRPr="00800A49" w:rsidRDefault="008461EA" w:rsidP="00720BDC">
            <w:pPr>
              <w:spacing w:after="0" w:line="240" w:lineRule="auto"/>
              <w:jc w:val="center"/>
              <w:rPr>
                <w:rFonts w:ascii="Times New Roman" w:eastAsia="Times New Roman" w:hAnsi="Times New Roman" w:cs="Times New Roman"/>
                <w:b/>
                <w:bCs/>
                <w:color w:val="000000"/>
                <w:sz w:val="18"/>
                <w:szCs w:val="18"/>
                <w:lang w:eastAsia="en-AU"/>
              </w:rPr>
            </w:pPr>
            <w:proofErr w:type="spellStart"/>
            <w:r w:rsidRPr="00800A49">
              <w:rPr>
                <w:rFonts w:ascii="Times New Roman" w:eastAsia="Times New Roman" w:hAnsi="Times New Roman" w:cs="Times New Roman"/>
                <w:b/>
                <w:bCs/>
                <w:color w:val="000000"/>
                <w:sz w:val="18"/>
                <w:szCs w:val="18"/>
                <w:lang w:eastAsia="en-AU"/>
              </w:rPr>
              <w:t>Persp</w:t>
            </w:r>
            <w:proofErr w:type="spellEnd"/>
            <w:r w:rsidRPr="00800A49">
              <w:rPr>
                <w:rFonts w:ascii="Times New Roman" w:eastAsia="Times New Roman" w:hAnsi="Times New Roman" w:cs="Times New Roman"/>
                <w:b/>
                <w:bCs/>
                <w:color w:val="000000"/>
                <w:sz w:val="18"/>
                <w:szCs w:val="18"/>
                <w:lang w:eastAsia="en-AU"/>
              </w:rPr>
              <w:t>.</w:t>
            </w:r>
          </w:p>
        </w:tc>
        <w:tc>
          <w:tcPr>
            <w:tcW w:w="851" w:type="dxa"/>
            <w:vMerge w:val="restart"/>
            <w:vAlign w:val="center"/>
          </w:tcPr>
          <w:p w14:paraId="4A05D7D7" w14:textId="77777777" w:rsidR="008461EA" w:rsidRPr="00800A49" w:rsidRDefault="008461EA" w:rsidP="00720BDC">
            <w:pPr>
              <w:spacing w:after="0" w:line="240" w:lineRule="auto"/>
              <w:jc w:val="center"/>
              <w:rPr>
                <w:rFonts w:ascii="Times New Roman" w:eastAsia="Times New Roman" w:hAnsi="Times New Roman" w:cs="Times New Roman"/>
                <w:b/>
                <w:bCs/>
                <w:color w:val="000000"/>
                <w:sz w:val="18"/>
                <w:szCs w:val="18"/>
                <w:lang w:eastAsia="en-AU"/>
              </w:rPr>
            </w:pPr>
            <w:r w:rsidRPr="00800A49">
              <w:rPr>
                <w:rFonts w:ascii="Times New Roman" w:eastAsia="Times New Roman" w:hAnsi="Times New Roman" w:cs="Times New Roman"/>
                <w:b/>
                <w:bCs/>
                <w:color w:val="000000"/>
                <w:sz w:val="18"/>
                <w:szCs w:val="18"/>
                <w:lang w:eastAsia="en-AU"/>
              </w:rPr>
              <w:t>Time Horizon</w:t>
            </w:r>
          </w:p>
          <w:p w14:paraId="5D36284C" w14:textId="77777777" w:rsidR="008461EA" w:rsidRPr="00800A49" w:rsidRDefault="008461EA" w:rsidP="00720BDC">
            <w:pPr>
              <w:spacing w:after="0" w:line="240" w:lineRule="auto"/>
              <w:jc w:val="center"/>
              <w:rPr>
                <w:rFonts w:ascii="Times New Roman" w:eastAsia="Times New Roman" w:hAnsi="Times New Roman" w:cs="Times New Roman"/>
                <w:b/>
                <w:bCs/>
                <w:color w:val="000000"/>
                <w:sz w:val="18"/>
                <w:szCs w:val="18"/>
                <w:lang w:eastAsia="en-AU"/>
              </w:rPr>
            </w:pPr>
            <w:r w:rsidRPr="00800A49">
              <w:rPr>
                <w:rFonts w:ascii="Times New Roman" w:eastAsia="Times New Roman" w:hAnsi="Times New Roman" w:cs="Times New Roman"/>
                <w:b/>
                <w:bCs/>
                <w:color w:val="000000"/>
                <w:sz w:val="18"/>
                <w:szCs w:val="18"/>
                <w:lang w:eastAsia="en-AU"/>
              </w:rPr>
              <w:t>(years)</w:t>
            </w:r>
          </w:p>
        </w:tc>
        <w:tc>
          <w:tcPr>
            <w:tcW w:w="2041" w:type="dxa"/>
            <w:gridSpan w:val="2"/>
            <w:shd w:val="clear" w:color="auto" w:fill="auto"/>
            <w:noWrap/>
            <w:vAlign w:val="center"/>
            <w:hideMark/>
          </w:tcPr>
          <w:p w14:paraId="01B4D99C" w14:textId="77777777" w:rsidR="008461EA" w:rsidRPr="00800A49" w:rsidRDefault="008461EA" w:rsidP="00720BDC">
            <w:pPr>
              <w:spacing w:after="0" w:line="240" w:lineRule="auto"/>
              <w:jc w:val="center"/>
              <w:rPr>
                <w:rFonts w:ascii="Times New Roman" w:eastAsia="Times New Roman" w:hAnsi="Times New Roman" w:cs="Times New Roman"/>
                <w:b/>
                <w:bCs/>
                <w:color w:val="000000"/>
                <w:sz w:val="18"/>
                <w:szCs w:val="18"/>
                <w:lang w:eastAsia="en-AU"/>
              </w:rPr>
            </w:pPr>
            <w:r w:rsidRPr="00800A49">
              <w:rPr>
                <w:rFonts w:ascii="Times New Roman" w:eastAsia="Times New Roman" w:hAnsi="Times New Roman" w:cs="Times New Roman"/>
                <w:b/>
                <w:bCs/>
                <w:color w:val="000000"/>
                <w:sz w:val="18"/>
                <w:szCs w:val="18"/>
                <w:lang w:eastAsia="en-AU"/>
              </w:rPr>
              <w:t>Target</w:t>
            </w:r>
          </w:p>
        </w:tc>
        <w:tc>
          <w:tcPr>
            <w:tcW w:w="2760" w:type="dxa"/>
            <w:vMerge w:val="restart"/>
            <w:shd w:val="clear" w:color="auto" w:fill="auto"/>
            <w:noWrap/>
            <w:vAlign w:val="center"/>
            <w:hideMark/>
          </w:tcPr>
          <w:p w14:paraId="120CDBAA" w14:textId="77777777" w:rsidR="008461EA" w:rsidRPr="00800A49" w:rsidRDefault="008461EA" w:rsidP="00720BDC">
            <w:pPr>
              <w:spacing w:after="0" w:line="240" w:lineRule="auto"/>
              <w:jc w:val="center"/>
              <w:rPr>
                <w:rFonts w:ascii="Times New Roman" w:eastAsia="Times New Roman" w:hAnsi="Times New Roman" w:cs="Times New Roman"/>
                <w:b/>
                <w:bCs/>
                <w:color w:val="000000"/>
                <w:sz w:val="18"/>
                <w:szCs w:val="18"/>
                <w:lang w:eastAsia="en-AU"/>
              </w:rPr>
            </w:pPr>
            <w:r w:rsidRPr="00800A49">
              <w:rPr>
                <w:rFonts w:ascii="Times New Roman" w:eastAsia="Times New Roman" w:hAnsi="Times New Roman" w:cs="Times New Roman"/>
                <w:b/>
                <w:bCs/>
                <w:color w:val="000000"/>
                <w:sz w:val="18"/>
                <w:szCs w:val="18"/>
                <w:lang w:eastAsia="en-AU"/>
              </w:rPr>
              <w:t>Cost Categories</w:t>
            </w:r>
          </w:p>
        </w:tc>
        <w:tc>
          <w:tcPr>
            <w:tcW w:w="1190" w:type="dxa"/>
            <w:gridSpan w:val="2"/>
            <w:shd w:val="clear" w:color="auto" w:fill="auto"/>
            <w:noWrap/>
            <w:vAlign w:val="center"/>
            <w:hideMark/>
          </w:tcPr>
          <w:p w14:paraId="1253BFC3" w14:textId="77777777" w:rsidR="008461EA" w:rsidRPr="00800A49" w:rsidRDefault="008461EA" w:rsidP="00720BDC">
            <w:pPr>
              <w:spacing w:after="0" w:line="240" w:lineRule="auto"/>
              <w:jc w:val="center"/>
              <w:rPr>
                <w:rFonts w:ascii="Times New Roman" w:eastAsia="Times New Roman" w:hAnsi="Times New Roman" w:cs="Times New Roman"/>
                <w:b/>
                <w:bCs/>
                <w:color w:val="000000"/>
                <w:sz w:val="18"/>
                <w:szCs w:val="18"/>
                <w:lang w:eastAsia="en-AU"/>
              </w:rPr>
            </w:pPr>
            <w:r w:rsidRPr="00800A49">
              <w:rPr>
                <w:rFonts w:ascii="Times New Roman" w:eastAsia="Times New Roman" w:hAnsi="Times New Roman" w:cs="Times New Roman"/>
                <w:b/>
                <w:bCs/>
                <w:color w:val="000000"/>
                <w:sz w:val="18"/>
                <w:szCs w:val="18"/>
                <w:lang w:eastAsia="en-AU"/>
              </w:rPr>
              <w:t>Discount</w:t>
            </w:r>
          </w:p>
          <w:p w14:paraId="31F04C65" w14:textId="77777777" w:rsidR="008461EA" w:rsidRPr="00800A49" w:rsidRDefault="008461EA" w:rsidP="00720BDC">
            <w:pPr>
              <w:spacing w:after="0" w:line="240" w:lineRule="auto"/>
              <w:jc w:val="center"/>
              <w:rPr>
                <w:rFonts w:ascii="Times New Roman" w:eastAsia="Times New Roman" w:hAnsi="Times New Roman" w:cs="Times New Roman"/>
                <w:b/>
                <w:bCs/>
                <w:color w:val="000000"/>
                <w:sz w:val="18"/>
                <w:szCs w:val="18"/>
                <w:lang w:eastAsia="en-AU"/>
              </w:rPr>
            </w:pPr>
            <w:r w:rsidRPr="00800A49">
              <w:rPr>
                <w:rFonts w:ascii="Times New Roman" w:eastAsia="Times New Roman" w:hAnsi="Times New Roman" w:cs="Times New Roman"/>
                <w:b/>
                <w:bCs/>
                <w:color w:val="000000"/>
                <w:sz w:val="18"/>
                <w:szCs w:val="18"/>
                <w:lang w:eastAsia="en-AU"/>
              </w:rPr>
              <w:t xml:space="preserve">Rate </w:t>
            </w:r>
          </w:p>
          <w:p w14:paraId="6AAF8D24" w14:textId="77777777" w:rsidR="008461EA" w:rsidRPr="00800A49" w:rsidRDefault="008461EA" w:rsidP="00720BDC">
            <w:pPr>
              <w:spacing w:after="0" w:line="240" w:lineRule="auto"/>
              <w:jc w:val="center"/>
              <w:rPr>
                <w:rFonts w:ascii="Times New Roman" w:eastAsia="Times New Roman" w:hAnsi="Times New Roman" w:cs="Times New Roman"/>
                <w:b/>
                <w:bCs/>
                <w:color w:val="000000"/>
                <w:sz w:val="18"/>
                <w:szCs w:val="18"/>
                <w:lang w:eastAsia="en-AU"/>
              </w:rPr>
            </w:pPr>
            <w:r w:rsidRPr="00800A49">
              <w:rPr>
                <w:rFonts w:ascii="Times New Roman" w:eastAsia="Times New Roman" w:hAnsi="Times New Roman" w:cs="Times New Roman"/>
                <w:b/>
                <w:bCs/>
                <w:color w:val="000000"/>
                <w:sz w:val="18"/>
                <w:szCs w:val="18"/>
                <w:lang w:eastAsia="en-AU"/>
              </w:rPr>
              <w:t>(%)</w:t>
            </w:r>
          </w:p>
        </w:tc>
        <w:tc>
          <w:tcPr>
            <w:tcW w:w="1978" w:type="dxa"/>
            <w:vMerge w:val="restart"/>
            <w:shd w:val="clear" w:color="auto" w:fill="auto"/>
            <w:noWrap/>
            <w:vAlign w:val="center"/>
            <w:hideMark/>
          </w:tcPr>
          <w:p w14:paraId="6BC67EBC" w14:textId="77777777" w:rsidR="008461EA" w:rsidRPr="00800A49" w:rsidRDefault="008461EA" w:rsidP="00720BDC">
            <w:pPr>
              <w:spacing w:after="0" w:line="240" w:lineRule="auto"/>
              <w:jc w:val="center"/>
              <w:rPr>
                <w:rFonts w:ascii="Times New Roman" w:eastAsia="Times New Roman" w:hAnsi="Times New Roman" w:cs="Times New Roman"/>
                <w:b/>
                <w:bCs/>
                <w:color w:val="000000"/>
                <w:sz w:val="18"/>
                <w:szCs w:val="18"/>
                <w:lang w:eastAsia="en-AU"/>
              </w:rPr>
            </w:pPr>
            <w:r w:rsidRPr="00800A49">
              <w:rPr>
                <w:rFonts w:ascii="Times New Roman" w:eastAsia="Times New Roman" w:hAnsi="Times New Roman" w:cs="Times New Roman"/>
                <w:b/>
                <w:bCs/>
                <w:color w:val="000000"/>
                <w:sz w:val="18"/>
                <w:szCs w:val="18"/>
                <w:lang w:eastAsia="en-AU"/>
              </w:rPr>
              <w:t>Economic Evaluation Outcome(s)</w:t>
            </w:r>
          </w:p>
        </w:tc>
        <w:tc>
          <w:tcPr>
            <w:tcW w:w="1134" w:type="dxa"/>
            <w:vMerge w:val="restart"/>
            <w:vAlign w:val="center"/>
          </w:tcPr>
          <w:p w14:paraId="38F8D846" w14:textId="77777777" w:rsidR="008461EA" w:rsidRPr="00800A49" w:rsidRDefault="008461EA" w:rsidP="00720BDC">
            <w:pPr>
              <w:spacing w:after="0" w:line="240" w:lineRule="auto"/>
              <w:jc w:val="center"/>
              <w:rPr>
                <w:rFonts w:ascii="Times New Roman" w:eastAsia="Times New Roman" w:hAnsi="Times New Roman" w:cs="Times New Roman"/>
                <w:b/>
                <w:bCs/>
                <w:color w:val="000000"/>
                <w:sz w:val="18"/>
                <w:szCs w:val="18"/>
                <w:lang w:eastAsia="en-AU"/>
              </w:rPr>
            </w:pPr>
            <w:r w:rsidRPr="00800A49">
              <w:rPr>
                <w:rFonts w:ascii="Times New Roman" w:eastAsia="Times New Roman" w:hAnsi="Times New Roman" w:cs="Times New Roman"/>
                <w:b/>
                <w:bCs/>
                <w:color w:val="000000"/>
                <w:sz w:val="18"/>
                <w:szCs w:val="18"/>
                <w:lang w:eastAsia="en-AU"/>
              </w:rPr>
              <w:t>Study Quality</w:t>
            </w:r>
          </w:p>
        </w:tc>
      </w:tr>
      <w:tr w:rsidR="008461EA" w:rsidRPr="00800A49" w14:paraId="7C0BA9B1" w14:textId="77777777" w:rsidTr="00720BDC">
        <w:trPr>
          <w:trHeight w:val="300"/>
        </w:trPr>
        <w:tc>
          <w:tcPr>
            <w:tcW w:w="1411" w:type="dxa"/>
            <w:gridSpan w:val="2"/>
            <w:vMerge/>
            <w:shd w:val="clear" w:color="auto" w:fill="auto"/>
            <w:noWrap/>
            <w:vAlign w:val="center"/>
          </w:tcPr>
          <w:p w14:paraId="05918D84" w14:textId="77777777" w:rsidR="008461EA" w:rsidRPr="00800A49" w:rsidRDefault="008461EA" w:rsidP="00720BDC">
            <w:pPr>
              <w:spacing w:after="0" w:line="240" w:lineRule="auto"/>
              <w:jc w:val="center"/>
              <w:rPr>
                <w:rFonts w:ascii="Times New Roman" w:eastAsia="Times New Roman" w:hAnsi="Times New Roman" w:cs="Times New Roman"/>
                <w:b/>
                <w:bCs/>
                <w:color w:val="000000"/>
                <w:sz w:val="18"/>
                <w:szCs w:val="18"/>
                <w:lang w:eastAsia="en-AU"/>
              </w:rPr>
            </w:pPr>
          </w:p>
        </w:tc>
        <w:tc>
          <w:tcPr>
            <w:tcW w:w="709" w:type="dxa"/>
            <w:vMerge/>
            <w:vAlign w:val="center"/>
          </w:tcPr>
          <w:p w14:paraId="3BEEBB06" w14:textId="77777777" w:rsidR="008461EA" w:rsidRPr="00800A49" w:rsidRDefault="008461EA" w:rsidP="00720BDC">
            <w:pPr>
              <w:spacing w:after="0" w:line="240" w:lineRule="auto"/>
              <w:jc w:val="center"/>
              <w:rPr>
                <w:rFonts w:ascii="Times New Roman" w:eastAsia="Times New Roman" w:hAnsi="Times New Roman" w:cs="Times New Roman"/>
                <w:b/>
                <w:bCs/>
                <w:color w:val="000000"/>
                <w:sz w:val="18"/>
                <w:szCs w:val="18"/>
                <w:lang w:eastAsia="en-AU"/>
              </w:rPr>
            </w:pPr>
          </w:p>
        </w:tc>
        <w:tc>
          <w:tcPr>
            <w:tcW w:w="2409" w:type="dxa"/>
            <w:vMerge/>
            <w:shd w:val="clear" w:color="auto" w:fill="auto"/>
            <w:noWrap/>
            <w:vAlign w:val="center"/>
          </w:tcPr>
          <w:p w14:paraId="5089A640" w14:textId="77777777" w:rsidR="008461EA" w:rsidRPr="00800A49" w:rsidRDefault="008461EA" w:rsidP="00720BDC">
            <w:pPr>
              <w:spacing w:after="0" w:line="240" w:lineRule="auto"/>
              <w:jc w:val="center"/>
              <w:rPr>
                <w:rFonts w:ascii="Times New Roman" w:eastAsia="Times New Roman" w:hAnsi="Times New Roman" w:cs="Times New Roman"/>
                <w:b/>
                <w:bCs/>
                <w:color w:val="000000"/>
                <w:sz w:val="18"/>
                <w:szCs w:val="18"/>
                <w:lang w:eastAsia="en-AU"/>
              </w:rPr>
            </w:pPr>
          </w:p>
        </w:tc>
        <w:tc>
          <w:tcPr>
            <w:tcW w:w="1105" w:type="dxa"/>
            <w:vMerge/>
            <w:vAlign w:val="center"/>
          </w:tcPr>
          <w:p w14:paraId="4BBBD39E"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851" w:type="dxa"/>
            <w:vMerge/>
            <w:vAlign w:val="center"/>
          </w:tcPr>
          <w:p w14:paraId="7FB24397"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851" w:type="dxa"/>
            <w:shd w:val="clear" w:color="auto" w:fill="auto"/>
            <w:noWrap/>
            <w:vAlign w:val="center"/>
          </w:tcPr>
          <w:p w14:paraId="74D7E6F9" w14:textId="77777777" w:rsidR="008461EA" w:rsidRPr="00800A49" w:rsidRDefault="008461EA" w:rsidP="00720BDC">
            <w:pPr>
              <w:spacing w:after="0" w:line="240" w:lineRule="auto"/>
              <w:jc w:val="center"/>
              <w:rPr>
                <w:rFonts w:ascii="Times New Roman" w:eastAsia="Times New Roman" w:hAnsi="Times New Roman" w:cs="Times New Roman"/>
                <w:b/>
                <w:bCs/>
                <w:color w:val="000000"/>
                <w:sz w:val="18"/>
                <w:szCs w:val="18"/>
                <w:lang w:eastAsia="en-AU"/>
              </w:rPr>
            </w:pPr>
            <w:r w:rsidRPr="00800A49">
              <w:rPr>
                <w:rFonts w:ascii="Times New Roman" w:eastAsia="Times New Roman" w:hAnsi="Times New Roman" w:cs="Times New Roman"/>
                <w:b/>
                <w:bCs/>
                <w:color w:val="000000"/>
                <w:sz w:val="18"/>
                <w:szCs w:val="18"/>
                <w:lang w:eastAsia="en-AU"/>
              </w:rPr>
              <w:t>Age</w:t>
            </w:r>
          </w:p>
          <w:p w14:paraId="19C4C6AF" w14:textId="77777777" w:rsidR="008461EA" w:rsidRPr="00800A49" w:rsidRDefault="008461EA" w:rsidP="00720BDC">
            <w:pPr>
              <w:spacing w:after="0" w:line="240" w:lineRule="auto"/>
              <w:jc w:val="center"/>
              <w:rPr>
                <w:rFonts w:ascii="Times New Roman" w:eastAsia="Times New Roman" w:hAnsi="Times New Roman" w:cs="Times New Roman"/>
                <w:b/>
                <w:bCs/>
                <w:color w:val="000000"/>
                <w:sz w:val="18"/>
                <w:szCs w:val="18"/>
                <w:lang w:eastAsia="en-AU"/>
              </w:rPr>
            </w:pPr>
            <w:r w:rsidRPr="00800A49">
              <w:rPr>
                <w:rFonts w:ascii="Times New Roman" w:eastAsia="Times New Roman" w:hAnsi="Times New Roman" w:cs="Times New Roman"/>
                <w:b/>
                <w:bCs/>
                <w:color w:val="000000"/>
                <w:sz w:val="18"/>
                <w:szCs w:val="18"/>
                <w:lang w:eastAsia="en-AU"/>
              </w:rPr>
              <w:t>(years)</w:t>
            </w:r>
          </w:p>
        </w:tc>
        <w:tc>
          <w:tcPr>
            <w:tcW w:w="1190" w:type="dxa"/>
            <w:vAlign w:val="center"/>
          </w:tcPr>
          <w:p w14:paraId="2D06F487" w14:textId="77777777" w:rsidR="008461EA" w:rsidRPr="00800A49" w:rsidRDefault="008461EA" w:rsidP="00720BDC">
            <w:pPr>
              <w:spacing w:after="0" w:line="240" w:lineRule="auto"/>
              <w:jc w:val="center"/>
              <w:rPr>
                <w:rFonts w:ascii="Times New Roman" w:eastAsia="Times New Roman" w:hAnsi="Times New Roman" w:cs="Times New Roman"/>
                <w:b/>
                <w:bCs/>
                <w:color w:val="000000"/>
                <w:sz w:val="18"/>
                <w:szCs w:val="18"/>
                <w:lang w:eastAsia="en-AU"/>
              </w:rPr>
            </w:pPr>
            <w:r w:rsidRPr="00800A49">
              <w:rPr>
                <w:rFonts w:ascii="Times New Roman" w:eastAsia="Times New Roman" w:hAnsi="Times New Roman" w:cs="Times New Roman"/>
                <w:b/>
                <w:bCs/>
                <w:color w:val="000000"/>
                <w:sz w:val="18"/>
                <w:szCs w:val="18"/>
                <w:lang w:eastAsia="en-AU"/>
              </w:rPr>
              <w:t>Pop.</w:t>
            </w:r>
          </w:p>
          <w:p w14:paraId="7EDFA76C" w14:textId="77777777" w:rsidR="008461EA" w:rsidRPr="00800A49" w:rsidRDefault="008461EA" w:rsidP="00720BDC">
            <w:pPr>
              <w:spacing w:after="0" w:line="240" w:lineRule="auto"/>
              <w:jc w:val="center"/>
              <w:rPr>
                <w:rFonts w:ascii="Times New Roman" w:eastAsia="Times New Roman" w:hAnsi="Times New Roman" w:cs="Times New Roman"/>
                <w:b/>
                <w:bCs/>
                <w:color w:val="000000"/>
                <w:sz w:val="18"/>
                <w:szCs w:val="18"/>
                <w:lang w:eastAsia="en-AU"/>
              </w:rPr>
            </w:pPr>
            <w:r w:rsidRPr="00800A49">
              <w:rPr>
                <w:rFonts w:ascii="Times New Roman" w:eastAsia="Times New Roman" w:hAnsi="Times New Roman" w:cs="Times New Roman"/>
                <w:b/>
                <w:bCs/>
                <w:color w:val="000000"/>
                <w:sz w:val="18"/>
                <w:szCs w:val="18"/>
                <w:lang w:eastAsia="en-AU"/>
              </w:rPr>
              <w:t>(n)</w:t>
            </w:r>
          </w:p>
        </w:tc>
        <w:tc>
          <w:tcPr>
            <w:tcW w:w="2760" w:type="dxa"/>
            <w:vMerge/>
            <w:shd w:val="clear" w:color="auto" w:fill="auto"/>
            <w:noWrap/>
          </w:tcPr>
          <w:p w14:paraId="6526C5E8" w14:textId="77777777" w:rsidR="008461EA" w:rsidRPr="00800A49" w:rsidRDefault="008461EA" w:rsidP="00720BDC">
            <w:pPr>
              <w:spacing w:after="0" w:line="240" w:lineRule="auto"/>
              <w:rPr>
                <w:rFonts w:ascii="Times New Roman" w:eastAsia="Times New Roman" w:hAnsi="Times New Roman" w:cs="Times New Roman"/>
                <w:b/>
                <w:bCs/>
                <w:color w:val="000000"/>
                <w:sz w:val="18"/>
                <w:szCs w:val="18"/>
                <w:lang w:eastAsia="en-AU"/>
              </w:rPr>
            </w:pPr>
          </w:p>
        </w:tc>
        <w:tc>
          <w:tcPr>
            <w:tcW w:w="634" w:type="dxa"/>
            <w:shd w:val="clear" w:color="auto" w:fill="auto"/>
            <w:noWrap/>
            <w:vAlign w:val="center"/>
          </w:tcPr>
          <w:p w14:paraId="1B832FDF" w14:textId="77777777" w:rsidR="008461EA" w:rsidRPr="00800A49" w:rsidRDefault="008461EA" w:rsidP="00720BDC">
            <w:pPr>
              <w:spacing w:after="0" w:line="240" w:lineRule="auto"/>
              <w:jc w:val="center"/>
              <w:rPr>
                <w:rFonts w:ascii="Times New Roman" w:eastAsia="Times New Roman" w:hAnsi="Times New Roman" w:cs="Times New Roman"/>
                <w:b/>
                <w:bCs/>
                <w:color w:val="000000"/>
                <w:sz w:val="18"/>
                <w:szCs w:val="18"/>
                <w:lang w:eastAsia="en-AU"/>
              </w:rPr>
            </w:pPr>
            <w:r w:rsidRPr="00800A49">
              <w:rPr>
                <w:rFonts w:ascii="Times New Roman" w:eastAsia="Times New Roman" w:hAnsi="Times New Roman" w:cs="Times New Roman"/>
                <w:b/>
                <w:bCs/>
                <w:color w:val="000000"/>
                <w:sz w:val="18"/>
                <w:szCs w:val="18"/>
                <w:lang w:eastAsia="en-AU"/>
              </w:rPr>
              <w:t>Cost</w:t>
            </w:r>
          </w:p>
        </w:tc>
        <w:tc>
          <w:tcPr>
            <w:tcW w:w="556" w:type="dxa"/>
            <w:vAlign w:val="center"/>
          </w:tcPr>
          <w:p w14:paraId="12D048A5" w14:textId="77777777" w:rsidR="008461EA" w:rsidRPr="00800A49" w:rsidRDefault="008461EA" w:rsidP="00720BDC">
            <w:pPr>
              <w:spacing w:after="0" w:line="240" w:lineRule="auto"/>
              <w:jc w:val="center"/>
              <w:rPr>
                <w:rFonts w:ascii="Times New Roman" w:eastAsia="Times New Roman" w:hAnsi="Times New Roman" w:cs="Times New Roman"/>
                <w:b/>
                <w:bCs/>
                <w:color w:val="000000"/>
                <w:sz w:val="18"/>
                <w:szCs w:val="18"/>
                <w:lang w:eastAsia="en-AU"/>
              </w:rPr>
            </w:pPr>
            <w:r w:rsidRPr="00800A49">
              <w:rPr>
                <w:rFonts w:ascii="Times New Roman" w:eastAsia="Times New Roman" w:hAnsi="Times New Roman" w:cs="Times New Roman"/>
                <w:b/>
                <w:bCs/>
                <w:color w:val="000000"/>
                <w:sz w:val="18"/>
                <w:szCs w:val="18"/>
                <w:lang w:eastAsia="en-AU"/>
              </w:rPr>
              <w:t>Eff.</w:t>
            </w:r>
          </w:p>
        </w:tc>
        <w:tc>
          <w:tcPr>
            <w:tcW w:w="1978" w:type="dxa"/>
            <w:vMerge/>
            <w:shd w:val="clear" w:color="auto" w:fill="auto"/>
            <w:noWrap/>
            <w:vAlign w:val="center"/>
          </w:tcPr>
          <w:p w14:paraId="5B7F921E" w14:textId="77777777" w:rsidR="008461EA" w:rsidRPr="00800A49" w:rsidRDefault="008461EA" w:rsidP="00720BDC">
            <w:pPr>
              <w:spacing w:after="0" w:line="240" w:lineRule="auto"/>
              <w:jc w:val="center"/>
              <w:rPr>
                <w:rFonts w:ascii="Times New Roman" w:eastAsia="Times New Roman" w:hAnsi="Times New Roman" w:cs="Times New Roman"/>
                <w:b/>
                <w:bCs/>
                <w:color w:val="000000"/>
                <w:sz w:val="18"/>
                <w:szCs w:val="18"/>
                <w:lang w:eastAsia="en-AU"/>
              </w:rPr>
            </w:pPr>
          </w:p>
        </w:tc>
        <w:tc>
          <w:tcPr>
            <w:tcW w:w="1134" w:type="dxa"/>
            <w:vMerge/>
            <w:vAlign w:val="center"/>
          </w:tcPr>
          <w:p w14:paraId="4815813C" w14:textId="77777777" w:rsidR="008461EA" w:rsidRPr="00800A49" w:rsidRDefault="008461EA" w:rsidP="00720BDC">
            <w:pPr>
              <w:spacing w:after="0" w:line="240" w:lineRule="auto"/>
              <w:jc w:val="center"/>
              <w:rPr>
                <w:rFonts w:ascii="Times New Roman" w:eastAsia="Times New Roman" w:hAnsi="Times New Roman" w:cs="Times New Roman"/>
                <w:b/>
                <w:bCs/>
                <w:color w:val="000000"/>
                <w:sz w:val="18"/>
                <w:szCs w:val="18"/>
                <w:lang w:eastAsia="en-AU"/>
              </w:rPr>
            </w:pPr>
          </w:p>
        </w:tc>
      </w:tr>
      <w:tr w:rsidR="008461EA" w:rsidRPr="00800A49" w14:paraId="5E7C82D4" w14:textId="77777777" w:rsidTr="00720BDC">
        <w:trPr>
          <w:trHeight w:val="1021"/>
        </w:trPr>
        <w:tc>
          <w:tcPr>
            <w:tcW w:w="1128" w:type="dxa"/>
            <w:vMerge w:val="restart"/>
            <w:shd w:val="clear" w:color="auto" w:fill="auto"/>
            <w:noWrap/>
            <w:hideMark/>
          </w:tcPr>
          <w:p w14:paraId="6679F5C4"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Anderson et al., 2019</w:t>
            </w:r>
          </w:p>
        </w:tc>
        <w:tc>
          <w:tcPr>
            <w:tcW w:w="283" w:type="dxa"/>
            <w:vAlign w:val="center"/>
          </w:tcPr>
          <w:p w14:paraId="6FD653D1"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I</w:t>
            </w:r>
          </w:p>
        </w:tc>
        <w:tc>
          <w:tcPr>
            <w:tcW w:w="709" w:type="dxa"/>
            <w:vAlign w:val="center"/>
          </w:tcPr>
          <w:p w14:paraId="0C5A5D2F"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Ind.</w:t>
            </w:r>
          </w:p>
        </w:tc>
        <w:tc>
          <w:tcPr>
            <w:tcW w:w="2409" w:type="dxa"/>
            <w:shd w:val="clear" w:color="auto" w:fill="auto"/>
            <w:noWrap/>
            <w:vAlign w:val="center"/>
            <w:hideMark/>
          </w:tcPr>
          <w:p w14:paraId="01B5890D"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6-monthly fluoride varnish, annual oral health education and standard care</w:t>
            </w:r>
          </w:p>
        </w:tc>
        <w:tc>
          <w:tcPr>
            <w:tcW w:w="1105" w:type="dxa"/>
            <w:vMerge w:val="restart"/>
            <w:vAlign w:val="center"/>
          </w:tcPr>
          <w:p w14:paraId="2C577B4F"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Healthcare</w:t>
            </w:r>
          </w:p>
          <w:p w14:paraId="33225966"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and</w:t>
            </w:r>
          </w:p>
          <w:p w14:paraId="47CC646A"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Societal</w:t>
            </w:r>
          </w:p>
        </w:tc>
        <w:tc>
          <w:tcPr>
            <w:tcW w:w="851" w:type="dxa"/>
            <w:vMerge w:val="restart"/>
            <w:vAlign w:val="center"/>
          </w:tcPr>
          <w:p w14:paraId="0734FF7E"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2 years</w:t>
            </w:r>
          </w:p>
        </w:tc>
        <w:tc>
          <w:tcPr>
            <w:tcW w:w="851" w:type="dxa"/>
            <w:vMerge w:val="restart"/>
            <w:shd w:val="clear" w:color="auto" w:fill="auto"/>
            <w:noWrap/>
            <w:vAlign w:val="center"/>
            <w:hideMark/>
          </w:tcPr>
          <w:p w14:paraId="173A351B"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1-3</w:t>
            </w:r>
          </w:p>
        </w:tc>
        <w:tc>
          <w:tcPr>
            <w:tcW w:w="1190" w:type="dxa"/>
            <w:vAlign w:val="center"/>
          </w:tcPr>
          <w:p w14:paraId="2F14065B"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1,231</w:t>
            </w:r>
          </w:p>
        </w:tc>
        <w:tc>
          <w:tcPr>
            <w:tcW w:w="2760" w:type="dxa"/>
            <w:vMerge w:val="restart"/>
            <w:shd w:val="clear" w:color="auto" w:fill="auto"/>
            <w:noWrap/>
            <w:hideMark/>
          </w:tcPr>
          <w:p w14:paraId="2E4497B8"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Intervention costs (micro-costing for workforce labour and dental materials, cost for overheads)</w:t>
            </w:r>
          </w:p>
          <w:p w14:paraId="187D2C56"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br/>
              <w:t>Treatment costs included but not explicitly reported</w:t>
            </w:r>
          </w:p>
          <w:p w14:paraId="151AA574"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br/>
              <w:t>Opportunity costs lost (waiting, intervention and travel time costs)</w:t>
            </w:r>
          </w:p>
        </w:tc>
        <w:tc>
          <w:tcPr>
            <w:tcW w:w="1190" w:type="dxa"/>
            <w:gridSpan w:val="2"/>
            <w:vMerge w:val="restart"/>
            <w:shd w:val="clear" w:color="auto" w:fill="auto"/>
            <w:noWrap/>
            <w:vAlign w:val="center"/>
          </w:tcPr>
          <w:p w14:paraId="3A4A0E2F"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3%</w:t>
            </w:r>
          </w:p>
        </w:tc>
        <w:tc>
          <w:tcPr>
            <w:tcW w:w="1978" w:type="dxa"/>
            <w:vMerge w:val="restart"/>
            <w:shd w:val="clear" w:color="auto" w:fill="auto"/>
            <w:noWrap/>
            <w:hideMark/>
          </w:tcPr>
          <w:p w14:paraId="460F0002"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 xml:space="preserve">Costs (€) per </w:t>
            </w:r>
            <w:proofErr w:type="spellStart"/>
            <w:r w:rsidRPr="00800A49">
              <w:rPr>
                <w:rFonts w:ascii="Times New Roman" w:eastAsia="Times New Roman" w:hAnsi="Times New Roman" w:cs="Times New Roman"/>
                <w:color w:val="000000"/>
                <w:sz w:val="18"/>
                <w:szCs w:val="18"/>
                <w:lang w:eastAsia="en-AU"/>
              </w:rPr>
              <w:t>dmfs</w:t>
            </w:r>
            <w:proofErr w:type="spellEnd"/>
            <w:r w:rsidRPr="00800A49">
              <w:rPr>
                <w:rFonts w:ascii="Times New Roman" w:eastAsia="Times New Roman" w:hAnsi="Times New Roman" w:cs="Times New Roman"/>
                <w:color w:val="000000"/>
                <w:sz w:val="18"/>
                <w:szCs w:val="18"/>
                <w:lang w:eastAsia="en-AU"/>
              </w:rPr>
              <w:br/>
              <w:t>Societal ICER: 468.67</w:t>
            </w:r>
            <w:r w:rsidRPr="00800A49">
              <w:rPr>
                <w:rFonts w:ascii="Times New Roman" w:eastAsia="Times New Roman" w:hAnsi="Times New Roman" w:cs="Times New Roman"/>
                <w:color w:val="000000"/>
                <w:sz w:val="18"/>
                <w:szCs w:val="18"/>
                <w:lang w:eastAsia="en-AU"/>
              </w:rPr>
              <w:br/>
              <w:t>Healthcare ICER: 280.56</w:t>
            </w:r>
          </w:p>
          <w:p w14:paraId="48802BE3"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p>
          <w:p w14:paraId="7820712A"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Cost-effective = N/S</w:t>
            </w:r>
          </w:p>
        </w:tc>
        <w:tc>
          <w:tcPr>
            <w:tcW w:w="1134" w:type="dxa"/>
            <w:vMerge w:val="restart"/>
            <w:vAlign w:val="center"/>
          </w:tcPr>
          <w:p w14:paraId="0FA23FF6"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Good</w:t>
            </w:r>
          </w:p>
        </w:tc>
      </w:tr>
      <w:tr w:rsidR="008461EA" w:rsidRPr="00800A49" w14:paraId="4765402E" w14:textId="77777777" w:rsidTr="00720BDC">
        <w:trPr>
          <w:trHeight w:val="300"/>
        </w:trPr>
        <w:tc>
          <w:tcPr>
            <w:tcW w:w="1128" w:type="dxa"/>
            <w:vMerge/>
            <w:shd w:val="clear" w:color="auto" w:fill="auto"/>
            <w:noWrap/>
          </w:tcPr>
          <w:p w14:paraId="69B3DD46"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p>
        </w:tc>
        <w:tc>
          <w:tcPr>
            <w:tcW w:w="283" w:type="dxa"/>
            <w:vAlign w:val="center"/>
          </w:tcPr>
          <w:p w14:paraId="343CB39A"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C</w:t>
            </w:r>
          </w:p>
        </w:tc>
        <w:tc>
          <w:tcPr>
            <w:tcW w:w="709" w:type="dxa"/>
            <w:vAlign w:val="center"/>
          </w:tcPr>
          <w:p w14:paraId="17C2E760"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Ind.</w:t>
            </w:r>
          </w:p>
        </w:tc>
        <w:tc>
          <w:tcPr>
            <w:tcW w:w="2409" w:type="dxa"/>
            <w:shd w:val="clear" w:color="auto" w:fill="auto"/>
            <w:noWrap/>
            <w:vAlign w:val="center"/>
          </w:tcPr>
          <w:p w14:paraId="2B330BD8"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Annual oral health education and standard care</w:t>
            </w:r>
          </w:p>
        </w:tc>
        <w:tc>
          <w:tcPr>
            <w:tcW w:w="1105" w:type="dxa"/>
            <w:vMerge/>
            <w:vAlign w:val="center"/>
          </w:tcPr>
          <w:p w14:paraId="605A1943"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851" w:type="dxa"/>
            <w:vMerge/>
            <w:vAlign w:val="center"/>
          </w:tcPr>
          <w:p w14:paraId="7B87F73A"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851" w:type="dxa"/>
            <w:vMerge/>
            <w:shd w:val="clear" w:color="auto" w:fill="auto"/>
            <w:noWrap/>
            <w:vAlign w:val="center"/>
          </w:tcPr>
          <w:p w14:paraId="2A246EBF"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1190" w:type="dxa"/>
            <w:vAlign w:val="center"/>
          </w:tcPr>
          <w:p w14:paraId="52B966D5"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1,305</w:t>
            </w:r>
          </w:p>
        </w:tc>
        <w:tc>
          <w:tcPr>
            <w:tcW w:w="2760" w:type="dxa"/>
            <w:vMerge/>
            <w:shd w:val="clear" w:color="auto" w:fill="auto"/>
            <w:noWrap/>
          </w:tcPr>
          <w:p w14:paraId="2DAAE43A"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p>
        </w:tc>
        <w:tc>
          <w:tcPr>
            <w:tcW w:w="1190" w:type="dxa"/>
            <w:gridSpan w:val="2"/>
            <w:vMerge/>
            <w:shd w:val="clear" w:color="auto" w:fill="auto"/>
            <w:noWrap/>
            <w:vAlign w:val="center"/>
          </w:tcPr>
          <w:p w14:paraId="10025FA9"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1978" w:type="dxa"/>
            <w:vMerge/>
            <w:shd w:val="clear" w:color="auto" w:fill="auto"/>
            <w:noWrap/>
          </w:tcPr>
          <w:p w14:paraId="461CA106"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p>
        </w:tc>
        <w:tc>
          <w:tcPr>
            <w:tcW w:w="1134" w:type="dxa"/>
            <w:vMerge/>
            <w:vAlign w:val="center"/>
          </w:tcPr>
          <w:p w14:paraId="535A39B9"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r>
      <w:tr w:rsidR="008461EA" w:rsidRPr="00800A49" w14:paraId="44270919" w14:textId="77777777" w:rsidTr="00720BDC">
        <w:trPr>
          <w:trHeight w:val="300"/>
        </w:trPr>
        <w:tc>
          <w:tcPr>
            <w:tcW w:w="1128" w:type="dxa"/>
            <w:vMerge w:val="restart"/>
            <w:shd w:val="clear" w:color="auto" w:fill="auto"/>
            <w:noWrap/>
            <w:hideMark/>
          </w:tcPr>
          <w:p w14:paraId="125BF39D"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Arrow, 2000</w:t>
            </w:r>
          </w:p>
        </w:tc>
        <w:tc>
          <w:tcPr>
            <w:tcW w:w="283" w:type="dxa"/>
            <w:vAlign w:val="center"/>
          </w:tcPr>
          <w:p w14:paraId="6C9D8BC6"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I</w:t>
            </w:r>
          </w:p>
        </w:tc>
        <w:tc>
          <w:tcPr>
            <w:tcW w:w="709" w:type="dxa"/>
            <w:vAlign w:val="center"/>
          </w:tcPr>
          <w:p w14:paraId="73081E8B"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Ind.</w:t>
            </w:r>
          </w:p>
        </w:tc>
        <w:tc>
          <w:tcPr>
            <w:tcW w:w="2409" w:type="dxa"/>
            <w:shd w:val="clear" w:color="auto" w:fill="auto"/>
            <w:noWrap/>
            <w:vAlign w:val="center"/>
            <w:hideMark/>
          </w:tcPr>
          <w:p w14:paraId="19889ED4"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Oral prophylaxis with fluoride-paste and individualised oral health education; individualised risk-based preventive care maintenance</w:t>
            </w:r>
          </w:p>
        </w:tc>
        <w:tc>
          <w:tcPr>
            <w:tcW w:w="1105" w:type="dxa"/>
            <w:vMerge w:val="restart"/>
            <w:vAlign w:val="center"/>
          </w:tcPr>
          <w:p w14:paraId="2941E6E3"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Healthcare</w:t>
            </w:r>
          </w:p>
        </w:tc>
        <w:tc>
          <w:tcPr>
            <w:tcW w:w="851" w:type="dxa"/>
            <w:vMerge w:val="restart"/>
            <w:vAlign w:val="center"/>
          </w:tcPr>
          <w:p w14:paraId="60434AF6"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2 years</w:t>
            </w:r>
          </w:p>
        </w:tc>
        <w:tc>
          <w:tcPr>
            <w:tcW w:w="851" w:type="dxa"/>
            <w:vMerge w:val="restart"/>
            <w:shd w:val="clear" w:color="auto" w:fill="auto"/>
            <w:noWrap/>
            <w:vAlign w:val="center"/>
            <w:hideMark/>
          </w:tcPr>
          <w:p w14:paraId="109F9790"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6</w:t>
            </w:r>
          </w:p>
        </w:tc>
        <w:tc>
          <w:tcPr>
            <w:tcW w:w="1190" w:type="dxa"/>
            <w:vAlign w:val="center"/>
          </w:tcPr>
          <w:p w14:paraId="55861AC5"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169</w:t>
            </w:r>
          </w:p>
        </w:tc>
        <w:tc>
          <w:tcPr>
            <w:tcW w:w="2760" w:type="dxa"/>
            <w:vMerge w:val="restart"/>
            <w:shd w:val="clear" w:color="auto" w:fill="auto"/>
            <w:noWrap/>
          </w:tcPr>
          <w:p w14:paraId="14BDDEE5"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Intervention costs (micro-costing for workforce labour and dental materials)</w:t>
            </w:r>
          </w:p>
        </w:tc>
        <w:tc>
          <w:tcPr>
            <w:tcW w:w="634" w:type="dxa"/>
            <w:vMerge w:val="restart"/>
            <w:shd w:val="clear" w:color="auto" w:fill="auto"/>
            <w:noWrap/>
            <w:vAlign w:val="center"/>
          </w:tcPr>
          <w:p w14:paraId="531CBD2C"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5%</w:t>
            </w:r>
          </w:p>
        </w:tc>
        <w:tc>
          <w:tcPr>
            <w:tcW w:w="556" w:type="dxa"/>
            <w:vMerge w:val="restart"/>
            <w:vAlign w:val="center"/>
          </w:tcPr>
          <w:p w14:paraId="109233DA"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N/A</w:t>
            </w:r>
          </w:p>
        </w:tc>
        <w:tc>
          <w:tcPr>
            <w:tcW w:w="1978" w:type="dxa"/>
            <w:vMerge w:val="restart"/>
            <w:shd w:val="clear" w:color="auto" w:fill="auto"/>
            <w:noWrap/>
            <w:hideMark/>
          </w:tcPr>
          <w:p w14:paraId="53DBF721"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Net cost: AU$80 per person</w:t>
            </w:r>
          </w:p>
          <w:p w14:paraId="38A48B06"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p>
          <w:p w14:paraId="1B763D73"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Cost-saving = No</w:t>
            </w:r>
          </w:p>
        </w:tc>
        <w:tc>
          <w:tcPr>
            <w:tcW w:w="1134" w:type="dxa"/>
            <w:vMerge w:val="restart"/>
            <w:vAlign w:val="center"/>
          </w:tcPr>
          <w:p w14:paraId="22201735"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 xml:space="preserve">Moderate </w:t>
            </w:r>
          </w:p>
        </w:tc>
      </w:tr>
      <w:tr w:rsidR="008461EA" w:rsidRPr="00800A49" w14:paraId="7596A6D9" w14:textId="77777777" w:rsidTr="00720BDC">
        <w:trPr>
          <w:trHeight w:val="300"/>
        </w:trPr>
        <w:tc>
          <w:tcPr>
            <w:tcW w:w="1128" w:type="dxa"/>
            <w:vMerge/>
            <w:shd w:val="clear" w:color="auto" w:fill="auto"/>
            <w:noWrap/>
          </w:tcPr>
          <w:p w14:paraId="2894CA71"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p>
        </w:tc>
        <w:tc>
          <w:tcPr>
            <w:tcW w:w="283" w:type="dxa"/>
            <w:vAlign w:val="center"/>
          </w:tcPr>
          <w:p w14:paraId="6F271A07"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C</w:t>
            </w:r>
          </w:p>
        </w:tc>
        <w:tc>
          <w:tcPr>
            <w:tcW w:w="709" w:type="dxa"/>
            <w:vAlign w:val="center"/>
          </w:tcPr>
          <w:p w14:paraId="4A1E7B99"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Ind.</w:t>
            </w:r>
          </w:p>
        </w:tc>
        <w:tc>
          <w:tcPr>
            <w:tcW w:w="2409" w:type="dxa"/>
            <w:shd w:val="clear" w:color="auto" w:fill="auto"/>
            <w:noWrap/>
            <w:vAlign w:val="center"/>
          </w:tcPr>
          <w:p w14:paraId="0E787C92"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Fissure sealants on 1st permanent molars and application of topical fluoride, once only</w:t>
            </w:r>
          </w:p>
        </w:tc>
        <w:tc>
          <w:tcPr>
            <w:tcW w:w="1105" w:type="dxa"/>
            <w:vMerge/>
            <w:vAlign w:val="center"/>
          </w:tcPr>
          <w:p w14:paraId="3F4F944D"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851" w:type="dxa"/>
            <w:vMerge/>
            <w:vAlign w:val="center"/>
          </w:tcPr>
          <w:p w14:paraId="6AF92EB4"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851" w:type="dxa"/>
            <w:vMerge/>
            <w:shd w:val="clear" w:color="auto" w:fill="auto"/>
            <w:noWrap/>
            <w:vAlign w:val="center"/>
          </w:tcPr>
          <w:p w14:paraId="74819C55"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1190" w:type="dxa"/>
            <w:vAlign w:val="center"/>
          </w:tcPr>
          <w:p w14:paraId="2B576D47"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148</w:t>
            </w:r>
          </w:p>
        </w:tc>
        <w:tc>
          <w:tcPr>
            <w:tcW w:w="2760" w:type="dxa"/>
            <w:vMerge/>
            <w:shd w:val="clear" w:color="auto" w:fill="auto"/>
            <w:noWrap/>
          </w:tcPr>
          <w:p w14:paraId="54081522"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p>
        </w:tc>
        <w:tc>
          <w:tcPr>
            <w:tcW w:w="634" w:type="dxa"/>
            <w:vMerge/>
            <w:shd w:val="clear" w:color="auto" w:fill="auto"/>
            <w:noWrap/>
            <w:vAlign w:val="center"/>
          </w:tcPr>
          <w:p w14:paraId="551F991C"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556" w:type="dxa"/>
            <w:vMerge/>
            <w:vAlign w:val="center"/>
          </w:tcPr>
          <w:p w14:paraId="3841A642"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1978" w:type="dxa"/>
            <w:vMerge/>
            <w:shd w:val="clear" w:color="auto" w:fill="auto"/>
            <w:noWrap/>
          </w:tcPr>
          <w:p w14:paraId="4993F8B5"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p>
        </w:tc>
        <w:tc>
          <w:tcPr>
            <w:tcW w:w="1134" w:type="dxa"/>
            <w:vMerge/>
            <w:vAlign w:val="center"/>
          </w:tcPr>
          <w:p w14:paraId="4CB92393"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r>
      <w:tr w:rsidR="008461EA" w:rsidRPr="00800A49" w14:paraId="72B00381" w14:textId="77777777" w:rsidTr="00720BDC">
        <w:trPr>
          <w:trHeight w:val="1874"/>
        </w:trPr>
        <w:tc>
          <w:tcPr>
            <w:tcW w:w="1128" w:type="dxa"/>
            <w:vMerge w:val="restart"/>
            <w:shd w:val="clear" w:color="auto" w:fill="auto"/>
            <w:noWrap/>
            <w:hideMark/>
          </w:tcPr>
          <w:p w14:paraId="2F8BDAFA"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proofErr w:type="spellStart"/>
            <w:r w:rsidRPr="00800A49">
              <w:rPr>
                <w:rFonts w:ascii="Times New Roman" w:eastAsia="Times New Roman" w:hAnsi="Times New Roman" w:cs="Times New Roman"/>
                <w:color w:val="000000"/>
                <w:sz w:val="18"/>
                <w:szCs w:val="18"/>
                <w:lang w:eastAsia="en-AU"/>
              </w:rPr>
              <w:t>Basu</w:t>
            </w:r>
            <w:proofErr w:type="spellEnd"/>
            <w:r w:rsidRPr="00800A49">
              <w:rPr>
                <w:rFonts w:ascii="Times New Roman" w:eastAsia="Times New Roman" w:hAnsi="Times New Roman" w:cs="Times New Roman"/>
                <w:color w:val="000000"/>
                <w:sz w:val="18"/>
                <w:szCs w:val="18"/>
                <w:lang w:eastAsia="en-AU"/>
              </w:rPr>
              <w:t xml:space="preserve"> et al., 2020</w:t>
            </w:r>
          </w:p>
        </w:tc>
        <w:tc>
          <w:tcPr>
            <w:tcW w:w="283" w:type="dxa"/>
            <w:vAlign w:val="center"/>
          </w:tcPr>
          <w:p w14:paraId="235C844F"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I</w:t>
            </w:r>
          </w:p>
        </w:tc>
        <w:tc>
          <w:tcPr>
            <w:tcW w:w="709" w:type="dxa"/>
            <w:vAlign w:val="center"/>
          </w:tcPr>
          <w:p w14:paraId="2F4C9C39"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Uni.</w:t>
            </w:r>
          </w:p>
        </w:tc>
        <w:tc>
          <w:tcPr>
            <w:tcW w:w="2409" w:type="dxa"/>
            <w:shd w:val="clear" w:color="auto" w:fill="auto"/>
            <w:noWrap/>
            <w:vAlign w:val="center"/>
            <w:hideMark/>
          </w:tcPr>
          <w:p w14:paraId="29120229"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Ban on sugar-sweetened beverages sales</w:t>
            </w:r>
          </w:p>
        </w:tc>
        <w:tc>
          <w:tcPr>
            <w:tcW w:w="1105" w:type="dxa"/>
            <w:vMerge w:val="restart"/>
            <w:vAlign w:val="center"/>
          </w:tcPr>
          <w:p w14:paraId="32E9B55D"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Healthcare</w:t>
            </w:r>
          </w:p>
          <w:p w14:paraId="4ADF7BCA"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and</w:t>
            </w:r>
          </w:p>
          <w:p w14:paraId="7A9CC766"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Societal</w:t>
            </w:r>
          </w:p>
        </w:tc>
        <w:tc>
          <w:tcPr>
            <w:tcW w:w="851" w:type="dxa"/>
            <w:vMerge w:val="restart"/>
            <w:vAlign w:val="center"/>
          </w:tcPr>
          <w:p w14:paraId="6B9A9E25"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Lifetime</w:t>
            </w:r>
          </w:p>
          <w:p w14:paraId="25B1E8A7"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and</w:t>
            </w:r>
          </w:p>
          <w:p w14:paraId="35372835"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10 years</w:t>
            </w:r>
          </w:p>
        </w:tc>
        <w:tc>
          <w:tcPr>
            <w:tcW w:w="851" w:type="dxa"/>
            <w:vMerge w:val="restart"/>
            <w:shd w:val="clear" w:color="auto" w:fill="auto"/>
            <w:noWrap/>
            <w:vAlign w:val="center"/>
            <w:hideMark/>
          </w:tcPr>
          <w:p w14:paraId="200E556B"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Adults</w:t>
            </w:r>
          </w:p>
        </w:tc>
        <w:tc>
          <w:tcPr>
            <w:tcW w:w="1190" w:type="dxa"/>
            <w:vMerge w:val="restart"/>
            <w:vAlign w:val="center"/>
          </w:tcPr>
          <w:p w14:paraId="60EFAD61"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10,000</w:t>
            </w:r>
          </w:p>
        </w:tc>
        <w:tc>
          <w:tcPr>
            <w:tcW w:w="2760" w:type="dxa"/>
            <w:vMerge w:val="restart"/>
            <w:shd w:val="clear" w:color="auto" w:fill="auto"/>
            <w:noWrap/>
            <w:hideMark/>
          </w:tcPr>
          <w:p w14:paraId="65DB5553"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Intervention costs (N/R)</w:t>
            </w:r>
          </w:p>
          <w:p w14:paraId="2A65515B"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p>
          <w:p w14:paraId="0BEEE1BC"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Dental treatment costs (average costs for providing dental treatment for dental caries and periodontal disease)</w:t>
            </w:r>
          </w:p>
          <w:p w14:paraId="66569C52"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br/>
              <w:t>Employer-sponsored health insurance costs</w:t>
            </w:r>
          </w:p>
          <w:p w14:paraId="23B7EA61"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br/>
              <w:t xml:space="preserve">Productivity opportunity costs lost (absenteeism, presenteeism, short- </w:t>
            </w:r>
            <w:r w:rsidRPr="00800A49">
              <w:rPr>
                <w:rFonts w:ascii="Times New Roman" w:eastAsia="Times New Roman" w:hAnsi="Times New Roman" w:cs="Times New Roman"/>
                <w:color w:val="000000"/>
                <w:sz w:val="18"/>
                <w:szCs w:val="18"/>
                <w:lang w:eastAsia="en-AU"/>
              </w:rPr>
              <w:lastRenderedPageBreak/>
              <w:t>and long-term disability, and premature death)</w:t>
            </w:r>
          </w:p>
        </w:tc>
        <w:tc>
          <w:tcPr>
            <w:tcW w:w="1190" w:type="dxa"/>
            <w:gridSpan w:val="2"/>
            <w:vMerge w:val="restart"/>
            <w:shd w:val="clear" w:color="auto" w:fill="auto"/>
            <w:noWrap/>
            <w:vAlign w:val="center"/>
            <w:hideMark/>
          </w:tcPr>
          <w:p w14:paraId="61A756FD"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lastRenderedPageBreak/>
              <w:t>3%</w:t>
            </w:r>
          </w:p>
        </w:tc>
        <w:tc>
          <w:tcPr>
            <w:tcW w:w="1978" w:type="dxa"/>
            <w:vMerge w:val="restart"/>
            <w:shd w:val="clear" w:color="auto" w:fill="auto"/>
            <w:noWrap/>
            <w:hideMark/>
          </w:tcPr>
          <w:p w14:paraId="6BC11A40"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Net benefits/costs:</w:t>
            </w:r>
          </w:p>
          <w:p w14:paraId="6A18EA21"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Societal perspective</w:t>
            </w:r>
          </w:p>
          <w:p w14:paraId="58DAEEF2"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-US$99,173 (-72,044; -121,000)</w:t>
            </w:r>
          </w:p>
          <w:p w14:paraId="620D9686"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8.3 QALY saved (3.4; 12.4)</w:t>
            </w:r>
          </w:p>
          <w:p w14:paraId="3E548000"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br/>
              <w:t>Healthcare perspective</w:t>
            </w:r>
          </w:p>
          <w:p w14:paraId="4ABF5A5D"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-US$122,140</w:t>
            </w:r>
          </w:p>
          <w:p w14:paraId="29FA7DE0"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(-61,322; -180,444)</w:t>
            </w:r>
          </w:p>
          <w:p w14:paraId="09BBB6EC"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148.6 QALY saved (101.3; 205.9)</w:t>
            </w:r>
          </w:p>
          <w:p w14:paraId="01652639"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p>
          <w:p w14:paraId="20780BCF"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lastRenderedPageBreak/>
              <w:t>Cost-saving = Yes</w:t>
            </w:r>
          </w:p>
          <w:p w14:paraId="3869D965"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p>
          <w:p w14:paraId="4FC5CAD3"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Cost-effective = Yes; ICER calculation was not performed</w:t>
            </w:r>
          </w:p>
        </w:tc>
        <w:tc>
          <w:tcPr>
            <w:tcW w:w="1134" w:type="dxa"/>
            <w:vMerge w:val="restart"/>
            <w:vAlign w:val="center"/>
          </w:tcPr>
          <w:p w14:paraId="7202DB9D"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lastRenderedPageBreak/>
              <w:t>Good</w:t>
            </w:r>
          </w:p>
        </w:tc>
      </w:tr>
      <w:tr w:rsidR="008461EA" w:rsidRPr="00800A49" w14:paraId="74816729" w14:textId="77777777" w:rsidTr="00720BDC">
        <w:trPr>
          <w:trHeight w:val="300"/>
        </w:trPr>
        <w:tc>
          <w:tcPr>
            <w:tcW w:w="1128" w:type="dxa"/>
            <w:vMerge/>
            <w:shd w:val="clear" w:color="auto" w:fill="auto"/>
            <w:noWrap/>
          </w:tcPr>
          <w:p w14:paraId="6583543D"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p>
        </w:tc>
        <w:tc>
          <w:tcPr>
            <w:tcW w:w="283" w:type="dxa"/>
            <w:vAlign w:val="center"/>
          </w:tcPr>
          <w:p w14:paraId="7A43830C"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C</w:t>
            </w:r>
          </w:p>
        </w:tc>
        <w:tc>
          <w:tcPr>
            <w:tcW w:w="709" w:type="dxa"/>
            <w:vAlign w:val="center"/>
          </w:tcPr>
          <w:p w14:paraId="0B0749DD"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N/A</w:t>
            </w:r>
          </w:p>
        </w:tc>
        <w:tc>
          <w:tcPr>
            <w:tcW w:w="2409" w:type="dxa"/>
            <w:shd w:val="clear" w:color="auto" w:fill="auto"/>
            <w:noWrap/>
            <w:vAlign w:val="center"/>
          </w:tcPr>
          <w:p w14:paraId="31A96958"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No intervention</w:t>
            </w:r>
          </w:p>
        </w:tc>
        <w:tc>
          <w:tcPr>
            <w:tcW w:w="1105" w:type="dxa"/>
            <w:vMerge/>
            <w:vAlign w:val="center"/>
          </w:tcPr>
          <w:p w14:paraId="4B3B2870"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851" w:type="dxa"/>
            <w:vMerge/>
            <w:vAlign w:val="center"/>
          </w:tcPr>
          <w:p w14:paraId="378B37DD"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851" w:type="dxa"/>
            <w:vMerge/>
            <w:shd w:val="clear" w:color="auto" w:fill="auto"/>
            <w:noWrap/>
            <w:vAlign w:val="center"/>
          </w:tcPr>
          <w:p w14:paraId="72EAF7B1"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1190" w:type="dxa"/>
            <w:vMerge/>
            <w:vAlign w:val="center"/>
          </w:tcPr>
          <w:p w14:paraId="3B2D3C69"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2760" w:type="dxa"/>
            <w:vMerge/>
            <w:shd w:val="clear" w:color="auto" w:fill="auto"/>
            <w:noWrap/>
          </w:tcPr>
          <w:p w14:paraId="51734C67"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p>
        </w:tc>
        <w:tc>
          <w:tcPr>
            <w:tcW w:w="1190" w:type="dxa"/>
            <w:gridSpan w:val="2"/>
            <w:vMerge/>
            <w:shd w:val="clear" w:color="auto" w:fill="auto"/>
            <w:noWrap/>
            <w:vAlign w:val="center"/>
          </w:tcPr>
          <w:p w14:paraId="4F46F777"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1978" w:type="dxa"/>
            <w:vMerge/>
            <w:shd w:val="clear" w:color="auto" w:fill="auto"/>
            <w:noWrap/>
          </w:tcPr>
          <w:p w14:paraId="70906738"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p>
        </w:tc>
        <w:tc>
          <w:tcPr>
            <w:tcW w:w="1134" w:type="dxa"/>
            <w:vMerge/>
            <w:vAlign w:val="center"/>
          </w:tcPr>
          <w:p w14:paraId="6ED4CB1F"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r>
      <w:tr w:rsidR="008461EA" w:rsidRPr="00800A49" w14:paraId="6AD3FB59" w14:textId="77777777" w:rsidTr="00720BDC">
        <w:trPr>
          <w:trHeight w:val="300"/>
        </w:trPr>
        <w:tc>
          <w:tcPr>
            <w:tcW w:w="1128" w:type="dxa"/>
            <w:vMerge w:val="restart"/>
            <w:shd w:val="clear" w:color="auto" w:fill="auto"/>
            <w:noWrap/>
            <w:hideMark/>
          </w:tcPr>
          <w:p w14:paraId="235F7653"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Bergstrom et al., 2019</w:t>
            </w:r>
          </w:p>
        </w:tc>
        <w:tc>
          <w:tcPr>
            <w:tcW w:w="283" w:type="dxa"/>
            <w:vAlign w:val="center"/>
          </w:tcPr>
          <w:p w14:paraId="204B0D52"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I</w:t>
            </w:r>
          </w:p>
        </w:tc>
        <w:tc>
          <w:tcPr>
            <w:tcW w:w="709" w:type="dxa"/>
            <w:vAlign w:val="center"/>
          </w:tcPr>
          <w:p w14:paraId="7A4ABAFB"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Ind.</w:t>
            </w:r>
          </w:p>
        </w:tc>
        <w:tc>
          <w:tcPr>
            <w:tcW w:w="2409" w:type="dxa"/>
            <w:shd w:val="clear" w:color="auto" w:fill="auto"/>
            <w:noWrap/>
            <w:vAlign w:val="center"/>
            <w:hideMark/>
          </w:tcPr>
          <w:p w14:paraId="1FF4383B"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6-monthly fluoride varnish and oral health education performed by dental nurses</w:t>
            </w:r>
          </w:p>
        </w:tc>
        <w:tc>
          <w:tcPr>
            <w:tcW w:w="1105" w:type="dxa"/>
            <w:vMerge w:val="restart"/>
            <w:vAlign w:val="center"/>
          </w:tcPr>
          <w:p w14:paraId="771DEB73"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Societal</w:t>
            </w:r>
          </w:p>
        </w:tc>
        <w:tc>
          <w:tcPr>
            <w:tcW w:w="851" w:type="dxa"/>
            <w:vMerge w:val="restart"/>
            <w:vAlign w:val="center"/>
          </w:tcPr>
          <w:p w14:paraId="51DE8793"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4 years</w:t>
            </w:r>
          </w:p>
        </w:tc>
        <w:tc>
          <w:tcPr>
            <w:tcW w:w="851" w:type="dxa"/>
            <w:vMerge w:val="restart"/>
            <w:shd w:val="clear" w:color="auto" w:fill="auto"/>
            <w:noWrap/>
            <w:vAlign w:val="center"/>
            <w:hideMark/>
          </w:tcPr>
          <w:p w14:paraId="6103E259"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12-15</w:t>
            </w:r>
          </w:p>
        </w:tc>
        <w:tc>
          <w:tcPr>
            <w:tcW w:w="1190" w:type="dxa"/>
            <w:vAlign w:val="center"/>
          </w:tcPr>
          <w:p w14:paraId="6D0F6944"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5,831</w:t>
            </w:r>
          </w:p>
        </w:tc>
        <w:tc>
          <w:tcPr>
            <w:tcW w:w="2760" w:type="dxa"/>
            <w:vMerge w:val="restart"/>
            <w:shd w:val="clear" w:color="auto" w:fill="auto"/>
            <w:noWrap/>
            <w:hideMark/>
          </w:tcPr>
          <w:p w14:paraId="034635FD"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Intervention costs (micro-costing for workforce labour and fluoride varnish)</w:t>
            </w:r>
          </w:p>
          <w:p w14:paraId="3791EE1F"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br/>
              <w:t>Dental treatment costs (restorations)</w:t>
            </w:r>
          </w:p>
        </w:tc>
        <w:tc>
          <w:tcPr>
            <w:tcW w:w="634" w:type="dxa"/>
            <w:vMerge w:val="restart"/>
            <w:shd w:val="clear" w:color="auto" w:fill="auto"/>
            <w:noWrap/>
            <w:vAlign w:val="center"/>
            <w:hideMark/>
          </w:tcPr>
          <w:p w14:paraId="7468F27A"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0%</w:t>
            </w:r>
          </w:p>
        </w:tc>
        <w:tc>
          <w:tcPr>
            <w:tcW w:w="556" w:type="dxa"/>
            <w:vMerge w:val="restart"/>
            <w:vAlign w:val="center"/>
          </w:tcPr>
          <w:p w14:paraId="792B33A5"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N/R</w:t>
            </w:r>
          </w:p>
        </w:tc>
        <w:tc>
          <w:tcPr>
            <w:tcW w:w="1978" w:type="dxa"/>
            <w:vMerge w:val="restart"/>
            <w:shd w:val="clear" w:color="auto" w:fill="auto"/>
            <w:noWrap/>
            <w:hideMark/>
          </w:tcPr>
          <w:p w14:paraId="09692E91"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 xml:space="preserve">Costs (€) per </w:t>
            </w:r>
            <w:proofErr w:type="spellStart"/>
            <w:r w:rsidRPr="00800A49">
              <w:rPr>
                <w:rFonts w:ascii="Times New Roman" w:eastAsia="Times New Roman" w:hAnsi="Times New Roman" w:cs="Times New Roman"/>
                <w:color w:val="000000"/>
                <w:sz w:val="18"/>
                <w:szCs w:val="18"/>
                <w:lang w:eastAsia="en-AU"/>
              </w:rPr>
              <w:t>DFSa</w:t>
            </w:r>
            <w:proofErr w:type="spellEnd"/>
            <w:r w:rsidRPr="00800A49">
              <w:rPr>
                <w:rFonts w:ascii="Times New Roman" w:eastAsia="Times New Roman" w:hAnsi="Times New Roman" w:cs="Times New Roman"/>
                <w:color w:val="000000"/>
                <w:sz w:val="18"/>
                <w:szCs w:val="18"/>
                <w:lang w:eastAsia="en-AU"/>
              </w:rPr>
              <w:t xml:space="preserve"> averted; costs per </w:t>
            </w:r>
            <w:proofErr w:type="spellStart"/>
            <w:r w:rsidRPr="00800A49">
              <w:rPr>
                <w:rFonts w:ascii="Times New Roman" w:eastAsia="Times New Roman" w:hAnsi="Times New Roman" w:cs="Times New Roman"/>
                <w:color w:val="000000"/>
                <w:sz w:val="18"/>
                <w:szCs w:val="18"/>
                <w:lang w:eastAsia="en-AU"/>
              </w:rPr>
              <w:t>DeSa</w:t>
            </w:r>
            <w:proofErr w:type="spellEnd"/>
            <w:r w:rsidRPr="00800A49">
              <w:rPr>
                <w:rFonts w:ascii="Times New Roman" w:eastAsia="Times New Roman" w:hAnsi="Times New Roman" w:cs="Times New Roman"/>
                <w:color w:val="000000"/>
                <w:sz w:val="18"/>
                <w:szCs w:val="18"/>
                <w:lang w:eastAsia="en-AU"/>
              </w:rPr>
              <w:t xml:space="preserve"> </w:t>
            </w:r>
            <w:proofErr w:type="gramStart"/>
            <w:r w:rsidRPr="00800A49">
              <w:rPr>
                <w:rFonts w:ascii="Times New Roman" w:eastAsia="Times New Roman" w:hAnsi="Times New Roman" w:cs="Times New Roman"/>
                <w:color w:val="000000"/>
                <w:sz w:val="18"/>
                <w:szCs w:val="18"/>
                <w:lang w:eastAsia="en-AU"/>
              </w:rPr>
              <w:t>averted ;</w:t>
            </w:r>
            <w:proofErr w:type="gramEnd"/>
            <w:r w:rsidRPr="00800A49">
              <w:rPr>
                <w:rFonts w:ascii="Times New Roman" w:eastAsia="Times New Roman" w:hAnsi="Times New Roman" w:cs="Times New Roman"/>
                <w:color w:val="000000"/>
                <w:sz w:val="18"/>
                <w:szCs w:val="18"/>
                <w:lang w:eastAsia="en-AU"/>
              </w:rPr>
              <w:t xml:space="preserve"> costs per </w:t>
            </w:r>
            <w:proofErr w:type="spellStart"/>
            <w:r w:rsidRPr="00800A49">
              <w:rPr>
                <w:rFonts w:ascii="Times New Roman" w:eastAsia="Times New Roman" w:hAnsi="Times New Roman" w:cs="Times New Roman"/>
                <w:color w:val="000000"/>
                <w:sz w:val="18"/>
                <w:szCs w:val="18"/>
                <w:lang w:eastAsia="en-AU"/>
              </w:rPr>
              <w:t>DFSa</w:t>
            </w:r>
            <w:proofErr w:type="spellEnd"/>
            <w:r w:rsidRPr="00800A49">
              <w:rPr>
                <w:rFonts w:ascii="Times New Roman" w:eastAsia="Times New Roman" w:hAnsi="Times New Roman" w:cs="Times New Roman"/>
                <w:color w:val="000000"/>
                <w:sz w:val="18"/>
                <w:szCs w:val="18"/>
                <w:lang w:eastAsia="en-AU"/>
              </w:rPr>
              <w:t>/</w:t>
            </w:r>
            <w:proofErr w:type="spellStart"/>
            <w:r w:rsidRPr="00800A49">
              <w:rPr>
                <w:rFonts w:ascii="Times New Roman" w:eastAsia="Times New Roman" w:hAnsi="Times New Roman" w:cs="Times New Roman"/>
                <w:color w:val="000000"/>
                <w:sz w:val="18"/>
                <w:szCs w:val="18"/>
                <w:lang w:eastAsia="en-AU"/>
              </w:rPr>
              <w:t>DeSa</w:t>
            </w:r>
            <w:proofErr w:type="spellEnd"/>
            <w:r w:rsidRPr="00800A49">
              <w:rPr>
                <w:rFonts w:ascii="Times New Roman" w:eastAsia="Times New Roman" w:hAnsi="Times New Roman" w:cs="Times New Roman"/>
                <w:color w:val="000000"/>
                <w:sz w:val="18"/>
                <w:szCs w:val="18"/>
                <w:lang w:eastAsia="en-AU"/>
              </w:rPr>
              <w:t xml:space="preserve"> averted</w:t>
            </w:r>
            <w:r w:rsidRPr="00800A49">
              <w:rPr>
                <w:rFonts w:ascii="Times New Roman" w:eastAsia="Times New Roman" w:hAnsi="Times New Roman" w:cs="Times New Roman"/>
                <w:color w:val="000000"/>
                <w:sz w:val="18"/>
                <w:szCs w:val="18"/>
                <w:lang w:eastAsia="en-AU"/>
              </w:rPr>
              <w:br/>
              <w:t>Subgroup analysis</w:t>
            </w:r>
            <w:r w:rsidRPr="00800A49">
              <w:rPr>
                <w:rFonts w:ascii="Times New Roman" w:eastAsia="Times New Roman" w:hAnsi="Times New Roman" w:cs="Times New Roman"/>
                <w:color w:val="000000"/>
                <w:sz w:val="18"/>
                <w:szCs w:val="18"/>
                <w:lang w:eastAsia="en-AU"/>
              </w:rPr>
              <w:br/>
              <w:t>1) Low-risk ICER: 2,875;</w:t>
            </w:r>
          </w:p>
          <w:p w14:paraId="232C1A43"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199; 186</w:t>
            </w:r>
            <w:r w:rsidRPr="00800A49">
              <w:rPr>
                <w:rFonts w:ascii="Times New Roman" w:eastAsia="Times New Roman" w:hAnsi="Times New Roman" w:cs="Times New Roman"/>
                <w:color w:val="000000"/>
                <w:sz w:val="18"/>
                <w:szCs w:val="18"/>
                <w:lang w:eastAsia="en-AU"/>
              </w:rPr>
              <w:br/>
              <w:t>2) Moderate-risk ICER: 882; 113; 100</w:t>
            </w:r>
            <w:r w:rsidRPr="00800A49">
              <w:rPr>
                <w:rFonts w:ascii="Times New Roman" w:eastAsia="Times New Roman" w:hAnsi="Times New Roman" w:cs="Times New Roman"/>
                <w:color w:val="000000"/>
                <w:sz w:val="18"/>
                <w:szCs w:val="18"/>
                <w:lang w:eastAsia="en-AU"/>
              </w:rPr>
              <w:br/>
              <w:t>3) High-risk ICER: 111; 41; 30</w:t>
            </w:r>
          </w:p>
          <w:p w14:paraId="6DF84EE9"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 xml:space="preserve">Cost-effective = Yes, for low, medium and high caries risk groups; Arbitrary WTP of €220 per </w:t>
            </w:r>
            <w:proofErr w:type="spellStart"/>
            <w:r w:rsidRPr="00800A49">
              <w:rPr>
                <w:rFonts w:ascii="Times New Roman" w:eastAsia="Times New Roman" w:hAnsi="Times New Roman" w:cs="Times New Roman"/>
                <w:color w:val="000000"/>
                <w:sz w:val="18"/>
                <w:szCs w:val="18"/>
                <w:lang w:eastAsia="en-AU"/>
              </w:rPr>
              <w:t>DFSa</w:t>
            </w:r>
            <w:proofErr w:type="spellEnd"/>
            <w:r w:rsidRPr="00800A49">
              <w:rPr>
                <w:rFonts w:ascii="Times New Roman" w:eastAsia="Times New Roman" w:hAnsi="Times New Roman" w:cs="Times New Roman"/>
                <w:color w:val="000000"/>
                <w:sz w:val="18"/>
                <w:szCs w:val="18"/>
                <w:lang w:eastAsia="en-AU"/>
              </w:rPr>
              <w:t xml:space="preserve"> or </w:t>
            </w:r>
            <w:proofErr w:type="spellStart"/>
            <w:r w:rsidRPr="00800A49">
              <w:rPr>
                <w:rFonts w:ascii="Times New Roman" w:eastAsia="Times New Roman" w:hAnsi="Times New Roman" w:cs="Times New Roman"/>
                <w:color w:val="000000"/>
                <w:sz w:val="18"/>
                <w:szCs w:val="18"/>
                <w:lang w:eastAsia="en-AU"/>
              </w:rPr>
              <w:t>DeSa</w:t>
            </w:r>
            <w:proofErr w:type="spellEnd"/>
            <w:r w:rsidRPr="00800A49">
              <w:rPr>
                <w:rFonts w:ascii="Times New Roman" w:eastAsia="Times New Roman" w:hAnsi="Times New Roman" w:cs="Times New Roman"/>
                <w:color w:val="000000"/>
                <w:sz w:val="18"/>
                <w:szCs w:val="18"/>
                <w:lang w:eastAsia="en-AU"/>
              </w:rPr>
              <w:t xml:space="preserve"> prevented. </w:t>
            </w:r>
          </w:p>
          <w:p w14:paraId="69F820ED"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p>
          <w:p w14:paraId="6F140DAB"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 xml:space="preserve">Cost-effective = Yes, for high caries risk group only; Arbitrary WTP €20 per </w:t>
            </w:r>
            <w:proofErr w:type="spellStart"/>
            <w:r w:rsidRPr="00800A49">
              <w:rPr>
                <w:rFonts w:ascii="Times New Roman" w:eastAsia="Times New Roman" w:hAnsi="Times New Roman" w:cs="Times New Roman"/>
                <w:color w:val="000000"/>
                <w:sz w:val="18"/>
                <w:szCs w:val="18"/>
                <w:lang w:eastAsia="en-AU"/>
              </w:rPr>
              <w:t>DFSa</w:t>
            </w:r>
            <w:proofErr w:type="spellEnd"/>
            <w:r w:rsidRPr="00800A49">
              <w:rPr>
                <w:rFonts w:ascii="Times New Roman" w:eastAsia="Times New Roman" w:hAnsi="Times New Roman" w:cs="Times New Roman"/>
                <w:color w:val="000000"/>
                <w:sz w:val="18"/>
                <w:szCs w:val="18"/>
                <w:lang w:eastAsia="en-AU"/>
              </w:rPr>
              <w:t xml:space="preserve"> or </w:t>
            </w:r>
            <w:proofErr w:type="spellStart"/>
            <w:r w:rsidRPr="00800A49">
              <w:rPr>
                <w:rFonts w:ascii="Times New Roman" w:eastAsia="Times New Roman" w:hAnsi="Times New Roman" w:cs="Times New Roman"/>
                <w:color w:val="000000"/>
                <w:sz w:val="18"/>
                <w:szCs w:val="18"/>
                <w:lang w:eastAsia="en-AU"/>
              </w:rPr>
              <w:t>DeSa</w:t>
            </w:r>
            <w:proofErr w:type="spellEnd"/>
            <w:r w:rsidRPr="00800A49">
              <w:rPr>
                <w:rFonts w:ascii="Times New Roman" w:eastAsia="Times New Roman" w:hAnsi="Times New Roman" w:cs="Times New Roman"/>
                <w:color w:val="000000"/>
                <w:sz w:val="18"/>
                <w:szCs w:val="18"/>
                <w:lang w:eastAsia="en-AU"/>
              </w:rPr>
              <w:t xml:space="preserve"> prevented</w:t>
            </w:r>
          </w:p>
        </w:tc>
        <w:tc>
          <w:tcPr>
            <w:tcW w:w="1134" w:type="dxa"/>
            <w:vMerge w:val="restart"/>
            <w:vAlign w:val="center"/>
          </w:tcPr>
          <w:p w14:paraId="6F5D56B3"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Moderate</w:t>
            </w:r>
          </w:p>
        </w:tc>
      </w:tr>
      <w:tr w:rsidR="008461EA" w:rsidRPr="00800A49" w14:paraId="5486C861" w14:textId="77777777" w:rsidTr="00720BDC">
        <w:trPr>
          <w:trHeight w:val="300"/>
        </w:trPr>
        <w:tc>
          <w:tcPr>
            <w:tcW w:w="1128" w:type="dxa"/>
            <w:vMerge/>
            <w:shd w:val="clear" w:color="auto" w:fill="auto"/>
            <w:noWrap/>
          </w:tcPr>
          <w:p w14:paraId="615E7BF1"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p>
        </w:tc>
        <w:tc>
          <w:tcPr>
            <w:tcW w:w="283" w:type="dxa"/>
            <w:vAlign w:val="center"/>
          </w:tcPr>
          <w:p w14:paraId="00C5BB13"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C</w:t>
            </w:r>
          </w:p>
        </w:tc>
        <w:tc>
          <w:tcPr>
            <w:tcW w:w="709" w:type="dxa"/>
            <w:vAlign w:val="center"/>
          </w:tcPr>
          <w:p w14:paraId="3CA6784E"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N/A</w:t>
            </w:r>
          </w:p>
        </w:tc>
        <w:tc>
          <w:tcPr>
            <w:tcW w:w="2409" w:type="dxa"/>
            <w:shd w:val="clear" w:color="auto" w:fill="auto"/>
            <w:noWrap/>
            <w:vAlign w:val="center"/>
          </w:tcPr>
          <w:p w14:paraId="59622F36"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No intervention</w:t>
            </w:r>
          </w:p>
        </w:tc>
        <w:tc>
          <w:tcPr>
            <w:tcW w:w="1105" w:type="dxa"/>
            <w:vMerge/>
            <w:vAlign w:val="center"/>
          </w:tcPr>
          <w:p w14:paraId="26BA1EFC"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851" w:type="dxa"/>
            <w:vMerge/>
            <w:vAlign w:val="center"/>
          </w:tcPr>
          <w:p w14:paraId="4D436065"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851" w:type="dxa"/>
            <w:vMerge/>
            <w:shd w:val="clear" w:color="auto" w:fill="auto"/>
            <w:noWrap/>
            <w:vAlign w:val="center"/>
          </w:tcPr>
          <w:p w14:paraId="2CD5DB09"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1190" w:type="dxa"/>
            <w:vAlign w:val="center"/>
          </w:tcPr>
          <w:p w14:paraId="2340A1AB"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6,527</w:t>
            </w:r>
          </w:p>
        </w:tc>
        <w:tc>
          <w:tcPr>
            <w:tcW w:w="2760" w:type="dxa"/>
            <w:vMerge/>
            <w:shd w:val="clear" w:color="auto" w:fill="auto"/>
            <w:noWrap/>
          </w:tcPr>
          <w:p w14:paraId="0186D5D9"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p>
        </w:tc>
        <w:tc>
          <w:tcPr>
            <w:tcW w:w="634" w:type="dxa"/>
            <w:vMerge/>
            <w:shd w:val="clear" w:color="auto" w:fill="auto"/>
            <w:noWrap/>
            <w:vAlign w:val="center"/>
          </w:tcPr>
          <w:p w14:paraId="2CC68634"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556" w:type="dxa"/>
            <w:vMerge/>
            <w:vAlign w:val="center"/>
          </w:tcPr>
          <w:p w14:paraId="57173E59"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1978" w:type="dxa"/>
            <w:vMerge/>
            <w:shd w:val="clear" w:color="auto" w:fill="auto"/>
            <w:noWrap/>
          </w:tcPr>
          <w:p w14:paraId="31BFD049"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p>
        </w:tc>
        <w:tc>
          <w:tcPr>
            <w:tcW w:w="1134" w:type="dxa"/>
            <w:vMerge/>
            <w:vAlign w:val="center"/>
          </w:tcPr>
          <w:p w14:paraId="26A64A8D"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r>
      <w:tr w:rsidR="008461EA" w:rsidRPr="00800A49" w14:paraId="5C73F523" w14:textId="77777777" w:rsidTr="00720BDC">
        <w:trPr>
          <w:trHeight w:val="300"/>
        </w:trPr>
        <w:tc>
          <w:tcPr>
            <w:tcW w:w="1128" w:type="dxa"/>
            <w:vMerge w:val="restart"/>
            <w:shd w:val="clear" w:color="auto" w:fill="auto"/>
            <w:noWrap/>
            <w:hideMark/>
          </w:tcPr>
          <w:p w14:paraId="51C2242D"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Bertrand et al., 2011</w:t>
            </w:r>
          </w:p>
        </w:tc>
        <w:tc>
          <w:tcPr>
            <w:tcW w:w="283" w:type="dxa"/>
            <w:vMerge w:val="restart"/>
            <w:vAlign w:val="center"/>
          </w:tcPr>
          <w:p w14:paraId="1FF2C49E"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I</w:t>
            </w:r>
          </w:p>
        </w:tc>
        <w:tc>
          <w:tcPr>
            <w:tcW w:w="709" w:type="dxa"/>
            <w:vAlign w:val="center"/>
          </w:tcPr>
          <w:p w14:paraId="3F6D94F3"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Ind.</w:t>
            </w:r>
          </w:p>
        </w:tc>
        <w:tc>
          <w:tcPr>
            <w:tcW w:w="2409" w:type="dxa"/>
            <w:shd w:val="clear" w:color="auto" w:fill="auto"/>
            <w:noWrap/>
            <w:vAlign w:val="center"/>
            <w:hideMark/>
          </w:tcPr>
          <w:p w14:paraId="69F806EA"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Private practice fissure sealants on 1st permanent molars</w:t>
            </w:r>
          </w:p>
        </w:tc>
        <w:tc>
          <w:tcPr>
            <w:tcW w:w="1105" w:type="dxa"/>
            <w:vMerge w:val="restart"/>
            <w:vAlign w:val="center"/>
          </w:tcPr>
          <w:p w14:paraId="6B2E3AA3"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Societal</w:t>
            </w:r>
          </w:p>
        </w:tc>
        <w:tc>
          <w:tcPr>
            <w:tcW w:w="851" w:type="dxa"/>
            <w:vMerge w:val="restart"/>
            <w:vAlign w:val="center"/>
          </w:tcPr>
          <w:p w14:paraId="678C742D"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10 years</w:t>
            </w:r>
          </w:p>
        </w:tc>
        <w:tc>
          <w:tcPr>
            <w:tcW w:w="851" w:type="dxa"/>
            <w:vMerge w:val="restart"/>
            <w:shd w:val="clear" w:color="auto" w:fill="auto"/>
            <w:noWrap/>
            <w:vAlign w:val="center"/>
            <w:hideMark/>
          </w:tcPr>
          <w:p w14:paraId="1251D105"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8</w:t>
            </w:r>
          </w:p>
        </w:tc>
        <w:tc>
          <w:tcPr>
            <w:tcW w:w="1190" w:type="dxa"/>
            <w:vMerge w:val="restart"/>
            <w:vAlign w:val="center"/>
          </w:tcPr>
          <w:p w14:paraId="67CC6B28"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78,372</w:t>
            </w:r>
          </w:p>
        </w:tc>
        <w:tc>
          <w:tcPr>
            <w:tcW w:w="2760" w:type="dxa"/>
            <w:vMerge w:val="restart"/>
            <w:shd w:val="clear" w:color="auto" w:fill="auto"/>
            <w:noWrap/>
            <w:hideMark/>
          </w:tcPr>
          <w:p w14:paraId="2837BC2B"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Intervention costs (micro-costing for workforce labour, dental materials, and dental treatment costs)</w:t>
            </w:r>
          </w:p>
          <w:p w14:paraId="7D3A80E7"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br/>
              <w:t>Opportunity costs lost (waiting, intervention and travel time costs)</w:t>
            </w:r>
          </w:p>
        </w:tc>
        <w:tc>
          <w:tcPr>
            <w:tcW w:w="634" w:type="dxa"/>
            <w:vMerge w:val="restart"/>
            <w:shd w:val="clear" w:color="auto" w:fill="auto"/>
            <w:noWrap/>
            <w:vAlign w:val="center"/>
            <w:hideMark/>
          </w:tcPr>
          <w:p w14:paraId="48702277"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3%</w:t>
            </w:r>
          </w:p>
        </w:tc>
        <w:tc>
          <w:tcPr>
            <w:tcW w:w="556" w:type="dxa"/>
            <w:vMerge w:val="restart"/>
            <w:vAlign w:val="center"/>
          </w:tcPr>
          <w:p w14:paraId="10E71583"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0%</w:t>
            </w:r>
          </w:p>
        </w:tc>
        <w:tc>
          <w:tcPr>
            <w:tcW w:w="1978" w:type="dxa"/>
            <w:vMerge w:val="restart"/>
            <w:shd w:val="clear" w:color="auto" w:fill="auto"/>
            <w:noWrap/>
            <w:hideMark/>
          </w:tcPr>
          <w:p w14:paraId="0C30F3BF"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Costs (CA$) per caries-free person</w:t>
            </w:r>
            <w:r w:rsidRPr="00800A49">
              <w:rPr>
                <w:rFonts w:ascii="Times New Roman" w:eastAsia="Times New Roman" w:hAnsi="Times New Roman" w:cs="Times New Roman"/>
                <w:color w:val="000000"/>
                <w:sz w:val="18"/>
                <w:szCs w:val="18"/>
                <w:lang w:eastAsia="en-AU"/>
              </w:rPr>
              <w:br/>
              <w:t>1) Private practice ICER: 868</w:t>
            </w:r>
            <w:r w:rsidRPr="00800A49">
              <w:rPr>
                <w:rFonts w:ascii="Times New Roman" w:eastAsia="Times New Roman" w:hAnsi="Times New Roman" w:cs="Times New Roman"/>
                <w:color w:val="000000"/>
                <w:sz w:val="18"/>
                <w:szCs w:val="18"/>
                <w:lang w:eastAsia="en-AU"/>
              </w:rPr>
              <w:br/>
              <w:t>2) School-based ICER: 172</w:t>
            </w:r>
          </w:p>
          <w:p w14:paraId="4D039FDB"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p>
          <w:p w14:paraId="1F187A9D"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Cost-effective = N/S</w:t>
            </w:r>
          </w:p>
        </w:tc>
        <w:tc>
          <w:tcPr>
            <w:tcW w:w="1134" w:type="dxa"/>
            <w:vMerge w:val="restart"/>
            <w:vAlign w:val="center"/>
          </w:tcPr>
          <w:p w14:paraId="09249BA6"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Good</w:t>
            </w:r>
          </w:p>
        </w:tc>
      </w:tr>
      <w:tr w:rsidR="008461EA" w:rsidRPr="00800A49" w14:paraId="381EAF06" w14:textId="77777777" w:rsidTr="00720BDC">
        <w:trPr>
          <w:trHeight w:val="300"/>
        </w:trPr>
        <w:tc>
          <w:tcPr>
            <w:tcW w:w="1128" w:type="dxa"/>
            <w:vMerge/>
            <w:shd w:val="clear" w:color="auto" w:fill="auto"/>
            <w:noWrap/>
          </w:tcPr>
          <w:p w14:paraId="679024A4"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p>
        </w:tc>
        <w:tc>
          <w:tcPr>
            <w:tcW w:w="283" w:type="dxa"/>
            <w:vMerge/>
            <w:vAlign w:val="center"/>
          </w:tcPr>
          <w:p w14:paraId="1FDA9B1F"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709" w:type="dxa"/>
            <w:vAlign w:val="center"/>
          </w:tcPr>
          <w:p w14:paraId="207DAB30"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Sel.</w:t>
            </w:r>
          </w:p>
        </w:tc>
        <w:tc>
          <w:tcPr>
            <w:tcW w:w="2409" w:type="dxa"/>
            <w:shd w:val="clear" w:color="auto" w:fill="auto"/>
            <w:noWrap/>
            <w:vAlign w:val="center"/>
          </w:tcPr>
          <w:p w14:paraId="101D0963"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School-based fissure sealants on first permanent molars</w:t>
            </w:r>
          </w:p>
        </w:tc>
        <w:tc>
          <w:tcPr>
            <w:tcW w:w="1105" w:type="dxa"/>
            <w:vMerge/>
            <w:vAlign w:val="center"/>
          </w:tcPr>
          <w:p w14:paraId="44FDD03D"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851" w:type="dxa"/>
            <w:vMerge/>
            <w:vAlign w:val="center"/>
          </w:tcPr>
          <w:p w14:paraId="582A939E"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851" w:type="dxa"/>
            <w:vMerge/>
            <w:shd w:val="clear" w:color="auto" w:fill="auto"/>
            <w:noWrap/>
            <w:vAlign w:val="center"/>
          </w:tcPr>
          <w:p w14:paraId="746DFDF8"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1190" w:type="dxa"/>
            <w:vMerge/>
            <w:vAlign w:val="center"/>
          </w:tcPr>
          <w:p w14:paraId="3AB510AD"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2760" w:type="dxa"/>
            <w:vMerge/>
            <w:shd w:val="clear" w:color="auto" w:fill="auto"/>
            <w:noWrap/>
          </w:tcPr>
          <w:p w14:paraId="4F4D80CF"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p>
        </w:tc>
        <w:tc>
          <w:tcPr>
            <w:tcW w:w="634" w:type="dxa"/>
            <w:vMerge/>
            <w:shd w:val="clear" w:color="auto" w:fill="auto"/>
            <w:noWrap/>
            <w:vAlign w:val="center"/>
          </w:tcPr>
          <w:p w14:paraId="6B53555F"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556" w:type="dxa"/>
            <w:vMerge/>
            <w:vAlign w:val="center"/>
          </w:tcPr>
          <w:p w14:paraId="76FF04FC"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1978" w:type="dxa"/>
            <w:vMerge/>
            <w:shd w:val="clear" w:color="auto" w:fill="auto"/>
            <w:noWrap/>
          </w:tcPr>
          <w:p w14:paraId="306F31E8"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p>
        </w:tc>
        <w:tc>
          <w:tcPr>
            <w:tcW w:w="1134" w:type="dxa"/>
            <w:vMerge/>
            <w:vAlign w:val="center"/>
          </w:tcPr>
          <w:p w14:paraId="34DA5C96"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r>
      <w:tr w:rsidR="008461EA" w:rsidRPr="00800A49" w14:paraId="13BCB17F" w14:textId="77777777" w:rsidTr="00720BDC">
        <w:trPr>
          <w:trHeight w:val="300"/>
        </w:trPr>
        <w:tc>
          <w:tcPr>
            <w:tcW w:w="1128" w:type="dxa"/>
            <w:vMerge/>
            <w:shd w:val="clear" w:color="auto" w:fill="auto"/>
            <w:noWrap/>
          </w:tcPr>
          <w:p w14:paraId="0C2D4C6E"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p>
        </w:tc>
        <w:tc>
          <w:tcPr>
            <w:tcW w:w="283" w:type="dxa"/>
            <w:vAlign w:val="center"/>
          </w:tcPr>
          <w:p w14:paraId="40D9C3DF"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C</w:t>
            </w:r>
          </w:p>
        </w:tc>
        <w:tc>
          <w:tcPr>
            <w:tcW w:w="709" w:type="dxa"/>
            <w:vAlign w:val="center"/>
          </w:tcPr>
          <w:p w14:paraId="7D3C066B"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N/A</w:t>
            </w:r>
          </w:p>
        </w:tc>
        <w:tc>
          <w:tcPr>
            <w:tcW w:w="2409" w:type="dxa"/>
            <w:shd w:val="clear" w:color="auto" w:fill="auto"/>
            <w:noWrap/>
            <w:vAlign w:val="center"/>
          </w:tcPr>
          <w:p w14:paraId="02CF30DC"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Private practice and school-based (combination) fissure sealants on first permanent molars prior to dental screening</w:t>
            </w:r>
          </w:p>
        </w:tc>
        <w:tc>
          <w:tcPr>
            <w:tcW w:w="1105" w:type="dxa"/>
            <w:vMerge/>
            <w:vAlign w:val="center"/>
          </w:tcPr>
          <w:p w14:paraId="6192104E"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851" w:type="dxa"/>
            <w:vMerge/>
            <w:vAlign w:val="center"/>
          </w:tcPr>
          <w:p w14:paraId="3B887CDF"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851" w:type="dxa"/>
            <w:vMerge/>
            <w:shd w:val="clear" w:color="auto" w:fill="auto"/>
            <w:noWrap/>
            <w:vAlign w:val="center"/>
          </w:tcPr>
          <w:p w14:paraId="7E2B3D24"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1190" w:type="dxa"/>
            <w:vMerge/>
            <w:vAlign w:val="center"/>
          </w:tcPr>
          <w:p w14:paraId="5BD58EE1"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2760" w:type="dxa"/>
            <w:vMerge/>
            <w:shd w:val="clear" w:color="auto" w:fill="auto"/>
            <w:noWrap/>
          </w:tcPr>
          <w:p w14:paraId="2AD730DF"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p>
        </w:tc>
        <w:tc>
          <w:tcPr>
            <w:tcW w:w="634" w:type="dxa"/>
            <w:vMerge/>
            <w:shd w:val="clear" w:color="auto" w:fill="auto"/>
            <w:noWrap/>
            <w:vAlign w:val="center"/>
          </w:tcPr>
          <w:p w14:paraId="1C7A9A67"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556" w:type="dxa"/>
            <w:vMerge/>
            <w:vAlign w:val="center"/>
          </w:tcPr>
          <w:p w14:paraId="26822E85"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1978" w:type="dxa"/>
            <w:vMerge/>
            <w:shd w:val="clear" w:color="auto" w:fill="auto"/>
            <w:noWrap/>
          </w:tcPr>
          <w:p w14:paraId="6B3F7AA2"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p>
        </w:tc>
        <w:tc>
          <w:tcPr>
            <w:tcW w:w="1134" w:type="dxa"/>
            <w:vMerge/>
            <w:vAlign w:val="center"/>
          </w:tcPr>
          <w:p w14:paraId="7D507C47"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r>
      <w:tr w:rsidR="008461EA" w:rsidRPr="00800A49" w14:paraId="688B91F6" w14:textId="77777777" w:rsidTr="00720BDC">
        <w:trPr>
          <w:trHeight w:val="986"/>
        </w:trPr>
        <w:tc>
          <w:tcPr>
            <w:tcW w:w="1128" w:type="dxa"/>
            <w:vMerge w:val="restart"/>
            <w:shd w:val="clear" w:color="auto" w:fill="auto"/>
            <w:noWrap/>
            <w:hideMark/>
          </w:tcPr>
          <w:p w14:paraId="48F218CC"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proofErr w:type="spellStart"/>
            <w:r w:rsidRPr="00800A49">
              <w:rPr>
                <w:rFonts w:ascii="Times New Roman" w:eastAsia="Times New Roman" w:hAnsi="Times New Roman" w:cs="Times New Roman"/>
                <w:color w:val="000000"/>
                <w:sz w:val="18"/>
                <w:szCs w:val="18"/>
                <w:lang w:eastAsia="en-AU"/>
              </w:rPr>
              <w:lastRenderedPageBreak/>
              <w:t>Bhuridej</w:t>
            </w:r>
            <w:proofErr w:type="spellEnd"/>
            <w:r w:rsidRPr="00800A49">
              <w:rPr>
                <w:rFonts w:ascii="Times New Roman" w:eastAsia="Times New Roman" w:hAnsi="Times New Roman" w:cs="Times New Roman"/>
                <w:color w:val="000000"/>
                <w:sz w:val="18"/>
                <w:szCs w:val="18"/>
                <w:lang w:eastAsia="en-AU"/>
              </w:rPr>
              <w:t>, 2003</w:t>
            </w:r>
          </w:p>
        </w:tc>
        <w:tc>
          <w:tcPr>
            <w:tcW w:w="283" w:type="dxa"/>
            <w:vAlign w:val="center"/>
          </w:tcPr>
          <w:p w14:paraId="0AAE24C7"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I</w:t>
            </w:r>
          </w:p>
        </w:tc>
        <w:tc>
          <w:tcPr>
            <w:tcW w:w="709" w:type="dxa"/>
            <w:vAlign w:val="center"/>
          </w:tcPr>
          <w:p w14:paraId="55C59187"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Ind.</w:t>
            </w:r>
          </w:p>
        </w:tc>
        <w:tc>
          <w:tcPr>
            <w:tcW w:w="2409" w:type="dxa"/>
            <w:shd w:val="clear" w:color="auto" w:fill="auto"/>
            <w:noWrap/>
            <w:vAlign w:val="center"/>
            <w:hideMark/>
          </w:tcPr>
          <w:p w14:paraId="176CBA78"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Fissure sealant</w:t>
            </w:r>
          </w:p>
        </w:tc>
        <w:tc>
          <w:tcPr>
            <w:tcW w:w="1105" w:type="dxa"/>
            <w:vMerge w:val="restart"/>
            <w:vAlign w:val="center"/>
          </w:tcPr>
          <w:p w14:paraId="413A3994"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Healthcare</w:t>
            </w:r>
          </w:p>
        </w:tc>
        <w:tc>
          <w:tcPr>
            <w:tcW w:w="851" w:type="dxa"/>
            <w:vMerge w:val="restart"/>
            <w:vAlign w:val="center"/>
          </w:tcPr>
          <w:p w14:paraId="71BFAE24"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4 years</w:t>
            </w:r>
          </w:p>
        </w:tc>
        <w:tc>
          <w:tcPr>
            <w:tcW w:w="851" w:type="dxa"/>
            <w:vMerge w:val="restart"/>
            <w:shd w:val="clear" w:color="auto" w:fill="auto"/>
            <w:noWrap/>
            <w:vAlign w:val="center"/>
            <w:hideMark/>
          </w:tcPr>
          <w:p w14:paraId="618890F0"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6</w:t>
            </w:r>
          </w:p>
        </w:tc>
        <w:tc>
          <w:tcPr>
            <w:tcW w:w="1190" w:type="dxa"/>
            <w:vMerge w:val="restart"/>
            <w:vAlign w:val="center"/>
          </w:tcPr>
          <w:p w14:paraId="4F2D3CC0"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2,132</w:t>
            </w:r>
          </w:p>
        </w:tc>
        <w:tc>
          <w:tcPr>
            <w:tcW w:w="2760" w:type="dxa"/>
            <w:vMerge w:val="restart"/>
            <w:shd w:val="clear" w:color="auto" w:fill="auto"/>
            <w:noWrap/>
            <w:hideMark/>
          </w:tcPr>
          <w:p w14:paraId="15806B5E"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Intervention costs (macro-costing)</w:t>
            </w:r>
            <w:r w:rsidRPr="00800A49">
              <w:rPr>
                <w:rFonts w:ascii="Times New Roman" w:eastAsia="Times New Roman" w:hAnsi="Times New Roman" w:cs="Times New Roman"/>
                <w:color w:val="000000"/>
                <w:sz w:val="18"/>
                <w:szCs w:val="18"/>
                <w:lang w:eastAsia="en-AU"/>
              </w:rPr>
              <w:br/>
            </w:r>
          </w:p>
          <w:p w14:paraId="7AA3B1E9"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Dental treatment costs (restorations, root canal treatment, crown, extraction)</w:t>
            </w:r>
          </w:p>
        </w:tc>
        <w:tc>
          <w:tcPr>
            <w:tcW w:w="1190" w:type="dxa"/>
            <w:gridSpan w:val="2"/>
            <w:vMerge w:val="restart"/>
            <w:shd w:val="clear" w:color="auto" w:fill="auto"/>
            <w:noWrap/>
            <w:vAlign w:val="center"/>
          </w:tcPr>
          <w:p w14:paraId="74ED43C2"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3%</w:t>
            </w:r>
          </w:p>
        </w:tc>
        <w:tc>
          <w:tcPr>
            <w:tcW w:w="1978" w:type="dxa"/>
            <w:vMerge w:val="restart"/>
            <w:shd w:val="clear" w:color="auto" w:fill="auto"/>
            <w:noWrap/>
            <w:hideMark/>
          </w:tcPr>
          <w:p w14:paraId="4D4D5D17"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Costs (US$) per QATY gained</w:t>
            </w:r>
            <w:r w:rsidRPr="00800A49">
              <w:rPr>
                <w:rFonts w:ascii="Times New Roman" w:eastAsia="Times New Roman" w:hAnsi="Times New Roman" w:cs="Times New Roman"/>
                <w:color w:val="000000"/>
                <w:sz w:val="18"/>
                <w:szCs w:val="18"/>
                <w:lang w:eastAsia="en-AU"/>
              </w:rPr>
              <w:br/>
              <w:t>1) Upper right 1st permanent molar ICER: 439.6</w:t>
            </w:r>
            <w:r w:rsidRPr="00800A49">
              <w:rPr>
                <w:rFonts w:ascii="Times New Roman" w:eastAsia="Times New Roman" w:hAnsi="Times New Roman" w:cs="Times New Roman"/>
                <w:color w:val="000000"/>
                <w:sz w:val="18"/>
                <w:szCs w:val="18"/>
                <w:lang w:eastAsia="en-AU"/>
              </w:rPr>
              <w:br/>
              <w:t>2) Upper left 1st permanent molar ICER: 327.43</w:t>
            </w:r>
            <w:r w:rsidRPr="00800A49">
              <w:rPr>
                <w:rFonts w:ascii="Times New Roman" w:eastAsia="Times New Roman" w:hAnsi="Times New Roman" w:cs="Times New Roman"/>
                <w:color w:val="000000"/>
                <w:sz w:val="18"/>
                <w:szCs w:val="18"/>
                <w:lang w:eastAsia="en-AU"/>
              </w:rPr>
              <w:br/>
              <w:t>3) Lower left 1st permanent molar ICER: 193.0</w:t>
            </w:r>
            <w:r w:rsidRPr="00800A49">
              <w:rPr>
                <w:rFonts w:ascii="Times New Roman" w:eastAsia="Times New Roman" w:hAnsi="Times New Roman" w:cs="Times New Roman"/>
                <w:color w:val="000000"/>
                <w:sz w:val="18"/>
                <w:szCs w:val="18"/>
                <w:lang w:eastAsia="en-AU"/>
              </w:rPr>
              <w:br/>
              <w:t>4) Lower right 1st permanent molar ICER: 202.3</w:t>
            </w:r>
          </w:p>
          <w:p w14:paraId="2BF91FB0"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p>
          <w:p w14:paraId="0F415EBC"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Cost-effective = N/S</w:t>
            </w:r>
          </w:p>
        </w:tc>
        <w:tc>
          <w:tcPr>
            <w:tcW w:w="1134" w:type="dxa"/>
            <w:vMerge w:val="restart"/>
            <w:vAlign w:val="center"/>
          </w:tcPr>
          <w:p w14:paraId="59DC03D3"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Good</w:t>
            </w:r>
          </w:p>
        </w:tc>
      </w:tr>
      <w:tr w:rsidR="008461EA" w:rsidRPr="00800A49" w14:paraId="571F58D1" w14:textId="77777777" w:rsidTr="00720BDC">
        <w:trPr>
          <w:trHeight w:val="300"/>
        </w:trPr>
        <w:tc>
          <w:tcPr>
            <w:tcW w:w="1128" w:type="dxa"/>
            <w:vMerge/>
            <w:shd w:val="clear" w:color="auto" w:fill="auto"/>
            <w:noWrap/>
          </w:tcPr>
          <w:p w14:paraId="4D6B822D"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p>
        </w:tc>
        <w:tc>
          <w:tcPr>
            <w:tcW w:w="283" w:type="dxa"/>
            <w:vAlign w:val="center"/>
          </w:tcPr>
          <w:p w14:paraId="306DE332"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C</w:t>
            </w:r>
          </w:p>
        </w:tc>
        <w:tc>
          <w:tcPr>
            <w:tcW w:w="709" w:type="dxa"/>
            <w:vAlign w:val="center"/>
          </w:tcPr>
          <w:p w14:paraId="02B1CFC2"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N/A</w:t>
            </w:r>
          </w:p>
        </w:tc>
        <w:tc>
          <w:tcPr>
            <w:tcW w:w="2409" w:type="dxa"/>
            <w:shd w:val="clear" w:color="auto" w:fill="auto"/>
            <w:noWrap/>
            <w:vAlign w:val="center"/>
          </w:tcPr>
          <w:p w14:paraId="7A7BE9BD"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No fissure sealant</w:t>
            </w:r>
          </w:p>
        </w:tc>
        <w:tc>
          <w:tcPr>
            <w:tcW w:w="1105" w:type="dxa"/>
            <w:vMerge/>
            <w:vAlign w:val="center"/>
          </w:tcPr>
          <w:p w14:paraId="7EC2F490"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851" w:type="dxa"/>
            <w:vMerge/>
            <w:vAlign w:val="center"/>
          </w:tcPr>
          <w:p w14:paraId="182D47A7"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851" w:type="dxa"/>
            <w:vMerge/>
            <w:shd w:val="clear" w:color="auto" w:fill="auto"/>
            <w:noWrap/>
            <w:vAlign w:val="center"/>
          </w:tcPr>
          <w:p w14:paraId="1C229794"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1190" w:type="dxa"/>
            <w:vMerge/>
            <w:vAlign w:val="center"/>
          </w:tcPr>
          <w:p w14:paraId="761DCE4C"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2760" w:type="dxa"/>
            <w:vMerge/>
            <w:shd w:val="clear" w:color="auto" w:fill="auto"/>
            <w:noWrap/>
          </w:tcPr>
          <w:p w14:paraId="70802906"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p>
        </w:tc>
        <w:tc>
          <w:tcPr>
            <w:tcW w:w="1190" w:type="dxa"/>
            <w:gridSpan w:val="2"/>
            <w:vMerge/>
            <w:shd w:val="clear" w:color="auto" w:fill="auto"/>
            <w:noWrap/>
            <w:vAlign w:val="center"/>
          </w:tcPr>
          <w:p w14:paraId="7FB2CF46"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1978" w:type="dxa"/>
            <w:vMerge/>
            <w:shd w:val="clear" w:color="auto" w:fill="auto"/>
            <w:noWrap/>
          </w:tcPr>
          <w:p w14:paraId="09C6B9A1"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p>
        </w:tc>
        <w:tc>
          <w:tcPr>
            <w:tcW w:w="1134" w:type="dxa"/>
            <w:vMerge/>
            <w:vAlign w:val="center"/>
          </w:tcPr>
          <w:p w14:paraId="27CBF915"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r>
      <w:tr w:rsidR="008461EA" w:rsidRPr="00800A49" w14:paraId="15B8D244" w14:textId="77777777" w:rsidTr="00720BDC">
        <w:trPr>
          <w:trHeight w:val="1960"/>
        </w:trPr>
        <w:tc>
          <w:tcPr>
            <w:tcW w:w="1128" w:type="dxa"/>
            <w:vMerge w:val="restart"/>
            <w:shd w:val="clear" w:color="auto" w:fill="auto"/>
            <w:noWrap/>
            <w:hideMark/>
          </w:tcPr>
          <w:p w14:paraId="689F40FC"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proofErr w:type="spellStart"/>
            <w:r w:rsidRPr="00800A49">
              <w:rPr>
                <w:rFonts w:ascii="Times New Roman" w:eastAsia="Times New Roman" w:hAnsi="Times New Roman" w:cs="Times New Roman"/>
                <w:color w:val="000000"/>
                <w:sz w:val="18"/>
                <w:szCs w:val="18"/>
                <w:lang w:eastAsia="en-AU"/>
              </w:rPr>
              <w:t>Campain</w:t>
            </w:r>
            <w:proofErr w:type="spellEnd"/>
            <w:r w:rsidRPr="00800A49">
              <w:rPr>
                <w:rFonts w:ascii="Times New Roman" w:eastAsia="Times New Roman" w:hAnsi="Times New Roman" w:cs="Times New Roman"/>
                <w:color w:val="000000"/>
                <w:sz w:val="18"/>
                <w:szCs w:val="18"/>
                <w:lang w:eastAsia="en-AU"/>
              </w:rPr>
              <w:t xml:space="preserve"> et al., 2010</w:t>
            </w:r>
          </w:p>
        </w:tc>
        <w:tc>
          <w:tcPr>
            <w:tcW w:w="283" w:type="dxa"/>
            <w:vAlign w:val="center"/>
          </w:tcPr>
          <w:p w14:paraId="408CF570"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I</w:t>
            </w:r>
          </w:p>
        </w:tc>
        <w:tc>
          <w:tcPr>
            <w:tcW w:w="709" w:type="dxa"/>
            <w:vAlign w:val="center"/>
          </w:tcPr>
          <w:p w14:paraId="7AB0A71F"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Uni.</w:t>
            </w:r>
          </w:p>
        </w:tc>
        <w:tc>
          <w:tcPr>
            <w:tcW w:w="2409" w:type="dxa"/>
            <w:shd w:val="clear" w:color="auto" w:fill="auto"/>
            <w:noWrap/>
            <w:vAlign w:val="center"/>
            <w:hideMark/>
          </w:tcPr>
          <w:p w14:paraId="66083D81"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Water fluoridation</w:t>
            </w:r>
          </w:p>
        </w:tc>
        <w:tc>
          <w:tcPr>
            <w:tcW w:w="1105" w:type="dxa"/>
            <w:vMerge w:val="restart"/>
            <w:vAlign w:val="center"/>
          </w:tcPr>
          <w:p w14:paraId="652C77C5"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Societal</w:t>
            </w:r>
          </w:p>
        </w:tc>
        <w:tc>
          <w:tcPr>
            <w:tcW w:w="851" w:type="dxa"/>
            <w:vMerge w:val="restart"/>
            <w:vAlign w:val="center"/>
          </w:tcPr>
          <w:p w14:paraId="75FBAEB5"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30 years</w:t>
            </w:r>
          </w:p>
        </w:tc>
        <w:tc>
          <w:tcPr>
            <w:tcW w:w="851" w:type="dxa"/>
            <w:vMerge w:val="restart"/>
            <w:shd w:val="clear" w:color="auto" w:fill="auto"/>
            <w:noWrap/>
            <w:vAlign w:val="center"/>
            <w:hideMark/>
          </w:tcPr>
          <w:p w14:paraId="536A5668"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&gt;6</w:t>
            </w:r>
          </w:p>
        </w:tc>
        <w:tc>
          <w:tcPr>
            <w:tcW w:w="1190" w:type="dxa"/>
            <w:vMerge w:val="restart"/>
            <w:vAlign w:val="center"/>
          </w:tcPr>
          <w:p w14:paraId="3181A8FA"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N/R</w:t>
            </w:r>
          </w:p>
        </w:tc>
        <w:tc>
          <w:tcPr>
            <w:tcW w:w="2760" w:type="dxa"/>
            <w:vMerge w:val="restart"/>
            <w:shd w:val="clear" w:color="auto" w:fill="auto"/>
            <w:noWrap/>
            <w:hideMark/>
          </w:tcPr>
          <w:p w14:paraId="563C4673"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Intervention costs (fixed costs and maintenance costs)</w:t>
            </w:r>
            <w:r w:rsidRPr="00800A49">
              <w:rPr>
                <w:rFonts w:ascii="Times New Roman" w:eastAsia="Times New Roman" w:hAnsi="Times New Roman" w:cs="Times New Roman"/>
                <w:color w:val="000000"/>
                <w:sz w:val="18"/>
                <w:szCs w:val="18"/>
                <w:lang w:eastAsia="en-AU"/>
              </w:rPr>
              <w:br/>
            </w:r>
          </w:p>
          <w:p w14:paraId="61679C7E"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1) Conventional:</w:t>
            </w:r>
          </w:p>
          <w:p w14:paraId="5EEB6B22"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Dental treatment costs (single-surface restorations, repeat restorations and periodontal services)</w:t>
            </w:r>
          </w:p>
          <w:p w14:paraId="0879DDA2"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br/>
              <w:t>2) Complex: Dental treatment costs (service-mix multi-surface restorations, repeat restorations, crowns and periodontal services)</w:t>
            </w:r>
          </w:p>
          <w:p w14:paraId="46384101"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br/>
              <w:t>Opportunity costs lost (dental treatment time)</w:t>
            </w:r>
          </w:p>
        </w:tc>
        <w:tc>
          <w:tcPr>
            <w:tcW w:w="634" w:type="dxa"/>
            <w:vMerge w:val="restart"/>
            <w:shd w:val="clear" w:color="auto" w:fill="auto"/>
            <w:noWrap/>
            <w:vAlign w:val="center"/>
            <w:hideMark/>
          </w:tcPr>
          <w:p w14:paraId="7722A332"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7%</w:t>
            </w:r>
          </w:p>
        </w:tc>
        <w:tc>
          <w:tcPr>
            <w:tcW w:w="556" w:type="dxa"/>
            <w:vMerge w:val="restart"/>
            <w:vAlign w:val="center"/>
          </w:tcPr>
          <w:p w14:paraId="06DB9B38"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N/A</w:t>
            </w:r>
          </w:p>
        </w:tc>
        <w:tc>
          <w:tcPr>
            <w:tcW w:w="1978" w:type="dxa"/>
            <w:vMerge w:val="restart"/>
            <w:shd w:val="clear" w:color="auto" w:fill="auto"/>
            <w:noWrap/>
            <w:hideMark/>
          </w:tcPr>
          <w:p w14:paraId="31DE761B"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Net benefits/costs:</w:t>
            </w:r>
          </w:p>
          <w:p w14:paraId="3E65BD94" w14:textId="77777777" w:rsidR="008461EA" w:rsidRPr="00800A49" w:rsidRDefault="008461EA" w:rsidP="00720BDC">
            <w:pPr>
              <w:pStyle w:val="ListParagraph"/>
              <w:numPr>
                <w:ilvl w:val="0"/>
                <w:numId w:val="10"/>
              </w:numPr>
              <w:spacing w:after="0" w:line="240" w:lineRule="auto"/>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Conventional: -AU$33.60 to AU$0.52 for age cohorts 21-45 and 66+, respectively</w:t>
            </w:r>
          </w:p>
          <w:p w14:paraId="6026B373" w14:textId="77777777" w:rsidR="008461EA" w:rsidRPr="00800A49" w:rsidRDefault="008461EA" w:rsidP="00720BDC">
            <w:pPr>
              <w:pStyle w:val="ListParagraph"/>
              <w:numPr>
                <w:ilvl w:val="0"/>
                <w:numId w:val="10"/>
              </w:numPr>
              <w:spacing w:after="0" w:line="240" w:lineRule="auto"/>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Complex: -AU$162.66 to AU$2.33 for age cohorts 21-45 and 66+, respectively</w:t>
            </w:r>
          </w:p>
          <w:p w14:paraId="47BF3711"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p>
          <w:p w14:paraId="0DB05D6C"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Cost-saving = Yes</w:t>
            </w:r>
          </w:p>
        </w:tc>
        <w:tc>
          <w:tcPr>
            <w:tcW w:w="1134" w:type="dxa"/>
            <w:vMerge w:val="restart"/>
            <w:vAlign w:val="center"/>
          </w:tcPr>
          <w:p w14:paraId="41FCAE55"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Good</w:t>
            </w:r>
          </w:p>
        </w:tc>
      </w:tr>
      <w:tr w:rsidR="008461EA" w:rsidRPr="00800A49" w14:paraId="38EB7D0C" w14:textId="77777777" w:rsidTr="00720BDC">
        <w:trPr>
          <w:trHeight w:val="300"/>
        </w:trPr>
        <w:tc>
          <w:tcPr>
            <w:tcW w:w="1128" w:type="dxa"/>
            <w:vMerge/>
            <w:shd w:val="clear" w:color="auto" w:fill="auto"/>
            <w:noWrap/>
          </w:tcPr>
          <w:p w14:paraId="6E6736F1"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p>
        </w:tc>
        <w:tc>
          <w:tcPr>
            <w:tcW w:w="283" w:type="dxa"/>
            <w:vAlign w:val="center"/>
          </w:tcPr>
          <w:p w14:paraId="08B3BD41"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C</w:t>
            </w:r>
          </w:p>
        </w:tc>
        <w:tc>
          <w:tcPr>
            <w:tcW w:w="709" w:type="dxa"/>
            <w:vAlign w:val="center"/>
          </w:tcPr>
          <w:p w14:paraId="72702A45"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N/A</w:t>
            </w:r>
          </w:p>
        </w:tc>
        <w:tc>
          <w:tcPr>
            <w:tcW w:w="2409" w:type="dxa"/>
            <w:shd w:val="clear" w:color="auto" w:fill="auto"/>
            <w:noWrap/>
            <w:vAlign w:val="center"/>
          </w:tcPr>
          <w:p w14:paraId="54129A18"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No intervention</w:t>
            </w:r>
          </w:p>
        </w:tc>
        <w:tc>
          <w:tcPr>
            <w:tcW w:w="1105" w:type="dxa"/>
            <w:vMerge/>
            <w:vAlign w:val="center"/>
          </w:tcPr>
          <w:p w14:paraId="68AE5C77"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851" w:type="dxa"/>
            <w:vMerge/>
            <w:vAlign w:val="center"/>
          </w:tcPr>
          <w:p w14:paraId="041E2198"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851" w:type="dxa"/>
            <w:vMerge/>
            <w:shd w:val="clear" w:color="auto" w:fill="auto"/>
            <w:noWrap/>
            <w:vAlign w:val="center"/>
          </w:tcPr>
          <w:p w14:paraId="12FB67F6"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1190" w:type="dxa"/>
            <w:vMerge/>
            <w:vAlign w:val="center"/>
          </w:tcPr>
          <w:p w14:paraId="51D0147E"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2760" w:type="dxa"/>
            <w:vMerge/>
            <w:shd w:val="clear" w:color="auto" w:fill="auto"/>
            <w:noWrap/>
          </w:tcPr>
          <w:p w14:paraId="36AF1498"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p>
        </w:tc>
        <w:tc>
          <w:tcPr>
            <w:tcW w:w="634" w:type="dxa"/>
            <w:vMerge/>
            <w:shd w:val="clear" w:color="auto" w:fill="auto"/>
            <w:noWrap/>
            <w:vAlign w:val="center"/>
          </w:tcPr>
          <w:p w14:paraId="75B5D77E"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556" w:type="dxa"/>
            <w:vMerge/>
            <w:vAlign w:val="center"/>
          </w:tcPr>
          <w:p w14:paraId="5C18F987"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1978" w:type="dxa"/>
            <w:vMerge/>
            <w:shd w:val="clear" w:color="auto" w:fill="auto"/>
            <w:noWrap/>
          </w:tcPr>
          <w:p w14:paraId="45299A84"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p>
        </w:tc>
        <w:tc>
          <w:tcPr>
            <w:tcW w:w="1134" w:type="dxa"/>
            <w:vMerge/>
            <w:vAlign w:val="center"/>
          </w:tcPr>
          <w:p w14:paraId="68199810"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r>
      <w:tr w:rsidR="008461EA" w:rsidRPr="00800A49" w14:paraId="4FE2D9B4" w14:textId="77777777" w:rsidTr="00720BDC">
        <w:trPr>
          <w:trHeight w:val="1721"/>
        </w:trPr>
        <w:tc>
          <w:tcPr>
            <w:tcW w:w="1128" w:type="dxa"/>
            <w:vMerge w:val="restart"/>
            <w:shd w:val="clear" w:color="auto" w:fill="auto"/>
            <w:noWrap/>
            <w:hideMark/>
          </w:tcPr>
          <w:p w14:paraId="3D290A07"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proofErr w:type="spellStart"/>
            <w:r w:rsidRPr="00800A49">
              <w:rPr>
                <w:rFonts w:ascii="Times New Roman" w:eastAsia="Times New Roman" w:hAnsi="Times New Roman" w:cs="Times New Roman"/>
                <w:color w:val="000000"/>
                <w:sz w:val="18"/>
                <w:szCs w:val="18"/>
                <w:lang w:eastAsia="en-AU"/>
              </w:rPr>
              <w:t>Chestnutt</w:t>
            </w:r>
            <w:proofErr w:type="spellEnd"/>
            <w:r w:rsidRPr="00800A49">
              <w:rPr>
                <w:rFonts w:ascii="Times New Roman" w:eastAsia="Times New Roman" w:hAnsi="Times New Roman" w:cs="Times New Roman"/>
                <w:color w:val="000000"/>
                <w:sz w:val="18"/>
                <w:szCs w:val="18"/>
                <w:lang w:eastAsia="en-AU"/>
              </w:rPr>
              <w:t xml:space="preserve"> et al., 2017</w:t>
            </w:r>
          </w:p>
        </w:tc>
        <w:tc>
          <w:tcPr>
            <w:tcW w:w="283" w:type="dxa"/>
            <w:vAlign w:val="center"/>
          </w:tcPr>
          <w:p w14:paraId="6A72921F"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I</w:t>
            </w:r>
          </w:p>
        </w:tc>
        <w:tc>
          <w:tcPr>
            <w:tcW w:w="709" w:type="dxa"/>
            <w:vAlign w:val="center"/>
          </w:tcPr>
          <w:p w14:paraId="485C9876"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Ind.</w:t>
            </w:r>
          </w:p>
        </w:tc>
        <w:tc>
          <w:tcPr>
            <w:tcW w:w="2409" w:type="dxa"/>
            <w:shd w:val="clear" w:color="auto" w:fill="auto"/>
            <w:noWrap/>
            <w:vAlign w:val="center"/>
            <w:hideMark/>
          </w:tcPr>
          <w:p w14:paraId="2351C19C"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6-monthly fluoride varnish</w:t>
            </w:r>
          </w:p>
        </w:tc>
        <w:tc>
          <w:tcPr>
            <w:tcW w:w="1105" w:type="dxa"/>
            <w:vMerge w:val="restart"/>
            <w:vAlign w:val="center"/>
          </w:tcPr>
          <w:p w14:paraId="127D2FE0"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Healthcare</w:t>
            </w:r>
          </w:p>
          <w:p w14:paraId="67A272AC"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and</w:t>
            </w:r>
          </w:p>
          <w:p w14:paraId="5E162991"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Societal</w:t>
            </w:r>
          </w:p>
        </w:tc>
        <w:tc>
          <w:tcPr>
            <w:tcW w:w="851" w:type="dxa"/>
            <w:vMerge w:val="restart"/>
            <w:vAlign w:val="center"/>
          </w:tcPr>
          <w:p w14:paraId="13458DE6"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Trial-based</w:t>
            </w:r>
          </w:p>
          <w:p w14:paraId="6E616B72"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3 years</w:t>
            </w:r>
          </w:p>
          <w:p w14:paraId="2A63EBC7"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p w14:paraId="5658F268"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Model-based</w:t>
            </w:r>
          </w:p>
          <w:p w14:paraId="2D5853B4"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5 years</w:t>
            </w:r>
          </w:p>
          <w:p w14:paraId="308FE4A7"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and</w:t>
            </w:r>
          </w:p>
          <w:p w14:paraId="1B43A05B"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10 years</w:t>
            </w:r>
          </w:p>
        </w:tc>
        <w:tc>
          <w:tcPr>
            <w:tcW w:w="851" w:type="dxa"/>
            <w:vMerge w:val="restart"/>
            <w:shd w:val="clear" w:color="auto" w:fill="auto"/>
            <w:noWrap/>
            <w:vAlign w:val="center"/>
            <w:hideMark/>
          </w:tcPr>
          <w:p w14:paraId="0C6B73B1"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6-7</w:t>
            </w:r>
          </w:p>
        </w:tc>
        <w:tc>
          <w:tcPr>
            <w:tcW w:w="1190" w:type="dxa"/>
            <w:vAlign w:val="center"/>
          </w:tcPr>
          <w:p w14:paraId="1141FC5C"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418</w:t>
            </w:r>
          </w:p>
        </w:tc>
        <w:tc>
          <w:tcPr>
            <w:tcW w:w="2760" w:type="dxa"/>
            <w:vMerge w:val="restart"/>
            <w:shd w:val="clear" w:color="auto" w:fill="auto"/>
            <w:noWrap/>
            <w:hideMark/>
          </w:tcPr>
          <w:p w14:paraId="2B7B0B99"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Intervention costs (micro-costing for workforce labour and dental materials)</w:t>
            </w:r>
          </w:p>
          <w:p w14:paraId="2A78AC93"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br/>
              <w:t>Dental treatment costs (restorations, extractions)</w:t>
            </w:r>
          </w:p>
          <w:p w14:paraId="72813B85"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br/>
              <w:t>Opportunity costs lost (travel, waiting and treatment time costs)</w:t>
            </w:r>
          </w:p>
          <w:p w14:paraId="62D55F64"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br/>
              <w:t>School administration costs</w:t>
            </w:r>
          </w:p>
          <w:p w14:paraId="2EB965C2"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lastRenderedPageBreak/>
              <w:br/>
              <w:t>Other costs (prescription medications)</w:t>
            </w:r>
          </w:p>
        </w:tc>
        <w:tc>
          <w:tcPr>
            <w:tcW w:w="1190" w:type="dxa"/>
            <w:gridSpan w:val="2"/>
            <w:vMerge w:val="restart"/>
            <w:shd w:val="clear" w:color="auto" w:fill="auto"/>
            <w:noWrap/>
            <w:vAlign w:val="center"/>
            <w:hideMark/>
          </w:tcPr>
          <w:p w14:paraId="19818292"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lastRenderedPageBreak/>
              <w:t>4%</w:t>
            </w:r>
          </w:p>
        </w:tc>
        <w:tc>
          <w:tcPr>
            <w:tcW w:w="1978" w:type="dxa"/>
            <w:vMerge w:val="restart"/>
            <w:shd w:val="clear" w:color="auto" w:fill="auto"/>
            <w:noWrap/>
            <w:hideMark/>
          </w:tcPr>
          <w:p w14:paraId="187ACC45"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Trial outcome</w:t>
            </w:r>
          </w:p>
          <w:p w14:paraId="39FB3381"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Cost (£) per 1% without dentine caries (1st permanent molar; D4); costs per QALY gained; costs per QATY gained</w:t>
            </w:r>
          </w:p>
          <w:p w14:paraId="74F3BDCB"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ICER: N/R (dominant</w:t>
            </w:r>
            <w:proofErr w:type="gramStart"/>
            <w:r w:rsidRPr="00800A49">
              <w:rPr>
                <w:rFonts w:ascii="Times New Roman" w:eastAsia="Times New Roman" w:hAnsi="Times New Roman" w:cs="Times New Roman"/>
                <w:color w:val="000000"/>
                <w:sz w:val="18"/>
                <w:szCs w:val="18"/>
                <w:lang w:eastAsia="en-AU"/>
              </w:rPr>
              <w:t>);</w:t>
            </w:r>
            <w:proofErr w:type="gramEnd"/>
          </w:p>
          <w:p w14:paraId="45C4FE18"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N/R (dominant</w:t>
            </w:r>
            <w:proofErr w:type="gramStart"/>
            <w:r w:rsidRPr="00800A49">
              <w:rPr>
                <w:rFonts w:ascii="Times New Roman" w:eastAsia="Times New Roman" w:hAnsi="Times New Roman" w:cs="Times New Roman"/>
                <w:color w:val="000000"/>
                <w:sz w:val="18"/>
                <w:szCs w:val="18"/>
                <w:lang w:eastAsia="en-AU"/>
              </w:rPr>
              <w:t>);</w:t>
            </w:r>
            <w:proofErr w:type="gramEnd"/>
          </w:p>
          <w:p w14:paraId="3154C78B"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N/R (dominant)</w:t>
            </w:r>
          </w:p>
          <w:p w14:paraId="1C77FDC2"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p>
          <w:p w14:paraId="424EC249"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 xml:space="preserve">Model </w:t>
            </w:r>
            <w:proofErr w:type="spellStart"/>
            <w:r w:rsidRPr="00800A49">
              <w:rPr>
                <w:rFonts w:ascii="Times New Roman" w:eastAsia="Times New Roman" w:hAnsi="Times New Roman" w:cs="Times New Roman"/>
                <w:color w:val="000000"/>
                <w:sz w:val="18"/>
                <w:szCs w:val="18"/>
                <w:lang w:eastAsia="en-AU"/>
              </w:rPr>
              <w:t>outome</w:t>
            </w:r>
            <w:proofErr w:type="spellEnd"/>
          </w:p>
          <w:p w14:paraId="628036F2"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lastRenderedPageBreak/>
              <w:t>Costs (£) per QALY gained</w:t>
            </w:r>
          </w:p>
          <w:p w14:paraId="6BC8C63E"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1) 5-years ICER: N/R (dominant)</w:t>
            </w:r>
            <w:r w:rsidRPr="00800A49">
              <w:rPr>
                <w:rFonts w:ascii="Times New Roman" w:eastAsia="Times New Roman" w:hAnsi="Times New Roman" w:cs="Times New Roman"/>
                <w:color w:val="000000"/>
                <w:sz w:val="18"/>
                <w:szCs w:val="18"/>
                <w:lang w:eastAsia="en-AU"/>
              </w:rPr>
              <w:br/>
              <w:t>2) 10-years ICER: N/R (dominant)</w:t>
            </w:r>
          </w:p>
          <w:p w14:paraId="106A1AAF"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p>
          <w:p w14:paraId="518E5D40"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Cost-effective = Yes</w:t>
            </w:r>
          </w:p>
        </w:tc>
        <w:tc>
          <w:tcPr>
            <w:tcW w:w="1134" w:type="dxa"/>
            <w:vMerge w:val="restart"/>
            <w:vAlign w:val="center"/>
          </w:tcPr>
          <w:p w14:paraId="5D9C4A7F"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lastRenderedPageBreak/>
              <w:t>Good</w:t>
            </w:r>
          </w:p>
        </w:tc>
      </w:tr>
      <w:tr w:rsidR="008461EA" w:rsidRPr="00800A49" w14:paraId="2E0AC8C5" w14:textId="77777777" w:rsidTr="00720BDC">
        <w:trPr>
          <w:trHeight w:val="300"/>
        </w:trPr>
        <w:tc>
          <w:tcPr>
            <w:tcW w:w="1128" w:type="dxa"/>
            <w:vMerge/>
            <w:shd w:val="clear" w:color="auto" w:fill="auto"/>
            <w:noWrap/>
          </w:tcPr>
          <w:p w14:paraId="4CC6B9FD"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p>
        </w:tc>
        <w:tc>
          <w:tcPr>
            <w:tcW w:w="283" w:type="dxa"/>
            <w:vAlign w:val="center"/>
          </w:tcPr>
          <w:p w14:paraId="7ED9F274"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C</w:t>
            </w:r>
          </w:p>
        </w:tc>
        <w:tc>
          <w:tcPr>
            <w:tcW w:w="709" w:type="dxa"/>
            <w:vAlign w:val="center"/>
          </w:tcPr>
          <w:p w14:paraId="0A373A4A"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Ind.</w:t>
            </w:r>
          </w:p>
        </w:tc>
        <w:tc>
          <w:tcPr>
            <w:tcW w:w="2409" w:type="dxa"/>
            <w:shd w:val="clear" w:color="auto" w:fill="auto"/>
            <w:noWrap/>
            <w:vAlign w:val="center"/>
          </w:tcPr>
          <w:p w14:paraId="03C3DCF6"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Fissure sealant</w:t>
            </w:r>
          </w:p>
        </w:tc>
        <w:tc>
          <w:tcPr>
            <w:tcW w:w="1105" w:type="dxa"/>
            <w:vMerge/>
            <w:vAlign w:val="center"/>
          </w:tcPr>
          <w:p w14:paraId="0C008610"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851" w:type="dxa"/>
            <w:vMerge/>
            <w:vAlign w:val="center"/>
          </w:tcPr>
          <w:p w14:paraId="0B23CC3D"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851" w:type="dxa"/>
            <w:vMerge/>
            <w:shd w:val="clear" w:color="auto" w:fill="auto"/>
            <w:noWrap/>
            <w:vAlign w:val="center"/>
          </w:tcPr>
          <w:p w14:paraId="775EEB04"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1190" w:type="dxa"/>
            <w:vAlign w:val="center"/>
          </w:tcPr>
          <w:p w14:paraId="0F6AF4C3"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417</w:t>
            </w:r>
          </w:p>
        </w:tc>
        <w:tc>
          <w:tcPr>
            <w:tcW w:w="2760" w:type="dxa"/>
            <w:vMerge/>
            <w:shd w:val="clear" w:color="auto" w:fill="auto"/>
            <w:noWrap/>
          </w:tcPr>
          <w:p w14:paraId="153C9D82"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p>
        </w:tc>
        <w:tc>
          <w:tcPr>
            <w:tcW w:w="1190" w:type="dxa"/>
            <w:gridSpan w:val="2"/>
            <w:vMerge/>
            <w:shd w:val="clear" w:color="auto" w:fill="auto"/>
            <w:noWrap/>
            <w:vAlign w:val="center"/>
          </w:tcPr>
          <w:p w14:paraId="51732E56"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1978" w:type="dxa"/>
            <w:vMerge/>
            <w:shd w:val="clear" w:color="auto" w:fill="auto"/>
            <w:noWrap/>
          </w:tcPr>
          <w:p w14:paraId="4AC5763A"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p>
        </w:tc>
        <w:tc>
          <w:tcPr>
            <w:tcW w:w="1134" w:type="dxa"/>
            <w:vMerge/>
            <w:vAlign w:val="center"/>
          </w:tcPr>
          <w:p w14:paraId="145578DF"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r>
      <w:tr w:rsidR="008461EA" w:rsidRPr="00800A49" w14:paraId="1EBA62BF" w14:textId="77777777" w:rsidTr="00720BDC">
        <w:trPr>
          <w:trHeight w:val="300"/>
        </w:trPr>
        <w:tc>
          <w:tcPr>
            <w:tcW w:w="1128" w:type="dxa"/>
            <w:vMerge w:val="restart"/>
            <w:shd w:val="clear" w:color="auto" w:fill="auto"/>
            <w:noWrap/>
            <w:hideMark/>
          </w:tcPr>
          <w:p w14:paraId="6EC50B86"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Chi et al. 2014</w:t>
            </w:r>
          </w:p>
        </w:tc>
        <w:tc>
          <w:tcPr>
            <w:tcW w:w="283" w:type="dxa"/>
            <w:vMerge w:val="restart"/>
            <w:vAlign w:val="center"/>
          </w:tcPr>
          <w:p w14:paraId="18580B58"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I</w:t>
            </w:r>
          </w:p>
        </w:tc>
        <w:tc>
          <w:tcPr>
            <w:tcW w:w="709" w:type="dxa"/>
            <w:vAlign w:val="center"/>
          </w:tcPr>
          <w:p w14:paraId="04B7E598"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Ind.</w:t>
            </w:r>
          </w:p>
        </w:tc>
        <w:tc>
          <w:tcPr>
            <w:tcW w:w="2409" w:type="dxa"/>
            <w:shd w:val="clear" w:color="auto" w:fill="auto"/>
            <w:noWrap/>
            <w:vAlign w:val="center"/>
            <w:hideMark/>
          </w:tcPr>
          <w:p w14:paraId="1DEFBBA8"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No fissure sealant (NS)</w:t>
            </w:r>
          </w:p>
        </w:tc>
        <w:tc>
          <w:tcPr>
            <w:tcW w:w="1105" w:type="dxa"/>
            <w:vMerge w:val="restart"/>
            <w:vAlign w:val="center"/>
          </w:tcPr>
          <w:p w14:paraId="10FEE1CB"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Healthcare</w:t>
            </w:r>
          </w:p>
        </w:tc>
        <w:tc>
          <w:tcPr>
            <w:tcW w:w="851" w:type="dxa"/>
            <w:vMerge w:val="restart"/>
            <w:vAlign w:val="center"/>
          </w:tcPr>
          <w:p w14:paraId="1D28E058"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8.5 years</w:t>
            </w:r>
          </w:p>
        </w:tc>
        <w:tc>
          <w:tcPr>
            <w:tcW w:w="851" w:type="dxa"/>
            <w:vMerge w:val="restart"/>
            <w:shd w:val="clear" w:color="auto" w:fill="auto"/>
            <w:noWrap/>
            <w:vAlign w:val="center"/>
            <w:hideMark/>
          </w:tcPr>
          <w:p w14:paraId="44336144"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&lt;6</w:t>
            </w:r>
          </w:p>
        </w:tc>
        <w:tc>
          <w:tcPr>
            <w:tcW w:w="1190" w:type="dxa"/>
            <w:vMerge w:val="restart"/>
            <w:vAlign w:val="center"/>
          </w:tcPr>
          <w:p w14:paraId="02274A9E"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1,250</w:t>
            </w:r>
          </w:p>
        </w:tc>
        <w:tc>
          <w:tcPr>
            <w:tcW w:w="2760" w:type="dxa"/>
            <w:vMerge w:val="restart"/>
            <w:shd w:val="clear" w:color="auto" w:fill="auto"/>
            <w:noWrap/>
            <w:hideMark/>
          </w:tcPr>
          <w:p w14:paraId="38664BDE"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Intervention costs (macro-costing)</w:t>
            </w:r>
          </w:p>
          <w:p w14:paraId="47794D88"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br/>
              <w:t>Dental treatment costs (restorations and extractions)</w:t>
            </w:r>
          </w:p>
        </w:tc>
        <w:tc>
          <w:tcPr>
            <w:tcW w:w="634" w:type="dxa"/>
            <w:vMerge w:val="restart"/>
            <w:shd w:val="clear" w:color="auto" w:fill="auto"/>
            <w:noWrap/>
            <w:vAlign w:val="center"/>
            <w:hideMark/>
          </w:tcPr>
          <w:p w14:paraId="13A028A2"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2%</w:t>
            </w:r>
          </w:p>
        </w:tc>
        <w:tc>
          <w:tcPr>
            <w:tcW w:w="556" w:type="dxa"/>
            <w:vMerge w:val="restart"/>
            <w:vAlign w:val="center"/>
          </w:tcPr>
          <w:p w14:paraId="02439A9C"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N/R</w:t>
            </w:r>
          </w:p>
        </w:tc>
        <w:tc>
          <w:tcPr>
            <w:tcW w:w="1978" w:type="dxa"/>
            <w:vMerge w:val="restart"/>
            <w:shd w:val="clear" w:color="auto" w:fill="auto"/>
            <w:noWrap/>
            <w:hideMark/>
          </w:tcPr>
          <w:p w14:paraId="768EF848"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Costs (US$) per restoration averted; costs per extraction averted</w:t>
            </w:r>
            <w:r w:rsidRPr="00800A49">
              <w:rPr>
                <w:rFonts w:ascii="Times New Roman" w:eastAsia="Times New Roman" w:hAnsi="Times New Roman" w:cs="Times New Roman"/>
                <w:color w:val="000000"/>
                <w:sz w:val="18"/>
                <w:szCs w:val="18"/>
                <w:lang w:eastAsia="en-AU"/>
              </w:rPr>
              <w:br/>
              <w:t>1) NS vs SS ICER: 61.18; 610.40</w:t>
            </w:r>
          </w:p>
          <w:p w14:paraId="65D7E967"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2) AS vs SS ICER: 8.60; 50.83</w:t>
            </w:r>
          </w:p>
          <w:p w14:paraId="2721FFF1"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3) NS bs AS ICER: 18.32; 173.43</w:t>
            </w:r>
          </w:p>
          <w:p w14:paraId="5E648D20"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br/>
              <w:t>Cost-effective = N/S</w:t>
            </w:r>
          </w:p>
        </w:tc>
        <w:tc>
          <w:tcPr>
            <w:tcW w:w="1134" w:type="dxa"/>
            <w:vMerge w:val="restart"/>
            <w:vAlign w:val="center"/>
          </w:tcPr>
          <w:p w14:paraId="5286F6E4"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Moderate</w:t>
            </w:r>
          </w:p>
        </w:tc>
      </w:tr>
      <w:tr w:rsidR="008461EA" w:rsidRPr="00800A49" w14:paraId="7AADE1F4" w14:textId="77777777" w:rsidTr="00720BDC">
        <w:trPr>
          <w:trHeight w:val="300"/>
        </w:trPr>
        <w:tc>
          <w:tcPr>
            <w:tcW w:w="1128" w:type="dxa"/>
            <w:vMerge/>
            <w:shd w:val="clear" w:color="auto" w:fill="auto"/>
            <w:noWrap/>
          </w:tcPr>
          <w:p w14:paraId="6F6AEBA9"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p>
        </w:tc>
        <w:tc>
          <w:tcPr>
            <w:tcW w:w="283" w:type="dxa"/>
            <w:vMerge/>
            <w:vAlign w:val="center"/>
          </w:tcPr>
          <w:p w14:paraId="73DFAE06"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709" w:type="dxa"/>
            <w:vAlign w:val="center"/>
          </w:tcPr>
          <w:p w14:paraId="6724114A"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Ind.</w:t>
            </w:r>
          </w:p>
        </w:tc>
        <w:tc>
          <w:tcPr>
            <w:tcW w:w="2409" w:type="dxa"/>
            <w:shd w:val="clear" w:color="auto" w:fill="auto"/>
            <w:noWrap/>
            <w:vAlign w:val="center"/>
          </w:tcPr>
          <w:p w14:paraId="6DB8407C"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All fissure sealant (AS)</w:t>
            </w:r>
          </w:p>
        </w:tc>
        <w:tc>
          <w:tcPr>
            <w:tcW w:w="1105" w:type="dxa"/>
            <w:vMerge/>
            <w:vAlign w:val="center"/>
          </w:tcPr>
          <w:p w14:paraId="508ED7DF"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851" w:type="dxa"/>
            <w:vMerge/>
            <w:vAlign w:val="center"/>
          </w:tcPr>
          <w:p w14:paraId="12FC658C"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851" w:type="dxa"/>
            <w:vMerge/>
            <w:shd w:val="clear" w:color="auto" w:fill="auto"/>
            <w:noWrap/>
            <w:vAlign w:val="center"/>
          </w:tcPr>
          <w:p w14:paraId="77D07609"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1190" w:type="dxa"/>
            <w:vMerge/>
            <w:vAlign w:val="center"/>
          </w:tcPr>
          <w:p w14:paraId="134D30BB"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2760" w:type="dxa"/>
            <w:vMerge/>
            <w:shd w:val="clear" w:color="auto" w:fill="auto"/>
            <w:noWrap/>
          </w:tcPr>
          <w:p w14:paraId="13533A59"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p>
        </w:tc>
        <w:tc>
          <w:tcPr>
            <w:tcW w:w="634" w:type="dxa"/>
            <w:vMerge/>
            <w:shd w:val="clear" w:color="auto" w:fill="auto"/>
            <w:noWrap/>
            <w:vAlign w:val="center"/>
          </w:tcPr>
          <w:p w14:paraId="7AF21596"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556" w:type="dxa"/>
            <w:vMerge/>
            <w:vAlign w:val="center"/>
          </w:tcPr>
          <w:p w14:paraId="3433109B"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1978" w:type="dxa"/>
            <w:vMerge/>
            <w:shd w:val="clear" w:color="auto" w:fill="auto"/>
            <w:noWrap/>
          </w:tcPr>
          <w:p w14:paraId="2610E08E"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p>
        </w:tc>
        <w:tc>
          <w:tcPr>
            <w:tcW w:w="1134" w:type="dxa"/>
            <w:vMerge/>
            <w:vAlign w:val="center"/>
          </w:tcPr>
          <w:p w14:paraId="70835DAE"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r>
      <w:tr w:rsidR="008461EA" w:rsidRPr="00800A49" w14:paraId="5D967FEF" w14:textId="77777777" w:rsidTr="00720BDC">
        <w:trPr>
          <w:trHeight w:val="300"/>
        </w:trPr>
        <w:tc>
          <w:tcPr>
            <w:tcW w:w="1128" w:type="dxa"/>
            <w:vMerge/>
            <w:shd w:val="clear" w:color="auto" w:fill="auto"/>
            <w:noWrap/>
          </w:tcPr>
          <w:p w14:paraId="7BC256AE"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p>
        </w:tc>
        <w:tc>
          <w:tcPr>
            <w:tcW w:w="283" w:type="dxa"/>
            <w:vAlign w:val="center"/>
          </w:tcPr>
          <w:p w14:paraId="698459F4"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C</w:t>
            </w:r>
          </w:p>
        </w:tc>
        <w:tc>
          <w:tcPr>
            <w:tcW w:w="709" w:type="dxa"/>
            <w:vAlign w:val="center"/>
          </w:tcPr>
          <w:p w14:paraId="157BD284"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N/A</w:t>
            </w:r>
          </w:p>
        </w:tc>
        <w:tc>
          <w:tcPr>
            <w:tcW w:w="2409" w:type="dxa"/>
            <w:shd w:val="clear" w:color="auto" w:fill="auto"/>
            <w:noWrap/>
            <w:vAlign w:val="center"/>
          </w:tcPr>
          <w:p w14:paraId="4A47C282"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Standard care fissure sealant (SS)</w:t>
            </w:r>
          </w:p>
        </w:tc>
        <w:tc>
          <w:tcPr>
            <w:tcW w:w="1105" w:type="dxa"/>
            <w:vMerge/>
            <w:vAlign w:val="center"/>
          </w:tcPr>
          <w:p w14:paraId="3DFDC3AD"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851" w:type="dxa"/>
            <w:vMerge/>
            <w:vAlign w:val="center"/>
          </w:tcPr>
          <w:p w14:paraId="4B48A481"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851" w:type="dxa"/>
            <w:vMerge/>
            <w:shd w:val="clear" w:color="auto" w:fill="auto"/>
            <w:noWrap/>
            <w:vAlign w:val="center"/>
          </w:tcPr>
          <w:p w14:paraId="3CDBCED7"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1190" w:type="dxa"/>
            <w:vMerge/>
            <w:vAlign w:val="center"/>
          </w:tcPr>
          <w:p w14:paraId="579AF01C"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2760" w:type="dxa"/>
            <w:vMerge/>
            <w:shd w:val="clear" w:color="auto" w:fill="auto"/>
            <w:noWrap/>
          </w:tcPr>
          <w:p w14:paraId="6DFA527D"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p>
        </w:tc>
        <w:tc>
          <w:tcPr>
            <w:tcW w:w="634" w:type="dxa"/>
            <w:vMerge/>
            <w:shd w:val="clear" w:color="auto" w:fill="auto"/>
            <w:noWrap/>
            <w:vAlign w:val="center"/>
          </w:tcPr>
          <w:p w14:paraId="373B69F7"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556" w:type="dxa"/>
            <w:vMerge/>
            <w:vAlign w:val="center"/>
          </w:tcPr>
          <w:p w14:paraId="7D5CF993"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1978" w:type="dxa"/>
            <w:vMerge/>
            <w:shd w:val="clear" w:color="auto" w:fill="auto"/>
            <w:noWrap/>
          </w:tcPr>
          <w:p w14:paraId="72DF7C3A"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p>
        </w:tc>
        <w:tc>
          <w:tcPr>
            <w:tcW w:w="1134" w:type="dxa"/>
            <w:vMerge/>
            <w:vAlign w:val="center"/>
          </w:tcPr>
          <w:p w14:paraId="02ADB8C8"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r>
      <w:tr w:rsidR="008461EA" w:rsidRPr="00800A49" w14:paraId="586F915C" w14:textId="77777777" w:rsidTr="00720BDC">
        <w:trPr>
          <w:trHeight w:val="608"/>
        </w:trPr>
        <w:tc>
          <w:tcPr>
            <w:tcW w:w="1128" w:type="dxa"/>
            <w:vMerge w:val="restart"/>
            <w:shd w:val="clear" w:color="auto" w:fill="auto"/>
            <w:noWrap/>
            <w:hideMark/>
          </w:tcPr>
          <w:p w14:paraId="71B6E544"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proofErr w:type="spellStart"/>
            <w:r w:rsidRPr="00800A49">
              <w:rPr>
                <w:rFonts w:ascii="Times New Roman" w:eastAsia="Times New Roman" w:hAnsi="Times New Roman" w:cs="Times New Roman"/>
                <w:color w:val="000000"/>
                <w:sz w:val="18"/>
                <w:szCs w:val="18"/>
                <w:lang w:eastAsia="en-AU"/>
              </w:rPr>
              <w:t>Ciketic</w:t>
            </w:r>
            <w:proofErr w:type="spellEnd"/>
            <w:r w:rsidRPr="00800A49">
              <w:rPr>
                <w:rFonts w:ascii="Times New Roman" w:eastAsia="Times New Roman" w:hAnsi="Times New Roman" w:cs="Times New Roman"/>
                <w:color w:val="000000"/>
                <w:sz w:val="18"/>
                <w:szCs w:val="18"/>
                <w:lang w:eastAsia="en-AU"/>
              </w:rPr>
              <w:t xml:space="preserve"> et al., 2010</w:t>
            </w:r>
          </w:p>
        </w:tc>
        <w:tc>
          <w:tcPr>
            <w:tcW w:w="283" w:type="dxa"/>
            <w:vAlign w:val="center"/>
          </w:tcPr>
          <w:p w14:paraId="108652B3"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I</w:t>
            </w:r>
          </w:p>
        </w:tc>
        <w:tc>
          <w:tcPr>
            <w:tcW w:w="709" w:type="dxa"/>
            <w:vAlign w:val="center"/>
          </w:tcPr>
          <w:p w14:paraId="0C1F4D36"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Uni.</w:t>
            </w:r>
          </w:p>
        </w:tc>
        <w:tc>
          <w:tcPr>
            <w:tcW w:w="2409" w:type="dxa"/>
            <w:shd w:val="clear" w:color="auto" w:fill="auto"/>
            <w:noWrap/>
            <w:vAlign w:val="center"/>
            <w:hideMark/>
          </w:tcPr>
          <w:p w14:paraId="27E1BC3A"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Water fluoridation</w:t>
            </w:r>
          </w:p>
        </w:tc>
        <w:tc>
          <w:tcPr>
            <w:tcW w:w="1105" w:type="dxa"/>
            <w:vMerge w:val="restart"/>
            <w:vAlign w:val="center"/>
          </w:tcPr>
          <w:p w14:paraId="19FECBF9"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Societal</w:t>
            </w:r>
          </w:p>
        </w:tc>
        <w:tc>
          <w:tcPr>
            <w:tcW w:w="851" w:type="dxa"/>
            <w:vMerge w:val="restart"/>
            <w:vAlign w:val="center"/>
          </w:tcPr>
          <w:p w14:paraId="5EE3CD32"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Lifetime</w:t>
            </w:r>
          </w:p>
        </w:tc>
        <w:tc>
          <w:tcPr>
            <w:tcW w:w="851" w:type="dxa"/>
            <w:vMerge w:val="restart"/>
            <w:shd w:val="clear" w:color="auto" w:fill="auto"/>
            <w:noWrap/>
            <w:vAlign w:val="center"/>
            <w:hideMark/>
          </w:tcPr>
          <w:p w14:paraId="6443EAC7"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&lt;15</w:t>
            </w:r>
          </w:p>
        </w:tc>
        <w:tc>
          <w:tcPr>
            <w:tcW w:w="1190" w:type="dxa"/>
            <w:vMerge w:val="restart"/>
            <w:vAlign w:val="center"/>
          </w:tcPr>
          <w:p w14:paraId="1C92B88D"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N/R</w:t>
            </w:r>
          </w:p>
        </w:tc>
        <w:tc>
          <w:tcPr>
            <w:tcW w:w="2760" w:type="dxa"/>
            <w:vMerge w:val="restart"/>
            <w:shd w:val="clear" w:color="auto" w:fill="auto"/>
            <w:noWrap/>
            <w:hideMark/>
          </w:tcPr>
          <w:p w14:paraId="43BEAE0C"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Intervention costs (micro-costing for capital costs and maintenance costs)</w:t>
            </w:r>
          </w:p>
          <w:p w14:paraId="0527DE60"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br/>
              <w:t>Dental treatment costs (check-up and restorations)</w:t>
            </w:r>
          </w:p>
        </w:tc>
        <w:tc>
          <w:tcPr>
            <w:tcW w:w="1190" w:type="dxa"/>
            <w:gridSpan w:val="2"/>
            <w:vMerge w:val="restart"/>
            <w:shd w:val="clear" w:color="auto" w:fill="auto"/>
            <w:noWrap/>
            <w:vAlign w:val="center"/>
            <w:hideMark/>
          </w:tcPr>
          <w:p w14:paraId="658ABE72"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3%</w:t>
            </w:r>
          </w:p>
          <w:p w14:paraId="16B916C0"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1978" w:type="dxa"/>
            <w:vMerge w:val="restart"/>
            <w:shd w:val="clear" w:color="auto" w:fill="auto"/>
            <w:noWrap/>
            <w:hideMark/>
          </w:tcPr>
          <w:p w14:paraId="55AA767A"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 xml:space="preserve">Costs (AU$) per DALY averted </w:t>
            </w:r>
            <w:r w:rsidRPr="00800A49">
              <w:rPr>
                <w:rFonts w:ascii="Times New Roman" w:eastAsia="Times New Roman" w:hAnsi="Times New Roman" w:cs="Times New Roman"/>
                <w:color w:val="000000"/>
                <w:sz w:val="18"/>
                <w:szCs w:val="18"/>
                <w:lang w:eastAsia="en-AU"/>
              </w:rPr>
              <w:br/>
              <w:t>ICER: -64,127 (dominant)</w:t>
            </w:r>
          </w:p>
          <w:p w14:paraId="078FFF0A"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p>
          <w:p w14:paraId="3A37D882"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Cost-effective = Yes</w:t>
            </w:r>
          </w:p>
        </w:tc>
        <w:tc>
          <w:tcPr>
            <w:tcW w:w="1134" w:type="dxa"/>
            <w:vMerge w:val="restart"/>
            <w:vAlign w:val="center"/>
          </w:tcPr>
          <w:p w14:paraId="0B79BDB5"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Good</w:t>
            </w:r>
          </w:p>
        </w:tc>
      </w:tr>
      <w:tr w:rsidR="008461EA" w:rsidRPr="00800A49" w14:paraId="2832EAAE" w14:textId="77777777" w:rsidTr="00720BDC">
        <w:trPr>
          <w:trHeight w:val="300"/>
        </w:trPr>
        <w:tc>
          <w:tcPr>
            <w:tcW w:w="1128" w:type="dxa"/>
            <w:vMerge/>
            <w:shd w:val="clear" w:color="auto" w:fill="auto"/>
            <w:noWrap/>
          </w:tcPr>
          <w:p w14:paraId="4B2850A3"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p>
        </w:tc>
        <w:tc>
          <w:tcPr>
            <w:tcW w:w="283" w:type="dxa"/>
            <w:vAlign w:val="center"/>
          </w:tcPr>
          <w:p w14:paraId="64AA4B5D"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C</w:t>
            </w:r>
          </w:p>
        </w:tc>
        <w:tc>
          <w:tcPr>
            <w:tcW w:w="709" w:type="dxa"/>
            <w:vAlign w:val="center"/>
          </w:tcPr>
          <w:p w14:paraId="741A19EE"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N/A</w:t>
            </w:r>
          </w:p>
        </w:tc>
        <w:tc>
          <w:tcPr>
            <w:tcW w:w="2409" w:type="dxa"/>
            <w:shd w:val="clear" w:color="auto" w:fill="auto"/>
            <w:noWrap/>
            <w:vAlign w:val="center"/>
          </w:tcPr>
          <w:p w14:paraId="2861B5ED"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No intervention</w:t>
            </w:r>
          </w:p>
        </w:tc>
        <w:tc>
          <w:tcPr>
            <w:tcW w:w="1105" w:type="dxa"/>
            <w:vMerge/>
            <w:vAlign w:val="center"/>
          </w:tcPr>
          <w:p w14:paraId="478CFF51"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851" w:type="dxa"/>
            <w:vMerge/>
            <w:vAlign w:val="center"/>
          </w:tcPr>
          <w:p w14:paraId="072BA570"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851" w:type="dxa"/>
            <w:vMerge/>
            <w:shd w:val="clear" w:color="auto" w:fill="auto"/>
            <w:noWrap/>
            <w:vAlign w:val="center"/>
          </w:tcPr>
          <w:p w14:paraId="30767974"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1190" w:type="dxa"/>
            <w:vMerge/>
            <w:vAlign w:val="center"/>
          </w:tcPr>
          <w:p w14:paraId="4C1E20B8"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2760" w:type="dxa"/>
            <w:vMerge/>
            <w:shd w:val="clear" w:color="auto" w:fill="auto"/>
            <w:noWrap/>
          </w:tcPr>
          <w:p w14:paraId="3ADA1AEB"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p>
        </w:tc>
        <w:tc>
          <w:tcPr>
            <w:tcW w:w="1190" w:type="dxa"/>
            <w:gridSpan w:val="2"/>
            <w:vMerge/>
            <w:shd w:val="clear" w:color="auto" w:fill="auto"/>
            <w:noWrap/>
            <w:vAlign w:val="center"/>
          </w:tcPr>
          <w:p w14:paraId="5C478EAC"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1978" w:type="dxa"/>
            <w:vMerge/>
            <w:shd w:val="clear" w:color="auto" w:fill="auto"/>
            <w:noWrap/>
          </w:tcPr>
          <w:p w14:paraId="40394C81"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p>
        </w:tc>
        <w:tc>
          <w:tcPr>
            <w:tcW w:w="1134" w:type="dxa"/>
            <w:vMerge/>
            <w:vAlign w:val="center"/>
          </w:tcPr>
          <w:p w14:paraId="7138B98B"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r>
      <w:tr w:rsidR="008461EA" w:rsidRPr="00800A49" w14:paraId="24FDBB8F" w14:textId="77777777" w:rsidTr="00720BDC">
        <w:trPr>
          <w:trHeight w:val="1483"/>
        </w:trPr>
        <w:tc>
          <w:tcPr>
            <w:tcW w:w="1128" w:type="dxa"/>
            <w:vMerge w:val="restart"/>
            <w:shd w:val="clear" w:color="auto" w:fill="auto"/>
            <w:noWrap/>
            <w:hideMark/>
          </w:tcPr>
          <w:p w14:paraId="4461DF51"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Clarkson et al., 2020</w:t>
            </w:r>
          </w:p>
        </w:tc>
        <w:tc>
          <w:tcPr>
            <w:tcW w:w="283" w:type="dxa"/>
            <w:vMerge w:val="restart"/>
            <w:vAlign w:val="center"/>
          </w:tcPr>
          <w:p w14:paraId="79C0F28D"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I</w:t>
            </w:r>
          </w:p>
        </w:tc>
        <w:tc>
          <w:tcPr>
            <w:tcW w:w="709" w:type="dxa"/>
            <w:vAlign w:val="center"/>
          </w:tcPr>
          <w:p w14:paraId="7A25FA0A"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Ind.</w:t>
            </w:r>
          </w:p>
        </w:tc>
        <w:tc>
          <w:tcPr>
            <w:tcW w:w="2409" w:type="dxa"/>
            <w:shd w:val="clear" w:color="auto" w:fill="auto"/>
            <w:noWrap/>
            <w:vAlign w:val="center"/>
            <w:hideMark/>
          </w:tcPr>
          <w:p w14:paraId="1DF6445A"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 xml:space="preserve">Risk-based check-up </w:t>
            </w:r>
            <w:r w:rsidRPr="00800A49">
              <w:rPr>
                <w:rFonts w:ascii="Times New Roman" w:eastAsia="Times New Roman" w:hAnsi="Times New Roman" w:cs="Times New Roman"/>
                <w:color w:val="000000"/>
                <w:sz w:val="18"/>
                <w:szCs w:val="18"/>
                <w:lang w:eastAsia="en-AU"/>
              </w:rPr>
              <w:br/>
              <w:t>(3 to 24-monthly)</w:t>
            </w:r>
            <w:r w:rsidRPr="00800A49">
              <w:rPr>
                <w:rFonts w:ascii="Times New Roman" w:eastAsia="Times New Roman" w:hAnsi="Times New Roman" w:cs="Times New Roman"/>
                <w:color w:val="000000"/>
                <w:sz w:val="18"/>
                <w:szCs w:val="18"/>
                <w:lang w:eastAsia="en-AU"/>
              </w:rPr>
              <w:br/>
            </w:r>
          </w:p>
        </w:tc>
        <w:tc>
          <w:tcPr>
            <w:tcW w:w="1105" w:type="dxa"/>
            <w:vMerge w:val="restart"/>
            <w:vAlign w:val="center"/>
          </w:tcPr>
          <w:p w14:paraId="0BA8E7C5"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Healthcare</w:t>
            </w:r>
          </w:p>
          <w:p w14:paraId="69D03772"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and</w:t>
            </w:r>
          </w:p>
          <w:p w14:paraId="73EC0A2B"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Societal</w:t>
            </w:r>
          </w:p>
        </w:tc>
        <w:tc>
          <w:tcPr>
            <w:tcW w:w="851" w:type="dxa"/>
            <w:vMerge w:val="restart"/>
            <w:vAlign w:val="center"/>
          </w:tcPr>
          <w:p w14:paraId="414F1A31"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4 years</w:t>
            </w:r>
          </w:p>
        </w:tc>
        <w:tc>
          <w:tcPr>
            <w:tcW w:w="851" w:type="dxa"/>
            <w:vMerge w:val="restart"/>
            <w:shd w:val="clear" w:color="auto" w:fill="auto"/>
            <w:noWrap/>
            <w:vAlign w:val="center"/>
            <w:hideMark/>
          </w:tcPr>
          <w:p w14:paraId="12ACAC56"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Adults</w:t>
            </w:r>
          </w:p>
        </w:tc>
        <w:tc>
          <w:tcPr>
            <w:tcW w:w="1190" w:type="dxa"/>
            <w:vAlign w:val="center"/>
          </w:tcPr>
          <w:p w14:paraId="055C0D41"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143</w:t>
            </w:r>
          </w:p>
          <w:p w14:paraId="377517F5"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mean age</w:t>
            </w:r>
          </w:p>
          <w:p w14:paraId="2224E554"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43.3 years</w:t>
            </w:r>
          </w:p>
          <w:p w14:paraId="7C7E7A63"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2760" w:type="dxa"/>
            <w:vMerge w:val="restart"/>
            <w:shd w:val="clear" w:color="auto" w:fill="auto"/>
            <w:noWrap/>
            <w:hideMark/>
          </w:tcPr>
          <w:p w14:paraId="1B2A34FC"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Intervention costs are (macro-costing)</w:t>
            </w:r>
          </w:p>
          <w:p w14:paraId="3D3F5554"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p>
          <w:p w14:paraId="41B950AE"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Dental treatment costs (check-ups, periodontal services, restorations, restorations and extractions)</w:t>
            </w:r>
          </w:p>
          <w:p w14:paraId="7D5902E4"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br/>
              <w:t>Health care costs (hospital, medical)</w:t>
            </w:r>
          </w:p>
          <w:p w14:paraId="5AD0E34E"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br/>
              <w:t>Indirect costs (patient co-payments, medications, opportunity costs lost, travel costs, oral hygiene products)</w:t>
            </w:r>
          </w:p>
        </w:tc>
        <w:tc>
          <w:tcPr>
            <w:tcW w:w="1190" w:type="dxa"/>
            <w:gridSpan w:val="2"/>
            <w:vMerge w:val="restart"/>
            <w:shd w:val="clear" w:color="auto" w:fill="auto"/>
            <w:noWrap/>
            <w:vAlign w:val="center"/>
            <w:hideMark/>
          </w:tcPr>
          <w:p w14:paraId="1AAD188E"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4%</w:t>
            </w:r>
          </w:p>
          <w:p w14:paraId="7D93C4AB"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1978" w:type="dxa"/>
            <w:vMerge w:val="restart"/>
            <w:shd w:val="clear" w:color="auto" w:fill="auto"/>
            <w:noWrap/>
            <w:hideMark/>
          </w:tcPr>
          <w:p w14:paraId="28ECC018"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Societal perspective</w:t>
            </w:r>
          </w:p>
          <w:p w14:paraId="1D9228D2"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Net benefit:</w:t>
            </w:r>
          </w:p>
          <w:p w14:paraId="0B34BA70"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1) 24-month vs risk-based:</w:t>
            </w:r>
          </w:p>
          <w:p w14:paraId="00E10C5E"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-£96.40</w:t>
            </w:r>
          </w:p>
          <w:p w14:paraId="54A43608"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2) 24-month vs 6-month</w:t>
            </w:r>
          </w:p>
          <w:p w14:paraId="3AB9C07A"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Net benefit: -£191.95</w:t>
            </w:r>
          </w:p>
          <w:p w14:paraId="0319D906"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3) Risk-based check-up vs 6-month check-up</w:t>
            </w:r>
          </w:p>
          <w:p w14:paraId="11A76059"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Net benefit: -£95.55</w:t>
            </w:r>
          </w:p>
          <w:p w14:paraId="5D27ED68"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p>
          <w:p w14:paraId="5FCB8CAA"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Costs (£) per QALY gained</w:t>
            </w:r>
          </w:p>
          <w:p w14:paraId="1EE04674"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1) 24-month vs risk-based:</w:t>
            </w:r>
          </w:p>
          <w:p w14:paraId="1CFB8AD0"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ICER: N/R (dominant)</w:t>
            </w:r>
            <w:r w:rsidRPr="00800A49">
              <w:rPr>
                <w:rFonts w:ascii="Times New Roman" w:eastAsia="Times New Roman" w:hAnsi="Times New Roman" w:cs="Times New Roman"/>
                <w:color w:val="000000"/>
                <w:sz w:val="18"/>
                <w:szCs w:val="18"/>
                <w:lang w:eastAsia="en-AU"/>
              </w:rPr>
              <w:br/>
              <w:t>2) 24-month vs 6-month</w:t>
            </w:r>
            <w:r w:rsidRPr="00800A49">
              <w:rPr>
                <w:rFonts w:ascii="Times New Roman" w:eastAsia="Times New Roman" w:hAnsi="Times New Roman" w:cs="Times New Roman"/>
                <w:color w:val="000000"/>
                <w:sz w:val="18"/>
                <w:szCs w:val="18"/>
                <w:lang w:eastAsia="en-AU"/>
              </w:rPr>
              <w:br/>
            </w:r>
            <w:r w:rsidRPr="00800A49">
              <w:rPr>
                <w:rFonts w:ascii="Times New Roman" w:eastAsia="Times New Roman" w:hAnsi="Times New Roman" w:cs="Times New Roman"/>
                <w:color w:val="000000"/>
                <w:sz w:val="18"/>
                <w:szCs w:val="18"/>
                <w:lang w:eastAsia="en-AU"/>
              </w:rPr>
              <w:lastRenderedPageBreak/>
              <w:t>ICER: £301.88</w:t>
            </w:r>
            <w:r w:rsidRPr="00800A49">
              <w:rPr>
                <w:rFonts w:ascii="Times New Roman" w:eastAsia="Times New Roman" w:hAnsi="Times New Roman" w:cs="Times New Roman"/>
                <w:color w:val="000000"/>
                <w:sz w:val="18"/>
                <w:szCs w:val="18"/>
                <w:lang w:eastAsia="en-AU"/>
              </w:rPr>
              <w:br/>
              <w:t>3) Risk-based check-up vs 6-month check-up</w:t>
            </w:r>
            <w:r w:rsidRPr="00800A49">
              <w:rPr>
                <w:rFonts w:ascii="Times New Roman" w:eastAsia="Times New Roman" w:hAnsi="Times New Roman" w:cs="Times New Roman"/>
                <w:color w:val="000000"/>
                <w:sz w:val="18"/>
                <w:szCs w:val="18"/>
                <w:lang w:eastAsia="en-AU"/>
              </w:rPr>
              <w:br/>
              <w:t>ICER: £46.45</w:t>
            </w:r>
            <w:r w:rsidRPr="00800A49">
              <w:rPr>
                <w:rFonts w:ascii="Times New Roman" w:eastAsia="Times New Roman" w:hAnsi="Times New Roman" w:cs="Times New Roman"/>
                <w:color w:val="000000"/>
                <w:sz w:val="18"/>
                <w:szCs w:val="18"/>
                <w:lang w:eastAsia="en-AU"/>
              </w:rPr>
              <w:br/>
            </w:r>
          </w:p>
          <w:p w14:paraId="790909A7"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Healthcare perspective ICER reported in Table 25 of the manuscript.</w:t>
            </w:r>
          </w:p>
          <w:p w14:paraId="6AC43F6E"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p>
          <w:p w14:paraId="05C2513B"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Cost-effective = Yes.</w:t>
            </w:r>
          </w:p>
          <w:p w14:paraId="0AB2F810"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WTP of £20,000 per</w:t>
            </w:r>
          </w:p>
          <w:p w14:paraId="0EE33710"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QALY gained</w:t>
            </w:r>
          </w:p>
        </w:tc>
        <w:tc>
          <w:tcPr>
            <w:tcW w:w="1134" w:type="dxa"/>
            <w:vMerge w:val="restart"/>
            <w:vAlign w:val="center"/>
          </w:tcPr>
          <w:p w14:paraId="3DC40B99"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lastRenderedPageBreak/>
              <w:t>Good</w:t>
            </w:r>
          </w:p>
        </w:tc>
      </w:tr>
      <w:tr w:rsidR="008461EA" w:rsidRPr="00800A49" w14:paraId="4A8BB6B6" w14:textId="77777777" w:rsidTr="00720BDC">
        <w:trPr>
          <w:trHeight w:val="1700"/>
        </w:trPr>
        <w:tc>
          <w:tcPr>
            <w:tcW w:w="1128" w:type="dxa"/>
            <w:vMerge/>
            <w:shd w:val="clear" w:color="auto" w:fill="auto"/>
            <w:noWrap/>
          </w:tcPr>
          <w:p w14:paraId="351121A9"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p>
        </w:tc>
        <w:tc>
          <w:tcPr>
            <w:tcW w:w="283" w:type="dxa"/>
            <w:vMerge/>
            <w:vAlign w:val="center"/>
          </w:tcPr>
          <w:p w14:paraId="6D451986"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709" w:type="dxa"/>
            <w:vAlign w:val="center"/>
          </w:tcPr>
          <w:p w14:paraId="0EF10E50"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Ind.</w:t>
            </w:r>
          </w:p>
        </w:tc>
        <w:tc>
          <w:tcPr>
            <w:tcW w:w="2409" w:type="dxa"/>
            <w:shd w:val="clear" w:color="auto" w:fill="auto"/>
            <w:noWrap/>
            <w:vAlign w:val="center"/>
          </w:tcPr>
          <w:p w14:paraId="50BEC471"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24-monthly check-up</w:t>
            </w:r>
          </w:p>
        </w:tc>
        <w:tc>
          <w:tcPr>
            <w:tcW w:w="1105" w:type="dxa"/>
            <w:vMerge/>
            <w:vAlign w:val="center"/>
          </w:tcPr>
          <w:p w14:paraId="4182F16D"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851" w:type="dxa"/>
            <w:vMerge/>
            <w:vAlign w:val="center"/>
          </w:tcPr>
          <w:p w14:paraId="5774BC49"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851" w:type="dxa"/>
            <w:vMerge/>
            <w:shd w:val="clear" w:color="auto" w:fill="auto"/>
            <w:noWrap/>
            <w:vAlign w:val="center"/>
          </w:tcPr>
          <w:p w14:paraId="3468269E"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1190" w:type="dxa"/>
            <w:vAlign w:val="center"/>
          </w:tcPr>
          <w:p w14:paraId="1A9E5D08"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137</w:t>
            </w:r>
          </w:p>
          <w:p w14:paraId="4863C962"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mean age</w:t>
            </w:r>
          </w:p>
          <w:p w14:paraId="37318766"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44.2 years</w:t>
            </w:r>
          </w:p>
        </w:tc>
        <w:tc>
          <w:tcPr>
            <w:tcW w:w="2760" w:type="dxa"/>
            <w:vMerge/>
            <w:shd w:val="clear" w:color="auto" w:fill="auto"/>
            <w:noWrap/>
          </w:tcPr>
          <w:p w14:paraId="022422E2"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p>
        </w:tc>
        <w:tc>
          <w:tcPr>
            <w:tcW w:w="1190" w:type="dxa"/>
            <w:gridSpan w:val="2"/>
            <w:vMerge/>
            <w:shd w:val="clear" w:color="auto" w:fill="auto"/>
            <w:noWrap/>
            <w:vAlign w:val="center"/>
          </w:tcPr>
          <w:p w14:paraId="3F5AEEE0"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1978" w:type="dxa"/>
            <w:vMerge/>
            <w:shd w:val="clear" w:color="auto" w:fill="auto"/>
            <w:noWrap/>
          </w:tcPr>
          <w:p w14:paraId="1E8AD8C0"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p>
        </w:tc>
        <w:tc>
          <w:tcPr>
            <w:tcW w:w="1134" w:type="dxa"/>
            <w:vMerge/>
            <w:vAlign w:val="center"/>
          </w:tcPr>
          <w:p w14:paraId="4FAA1245"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r>
      <w:tr w:rsidR="008461EA" w:rsidRPr="00800A49" w14:paraId="10E9505C" w14:textId="77777777" w:rsidTr="00720BDC">
        <w:trPr>
          <w:trHeight w:val="300"/>
        </w:trPr>
        <w:tc>
          <w:tcPr>
            <w:tcW w:w="1128" w:type="dxa"/>
            <w:vMerge/>
            <w:shd w:val="clear" w:color="auto" w:fill="auto"/>
            <w:noWrap/>
          </w:tcPr>
          <w:p w14:paraId="6CED2F31"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p>
        </w:tc>
        <w:tc>
          <w:tcPr>
            <w:tcW w:w="283" w:type="dxa"/>
            <w:vAlign w:val="center"/>
          </w:tcPr>
          <w:p w14:paraId="62386B27"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C</w:t>
            </w:r>
          </w:p>
        </w:tc>
        <w:tc>
          <w:tcPr>
            <w:tcW w:w="709" w:type="dxa"/>
            <w:vAlign w:val="center"/>
          </w:tcPr>
          <w:p w14:paraId="297396DA"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Ind.</w:t>
            </w:r>
          </w:p>
        </w:tc>
        <w:tc>
          <w:tcPr>
            <w:tcW w:w="2409" w:type="dxa"/>
            <w:shd w:val="clear" w:color="auto" w:fill="auto"/>
            <w:noWrap/>
            <w:vAlign w:val="center"/>
          </w:tcPr>
          <w:p w14:paraId="526F014F"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6-monthly check-up</w:t>
            </w:r>
          </w:p>
        </w:tc>
        <w:tc>
          <w:tcPr>
            <w:tcW w:w="1105" w:type="dxa"/>
            <w:vMerge/>
            <w:vAlign w:val="center"/>
          </w:tcPr>
          <w:p w14:paraId="079224EB"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851" w:type="dxa"/>
            <w:vMerge/>
            <w:vAlign w:val="center"/>
          </w:tcPr>
          <w:p w14:paraId="0C9F1075"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851" w:type="dxa"/>
            <w:vMerge/>
            <w:shd w:val="clear" w:color="auto" w:fill="auto"/>
            <w:noWrap/>
            <w:vAlign w:val="center"/>
          </w:tcPr>
          <w:p w14:paraId="4D471E1D"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1190" w:type="dxa"/>
            <w:vAlign w:val="center"/>
          </w:tcPr>
          <w:p w14:paraId="3C5B0E8F"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135</w:t>
            </w:r>
          </w:p>
          <w:p w14:paraId="0C4A5D7E"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lastRenderedPageBreak/>
              <w:t>mean age</w:t>
            </w:r>
          </w:p>
          <w:p w14:paraId="1BF16093"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43.5 years</w:t>
            </w:r>
          </w:p>
        </w:tc>
        <w:tc>
          <w:tcPr>
            <w:tcW w:w="2760" w:type="dxa"/>
            <w:vMerge/>
            <w:shd w:val="clear" w:color="auto" w:fill="auto"/>
            <w:noWrap/>
          </w:tcPr>
          <w:p w14:paraId="1612AAEA"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p>
        </w:tc>
        <w:tc>
          <w:tcPr>
            <w:tcW w:w="1190" w:type="dxa"/>
            <w:gridSpan w:val="2"/>
            <w:vMerge/>
            <w:shd w:val="clear" w:color="auto" w:fill="auto"/>
            <w:noWrap/>
            <w:vAlign w:val="center"/>
          </w:tcPr>
          <w:p w14:paraId="65339FBC"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1978" w:type="dxa"/>
            <w:vMerge/>
            <w:shd w:val="clear" w:color="auto" w:fill="auto"/>
            <w:noWrap/>
          </w:tcPr>
          <w:p w14:paraId="0883C924"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p>
        </w:tc>
        <w:tc>
          <w:tcPr>
            <w:tcW w:w="1134" w:type="dxa"/>
            <w:vMerge/>
            <w:vAlign w:val="center"/>
          </w:tcPr>
          <w:p w14:paraId="42C81563"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r>
      <w:tr w:rsidR="008461EA" w:rsidRPr="00800A49" w14:paraId="60AFC1F0" w14:textId="77777777" w:rsidTr="00720BDC">
        <w:trPr>
          <w:trHeight w:val="714"/>
        </w:trPr>
        <w:tc>
          <w:tcPr>
            <w:tcW w:w="1128" w:type="dxa"/>
            <w:vMerge w:val="restart"/>
            <w:shd w:val="clear" w:color="auto" w:fill="auto"/>
            <w:noWrap/>
            <w:hideMark/>
          </w:tcPr>
          <w:p w14:paraId="61BC8148"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proofErr w:type="spellStart"/>
            <w:r w:rsidRPr="00800A49">
              <w:rPr>
                <w:rFonts w:ascii="Times New Roman" w:eastAsia="Times New Roman" w:hAnsi="Times New Roman" w:cs="Times New Roman"/>
                <w:color w:val="000000"/>
                <w:sz w:val="18"/>
                <w:szCs w:val="18"/>
                <w:lang w:eastAsia="en-AU"/>
              </w:rPr>
              <w:t>Cobiac</w:t>
            </w:r>
            <w:proofErr w:type="spellEnd"/>
            <w:r w:rsidRPr="00800A49">
              <w:rPr>
                <w:rFonts w:ascii="Times New Roman" w:eastAsia="Times New Roman" w:hAnsi="Times New Roman" w:cs="Times New Roman"/>
                <w:color w:val="000000"/>
                <w:sz w:val="18"/>
                <w:szCs w:val="18"/>
                <w:lang w:eastAsia="en-AU"/>
              </w:rPr>
              <w:t xml:space="preserve"> and Vos, 2012</w:t>
            </w:r>
          </w:p>
        </w:tc>
        <w:tc>
          <w:tcPr>
            <w:tcW w:w="283" w:type="dxa"/>
            <w:vAlign w:val="center"/>
          </w:tcPr>
          <w:p w14:paraId="17B89946"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I</w:t>
            </w:r>
          </w:p>
        </w:tc>
        <w:tc>
          <w:tcPr>
            <w:tcW w:w="709" w:type="dxa"/>
            <w:vAlign w:val="center"/>
          </w:tcPr>
          <w:p w14:paraId="1FDCDE69"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Uni.</w:t>
            </w:r>
          </w:p>
        </w:tc>
        <w:tc>
          <w:tcPr>
            <w:tcW w:w="2409" w:type="dxa"/>
            <w:shd w:val="clear" w:color="auto" w:fill="auto"/>
            <w:noWrap/>
            <w:vAlign w:val="center"/>
            <w:hideMark/>
          </w:tcPr>
          <w:p w14:paraId="774D1CA9"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Water fluoridation</w:t>
            </w:r>
          </w:p>
        </w:tc>
        <w:tc>
          <w:tcPr>
            <w:tcW w:w="1105" w:type="dxa"/>
            <w:vMerge w:val="restart"/>
            <w:vAlign w:val="center"/>
          </w:tcPr>
          <w:p w14:paraId="64517A46"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Societal</w:t>
            </w:r>
          </w:p>
        </w:tc>
        <w:tc>
          <w:tcPr>
            <w:tcW w:w="851" w:type="dxa"/>
            <w:vMerge w:val="restart"/>
            <w:vAlign w:val="center"/>
          </w:tcPr>
          <w:p w14:paraId="24CCCB70"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15 years</w:t>
            </w:r>
          </w:p>
        </w:tc>
        <w:tc>
          <w:tcPr>
            <w:tcW w:w="851" w:type="dxa"/>
            <w:vMerge w:val="restart"/>
            <w:shd w:val="clear" w:color="auto" w:fill="auto"/>
            <w:noWrap/>
            <w:vAlign w:val="center"/>
            <w:hideMark/>
          </w:tcPr>
          <w:p w14:paraId="5FA552C4"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&lt;16</w:t>
            </w:r>
          </w:p>
        </w:tc>
        <w:tc>
          <w:tcPr>
            <w:tcW w:w="1190" w:type="dxa"/>
            <w:vMerge w:val="restart"/>
            <w:vAlign w:val="center"/>
          </w:tcPr>
          <w:p w14:paraId="64650331"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N/R</w:t>
            </w:r>
          </w:p>
        </w:tc>
        <w:tc>
          <w:tcPr>
            <w:tcW w:w="2760" w:type="dxa"/>
            <w:vMerge w:val="restart"/>
            <w:shd w:val="clear" w:color="auto" w:fill="auto"/>
            <w:noWrap/>
            <w:hideMark/>
          </w:tcPr>
          <w:p w14:paraId="12384E6A"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Intervention costs (micro-costing for capital and maintenance costs)</w:t>
            </w:r>
          </w:p>
          <w:p w14:paraId="1524E34B"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br/>
              <w:t>Dental treatment costs (macro-costing for check-up and restorations)</w:t>
            </w:r>
          </w:p>
        </w:tc>
        <w:tc>
          <w:tcPr>
            <w:tcW w:w="1190" w:type="dxa"/>
            <w:gridSpan w:val="2"/>
            <w:vMerge w:val="restart"/>
            <w:shd w:val="clear" w:color="auto" w:fill="auto"/>
            <w:noWrap/>
            <w:vAlign w:val="center"/>
          </w:tcPr>
          <w:p w14:paraId="43308338"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3%</w:t>
            </w:r>
          </w:p>
        </w:tc>
        <w:tc>
          <w:tcPr>
            <w:tcW w:w="1978" w:type="dxa"/>
            <w:vMerge w:val="restart"/>
            <w:shd w:val="clear" w:color="auto" w:fill="auto"/>
            <w:noWrap/>
            <w:hideMark/>
          </w:tcPr>
          <w:p w14:paraId="3726E66B"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Costs (AU$) per DALY averted</w:t>
            </w:r>
            <w:r w:rsidRPr="00800A49">
              <w:rPr>
                <w:rFonts w:ascii="Times New Roman" w:eastAsia="Times New Roman" w:hAnsi="Times New Roman" w:cs="Times New Roman"/>
                <w:color w:val="000000"/>
                <w:sz w:val="18"/>
                <w:szCs w:val="18"/>
                <w:lang w:eastAsia="en-AU"/>
              </w:rPr>
              <w:br/>
              <w:t>ICER: N/R (dominant)</w:t>
            </w:r>
          </w:p>
          <w:p w14:paraId="6A626000"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p>
          <w:p w14:paraId="5B09C4A1"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Cost-effective = Yes</w:t>
            </w:r>
          </w:p>
        </w:tc>
        <w:tc>
          <w:tcPr>
            <w:tcW w:w="1134" w:type="dxa"/>
            <w:vMerge w:val="restart"/>
            <w:vAlign w:val="center"/>
          </w:tcPr>
          <w:p w14:paraId="20C92C28"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Good</w:t>
            </w:r>
          </w:p>
        </w:tc>
      </w:tr>
      <w:tr w:rsidR="008461EA" w:rsidRPr="00800A49" w14:paraId="66895B3E" w14:textId="77777777" w:rsidTr="00720BDC">
        <w:trPr>
          <w:trHeight w:val="300"/>
        </w:trPr>
        <w:tc>
          <w:tcPr>
            <w:tcW w:w="1128" w:type="dxa"/>
            <w:vMerge/>
            <w:shd w:val="clear" w:color="auto" w:fill="auto"/>
            <w:noWrap/>
          </w:tcPr>
          <w:p w14:paraId="51AFF1FF"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p>
        </w:tc>
        <w:tc>
          <w:tcPr>
            <w:tcW w:w="283" w:type="dxa"/>
            <w:vAlign w:val="center"/>
          </w:tcPr>
          <w:p w14:paraId="65E3AD5C"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C</w:t>
            </w:r>
          </w:p>
        </w:tc>
        <w:tc>
          <w:tcPr>
            <w:tcW w:w="709" w:type="dxa"/>
            <w:vAlign w:val="center"/>
          </w:tcPr>
          <w:p w14:paraId="6A7E8793"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N/A</w:t>
            </w:r>
          </w:p>
        </w:tc>
        <w:tc>
          <w:tcPr>
            <w:tcW w:w="2409" w:type="dxa"/>
            <w:shd w:val="clear" w:color="auto" w:fill="auto"/>
            <w:noWrap/>
            <w:vAlign w:val="center"/>
          </w:tcPr>
          <w:p w14:paraId="1323F47D"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No intervention</w:t>
            </w:r>
          </w:p>
        </w:tc>
        <w:tc>
          <w:tcPr>
            <w:tcW w:w="1105" w:type="dxa"/>
            <w:vMerge/>
            <w:vAlign w:val="center"/>
          </w:tcPr>
          <w:p w14:paraId="656709F8"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851" w:type="dxa"/>
            <w:vMerge/>
            <w:vAlign w:val="center"/>
          </w:tcPr>
          <w:p w14:paraId="3CF64F87"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851" w:type="dxa"/>
            <w:vMerge/>
            <w:shd w:val="clear" w:color="auto" w:fill="auto"/>
            <w:noWrap/>
            <w:vAlign w:val="center"/>
          </w:tcPr>
          <w:p w14:paraId="5055BF1D"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1190" w:type="dxa"/>
            <w:vMerge/>
            <w:vAlign w:val="center"/>
          </w:tcPr>
          <w:p w14:paraId="0491A9E9"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2760" w:type="dxa"/>
            <w:vMerge/>
            <w:shd w:val="clear" w:color="auto" w:fill="auto"/>
            <w:noWrap/>
          </w:tcPr>
          <w:p w14:paraId="632FF21C"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p>
        </w:tc>
        <w:tc>
          <w:tcPr>
            <w:tcW w:w="1190" w:type="dxa"/>
            <w:gridSpan w:val="2"/>
            <w:vMerge/>
            <w:shd w:val="clear" w:color="auto" w:fill="auto"/>
            <w:noWrap/>
            <w:vAlign w:val="center"/>
          </w:tcPr>
          <w:p w14:paraId="41680B4A"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1978" w:type="dxa"/>
            <w:vMerge/>
            <w:shd w:val="clear" w:color="auto" w:fill="auto"/>
            <w:noWrap/>
          </w:tcPr>
          <w:p w14:paraId="4F85FE08"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p>
        </w:tc>
        <w:tc>
          <w:tcPr>
            <w:tcW w:w="1134" w:type="dxa"/>
            <w:vMerge/>
            <w:vAlign w:val="center"/>
          </w:tcPr>
          <w:p w14:paraId="626F652D"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r>
      <w:tr w:rsidR="008461EA" w:rsidRPr="00800A49" w14:paraId="1C254035" w14:textId="77777777" w:rsidTr="00720BDC">
        <w:trPr>
          <w:trHeight w:val="1820"/>
        </w:trPr>
        <w:tc>
          <w:tcPr>
            <w:tcW w:w="1128" w:type="dxa"/>
            <w:vMerge w:val="restart"/>
            <w:shd w:val="clear" w:color="auto" w:fill="auto"/>
            <w:noWrap/>
            <w:hideMark/>
          </w:tcPr>
          <w:p w14:paraId="3E7E48F1"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Cronin et al., 2021</w:t>
            </w:r>
          </w:p>
        </w:tc>
        <w:tc>
          <w:tcPr>
            <w:tcW w:w="283" w:type="dxa"/>
            <w:vAlign w:val="center"/>
          </w:tcPr>
          <w:p w14:paraId="0DC12337"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I</w:t>
            </w:r>
          </w:p>
        </w:tc>
        <w:tc>
          <w:tcPr>
            <w:tcW w:w="709" w:type="dxa"/>
            <w:vAlign w:val="center"/>
          </w:tcPr>
          <w:p w14:paraId="4570AA68"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Uni.</w:t>
            </w:r>
          </w:p>
        </w:tc>
        <w:tc>
          <w:tcPr>
            <w:tcW w:w="2409" w:type="dxa"/>
            <w:shd w:val="clear" w:color="auto" w:fill="auto"/>
            <w:noWrap/>
            <w:vAlign w:val="center"/>
            <w:hideMark/>
          </w:tcPr>
          <w:p w14:paraId="0E461ED1"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Water fluoridation</w:t>
            </w:r>
          </w:p>
        </w:tc>
        <w:tc>
          <w:tcPr>
            <w:tcW w:w="1105" w:type="dxa"/>
            <w:vAlign w:val="center"/>
          </w:tcPr>
          <w:p w14:paraId="3318F2E5"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Societal</w:t>
            </w:r>
          </w:p>
        </w:tc>
        <w:tc>
          <w:tcPr>
            <w:tcW w:w="851" w:type="dxa"/>
            <w:vAlign w:val="center"/>
          </w:tcPr>
          <w:p w14:paraId="5F2B1328"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Lifetime</w:t>
            </w:r>
          </w:p>
        </w:tc>
        <w:tc>
          <w:tcPr>
            <w:tcW w:w="851" w:type="dxa"/>
            <w:vMerge w:val="restart"/>
            <w:shd w:val="clear" w:color="auto" w:fill="auto"/>
            <w:noWrap/>
            <w:vAlign w:val="center"/>
            <w:hideMark/>
          </w:tcPr>
          <w:p w14:paraId="128AC8D0"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5, 8</w:t>
            </w:r>
          </w:p>
          <w:p w14:paraId="7146A0E3"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and</w:t>
            </w:r>
          </w:p>
          <w:p w14:paraId="3D970FB0"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12</w:t>
            </w:r>
          </w:p>
          <w:p w14:paraId="6741AA14"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p w14:paraId="5D26A49E"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1190" w:type="dxa"/>
            <w:vMerge w:val="restart"/>
            <w:vAlign w:val="center"/>
          </w:tcPr>
          <w:p w14:paraId="2E863C0F"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148,910</w:t>
            </w:r>
          </w:p>
        </w:tc>
        <w:tc>
          <w:tcPr>
            <w:tcW w:w="2760" w:type="dxa"/>
            <w:vMerge w:val="restart"/>
            <w:shd w:val="clear" w:color="auto" w:fill="auto"/>
            <w:noWrap/>
            <w:hideMark/>
          </w:tcPr>
          <w:p w14:paraId="6EBACC2F"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Intervention costs (micro-costing for capital and maintenance)</w:t>
            </w:r>
            <w:r w:rsidRPr="00800A49">
              <w:rPr>
                <w:rFonts w:ascii="Times New Roman" w:eastAsia="Times New Roman" w:hAnsi="Times New Roman" w:cs="Times New Roman"/>
                <w:color w:val="000000"/>
                <w:sz w:val="18"/>
                <w:szCs w:val="18"/>
                <w:lang w:eastAsia="en-AU"/>
              </w:rPr>
              <w:br/>
            </w:r>
          </w:p>
          <w:p w14:paraId="0F3824E2"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Dental treatment costs (restorations, repeat restorations and extractions)</w:t>
            </w:r>
          </w:p>
        </w:tc>
        <w:tc>
          <w:tcPr>
            <w:tcW w:w="634" w:type="dxa"/>
            <w:vMerge w:val="restart"/>
            <w:shd w:val="clear" w:color="auto" w:fill="auto"/>
            <w:noWrap/>
            <w:vAlign w:val="center"/>
            <w:hideMark/>
          </w:tcPr>
          <w:p w14:paraId="77EBA4AD"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4%</w:t>
            </w:r>
          </w:p>
        </w:tc>
        <w:tc>
          <w:tcPr>
            <w:tcW w:w="556" w:type="dxa"/>
            <w:vMerge w:val="restart"/>
            <w:vAlign w:val="center"/>
          </w:tcPr>
          <w:p w14:paraId="261971FE"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N/R</w:t>
            </w:r>
          </w:p>
        </w:tc>
        <w:tc>
          <w:tcPr>
            <w:tcW w:w="1978" w:type="dxa"/>
            <w:vMerge w:val="restart"/>
            <w:shd w:val="clear" w:color="auto" w:fill="auto"/>
            <w:noWrap/>
            <w:hideMark/>
          </w:tcPr>
          <w:p w14:paraId="3936DB8A"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Net benefits/costs:</w:t>
            </w:r>
          </w:p>
          <w:p w14:paraId="089114CD"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r w:rsidRPr="00800A49">
              <w:rPr>
                <w:rFonts w:ascii="Times New Roman" w:hAnsi="Times New Roman" w:cs="Times New Roman"/>
                <w:sz w:val="18"/>
                <w:szCs w:val="18"/>
              </w:rPr>
              <w:t>-€</w:t>
            </w:r>
            <w:r w:rsidRPr="00800A49">
              <w:rPr>
                <w:rFonts w:ascii="Times New Roman" w:eastAsia="Times New Roman" w:hAnsi="Times New Roman" w:cs="Times New Roman"/>
                <w:color w:val="000000"/>
                <w:sz w:val="18"/>
                <w:szCs w:val="18"/>
                <w:lang w:eastAsia="en-AU"/>
              </w:rPr>
              <w:t>2.63 million</w:t>
            </w:r>
            <w:r w:rsidRPr="00800A49">
              <w:rPr>
                <w:rFonts w:ascii="Times New Roman" w:eastAsia="Times New Roman" w:hAnsi="Times New Roman" w:cs="Times New Roman"/>
                <w:color w:val="000000"/>
                <w:sz w:val="18"/>
                <w:szCs w:val="18"/>
                <w:lang w:eastAsia="en-AU"/>
              </w:rPr>
              <w:br/>
              <w:t xml:space="preserve">1) </w:t>
            </w:r>
            <w:proofErr w:type="gramStart"/>
            <w:r w:rsidRPr="00800A49">
              <w:rPr>
                <w:rFonts w:ascii="Times New Roman" w:eastAsia="Times New Roman" w:hAnsi="Times New Roman" w:cs="Times New Roman"/>
                <w:color w:val="000000"/>
                <w:sz w:val="18"/>
                <w:szCs w:val="18"/>
                <w:lang w:eastAsia="en-AU"/>
              </w:rPr>
              <w:t>5 year olds</w:t>
            </w:r>
            <w:proofErr w:type="gramEnd"/>
            <w:r w:rsidRPr="00800A49">
              <w:rPr>
                <w:rFonts w:ascii="Times New Roman" w:eastAsia="Times New Roman" w:hAnsi="Times New Roman" w:cs="Times New Roman"/>
                <w:color w:val="000000"/>
                <w:sz w:val="18"/>
                <w:szCs w:val="18"/>
                <w:lang w:eastAsia="en-AU"/>
              </w:rPr>
              <w:t>: -13.75</w:t>
            </w:r>
          </w:p>
          <w:p w14:paraId="40D7C3E1"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(-20.14; -8.09)</w:t>
            </w:r>
            <w:r w:rsidRPr="00800A49">
              <w:rPr>
                <w:rFonts w:ascii="Times New Roman" w:eastAsia="Times New Roman" w:hAnsi="Times New Roman" w:cs="Times New Roman"/>
                <w:color w:val="000000"/>
                <w:sz w:val="18"/>
                <w:szCs w:val="18"/>
                <w:lang w:eastAsia="en-AU"/>
              </w:rPr>
              <w:br/>
              <w:t xml:space="preserve">1) </w:t>
            </w:r>
            <w:proofErr w:type="gramStart"/>
            <w:r w:rsidRPr="00800A49">
              <w:rPr>
                <w:rFonts w:ascii="Times New Roman" w:eastAsia="Times New Roman" w:hAnsi="Times New Roman" w:cs="Times New Roman"/>
                <w:color w:val="000000"/>
                <w:sz w:val="18"/>
                <w:szCs w:val="18"/>
                <w:lang w:eastAsia="en-AU"/>
              </w:rPr>
              <w:t>8 year olds</w:t>
            </w:r>
            <w:proofErr w:type="gramEnd"/>
            <w:r w:rsidRPr="00800A49">
              <w:rPr>
                <w:rFonts w:ascii="Times New Roman" w:eastAsia="Times New Roman" w:hAnsi="Times New Roman" w:cs="Times New Roman"/>
                <w:color w:val="000000"/>
                <w:sz w:val="18"/>
                <w:szCs w:val="18"/>
                <w:lang w:eastAsia="en-AU"/>
              </w:rPr>
              <w:t>: -15.42</w:t>
            </w:r>
          </w:p>
          <w:p w14:paraId="30826C8D"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(-20.59; -10.62)</w:t>
            </w:r>
            <w:r w:rsidRPr="00800A49">
              <w:rPr>
                <w:rFonts w:ascii="Times New Roman" w:eastAsia="Times New Roman" w:hAnsi="Times New Roman" w:cs="Times New Roman"/>
                <w:color w:val="000000"/>
                <w:sz w:val="18"/>
                <w:szCs w:val="18"/>
                <w:lang w:eastAsia="en-AU"/>
              </w:rPr>
              <w:br/>
              <w:t xml:space="preserve">2) </w:t>
            </w:r>
            <w:proofErr w:type="gramStart"/>
            <w:r w:rsidRPr="00800A49">
              <w:rPr>
                <w:rFonts w:ascii="Times New Roman" w:eastAsia="Times New Roman" w:hAnsi="Times New Roman" w:cs="Times New Roman"/>
                <w:color w:val="000000"/>
                <w:sz w:val="18"/>
                <w:szCs w:val="18"/>
                <w:lang w:eastAsia="en-AU"/>
              </w:rPr>
              <w:t>12 year olds</w:t>
            </w:r>
            <w:proofErr w:type="gramEnd"/>
            <w:r w:rsidRPr="00800A49">
              <w:rPr>
                <w:rFonts w:ascii="Times New Roman" w:eastAsia="Times New Roman" w:hAnsi="Times New Roman" w:cs="Times New Roman"/>
                <w:color w:val="000000"/>
                <w:sz w:val="18"/>
                <w:szCs w:val="18"/>
                <w:lang w:eastAsia="en-AU"/>
              </w:rPr>
              <w:t>: -23.85</w:t>
            </w:r>
          </w:p>
          <w:p w14:paraId="168B2096"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(-32.24; -15.53)</w:t>
            </w:r>
            <w:r w:rsidRPr="00800A49">
              <w:rPr>
                <w:rFonts w:ascii="Times New Roman" w:eastAsia="Times New Roman" w:hAnsi="Times New Roman" w:cs="Times New Roman"/>
                <w:color w:val="000000"/>
                <w:sz w:val="18"/>
                <w:szCs w:val="18"/>
                <w:lang w:eastAsia="en-AU"/>
              </w:rPr>
              <w:br/>
            </w:r>
          </w:p>
          <w:p w14:paraId="726DD948"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Cost-saving = Yes</w:t>
            </w:r>
          </w:p>
          <w:p w14:paraId="7B35813C"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p>
          <w:p w14:paraId="4EABD228"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Costs (€) per d</w:t>
            </w:r>
            <w:r w:rsidRPr="00800A49">
              <w:rPr>
                <w:rFonts w:ascii="Times New Roman" w:eastAsia="Times New Roman" w:hAnsi="Times New Roman" w:cs="Times New Roman"/>
                <w:color w:val="000000"/>
                <w:sz w:val="18"/>
                <w:szCs w:val="18"/>
                <w:vertAlign w:val="subscript"/>
                <w:lang w:eastAsia="en-AU"/>
              </w:rPr>
              <w:t>3v</w:t>
            </w:r>
            <w:r w:rsidRPr="00800A49">
              <w:rPr>
                <w:rFonts w:ascii="Times New Roman" w:eastAsia="Times New Roman" w:hAnsi="Times New Roman" w:cs="Times New Roman"/>
                <w:color w:val="000000"/>
                <w:sz w:val="18"/>
                <w:szCs w:val="18"/>
                <w:lang w:eastAsia="en-AU"/>
              </w:rPr>
              <w:t>cmft/D</w:t>
            </w:r>
            <w:r w:rsidRPr="00800A49">
              <w:rPr>
                <w:rFonts w:ascii="Times New Roman" w:eastAsia="Times New Roman" w:hAnsi="Times New Roman" w:cs="Times New Roman"/>
                <w:color w:val="000000"/>
                <w:sz w:val="18"/>
                <w:szCs w:val="18"/>
                <w:vertAlign w:val="subscript"/>
                <w:lang w:eastAsia="en-AU"/>
              </w:rPr>
              <w:t>3vc</w:t>
            </w:r>
            <w:r w:rsidRPr="00800A49">
              <w:rPr>
                <w:rFonts w:ascii="Times New Roman" w:eastAsia="Times New Roman" w:hAnsi="Times New Roman" w:cs="Times New Roman"/>
                <w:color w:val="000000"/>
                <w:sz w:val="18"/>
                <w:szCs w:val="18"/>
                <w:lang w:eastAsia="en-AU"/>
              </w:rPr>
              <w:t>MFT averted</w:t>
            </w:r>
          </w:p>
          <w:p w14:paraId="30AA3002"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ICER: -15.67</w:t>
            </w:r>
            <w:r w:rsidRPr="00800A49">
              <w:rPr>
                <w:rFonts w:ascii="Times New Roman" w:eastAsia="Times New Roman" w:hAnsi="Times New Roman" w:cs="Times New Roman"/>
                <w:color w:val="000000"/>
                <w:sz w:val="18"/>
                <w:szCs w:val="18"/>
                <w:lang w:eastAsia="en-AU"/>
              </w:rPr>
              <w:br/>
              <w:t xml:space="preserve">1) </w:t>
            </w:r>
            <w:proofErr w:type="gramStart"/>
            <w:r w:rsidRPr="00800A49">
              <w:rPr>
                <w:rFonts w:ascii="Times New Roman" w:eastAsia="Times New Roman" w:hAnsi="Times New Roman" w:cs="Times New Roman"/>
                <w:color w:val="000000"/>
                <w:sz w:val="18"/>
                <w:szCs w:val="18"/>
                <w:lang w:eastAsia="en-AU"/>
              </w:rPr>
              <w:t>5 year olds</w:t>
            </w:r>
            <w:proofErr w:type="gramEnd"/>
            <w:r w:rsidRPr="00800A49">
              <w:rPr>
                <w:rFonts w:ascii="Times New Roman" w:eastAsia="Times New Roman" w:hAnsi="Times New Roman" w:cs="Times New Roman"/>
                <w:color w:val="000000"/>
                <w:sz w:val="18"/>
                <w:szCs w:val="18"/>
                <w:lang w:eastAsia="en-AU"/>
              </w:rPr>
              <w:t xml:space="preserve"> ICER: -72.35</w:t>
            </w:r>
          </w:p>
          <w:p w14:paraId="0C0090A6"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(-105.98; -42.57)</w:t>
            </w:r>
            <w:r w:rsidRPr="00800A49">
              <w:rPr>
                <w:rFonts w:ascii="Times New Roman" w:eastAsia="Times New Roman" w:hAnsi="Times New Roman" w:cs="Times New Roman"/>
                <w:color w:val="000000"/>
                <w:sz w:val="18"/>
                <w:szCs w:val="18"/>
                <w:lang w:eastAsia="en-AU"/>
              </w:rPr>
              <w:br/>
              <w:t xml:space="preserve">2) </w:t>
            </w:r>
            <w:proofErr w:type="gramStart"/>
            <w:r w:rsidRPr="00800A49">
              <w:rPr>
                <w:rFonts w:ascii="Times New Roman" w:eastAsia="Times New Roman" w:hAnsi="Times New Roman" w:cs="Times New Roman"/>
                <w:color w:val="000000"/>
                <w:sz w:val="18"/>
                <w:szCs w:val="18"/>
                <w:lang w:eastAsia="en-AU"/>
              </w:rPr>
              <w:t>8 year olds</w:t>
            </w:r>
            <w:proofErr w:type="gramEnd"/>
            <w:r w:rsidRPr="00800A49">
              <w:rPr>
                <w:rFonts w:ascii="Times New Roman" w:eastAsia="Times New Roman" w:hAnsi="Times New Roman" w:cs="Times New Roman"/>
                <w:color w:val="000000"/>
                <w:sz w:val="18"/>
                <w:szCs w:val="18"/>
                <w:lang w:eastAsia="en-AU"/>
              </w:rPr>
              <w:t xml:space="preserve"> ICER: -104.19</w:t>
            </w:r>
          </w:p>
          <w:p w14:paraId="0CB9F491"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(-139.12; -71.75)</w:t>
            </w:r>
            <w:r w:rsidRPr="00800A49">
              <w:rPr>
                <w:rFonts w:ascii="Times New Roman" w:eastAsia="Times New Roman" w:hAnsi="Times New Roman" w:cs="Times New Roman"/>
                <w:color w:val="000000"/>
                <w:sz w:val="18"/>
                <w:szCs w:val="18"/>
                <w:lang w:eastAsia="en-AU"/>
              </w:rPr>
              <w:br/>
              <w:t xml:space="preserve">3) </w:t>
            </w:r>
            <w:proofErr w:type="gramStart"/>
            <w:r w:rsidRPr="00800A49">
              <w:rPr>
                <w:rFonts w:ascii="Times New Roman" w:eastAsia="Times New Roman" w:hAnsi="Times New Roman" w:cs="Times New Roman"/>
                <w:color w:val="000000"/>
                <w:sz w:val="18"/>
                <w:szCs w:val="18"/>
                <w:lang w:eastAsia="en-AU"/>
              </w:rPr>
              <w:t>12 year olds</w:t>
            </w:r>
            <w:proofErr w:type="gramEnd"/>
            <w:r w:rsidRPr="00800A49">
              <w:rPr>
                <w:rFonts w:ascii="Times New Roman" w:eastAsia="Times New Roman" w:hAnsi="Times New Roman" w:cs="Times New Roman"/>
                <w:color w:val="000000"/>
                <w:sz w:val="18"/>
                <w:szCs w:val="18"/>
                <w:lang w:eastAsia="en-AU"/>
              </w:rPr>
              <w:t xml:space="preserve"> ICER: -205.03</w:t>
            </w:r>
          </w:p>
          <w:p w14:paraId="54E8245C"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(-277.16; -133.51)</w:t>
            </w:r>
          </w:p>
          <w:p w14:paraId="68C7B469"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p>
          <w:p w14:paraId="50611BED"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lastRenderedPageBreak/>
              <w:t>Cost-effective = Yes</w:t>
            </w:r>
          </w:p>
        </w:tc>
        <w:tc>
          <w:tcPr>
            <w:tcW w:w="1134" w:type="dxa"/>
            <w:vMerge w:val="restart"/>
            <w:vAlign w:val="center"/>
          </w:tcPr>
          <w:p w14:paraId="38792FA3"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lastRenderedPageBreak/>
              <w:t>Good</w:t>
            </w:r>
          </w:p>
        </w:tc>
      </w:tr>
      <w:tr w:rsidR="008461EA" w:rsidRPr="00800A49" w14:paraId="4144EA01" w14:textId="77777777" w:rsidTr="00720BDC">
        <w:trPr>
          <w:trHeight w:val="300"/>
        </w:trPr>
        <w:tc>
          <w:tcPr>
            <w:tcW w:w="1128" w:type="dxa"/>
            <w:vMerge/>
            <w:shd w:val="clear" w:color="auto" w:fill="auto"/>
            <w:noWrap/>
          </w:tcPr>
          <w:p w14:paraId="5C1CE960"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p>
        </w:tc>
        <w:tc>
          <w:tcPr>
            <w:tcW w:w="283" w:type="dxa"/>
            <w:vAlign w:val="center"/>
          </w:tcPr>
          <w:p w14:paraId="5C31E396"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C</w:t>
            </w:r>
          </w:p>
        </w:tc>
        <w:tc>
          <w:tcPr>
            <w:tcW w:w="709" w:type="dxa"/>
            <w:vAlign w:val="center"/>
          </w:tcPr>
          <w:p w14:paraId="00F4D7EC"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N/A</w:t>
            </w:r>
          </w:p>
        </w:tc>
        <w:tc>
          <w:tcPr>
            <w:tcW w:w="2409" w:type="dxa"/>
            <w:shd w:val="clear" w:color="auto" w:fill="auto"/>
            <w:noWrap/>
            <w:vAlign w:val="center"/>
          </w:tcPr>
          <w:p w14:paraId="4C0C37D3"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No intervention</w:t>
            </w:r>
          </w:p>
        </w:tc>
        <w:tc>
          <w:tcPr>
            <w:tcW w:w="1105" w:type="dxa"/>
            <w:vAlign w:val="center"/>
          </w:tcPr>
          <w:p w14:paraId="0BC67140"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851" w:type="dxa"/>
            <w:vAlign w:val="center"/>
          </w:tcPr>
          <w:p w14:paraId="56F349CA"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851" w:type="dxa"/>
            <w:vMerge/>
            <w:shd w:val="clear" w:color="auto" w:fill="auto"/>
            <w:noWrap/>
            <w:vAlign w:val="center"/>
          </w:tcPr>
          <w:p w14:paraId="4E62A44C"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1190" w:type="dxa"/>
            <w:vMerge/>
            <w:vAlign w:val="center"/>
          </w:tcPr>
          <w:p w14:paraId="3945D040"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2760" w:type="dxa"/>
            <w:vMerge/>
            <w:shd w:val="clear" w:color="auto" w:fill="auto"/>
            <w:noWrap/>
          </w:tcPr>
          <w:p w14:paraId="4652FC85"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p>
        </w:tc>
        <w:tc>
          <w:tcPr>
            <w:tcW w:w="634" w:type="dxa"/>
            <w:vMerge/>
            <w:shd w:val="clear" w:color="auto" w:fill="auto"/>
            <w:noWrap/>
            <w:vAlign w:val="center"/>
          </w:tcPr>
          <w:p w14:paraId="78AE48EA"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556" w:type="dxa"/>
            <w:vMerge/>
            <w:vAlign w:val="center"/>
          </w:tcPr>
          <w:p w14:paraId="5130279A"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1978" w:type="dxa"/>
            <w:vMerge/>
            <w:shd w:val="clear" w:color="auto" w:fill="auto"/>
            <w:noWrap/>
          </w:tcPr>
          <w:p w14:paraId="3F6C1CAE"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p>
        </w:tc>
        <w:tc>
          <w:tcPr>
            <w:tcW w:w="1134" w:type="dxa"/>
            <w:vMerge/>
            <w:vAlign w:val="center"/>
          </w:tcPr>
          <w:p w14:paraId="319521F8"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r>
      <w:tr w:rsidR="008461EA" w:rsidRPr="00800A49" w14:paraId="64150519" w14:textId="77777777" w:rsidTr="00720BDC">
        <w:trPr>
          <w:trHeight w:val="300"/>
        </w:trPr>
        <w:tc>
          <w:tcPr>
            <w:tcW w:w="1128" w:type="dxa"/>
            <w:vMerge w:val="restart"/>
            <w:shd w:val="clear" w:color="auto" w:fill="auto"/>
            <w:noWrap/>
            <w:hideMark/>
          </w:tcPr>
          <w:p w14:paraId="0BD20A13"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Crowley et al., 2000</w:t>
            </w:r>
          </w:p>
        </w:tc>
        <w:tc>
          <w:tcPr>
            <w:tcW w:w="283" w:type="dxa"/>
            <w:vAlign w:val="center"/>
          </w:tcPr>
          <w:p w14:paraId="13D928FC"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I</w:t>
            </w:r>
          </w:p>
        </w:tc>
        <w:tc>
          <w:tcPr>
            <w:tcW w:w="709" w:type="dxa"/>
            <w:vAlign w:val="center"/>
          </w:tcPr>
          <w:p w14:paraId="0D061A3A"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Sel.</w:t>
            </w:r>
          </w:p>
        </w:tc>
        <w:tc>
          <w:tcPr>
            <w:tcW w:w="2409" w:type="dxa"/>
            <w:shd w:val="clear" w:color="auto" w:fill="auto"/>
            <w:noWrap/>
            <w:vAlign w:val="center"/>
            <w:hideMark/>
          </w:tcPr>
          <w:p w14:paraId="3E28CBE8"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 xml:space="preserve">Targeted school-based fissure sealants, fluoride </w:t>
            </w:r>
            <w:proofErr w:type="spellStart"/>
            <w:r w:rsidRPr="00800A49">
              <w:rPr>
                <w:rFonts w:ascii="Times New Roman" w:eastAsia="Times New Roman" w:hAnsi="Times New Roman" w:cs="Times New Roman"/>
                <w:color w:val="000000"/>
                <w:sz w:val="18"/>
                <w:szCs w:val="18"/>
                <w:lang w:eastAsia="en-AU"/>
              </w:rPr>
              <w:t>mouthrinsing</w:t>
            </w:r>
            <w:proofErr w:type="spellEnd"/>
            <w:r w:rsidRPr="00800A49">
              <w:rPr>
                <w:rFonts w:ascii="Times New Roman" w:eastAsia="Times New Roman" w:hAnsi="Times New Roman" w:cs="Times New Roman"/>
                <w:color w:val="000000"/>
                <w:sz w:val="18"/>
                <w:szCs w:val="18"/>
                <w:lang w:eastAsia="en-AU"/>
              </w:rPr>
              <w:t xml:space="preserve"> and annual oral health education</w:t>
            </w:r>
          </w:p>
        </w:tc>
        <w:tc>
          <w:tcPr>
            <w:tcW w:w="1105" w:type="dxa"/>
            <w:vMerge w:val="restart"/>
            <w:vAlign w:val="center"/>
          </w:tcPr>
          <w:p w14:paraId="3E235CE5"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Societal</w:t>
            </w:r>
          </w:p>
        </w:tc>
        <w:tc>
          <w:tcPr>
            <w:tcW w:w="851" w:type="dxa"/>
            <w:vMerge w:val="restart"/>
            <w:vAlign w:val="center"/>
          </w:tcPr>
          <w:p w14:paraId="6DAFA052"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10 years</w:t>
            </w:r>
          </w:p>
        </w:tc>
        <w:tc>
          <w:tcPr>
            <w:tcW w:w="851" w:type="dxa"/>
            <w:vMerge w:val="restart"/>
            <w:shd w:val="clear" w:color="auto" w:fill="auto"/>
            <w:noWrap/>
            <w:vAlign w:val="center"/>
            <w:hideMark/>
          </w:tcPr>
          <w:p w14:paraId="05A64F8C"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12.5-15.5</w:t>
            </w:r>
          </w:p>
        </w:tc>
        <w:tc>
          <w:tcPr>
            <w:tcW w:w="1190" w:type="dxa"/>
            <w:vMerge w:val="restart"/>
            <w:vAlign w:val="center"/>
          </w:tcPr>
          <w:p w14:paraId="584654BF"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3,500</w:t>
            </w:r>
          </w:p>
          <w:p w14:paraId="1D2E07A5"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p w14:paraId="09E7F9C5"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open cohort</w:t>
            </w:r>
          </w:p>
        </w:tc>
        <w:tc>
          <w:tcPr>
            <w:tcW w:w="2760" w:type="dxa"/>
            <w:vMerge w:val="restart"/>
            <w:shd w:val="clear" w:color="auto" w:fill="auto"/>
            <w:noWrap/>
          </w:tcPr>
          <w:p w14:paraId="2365B038"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Intervention costs (capital, labour, travel and consumables)</w:t>
            </w:r>
          </w:p>
          <w:p w14:paraId="0F2609EC"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p>
          <w:p w14:paraId="41575157"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Dental treatment costs (restorations)</w:t>
            </w:r>
          </w:p>
          <w:p w14:paraId="4DD84FB2"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p>
          <w:p w14:paraId="7E763860"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Productivity opportunity costs lost (school administration)</w:t>
            </w:r>
          </w:p>
        </w:tc>
        <w:tc>
          <w:tcPr>
            <w:tcW w:w="634" w:type="dxa"/>
            <w:vMerge w:val="restart"/>
            <w:shd w:val="clear" w:color="auto" w:fill="auto"/>
            <w:noWrap/>
            <w:vAlign w:val="center"/>
          </w:tcPr>
          <w:p w14:paraId="185DBD7A"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5%</w:t>
            </w:r>
          </w:p>
        </w:tc>
        <w:tc>
          <w:tcPr>
            <w:tcW w:w="556" w:type="dxa"/>
            <w:vMerge w:val="restart"/>
            <w:vAlign w:val="center"/>
          </w:tcPr>
          <w:p w14:paraId="5F3ABBDF"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N/A</w:t>
            </w:r>
          </w:p>
        </w:tc>
        <w:tc>
          <w:tcPr>
            <w:tcW w:w="1978" w:type="dxa"/>
            <w:vMerge w:val="restart"/>
            <w:shd w:val="clear" w:color="auto" w:fill="auto"/>
            <w:noWrap/>
            <w:hideMark/>
          </w:tcPr>
          <w:p w14:paraId="6B464FF2"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Benefit-cost ratio: 1.0-1.7</w:t>
            </w:r>
          </w:p>
          <w:p w14:paraId="0375F360"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p>
          <w:p w14:paraId="5F06521C"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Cost-saving = Yes</w:t>
            </w:r>
            <w:r w:rsidRPr="00800A49">
              <w:rPr>
                <w:rFonts w:ascii="Times New Roman" w:eastAsia="Times New Roman" w:hAnsi="Times New Roman" w:cs="Times New Roman"/>
                <w:color w:val="000000"/>
                <w:sz w:val="18"/>
                <w:szCs w:val="18"/>
                <w:lang w:eastAsia="en-AU"/>
              </w:rPr>
              <w:br/>
            </w:r>
          </w:p>
          <w:p w14:paraId="1088EAC5"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Costs (AU$) per DMFS averted</w:t>
            </w:r>
            <w:r w:rsidRPr="00800A49">
              <w:rPr>
                <w:rFonts w:ascii="Times New Roman" w:eastAsia="Times New Roman" w:hAnsi="Times New Roman" w:cs="Times New Roman"/>
                <w:color w:val="000000"/>
                <w:sz w:val="18"/>
                <w:szCs w:val="18"/>
                <w:lang w:eastAsia="en-AU"/>
              </w:rPr>
              <w:br/>
              <w:t>ICER: 11.80</w:t>
            </w:r>
          </w:p>
          <w:p w14:paraId="6FA33EF0"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p>
          <w:p w14:paraId="64B25FF1"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Cost-effective = N/S</w:t>
            </w:r>
          </w:p>
        </w:tc>
        <w:tc>
          <w:tcPr>
            <w:tcW w:w="1134" w:type="dxa"/>
            <w:vMerge w:val="restart"/>
            <w:vAlign w:val="center"/>
          </w:tcPr>
          <w:p w14:paraId="2A1789FA"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Moderate</w:t>
            </w:r>
          </w:p>
        </w:tc>
      </w:tr>
      <w:tr w:rsidR="008461EA" w:rsidRPr="00800A49" w14:paraId="0C4B9519" w14:textId="77777777" w:rsidTr="00720BDC">
        <w:trPr>
          <w:trHeight w:val="300"/>
        </w:trPr>
        <w:tc>
          <w:tcPr>
            <w:tcW w:w="1128" w:type="dxa"/>
            <w:vMerge/>
            <w:shd w:val="clear" w:color="auto" w:fill="auto"/>
            <w:noWrap/>
          </w:tcPr>
          <w:p w14:paraId="157182A6"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p>
        </w:tc>
        <w:tc>
          <w:tcPr>
            <w:tcW w:w="283" w:type="dxa"/>
            <w:vAlign w:val="center"/>
          </w:tcPr>
          <w:p w14:paraId="3EADE9BB"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C</w:t>
            </w:r>
          </w:p>
        </w:tc>
        <w:tc>
          <w:tcPr>
            <w:tcW w:w="709" w:type="dxa"/>
            <w:vAlign w:val="center"/>
          </w:tcPr>
          <w:p w14:paraId="30EC7317"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Sel.</w:t>
            </w:r>
          </w:p>
        </w:tc>
        <w:tc>
          <w:tcPr>
            <w:tcW w:w="2409" w:type="dxa"/>
            <w:shd w:val="clear" w:color="auto" w:fill="auto"/>
            <w:noWrap/>
            <w:vAlign w:val="center"/>
          </w:tcPr>
          <w:p w14:paraId="7A08101F"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Targeted school-based annual oral health education</w:t>
            </w:r>
          </w:p>
        </w:tc>
        <w:tc>
          <w:tcPr>
            <w:tcW w:w="1105" w:type="dxa"/>
            <w:vMerge/>
            <w:vAlign w:val="center"/>
          </w:tcPr>
          <w:p w14:paraId="225F5C24"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851" w:type="dxa"/>
            <w:vMerge/>
            <w:vAlign w:val="center"/>
          </w:tcPr>
          <w:p w14:paraId="3F5E93B1"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851" w:type="dxa"/>
            <w:vMerge/>
            <w:shd w:val="clear" w:color="auto" w:fill="auto"/>
            <w:noWrap/>
            <w:vAlign w:val="center"/>
          </w:tcPr>
          <w:p w14:paraId="2A54B323"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1190" w:type="dxa"/>
            <w:vMerge/>
            <w:vAlign w:val="center"/>
          </w:tcPr>
          <w:p w14:paraId="0E690449"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2760" w:type="dxa"/>
            <w:vMerge/>
            <w:shd w:val="clear" w:color="auto" w:fill="auto"/>
            <w:noWrap/>
          </w:tcPr>
          <w:p w14:paraId="6DD60B54"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p>
        </w:tc>
        <w:tc>
          <w:tcPr>
            <w:tcW w:w="634" w:type="dxa"/>
            <w:vMerge/>
            <w:shd w:val="clear" w:color="auto" w:fill="auto"/>
            <w:noWrap/>
            <w:vAlign w:val="center"/>
          </w:tcPr>
          <w:p w14:paraId="477D992A"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556" w:type="dxa"/>
            <w:vMerge/>
            <w:vAlign w:val="center"/>
          </w:tcPr>
          <w:p w14:paraId="3869BFA4"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1978" w:type="dxa"/>
            <w:vMerge/>
            <w:shd w:val="clear" w:color="auto" w:fill="auto"/>
            <w:noWrap/>
          </w:tcPr>
          <w:p w14:paraId="4BE9D92F"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p>
        </w:tc>
        <w:tc>
          <w:tcPr>
            <w:tcW w:w="1134" w:type="dxa"/>
            <w:vMerge/>
            <w:vAlign w:val="center"/>
          </w:tcPr>
          <w:p w14:paraId="653DBB69"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r>
      <w:tr w:rsidR="008461EA" w:rsidRPr="00800A49" w14:paraId="4BD7A33D" w14:textId="77777777" w:rsidTr="00720BDC">
        <w:trPr>
          <w:trHeight w:val="300"/>
        </w:trPr>
        <w:tc>
          <w:tcPr>
            <w:tcW w:w="1128" w:type="dxa"/>
            <w:vMerge/>
            <w:shd w:val="clear" w:color="auto" w:fill="auto"/>
            <w:noWrap/>
          </w:tcPr>
          <w:p w14:paraId="4AA38D6A"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p>
        </w:tc>
        <w:tc>
          <w:tcPr>
            <w:tcW w:w="283" w:type="dxa"/>
            <w:vAlign w:val="center"/>
          </w:tcPr>
          <w:p w14:paraId="7F74F139"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709" w:type="dxa"/>
            <w:vAlign w:val="center"/>
          </w:tcPr>
          <w:p w14:paraId="4457101E"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2409" w:type="dxa"/>
            <w:shd w:val="clear" w:color="auto" w:fill="auto"/>
            <w:noWrap/>
            <w:vAlign w:val="center"/>
          </w:tcPr>
          <w:p w14:paraId="5B1224D7"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1105" w:type="dxa"/>
            <w:vMerge/>
            <w:vAlign w:val="center"/>
          </w:tcPr>
          <w:p w14:paraId="621C330E"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851" w:type="dxa"/>
            <w:vMerge/>
            <w:vAlign w:val="center"/>
          </w:tcPr>
          <w:p w14:paraId="6EDF8FF4"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851" w:type="dxa"/>
            <w:vMerge/>
            <w:shd w:val="clear" w:color="auto" w:fill="auto"/>
            <w:noWrap/>
            <w:vAlign w:val="center"/>
          </w:tcPr>
          <w:p w14:paraId="11A264C0"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1190" w:type="dxa"/>
            <w:vAlign w:val="center"/>
          </w:tcPr>
          <w:p w14:paraId="1DFFDCD0"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2760" w:type="dxa"/>
            <w:vMerge/>
            <w:shd w:val="clear" w:color="auto" w:fill="auto"/>
            <w:noWrap/>
          </w:tcPr>
          <w:p w14:paraId="7BC6E0D7"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p>
        </w:tc>
        <w:tc>
          <w:tcPr>
            <w:tcW w:w="634" w:type="dxa"/>
            <w:vMerge/>
            <w:shd w:val="clear" w:color="auto" w:fill="auto"/>
            <w:noWrap/>
            <w:vAlign w:val="center"/>
          </w:tcPr>
          <w:p w14:paraId="17AC8AAC"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556" w:type="dxa"/>
            <w:vMerge/>
            <w:vAlign w:val="center"/>
          </w:tcPr>
          <w:p w14:paraId="5150B7FC"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1978" w:type="dxa"/>
            <w:vMerge/>
            <w:shd w:val="clear" w:color="auto" w:fill="auto"/>
            <w:noWrap/>
          </w:tcPr>
          <w:p w14:paraId="20AF0DAC"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p>
        </w:tc>
        <w:tc>
          <w:tcPr>
            <w:tcW w:w="1134" w:type="dxa"/>
            <w:vMerge/>
            <w:vAlign w:val="center"/>
          </w:tcPr>
          <w:p w14:paraId="76AC5221"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r>
      <w:tr w:rsidR="008461EA" w:rsidRPr="00800A49" w14:paraId="6644B58F" w14:textId="77777777" w:rsidTr="00720BDC">
        <w:trPr>
          <w:trHeight w:val="300"/>
        </w:trPr>
        <w:tc>
          <w:tcPr>
            <w:tcW w:w="1128" w:type="dxa"/>
            <w:vMerge w:val="restart"/>
            <w:shd w:val="clear" w:color="auto" w:fill="auto"/>
            <w:noWrap/>
            <w:hideMark/>
          </w:tcPr>
          <w:p w14:paraId="2A9E40B1"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Curtis et al., 2011</w:t>
            </w:r>
          </w:p>
        </w:tc>
        <w:tc>
          <w:tcPr>
            <w:tcW w:w="283" w:type="dxa"/>
            <w:vAlign w:val="center"/>
          </w:tcPr>
          <w:p w14:paraId="14247E80"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I</w:t>
            </w:r>
          </w:p>
        </w:tc>
        <w:tc>
          <w:tcPr>
            <w:tcW w:w="709" w:type="dxa"/>
            <w:vAlign w:val="center"/>
          </w:tcPr>
          <w:p w14:paraId="5715B0D1"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Ind.</w:t>
            </w:r>
          </w:p>
        </w:tc>
        <w:tc>
          <w:tcPr>
            <w:tcW w:w="2409" w:type="dxa"/>
            <w:shd w:val="clear" w:color="auto" w:fill="auto"/>
            <w:noWrap/>
            <w:vAlign w:val="center"/>
            <w:hideMark/>
          </w:tcPr>
          <w:p w14:paraId="762D243B"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Diet and plaque assessment, bitewing radiographs, caries risk assessment, oral health education, topical fluoride, risk-based check-up</w:t>
            </w:r>
          </w:p>
        </w:tc>
        <w:tc>
          <w:tcPr>
            <w:tcW w:w="1105" w:type="dxa"/>
            <w:vMerge w:val="restart"/>
            <w:vAlign w:val="center"/>
          </w:tcPr>
          <w:p w14:paraId="3CD3D143"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Healthcare</w:t>
            </w:r>
          </w:p>
        </w:tc>
        <w:tc>
          <w:tcPr>
            <w:tcW w:w="851" w:type="dxa"/>
            <w:vMerge w:val="restart"/>
            <w:vAlign w:val="center"/>
          </w:tcPr>
          <w:p w14:paraId="250FCB7C"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Trial-based</w:t>
            </w:r>
          </w:p>
          <w:p w14:paraId="69FE2D36"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2 years</w:t>
            </w:r>
            <w:r w:rsidRPr="00800A49">
              <w:rPr>
                <w:rFonts w:ascii="Times New Roman" w:eastAsia="Times New Roman" w:hAnsi="Times New Roman" w:cs="Times New Roman"/>
                <w:color w:val="000000"/>
                <w:sz w:val="18"/>
                <w:szCs w:val="18"/>
                <w:lang w:eastAsia="en-AU"/>
              </w:rPr>
              <w:br/>
              <w:t>and</w:t>
            </w:r>
          </w:p>
          <w:p w14:paraId="5719504D"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3 years</w:t>
            </w:r>
          </w:p>
          <w:p w14:paraId="012A7218"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p w14:paraId="5467A735"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Model-based</w:t>
            </w:r>
          </w:p>
          <w:p w14:paraId="278687B4"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Lifetime</w:t>
            </w:r>
          </w:p>
          <w:p w14:paraId="6F10D576"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851" w:type="dxa"/>
            <w:shd w:val="clear" w:color="auto" w:fill="auto"/>
            <w:noWrap/>
            <w:vAlign w:val="center"/>
            <w:hideMark/>
          </w:tcPr>
          <w:p w14:paraId="73D9FE3C"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Mean</w:t>
            </w:r>
          </w:p>
          <w:p w14:paraId="0CFB3312"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43.9</w:t>
            </w:r>
          </w:p>
        </w:tc>
        <w:tc>
          <w:tcPr>
            <w:tcW w:w="1190" w:type="dxa"/>
            <w:vAlign w:val="center"/>
          </w:tcPr>
          <w:p w14:paraId="1BE2E2FA"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Trial-based</w:t>
            </w:r>
          </w:p>
          <w:p w14:paraId="6A2A5574"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411</w:t>
            </w:r>
          </w:p>
          <w:p w14:paraId="751D2BAA"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p w14:paraId="7B210181"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Model-based 10,000</w:t>
            </w:r>
          </w:p>
        </w:tc>
        <w:tc>
          <w:tcPr>
            <w:tcW w:w="2760" w:type="dxa"/>
            <w:vMerge w:val="restart"/>
            <w:shd w:val="clear" w:color="auto" w:fill="auto"/>
            <w:noWrap/>
            <w:hideMark/>
          </w:tcPr>
          <w:p w14:paraId="3C43AFAB"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Intervention costs (macro-costing)</w:t>
            </w:r>
          </w:p>
          <w:p w14:paraId="0BB70C11"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br/>
              <w:t>Dental treatment costs (restorations, repeat restorations, root canal, crown, extraction, bridge, implant)</w:t>
            </w:r>
          </w:p>
        </w:tc>
        <w:tc>
          <w:tcPr>
            <w:tcW w:w="1190" w:type="dxa"/>
            <w:gridSpan w:val="2"/>
            <w:vMerge w:val="restart"/>
            <w:shd w:val="clear" w:color="auto" w:fill="auto"/>
            <w:noWrap/>
            <w:vAlign w:val="center"/>
            <w:hideMark/>
          </w:tcPr>
          <w:p w14:paraId="08568C98"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5%</w:t>
            </w:r>
          </w:p>
        </w:tc>
        <w:tc>
          <w:tcPr>
            <w:tcW w:w="1978" w:type="dxa"/>
            <w:vMerge w:val="restart"/>
            <w:shd w:val="clear" w:color="auto" w:fill="auto"/>
            <w:noWrap/>
            <w:hideMark/>
          </w:tcPr>
          <w:p w14:paraId="7B5C6155"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Costs (AU$) per DMFT averted</w:t>
            </w:r>
            <w:r w:rsidRPr="00800A49">
              <w:rPr>
                <w:rFonts w:ascii="Times New Roman" w:eastAsia="Times New Roman" w:hAnsi="Times New Roman" w:cs="Times New Roman"/>
                <w:color w:val="000000"/>
                <w:sz w:val="18"/>
                <w:szCs w:val="18"/>
                <w:lang w:eastAsia="en-AU"/>
              </w:rPr>
              <w:br/>
              <w:t>1) Trial</w:t>
            </w:r>
          </w:p>
          <w:p w14:paraId="220EE9F9"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a) 2-year ICER: 539.17</w:t>
            </w:r>
            <w:r w:rsidRPr="00800A49">
              <w:rPr>
                <w:rFonts w:ascii="Times New Roman" w:eastAsia="Times New Roman" w:hAnsi="Times New Roman" w:cs="Times New Roman"/>
                <w:color w:val="000000"/>
                <w:sz w:val="18"/>
                <w:szCs w:val="18"/>
                <w:lang w:eastAsia="en-AU"/>
              </w:rPr>
              <w:br/>
              <w:t>b) 3-year ICER: 694.47</w:t>
            </w:r>
            <w:r w:rsidRPr="00800A49">
              <w:rPr>
                <w:rFonts w:ascii="Times New Roman" w:eastAsia="Times New Roman" w:hAnsi="Times New Roman" w:cs="Times New Roman"/>
                <w:color w:val="000000"/>
                <w:sz w:val="18"/>
                <w:szCs w:val="18"/>
                <w:lang w:eastAsia="en-AU"/>
              </w:rPr>
              <w:br/>
              <w:t>2) Model</w:t>
            </w:r>
          </w:p>
          <w:p w14:paraId="3132C51B"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a) 2-year ICER:1,287.07</w:t>
            </w:r>
            <w:r w:rsidRPr="00800A49">
              <w:rPr>
                <w:rFonts w:ascii="Times New Roman" w:eastAsia="Times New Roman" w:hAnsi="Times New Roman" w:cs="Times New Roman"/>
                <w:color w:val="000000"/>
                <w:sz w:val="18"/>
                <w:szCs w:val="18"/>
                <w:lang w:eastAsia="en-AU"/>
              </w:rPr>
              <w:br/>
              <w:t>b) 3-year ICER: 1,148.91</w:t>
            </w:r>
            <w:r w:rsidRPr="00800A49">
              <w:rPr>
                <w:rFonts w:ascii="Times New Roman" w:eastAsia="Times New Roman" w:hAnsi="Times New Roman" w:cs="Times New Roman"/>
                <w:color w:val="000000"/>
                <w:sz w:val="18"/>
                <w:szCs w:val="18"/>
                <w:lang w:eastAsia="en-AU"/>
              </w:rPr>
              <w:br/>
              <w:t>c) Lifetime ICER: 1,795.06</w:t>
            </w:r>
          </w:p>
          <w:p w14:paraId="03C079E0"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p>
          <w:p w14:paraId="0A102A6B"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Cost-effective = Yes; Arbitrary WTP AU$3,300 per restoration averted</w:t>
            </w:r>
          </w:p>
        </w:tc>
        <w:tc>
          <w:tcPr>
            <w:tcW w:w="1134" w:type="dxa"/>
            <w:vMerge w:val="restart"/>
            <w:vAlign w:val="center"/>
          </w:tcPr>
          <w:p w14:paraId="29380C83"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Good</w:t>
            </w:r>
          </w:p>
        </w:tc>
      </w:tr>
      <w:tr w:rsidR="008461EA" w:rsidRPr="00800A49" w14:paraId="2AD42E61" w14:textId="77777777" w:rsidTr="00720BDC">
        <w:trPr>
          <w:trHeight w:val="300"/>
        </w:trPr>
        <w:tc>
          <w:tcPr>
            <w:tcW w:w="1128" w:type="dxa"/>
            <w:vMerge/>
            <w:shd w:val="clear" w:color="auto" w:fill="auto"/>
            <w:noWrap/>
          </w:tcPr>
          <w:p w14:paraId="74F62316"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p>
        </w:tc>
        <w:tc>
          <w:tcPr>
            <w:tcW w:w="283" w:type="dxa"/>
            <w:vAlign w:val="center"/>
          </w:tcPr>
          <w:p w14:paraId="21ACF1AA"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C</w:t>
            </w:r>
          </w:p>
        </w:tc>
        <w:tc>
          <w:tcPr>
            <w:tcW w:w="709" w:type="dxa"/>
            <w:vAlign w:val="center"/>
          </w:tcPr>
          <w:p w14:paraId="02BFC52D"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N/A</w:t>
            </w:r>
          </w:p>
        </w:tc>
        <w:tc>
          <w:tcPr>
            <w:tcW w:w="2409" w:type="dxa"/>
            <w:shd w:val="clear" w:color="auto" w:fill="auto"/>
            <w:noWrap/>
            <w:vAlign w:val="center"/>
          </w:tcPr>
          <w:p w14:paraId="11FC0E97"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Standard care</w:t>
            </w:r>
          </w:p>
        </w:tc>
        <w:tc>
          <w:tcPr>
            <w:tcW w:w="1105" w:type="dxa"/>
            <w:vMerge/>
            <w:vAlign w:val="center"/>
          </w:tcPr>
          <w:p w14:paraId="0DC87607"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851" w:type="dxa"/>
            <w:vMerge/>
            <w:vAlign w:val="center"/>
          </w:tcPr>
          <w:p w14:paraId="5E649361"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851" w:type="dxa"/>
            <w:shd w:val="clear" w:color="auto" w:fill="auto"/>
            <w:noWrap/>
            <w:vAlign w:val="center"/>
          </w:tcPr>
          <w:p w14:paraId="5376C9DA"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Mean</w:t>
            </w:r>
          </w:p>
          <w:p w14:paraId="0F2A9354"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45.8</w:t>
            </w:r>
          </w:p>
        </w:tc>
        <w:tc>
          <w:tcPr>
            <w:tcW w:w="1190" w:type="dxa"/>
            <w:vAlign w:val="center"/>
          </w:tcPr>
          <w:p w14:paraId="6F62BCE7"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Trial-based</w:t>
            </w:r>
          </w:p>
          <w:p w14:paraId="39F5DD62"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400</w:t>
            </w:r>
          </w:p>
          <w:p w14:paraId="283ACEFF"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p w14:paraId="7323D0AB"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Model-based 10,000</w:t>
            </w:r>
          </w:p>
        </w:tc>
        <w:tc>
          <w:tcPr>
            <w:tcW w:w="2760" w:type="dxa"/>
            <w:vMerge/>
            <w:shd w:val="clear" w:color="auto" w:fill="auto"/>
            <w:noWrap/>
          </w:tcPr>
          <w:p w14:paraId="40092DA0"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p>
        </w:tc>
        <w:tc>
          <w:tcPr>
            <w:tcW w:w="1190" w:type="dxa"/>
            <w:gridSpan w:val="2"/>
            <w:vMerge/>
            <w:shd w:val="clear" w:color="auto" w:fill="auto"/>
            <w:noWrap/>
            <w:vAlign w:val="center"/>
          </w:tcPr>
          <w:p w14:paraId="3B28368E"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1978" w:type="dxa"/>
            <w:vMerge/>
            <w:shd w:val="clear" w:color="auto" w:fill="auto"/>
            <w:noWrap/>
          </w:tcPr>
          <w:p w14:paraId="10C1C0DA"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p>
        </w:tc>
        <w:tc>
          <w:tcPr>
            <w:tcW w:w="1134" w:type="dxa"/>
            <w:vMerge/>
            <w:vAlign w:val="center"/>
          </w:tcPr>
          <w:p w14:paraId="741027CF"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r>
      <w:tr w:rsidR="008461EA" w:rsidRPr="00800A49" w14:paraId="4526F6BC" w14:textId="77777777" w:rsidTr="00720BDC">
        <w:trPr>
          <w:trHeight w:val="578"/>
        </w:trPr>
        <w:tc>
          <w:tcPr>
            <w:tcW w:w="1128" w:type="dxa"/>
            <w:vMerge w:val="restart"/>
            <w:shd w:val="clear" w:color="auto" w:fill="auto"/>
            <w:noWrap/>
            <w:hideMark/>
          </w:tcPr>
          <w:p w14:paraId="29041495"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Davenport et al., 2003</w:t>
            </w:r>
          </w:p>
        </w:tc>
        <w:tc>
          <w:tcPr>
            <w:tcW w:w="283" w:type="dxa"/>
            <w:vMerge w:val="restart"/>
            <w:vAlign w:val="center"/>
          </w:tcPr>
          <w:p w14:paraId="1C966DB3"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I</w:t>
            </w:r>
          </w:p>
        </w:tc>
        <w:tc>
          <w:tcPr>
            <w:tcW w:w="709" w:type="dxa"/>
            <w:vAlign w:val="center"/>
          </w:tcPr>
          <w:p w14:paraId="51FB3023"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Ind.</w:t>
            </w:r>
          </w:p>
        </w:tc>
        <w:tc>
          <w:tcPr>
            <w:tcW w:w="2409" w:type="dxa"/>
            <w:shd w:val="clear" w:color="auto" w:fill="auto"/>
            <w:noWrap/>
            <w:vAlign w:val="center"/>
            <w:hideMark/>
          </w:tcPr>
          <w:p w14:paraId="2C728CD4"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3-monthly check-up</w:t>
            </w:r>
          </w:p>
        </w:tc>
        <w:tc>
          <w:tcPr>
            <w:tcW w:w="1105" w:type="dxa"/>
            <w:vMerge w:val="restart"/>
            <w:vAlign w:val="center"/>
          </w:tcPr>
          <w:p w14:paraId="419159E3"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Healthcare</w:t>
            </w:r>
          </w:p>
        </w:tc>
        <w:tc>
          <w:tcPr>
            <w:tcW w:w="851" w:type="dxa"/>
            <w:vMerge w:val="restart"/>
            <w:vAlign w:val="center"/>
          </w:tcPr>
          <w:p w14:paraId="00322E23"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6 years</w:t>
            </w:r>
          </w:p>
          <w:p w14:paraId="2020B1EF"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 xml:space="preserve">and </w:t>
            </w:r>
            <w:r w:rsidRPr="00800A49">
              <w:rPr>
                <w:rFonts w:ascii="Times New Roman" w:eastAsia="Times New Roman" w:hAnsi="Times New Roman" w:cs="Times New Roman"/>
                <w:color w:val="000000"/>
                <w:sz w:val="18"/>
                <w:szCs w:val="18"/>
                <w:lang w:eastAsia="en-AU"/>
              </w:rPr>
              <w:br/>
              <w:t>68 years</w:t>
            </w:r>
          </w:p>
        </w:tc>
        <w:tc>
          <w:tcPr>
            <w:tcW w:w="851" w:type="dxa"/>
            <w:vMerge w:val="restart"/>
            <w:shd w:val="clear" w:color="auto" w:fill="auto"/>
            <w:noWrap/>
            <w:vAlign w:val="center"/>
            <w:hideMark/>
          </w:tcPr>
          <w:p w14:paraId="2156E0AA"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1-6</w:t>
            </w:r>
          </w:p>
          <w:p w14:paraId="1CF59C85"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and</w:t>
            </w:r>
          </w:p>
          <w:p w14:paraId="15826E17"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12-80</w:t>
            </w:r>
          </w:p>
        </w:tc>
        <w:tc>
          <w:tcPr>
            <w:tcW w:w="1190" w:type="dxa"/>
            <w:vMerge w:val="restart"/>
            <w:vAlign w:val="center"/>
          </w:tcPr>
          <w:p w14:paraId="47C61EAE"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Individual</w:t>
            </w:r>
          </w:p>
        </w:tc>
        <w:tc>
          <w:tcPr>
            <w:tcW w:w="2760" w:type="dxa"/>
            <w:vMerge w:val="restart"/>
            <w:shd w:val="clear" w:color="auto" w:fill="auto"/>
            <w:noWrap/>
            <w:hideMark/>
          </w:tcPr>
          <w:p w14:paraId="1693C724"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Intervention costs (macro-costing)</w:t>
            </w:r>
            <w:r w:rsidRPr="00800A49">
              <w:rPr>
                <w:rFonts w:ascii="Times New Roman" w:eastAsia="Times New Roman" w:hAnsi="Times New Roman" w:cs="Times New Roman"/>
                <w:color w:val="000000"/>
                <w:sz w:val="18"/>
                <w:szCs w:val="18"/>
                <w:lang w:eastAsia="en-AU"/>
              </w:rPr>
              <w:br/>
            </w:r>
          </w:p>
          <w:p w14:paraId="3E4B5FF5"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Dental treatment costs (restorations)</w:t>
            </w:r>
          </w:p>
        </w:tc>
        <w:tc>
          <w:tcPr>
            <w:tcW w:w="634" w:type="dxa"/>
            <w:vMerge w:val="restart"/>
            <w:shd w:val="clear" w:color="auto" w:fill="auto"/>
            <w:noWrap/>
            <w:vAlign w:val="center"/>
          </w:tcPr>
          <w:p w14:paraId="6CAD1677"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6%</w:t>
            </w:r>
          </w:p>
        </w:tc>
        <w:tc>
          <w:tcPr>
            <w:tcW w:w="556" w:type="dxa"/>
            <w:vMerge w:val="restart"/>
            <w:vAlign w:val="center"/>
          </w:tcPr>
          <w:p w14:paraId="4743B29D"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N/R</w:t>
            </w:r>
          </w:p>
        </w:tc>
        <w:tc>
          <w:tcPr>
            <w:tcW w:w="1978" w:type="dxa"/>
            <w:vMerge w:val="restart"/>
            <w:shd w:val="clear" w:color="auto" w:fill="auto"/>
            <w:noWrap/>
            <w:hideMark/>
          </w:tcPr>
          <w:p w14:paraId="0B2813B8"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Net benefits/costs:</w:t>
            </w:r>
          </w:p>
          <w:p w14:paraId="1B8935CA"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12-monthly vs 6-monthly</w:t>
            </w:r>
          </w:p>
          <w:p w14:paraId="79E145D8"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 xml:space="preserve">1) </w:t>
            </w:r>
            <w:proofErr w:type="gramStart"/>
            <w:r w:rsidRPr="00800A49">
              <w:rPr>
                <w:rFonts w:ascii="Times New Roman" w:eastAsia="Times New Roman" w:hAnsi="Times New Roman" w:cs="Times New Roman"/>
                <w:color w:val="000000"/>
                <w:sz w:val="18"/>
                <w:szCs w:val="18"/>
                <w:lang w:eastAsia="en-AU"/>
              </w:rPr>
              <w:t>1-6 year olds</w:t>
            </w:r>
            <w:proofErr w:type="gramEnd"/>
            <w:r w:rsidRPr="00800A49">
              <w:rPr>
                <w:rFonts w:ascii="Times New Roman" w:eastAsia="Times New Roman" w:hAnsi="Times New Roman" w:cs="Times New Roman"/>
                <w:color w:val="000000"/>
                <w:sz w:val="18"/>
                <w:szCs w:val="18"/>
                <w:lang w:eastAsia="en-AU"/>
              </w:rPr>
              <w:t>:</w:t>
            </w:r>
          </w:p>
          <w:p w14:paraId="524169E7"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-£30 per person</w:t>
            </w:r>
          </w:p>
          <w:p w14:paraId="32889544"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 xml:space="preserve">2) </w:t>
            </w:r>
            <w:proofErr w:type="gramStart"/>
            <w:r w:rsidRPr="00800A49">
              <w:rPr>
                <w:rFonts w:ascii="Times New Roman" w:eastAsia="Times New Roman" w:hAnsi="Times New Roman" w:cs="Times New Roman"/>
                <w:color w:val="000000"/>
                <w:sz w:val="18"/>
                <w:szCs w:val="18"/>
                <w:lang w:eastAsia="en-AU"/>
              </w:rPr>
              <w:t>12-80 year olds</w:t>
            </w:r>
            <w:proofErr w:type="gramEnd"/>
            <w:r w:rsidRPr="00800A49">
              <w:rPr>
                <w:rFonts w:ascii="Times New Roman" w:eastAsia="Times New Roman" w:hAnsi="Times New Roman" w:cs="Times New Roman"/>
                <w:color w:val="000000"/>
                <w:sz w:val="18"/>
                <w:szCs w:val="18"/>
                <w:lang w:eastAsia="en-AU"/>
              </w:rPr>
              <w:t>: -£75 to</w:t>
            </w:r>
          </w:p>
          <w:p w14:paraId="3CD31D15"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-£95.00 per person</w:t>
            </w:r>
          </w:p>
          <w:p w14:paraId="0A0F7E22"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p>
          <w:p w14:paraId="0F66871E"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Cost-saving = Yes</w:t>
            </w:r>
          </w:p>
          <w:p w14:paraId="6B5A362E"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p>
          <w:p w14:paraId="7EDD69F5"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 xml:space="preserve">Cost (£) per </w:t>
            </w:r>
            <w:proofErr w:type="spellStart"/>
            <w:r w:rsidRPr="00800A49">
              <w:rPr>
                <w:rFonts w:ascii="Times New Roman" w:eastAsia="Times New Roman" w:hAnsi="Times New Roman" w:cs="Times New Roman"/>
                <w:color w:val="000000"/>
                <w:sz w:val="18"/>
                <w:szCs w:val="18"/>
                <w:lang w:eastAsia="en-AU"/>
              </w:rPr>
              <w:t>dmft</w:t>
            </w:r>
            <w:proofErr w:type="spellEnd"/>
            <w:r w:rsidRPr="00800A49">
              <w:rPr>
                <w:rFonts w:ascii="Times New Roman" w:eastAsia="Times New Roman" w:hAnsi="Times New Roman" w:cs="Times New Roman"/>
                <w:color w:val="000000"/>
                <w:sz w:val="18"/>
                <w:szCs w:val="18"/>
                <w:lang w:eastAsia="en-AU"/>
              </w:rPr>
              <w:t>/DMFT averted</w:t>
            </w:r>
            <w:r w:rsidRPr="00800A49">
              <w:rPr>
                <w:rFonts w:ascii="Times New Roman" w:eastAsia="Times New Roman" w:hAnsi="Times New Roman" w:cs="Times New Roman"/>
                <w:color w:val="000000"/>
                <w:sz w:val="18"/>
                <w:szCs w:val="18"/>
                <w:lang w:eastAsia="en-AU"/>
              </w:rPr>
              <w:br/>
              <w:t>ICER: N/R</w:t>
            </w:r>
          </w:p>
          <w:p w14:paraId="0F36E7E6"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lastRenderedPageBreak/>
              <w:t xml:space="preserve">Refer to Figure 3-6 for </w:t>
            </w:r>
            <w:proofErr w:type="spellStart"/>
            <w:r w:rsidRPr="00800A49">
              <w:rPr>
                <w:rFonts w:ascii="Times New Roman" w:eastAsia="Times New Roman" w:hAnsi="Times New Roman" w:cs="Times New Roman"/>
                <w:color w:val="000000"/>
                <w:sz w:val="18"/>
                <w:szCs w:val="18"/>
                <w:lang w:eastAsia="en-AU"/>
              </w:rPr>
              <w:t>dmft</w:t>
            </w:r>
            <w:proofErr w:type="spellEnd"/>
            <w:r w:rsidRPr="00800A49">
              <w:rPr>
                <w:rFonts w:ascii="Times New Roman" w:eastAsia="Times New Roman" w:hAnsi="Times New Roman" w:cs="Times New Roman"/>
                <w:color w:val="000000"/>
                <w:sz w:val="18"/>
                <w:szCs w:val="18"/>
                <w:lang w:eastAsia="en-AU"/>
              </w:rPr>
              <w:t>, and Figure 7-10 for DMFT outcomes, respectively</w:t>
            </w:r>
          </w:p>
          <w:p w14:paraId="486B1AD3"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p>
          <w:p w14:paraId="4FF0FA4D"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Cost-effective = N/S</w:t>
            </w:r>
          </w:p>
        </w:tc>
        <w:tc>
          <w:tcPr>
            <w:tcW w:w="1134" w:type="dxa"/>
            <w:vMerge w:val="restart"/>
            <w:vAlign w:val="center"/>
          </w:tcPr>
          <w:p w14:paraId="6ABF3A28"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lastRenderedPageBreak/>
              <w:t>Good</w:t>
            </w:r>
          </w:p>
        </w:tc>
      </w:tr>
      <w:tr w:rsidR="008461EA" w:rsidRPr="00800A49" w14:paraId="79CECD4F" w14:textId="77777777" w:rsidTr="00720BDC">
        <w:trPr>
          <w:trHeight w:val="559"/>
        </w:trPr>
        <w:tc>
          <w:tcPr>
            <w:tcW w:w="1128" w:type="dxa"/>
            <w:vMerge/>
            <w:shd w:val="clear" w:color="auto" w:fill="auto"/>
            <w:noWrap/>
          </w:tcPr>
          <w:p w14:paraId="02D45AD9"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p>
        </w:tc>
        <w:tc>
          <w:tcPr>
            <w:tcW w:w="283" w:type="dxa"/>
            <w:vMerge/>
            <w:vAlign w:val="center"/>
          </w:tcPr>
          <w:p w14:paraId="27ADF46D"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709" w:type="dxa"/>
            <w:vAlign w:val="center"/>
          </w:tcPr>
          <w:p w14:paraId="5786B8EA"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Ind.</w:t>
            </w:r>
          </w:p>
        </w:tc>
        <w:tc>
          <w:tcPr>
            <w:tcW w:w="2409" w:type="dxa"/>
            <w:shd w:val="clear" w:color="auto" w:fill="auto"/>
            <w:noWrap/>
            <w:vAlign w:val="center"/>
          </w:tcPr>
          <w:p w14:paraId="6670C624"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12-monthly check-up</w:t>
            </w:r>
          </w:p>
        </w:tc>
        <w:tc>
          <w:tcPr>
            <w:tcW w:w="1105" w:type="dxa"/>
            <w:vMerge/>
            <w:vAlign w:val="center"/>
          </w:tcPr>
          <w:p w14:paraId="0F6E4AD1"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851" w:type="dxa"/>
            <w:vMerge/>
            <w:vAlign w:val="center"/>
          </w:tcPr>
          <w:p w14:paraId="1538F172"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851" w:type="dxa"/>
            <w:vMerge/>
            <w:shd w:val="clear" w:color="auto" w:fill="auto"/>
            <w:noWrap/>
            <w:vAlign w:val="center"/>
          </w:tcPr>
          <w:p w14:paraId="44935AC3"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1190" w:type="dxa"/>
            <w:vMerge/>
            <w:vAlign w:val="center"/>
          </w:tcPr>
          <w:p w14:paraId="640DB518"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2760" w:type="dxa"/>
            <w:vMerge/>
            <w:shd w:val="clear" w:color="auto" w:fill="auto"/>
            <w:noWrap/>
          </w:tcPr>
          <w:p w14:paraId="7CE933C7"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p>
        </w:tc>
        <w:tc>
          <w:tcPr>
            <w:tcW w:w="634" w:type="dxa"/>
            <w:vMerge/>
            <w:shd w:val="clear" w:color="auto" w:fill="auto"/>
            <w:noWrap/>
            <w:vAlign w:val="center"/>
          </w:tcPr>
          <w:p w14:paraId="1974663C"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556" w:type="dxa"/>
            <w:vMerge/>
            <w:vAlign w:val="center"/>
          </w:tcPr>
          <w:p w14:paraId="2182D8E6"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1978" w:type="dxa"/>
            <w:vMerge/>
            <w:shd w:val="clear" w:color="auto" w:fill="auto"/>
            <w:noWrap/>
          </w:tcPr>
          <w:p w14:paraId="33C7C5E0"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p>
        </w:tc>
        <w:tc>
          <w:tcPr>
            <w:tcW w:w="1134" w:type="dxa"/>
            <w:vMerge/>
            <w:vAlign w:val="center"/>
          </w:tcPr>
          <w:p w14:paraId="11FEDF72"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r>
      <w:tr w:rsidR="008461EA" w:rsidRPr="00800A49" w14:paraId="4AE5A554" w14:textId="77777777" w:rsidTr="00720BDC">
        <w:trPr>
          <w:trHeight w:val="552"/>
        </w:trPr>
        <w:tc>
          <w:tcPr>
            <w:tcW w:w="1128" w:type="dxa"/>
            <w:vMerge/>
            <w:shd w:val="clear" w:color="auto" w:fill="auto"/>
            <w:noWrap/>
          </w:tcPr>
          <w:p w14:paraId="0DA7590C"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p>
        </w:tc>
        <w:tc>
          <w:tcPr>
            <w:tcW w:w="283" w:type="dxa"/>
            <w:vMerge/>
            <w:vAlign w:val="center"/>
          </w:tcPr>
          <w:p w14:paraId="680FD2E3"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709" w:type="dxa"/>
            <w:vAlign w:val="center"/>
          </w:tcPr>
          <w:p w14:paraId="421A2AC7"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Ind..</w:t>
            </w:r>
          </w:p>
        </w:tc>
        <w:tc>
          <w:tcPr>
            <w:tcW w:w="2409" w:type="dxa"/>
            <w:shd w:val="clear" w:color="auto" w:fill="auto"/>
            <w:noWrap/>
            <w:vAlign w:val="center"/>
          </w:tcPr>
          <w:p w14:paraId="00E7E5BF"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24-monthly check-up</w:t>
            </w:r>
          </w:p>
        </w:tc>
        <w:tc>
          <w:tcPr>
            <w:tcW w:w="1105" w:type="dxa"/>
            <w:vMerge/>
            <w:vAlign w:val="center"/>
          </w:tcPr>
          <w:p w14:paraId="5B656E82"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851" w:type="dxa"/>
            <w:vMerge/>
            <w:vAlign w:val="center"/>
          </w:tcPr>
          <w:p w14:paraId="5D4D4BD1"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851" w:type="dxa"/>
            <w:vMerge/>
            <w:shd w:val="clear" w:color="auto" w:fill="auto"/>
            <w:noWrap/>
            <w:vAlign w:val="center"/>
          </w:tcPr>
          <w:p w14:paraId="79626704"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1190" w:type="dxa"/>
            <w:vMerge/>
            <w:vAlign w:val="center"/>
          </w:tcPr>
          <w:p w14:paraId="4F16F957"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2760" w:type="dxa"/>
            <w:vMerge/>
            <w:shd w:val="clear" w:color="auto" w:fill="auto"/>
            <w:noWrap/>
          </w:tcPr>
          <w:p w14:paraId="3F68663B"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p>
        </w:tc>
        <w:tc>
          <w:tcPr>
            <w:tcW w:w="634" w:type="dxa"/>
            <w:vMerge/>
            <w:shd w:val="clear" w:color="auto" w:fill="auto"/>
            <w:noWrap/>
            <w:vAlign w:val="center"/>
          </w:tcPr>
          <w:p w14:paraId="2326C74B"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556" w:type="dxa"/>
            <w:vMerge/>
            <w:vAlign w:val="center"/>
          </w:tcPr>
          <w:p w14:paraId="21B84444"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1978" w:type="dxa"/>
            <w:vMerge/>
            <w:shd w:val="clear" w:color="auto" w:fill="auto"/>
            <w:noWrap/>
          </w:tcPr>
          <w:p w14:paraId="351FAB23"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p>
        </w:tc>
        <w:tc>
          <w:tcPr>
            <w:tcW w:w="1134" w:type="dxa"/>
            <w:vMerge/>
            <w:vAlign w:val="center"/>
          </w:tcPr>
          <w:p w14:paraId="1AF52DAA"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r>
      <w:tr w:rsidR="008461EA" w:rsidRPr="00800A49" w14:paraId="09D3AEAD" w14:textId="77777777" w:rsidTr="00720BDC">
        <w:trPr>
          <w:trHeight w:val="556"/>
        </w:trPr>
        <w:tc>
          <w:tcPr>
            <w:tcW w:w="1128" w:type="dxa"/>
            <w:vMerge/>
            <w:shd w:val="clear" w:color="auto" w:fill="auto"/>
            <w:noWrap/>
          </w:tcPr>
          <w:p w14:paraId="670467CC"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p>
        </w:tc>
        <w:tc>
          <w:tcPr>
            <w:tcW w:w="283" w:type="dxa"/>
            <w:vMerge/>
            <w:vAlign w:val="center"/>
          </w:tcPr>
          <w:p w14:paraId="2F0EE69C"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709" w:type="dxa"/>
            <w:vAlign w:val="center"/>
          </w:tcPr>
          <w:p w14:paraId="69B1BEEB"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Ind.</w:t>
            </w:r>
          </w:p>
        </w:tc>
        <w:tc>
          <w:tcPr>
            <w:tcW w:w="2409" w:type="dxa"/>
            <w:shd w:val="clear" w:color="auto" w:fill="auto"/>
            <w:noWrap/>
            <w:vAlign w:val="center"/>
          </w:tcPr>
          <w:p w14:paraId="62F62BD0"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36-monthly check-up</w:t>
            </w:r>
          </w:p>
        </w:tc>
        <w:tc>
          <w:tcPr>
            <w:tcW w:w="1105" w:type="dxa"/>
            <w:vMerge/>
            <w:vAlign w:val="center"/>
          </w:tcPr>
          <w:p w14:paraId="18FBC0BA"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851" w:type="dxa"/>
            <w:vMerge/>
            <w:vAlign w:val="center"/>
          </w:tcPr>
          <w:p w14:paraId="0D1D6435"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851" w:type="dxa"/>
            <w:vMerge/>
            <w:shd w:val="clear" w:color="auto" w:fill="auto"/>
            <w:noWrap/>
            <w:vAlign w:val="center"/>
          </w:tcPr>
          <w:p w14:paraId="3B9A076B"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1190" w:type="dxa"/>
            <w:vMerge/>
            <w:vAlign w:val="center"/>
          </w:tcPr>
          <w:p w14:paraId="1F1B5643"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2760" w:type="dxa"/>
            <w:vMerge/>
            <w:shd w:val="clear" w:color="auto" w:fill="auto"/>
            <w:noWrap/>
          </w:tcPr>
          <w:p w14:paraId="76C8F944"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p>
        </w:tc>
        <w:tc>
          <w:tcPr>
            <w:tcW w:w="634" w:type="dxa"/>
            <w:vMerge/>
            <w:shd w:val="clear" w:color="auto" w:fill="auto"/>
            <w:noWrap/>
            <w:vAlign w:val="center"/>
          </w:tcPr>
          <w:p w14:paraId="170F96FF"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556" w:type="dxa"/>
            <w:vMerge/>
            <w:vAlign w:val="center"/>
          </w:tcPr>
          <w:p w14:paraId="4C2080B0"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1978" w:type="dxa"/>
            <w:vMerge/>
            <w:shd w:val="clear" w:color="auto" w:fill="auto"/>
            <w:noWrap/>
          </w:tcPr>
          <w:p w14:paraId="15F5C7CA"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p>
        </w:tc>
        <w:tc>
          <w:tcPr>
            <w:tcW w:w="1134" w:type="dxa"/>
            <w:vMerge/>
            <w:vAlign w:val="center"/>
          </w:tcPr>
          <w:p w14:paraId="10FE60C9"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r>
      <w:tr w:rsidR="008461EA" w:rsidRPr="00800A49" w14:paraId="20F55420" w14:textId="77777777" w:rsidTr="00720BDC">
        <w:trPr>
          <w:trHeight w:val="413"/>
        </w:trPr>
        <w:tc>
          <w:tcPr>
            <w:tcW w:w="1128" w:type="dxa"/>
            <w:vMerge/>
            <w:shd w:val="clear" w:color="auto" w:fill="auto"/>
            <w:noWrap/>
          </w:tcPr>
          <w:p w14:paraId="18E0EA68"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p>
        </w:tc>
        <w:tc>
          <w:tcPr>
            <w:tcW w:w="283" w:type="dxa"/>
            <w:vAlign w:val="center"/>
          </w:tcPr>
          <w:p w14:paraId="078D5D2B"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C</w:t>
            </w:r>
          </w:p>
        </w:tc>
        <w:tc>
          <w:tcPr>
            <w:tcW w:w="709" w:type="dxa"/>
            <w:vAlign w:val="center"/>
          </w:tcPr>
          <w:p w14:paraId="553BF5BD"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Ind.</w:t>
            </w:r>
          </w:p>
        </w:tc>
        <w:tc>
          <w:tcPr>
            <w:tcW w:w="2409" w:type="dxa"/>
            <w:shd w:val="clear" w:color="auto" w:fill="auto"/>
            <w:noWrap/>
            <w:vAlign w:val="center"/>
          </w:tcPr>
          <w:p w14:paraId="784F398F"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6-monthly check-up</w:t>
            </w:r>
          </w:p>
        </w:tc>
        <w:tc>
          <w:tcPr>
            <w:tcW w:w="1105" w:type="dxa"/>
            <w:vMerge/>
            <w:vAlign w:val="center"/>
          </w:tcPr>
          <w:p w14:paraId="1260245A"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851" w:type="dxa"/>
            <w:vMerge/>
            <w:vAlign w:val="center"/>
          </w:tcPr>
          <w:p w14:paraId="0D5F5ED9"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851" w:type="dxa"/>
            <w:vMerge/>
            <w:shd w:val="clear" w:color="auto" w:fill="auto"/>
            <w:noWrap/>
            <w:vAlign w:val="center"/>
          </w:tcPr>
          <w:p w14:paraId="1EC66F9E"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1190" w:type="dxa"/>
            <w:vMerge/>
            <w:vAlign w:val="center"/>
          </w:tcPr>
          <w:p w14:paraId="3DB4D07F"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2760" w:type="dxa"/>
            <w:vMerge/>
            <w:shd w:val="clear" w:color="auto" w:fill="auto"/>
            <w:noWrap/>
          </w:tcPr>
          <w:p w14:paraId="5CAF78A5"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p>
        </w:tc>
        <w:tc>
          <w:tcPr>
            <w:tcW w:w="634" w:type="dxa"/>
            <w:vMerge/>
            <w:shd w:val="clear" w:color="auto" w:fill="auto"/>
            <w:noWrap/>
            <w:vAlign w:val="center"/>
          </w:tcPr>
          <w:p w14:paraId="52B429FB"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556" w:type="dxa"/>
            <w:vMerge/>
            <w:vAlign w:val="center"/>
          </w:tcPr>
          <w:p w14:paraId="64BB6C6E"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1978" w:type="dxa"/>
            <w:vMerge/>
            <w:shd w:val="clear" w:color="auto" w:fill="auto"/>
            <w:noWrap/>
          </w:tcPr>
          <w:p w14:paraId="053BA788"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p>
        </w:tc>
        <w:tc>
          <w:tcPr>
            <w:tcW w:w="1134" w:type="dxa"/>
            <w:vMerge/>
            <w:vAlign w:val="center"/>
          </w:tcPr>
          <w:p w14:paraId="5C96D1A3"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r>
      <w:tr w:rsidR="008461EA" w:rsidRPr="00800A49" w14:paraId="738A0123" w14:textId="77777777" w:rsidTr="00720BDC">
        <w:trPr>
          <w:trHeight w:val="300"/>
        </w:trPr>
        <w:tc>
          <w:tcPr>
            <w:tcW w:w="1128" w:type="dxa"/>
            <w:vMerge w:val="restart"/>
            <w:shd w:val="clear" w:color="auto" w:fill="auto"/>
            <w:noWrap/>
            <w:hideMark/>
          </w:tcPr>
          <w:p w14:paraId="7EA91767"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Davies et al., 2003</w:t>
            </w:r>
          </w:p>
        </w:tc>
        <w:tc>
          <w:tcPr>
            <w:tcW w:w="283" w:type="dxa"/>
            <w:vAlign w:val="center"/>
          </w:tcPr>
          <w:p w14:paraId="37F3CB12"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I</w:t>
            </w:r>
          </w:p>
        </w:tc>
        <w:tc>
          <w:tcPr>
            <w:tcW w:w="709" w:type="dxa"/>
            <w:vAlign w:val="center"/>
          </w:tcPr>
          <w:p w14:paraId="1EC246BC"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Sel.</w:t>
            </w:r>
          </w:p>
        </w:tc>
        <w:tc>
          <w:tcPr>
            <w:tcW w:w="2409" w:type="dxa"/>
            <w:shd w:val="clear" w:color="auto" w:fill="auto"/>
            <w:noWrap/>
            <w:vAlign w:val="center"/>
            <w:hideMark/>
          </w:tcPr>
          <w:p w14:paraId="1E2061EE"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Quarterly postage of fluoride toothpastes (1,450ppm) and toothbrushes in a socioeconomic disadvantaged area</w:t>
            </w:r>
          </w:p>
        </w:tc>
        <w:tc>
          <w:tcPr>
            <w:tcW w:w="1105" w:type="dxa"/>
            <w:vMerge w:val="restart"/>
            <w:vAlign w:val="center"/>
          </w:tcPr>
          <w:p w14:paraId="5B59B3D0"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Societal</w:t>
            </w:r>
          </w:p>
        </w:tc>
        <w:tc>
          <w:tcPr>
            <w:tcW w:w="851" w:type="dxa"/>
            <w:vMerge w:val="restart"/>
            <w:vAlign w:val="center"/>
          </w:tcPr>
          <w:p w14:paraId="1B540FED"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4 years</w:t>
            </w:r>
          </w:p>
        </w:tc>
        <w:tc>
          <w:tcPr>
            <w:tcW w:w="851" w:type="dxa"/>
            <w:vMerge w:val="restart"/>
            <w:shd w:val="clear" w:color="auto" w:fill="auto"/>
            <w:noWrap/>
            <w:vAlign w:val="center"/>
            <w:hideMark/>
          </w:tcPr>
          <w:p w14:paraId="02F3B704"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&lt;1</w:t>
            </w:r>
          </w:p>
        </w:tc>
        <w:tc>
          <w:tcPr>
            <w:tcW w:w="1190" w:type="dxa"/>
            <w:vMerge w:val="restart"/>
            <w:vAlign w:val="center"/>
          </w:tcPr>
          <w:p w14:paraId="5AC0C59B"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5,344</w:t>
            </w:r>
          </w:p>
        </w:tc>
        <w:tc>
          <w:tcPr>
            <w:tcW w:w="2760" w:type="dxa"/>
            <w:vMerge w:val="restart"/>
            <w:shd w:val="clear" w:color="auto" w:fill="auto"/>
            <w:noWrap/>
            <w:hideMark/>
          </w:tcPr>
          <w:p w14:paraId="3069AB25"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Intervention costs (micro-costing for labour, overheads and consumables)</w:t>
            </w:r>
          </w:p>
        </w:tc>
        <w:tc>
          <w:tcPr>
            <w:tcW w:w="634" w:type="dxa"/>
            <w:vMerge w:val="restart"/>
            <w:shd w:val="clear" w:color="auto" w:fill="auto"/>
            <w:noWrap/>
            <w:vAlign w:val="center"/>
          </w:tcPr>
          <w:p w14:paraId="60D78122"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5%</w:t>
            </w:r>
          </w:p>
        </w:tc>
        <w:tc>
          <w:tcPr>
            <w:tcW w:w="556" w:type="dxa"/>
            <w:vMerge w:val="restart"/>
            <w:vAlign w:val="center"/>
          </w:tcPr>
          <w:p w14:paraId="4681D542"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N/R</w:t>
            </w:r>
          </w:p>
        </w:tc>
        <w:tc>
          <w:tcPr>
            <w:tcW w:w="1978" w:type="dxa"/>
            <w:vMerge w:val="restart"/>
            <w:shd w:val="clear" w:color="auto" w:fill="auto"/>
            <w:noWrap/>
            <w:hideMark/>
          </w:tcPr>
          <w:p w14:paraId="7DDF31FE"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 xml:space="preserve">Cost (£) per </w:t>
            </w:r>
            <w:proofErr w:type="spellStart"/>
            <w:r w:rsidRPr="00800A49">
              <w:rPr>
                <w:rFonts w:ascii="Times New Roman" w:eastAsia="Times New Roman" w:hAnsi="Times New Roman" w:cs="Times New Roman"/>
                <w:color w:val="000000"/>
                <w:sz w:val="18"/>
                <w:szCs w:val="18"/>
                <w:lang w:eastAsia="en-AU"/>
              </w:rPr>
              <w:t>dmft</w:t>
            </w:r>
            <w:proofErr w:type="spellEnd"/>
            <w:r w:rsidRPr="00800A49">
              <w:rPr>
                <w:rFonts w:ascii="Times New Roman" w:eastAsia="Times New Roman" w:hAnsi="Times New Roman" w:cs="Times New Roman"/>
                <w:color w:val="000000"/>
                <w:sz w:val="18"/>
                <w:szCs w:val="18"/>
                <w:lang w:eastAsia="en-AU"/>
              </w:rPr>
              <w:t xml:space="preserve"> averted</w:t>
            </w:r>
            <w:r w:rsidRPr="00800A49">
              <w:rPr>
                <w:rFonts w:ascii="Times New Roman" w:eastAsia="Times New Roman" w:hAnsi="Times New Roman" w:cs="Times New Roman"/>
                <w:color w:val="000000"/>
                <w:sz w:val="18"/>
                <w:szCs w:val="18"/>
                <w:lang w:eastAsia="en-AU"/>
              </w:rPr>
              <w:br/>
              <w:t>ICER: 80.83</w:t>
            </w:r>
            <w:r w:rsidRPr="00800A49">
              <w:rPr>
                <w:rFonts w:ascii="Times New Roman" w:eastAsia="Times New Roman" w:hAnsi="Times New Roman" w:cs="Times New Roman"/>
                <w:color w:val="000000"/>
                <w:sz w:val="18"/>
                <w:szCs w:val="18"/>
                <w:lang w:eastAsia="en-AU"/>
              </w:rPr>
              <w:br/>
            </w:r>
          </w:p>
          <w:p w14:paraId="768DE87D"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Cost (£) per caries-free person</w:t>
            </w:r>
            <w:r w:rsidRPr="00800A49">
              <w:rPr>
                <w:rFonts w:ascii="Times New Roman" w:eastAsia="Times New Roman" w:hAnsi="Times New Roman" w:cs="Times New Roman"/>
                <w:color w:val="000000"/>
                <w:sz w:val="18"/>
                <w:szCs w:val="18"/>
                <w:lang w:eastAsia="en-AU"/>
              </w:rPr>
              <w:br/>
              <w:t>ICER: 424.38</w:t>
            </w:r>
          </w:p>
          <w:p w14:paraId="3D1CF022"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br/>
              <w:t>Cost (£) per extraction-free person</w:t>
            </w:r>
            <w:r w:rsidRPr="00800A49">
              <w:rPr>
                <w:rFonts w:ascii="Times New Roman" w:eastAsia="Times New Roman" w:hAnsi="Times New Roman" w:cs="Times New Roman"/>
                <w:color w:val="000000"/>
                <w:sz w:val="18"/>
                <w:szCs w:val="18"/>
                <w:lang w:eastAsia="en-AU"/>
              </w:rPr>
              <w:br/>
              <w:t>ICER: 679.01</w:t>
            </w:r>
          </w:p>
          <w:p w14:paraId="1A351169"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p>
          <w:p w14:paraId="00E9A072"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Cost-effective = N/S</w:t>
            </w:r>
          </w:p>
        </w:tc>
        <w:tc>
          <w:tcPr>
            <w:tcW w:w="1134" w:type="dxa"/>
            <w:vMerge w:val="restart"/>
            <w:vAlign w:val="center"/>
          </w:tcPr>
          <w:p w14:paraId="1DBCEAD7"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Low</w:t>
            </w:r>
          </w:p>
        </w:tc>
      </w:tr>
      <w:tr w:rsidR="008461EA" w:rsidRPr="00800A49" w14:paraId="19EADE7D" w14:textId="77777777" w:rsidTr="00720BDC">
        <w:trPr>
          <w:trHeight w:val="300"/>
        </w:trPr>
        <w:tc>
          <w:tcPr>
            <w:tcW w:w="1128" w:type="dxa"/>
            <w:vMerge/>
            <w:shd w:val="clear" w:color="auto" w:fill="auto"/>
            <w:noWrap/>
          </w:tcPr>
          <w:p w14:paraId="105A888D"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p>
        </w:tc>
        <w:tc>
          <w:tcPr>
            <w:tcW w:w="283" w:type="dxa"/>
            <w:vAlign w:val="center"/>
          </w:tcPr>
          <w:p w14:paraId="7C354995"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C</w:t>
            </w:r>
          </w:p>
        </w:tc>
        <w:tc>
          <w:tcPr>
            <w:tcW w:w="709" w:type="dxa"/>
            <w:vAlign w:val="center"/>
          </w:tcPr>
          <w:p w14:paraId="2354DA75"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N/A</w:t>
            </w:r>
          </w:p>
        </w:tc>
        <w:tc>
          <w:tcPr>
            <w:tcW w:w="2409" w:type="dxa"/>
            <w:shd w:val="clear" w:color="auto" w:fill="auto"/>
            <w:noWrap/>
            <w:vAlign w:val="center"/>
          </w:tcPr>
          <w:p w14:paraId="094D81C4"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No intervention</w:t>
            </w:r>
          </w:p>
        </w:tc>
        <w:tc>
          <w:tcPr>
            <w:tcW w:w="1105" w:type="dxa"/>
            <w:vMerge/>
            <w:vAlign w:val="center"/>
          </w:tcPr>
          <w:p w14:paraId="7D77E5B6"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851" w:type="dxa"/>
            <w:vMerge/>
            <w:vAlign w:val="center"/>
          </w:tcPr>
          <w:p w14:paraId="7BB46914"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851" w:type="dxa"/>
            <w:vMerge/>
            <w:shd w:val="clear" w:color="auto" w:fill="auto"/>
            <w:noWrap/>
            <w:vAlign w:val="center"/>
          </w:tcPr>
          <w:p w14:paraId="53302F1B"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1190" w:type="dxa"/>
            <w:vMerge/>
            <w:vAlign w:val="center"/>
          </w:tcPr>
          <w:p w14:paraId="7A8C0EF9"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2760" w:type="dxa"/>
            <w:vMerge/>
            <w:shd w:val="clear" w:color="auto" w:fill="auto"/>
            <w:noWrap/>
          </w:tcPr>
          <w:p w14:paraId="6A27636F"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p>
        </w:tc>
        <w:tc>
          <w:tcPr>
            <w:tcW w:w="634" w:type="dxa"/>
            <w:vMerge/>
            <w:shd w:val="clear" w:color="auto" w:fill="auto"/>
            <w:noWrap/>
            <w:vAlign w:val="center"/>
          </w:tcPr>
          <w:p w14:paraId="041E98A2"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556" w:type="dxa"/>
            <w:vMerge/>
            <w:vAlign w:val="center"/>
          </w:tcPr>
          <w:p w14:paraId="24D22345"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1978" w:type="dxa"/>
            <w:vMerge/>
            <w:shd w:val="clear" w:color="auto" w:fill="auto"/>
            <w:noWrap/>
          </w:tcPr>
          <w:p w14:paraId="2C9FCC2F"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p>
        </w:tc>
        <w:tc>
          <w:tcPr>
            <w:tcW w:w="1134" w:type="dxa"/>
            <w:vMerge/>
            <w:vAlign w:val="center"/>
          </w:tcPr>
          <w:p w14:paraId="0968F0CF"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r>
      <w:tr w:rsidR="008461EA" w:rsidRPr="00800A49" w14:paraId="675C4B29" w14:textId="77777777" w:rsidTr="00720BDC">
        <w:trPr>
          <w:trHeight w:val="300"/>
        </w:trPr>
        <w:tc>
          <w:tcPr>
            <w:tcW w:w="1128" w:type="dxa"/>
            <w:vMerge w:val="restart"/>
            <w:shd w:val="clear" w:color="auto" w:fill="auto"/>
            <w:noWrap/>
            <w:hideMark/>
          </w:tcPr>
          <w:p w14:paraId="6266181B"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proofErr w:type="spellStart"/>
            <w:r w:rsidRPr="00800A49">
              <w:rPr>
                <w:rFonts w:ascii="Times New Roman" w:eastAsia="Times New Roman" w:hAnsi="Times New Roman" w:cs="Times New Roman"/>
                <w:color w:val="000000"/>
                <w:sz w:val="18"/>
                <w:szCs w:val="18"/>
                <w:lang w:eastAsia="en-AU"/>
              </w:rPr>
              <w:t>Eskandarizadeh</w:t>
            </w:r>
            <w:proofErr w:type="spellEnd"/>
            <w:r w:rsidRPr="00800A49">
              <w:rPr>
                <w:rFonts w:ascii="Times New Roman" w:eastAsia="Times New Roman" w:hAnsi="Times New Roman" w:cs="Times New Roman"/>
                <w:color w:val="000000"/>
                <w:sz w:val="18"/>
                <w:szCs w:val="18"/>
                <w:lang w:eastAsia="en-AU"/>
              </w:rPr>
              <w:t xml:space="preserve"> et al., 2016</w:t>
            </w:r>
          </w:p>
        </w:tc>
        <w:tc>
          <w:tcPr>
            <w:tcW w:w="283" w:type="dxa"/>
            <w:vAlign w:val="center"/>
          </w:tcPr>
          <w:p w14:paraId="01B7B494"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I</w:t>
            </w:r>
          </w:p>
        </w:tc>
        <w:tc>
          <w:tcPr>
            <w:tcW w:w="709" w:type="dxa"/>
            <w:vAlign w:val="center"/>
          </w:tcPr>
          <w:p w14:paraId="7F975366"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Uni.</w:t>
            </w:r>
          </w:p>
        </w:tc>
        <w:tc>
          <w:tcPr>
            <w:tcW w:w="2409" w:type="dxa"/>
            <w:shd w:val="clear" w:color="auto" w:fill="auto"/>
            <w:noWrap/>
            <w:vAlign w:val="center"/>
            <w:hideMark/>
          </w:tcPr>
          <w:p w14:paraId="6B6774C1"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Water fluoridation</w:t>
            </w:r>
          </w:p>
        </w:tc>
        <w:tc>
          <w:tcPr>
            <w:tcW w:w="1105" w:type="dxa"/>
            <w:vMerge w:val="restart"/>
            <w:vAlign w:val="center"/>
          </w:tcPr>
          <w:p w14:paraId="7AF6F4E3"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Societal</w:t>
            </w:r>
          </w:p>
        </w:tc>
        <w:tc>
          <w:tcPr>
            <w:tcW w:w="851" w:type="dxa"/>
            <w:vMerge w:val="restart"/>
            <w:vAlign w:val="center"/>
          </w:tcPr>
          <w:p w14:paraId="6F1DB481"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1 year</w:t>
            </w:r>
          </w:p>
        </w:tc>
        <w:tc>
          <w:tcPr>
            <w:tcW w:w="851" w:type="dxa"/>
            <w:vMerge w:val="restart"/>
            <w:shd w:val="clear" w:color="auto" w:fill="auto"/>
            <w:noWrap/>
            <w:vAlign w:val="center"/>
            <w:hideMark/>
          </w:tcPr>
          <w:p w14:paraId="61A2A56F"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&lt;45</w:t>
            </w:r>
          </w:p>
        </w:tc>
        <w:tc>
          <w:tcPr>
            <w:tcW w:w="1190" w:type="dxa"/>
            <w:vMerge w:val="restart"/>
            <w:vAlign w:val="center"/>
          </w:tcPr>
          <w:p w14:paraId="37B174CF"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490,493</w:t>
            </w:r>
          </w:p>
        </w:tc>
        <w:tc>
          <w:tcPr>
            <w:tcW w:w="2760" w:type="dxa"/>
            <w:vMerge w:val="restart"/>
            <w:shd w:val="clear" w:color="auto" w:fill="auto"/>
            <w:noWrap/>
            <w:hideMark/>
          </w:tcPr>
          <w:p w14:paraId="2DDAE8BD"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Intervention costs (capital and maintenance)</w:t>
            </w:r>
          </w:p>
          <w:p w14:paraId="421F75B3"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br/>
              <w:t>Dental treatment costs (restorations)</w:t>
            </w:r>
          </w:p>
        </w:tc>
        <w:tc>
          <w:tcPr>
            <w:tcW w:w="1190" w:type="dxa"/>
            <w:gridSpan w:val="2"/>
            <w:vMerge w:val="restart"/>
            <w:shd w:val="clear" w:color="auto" w:fill="auto"/>
            <w:noWrap/>
            <w:vAlign w:val="center"/>
            <w:hideMark/>
          </w:tcPr>
          <w:p w14:paraId="4BF3221A"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N/A</w:t>
            </w:r>
          </w:p>
        </w:tc>
        <w:tc>
          <w:tcPr>
            <w:tcW w:w="1978" w:type="dxa"/>
            <w:vMerge w:val="restart"/>
            <w:shd w:val="clear" w:color="auto" w:fill="auto"/>
            <w:noWrap/>
            <w:hideMark/>
          </w:tcPr>
          <w:p w14:paraId="497023A0"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Cost-benefit ratio</w:t>
            </w:r>
            <w:r w:rsidRPr="00800A49">
              <w:rPr>
                <w:rFonts w:ascii="Times New Roman" w:eastAsia="Times New Roman" w:hAnsi="Times New Roman" w:cs="Times New Roman"/>
                <w:color w:val="000000"/>
                <w:sz w:val="18"/>
                <w:szCs w:val="18"/>
                <w:lang w:eastAsia="en-AU"/>
              </w:rPr>
              <w:br/>
              <w:t>1) 30% ICER: 58.2 (34.9; 81.6)</w:t>
            </w:r>
            <w:r w:rsidRPr="00800A49">
              <w:rPr>
                <w:rFonts w:ascii="Times New Roman" w:eastAsia="Times New Roman" w:hAnsi="Times New Roman" w:cs="Times New Roman"/>
                <w:color w:val="000000"/>
                <w:sz w:val="18"/>
                <w:szCs w:val="18"/>
                <w:lang w:eastAsia="en-AU"/>
              </w:rPr>
              <w:br/>
              <w:t>2) 40% ICER: 77.7 (46.6; 108.8)</w:t>
            </w:r>
            <w:r w:rsidRPr="00800A49">
              <w:rPr>
                <w:rFonts w:ascii="Times New Roman" w:eastAsia="Times New Roman" w:hAnsi="Times New Roman" w:cs="Times New Roman"/>
                <w:color w:val="000000"/>
                <w:sz w:val="18"/>
                <w:szCs w:val="18"/>
                <w:lang w:eastAsia="en-AU"/>
              </w:rPr>
              <w:br/>
              <w:t>3) 50% ICER: 97.1 (58.2; 136.0)</w:t>
            </w:r>
          </w:p>
          <w:p w14:paraId="6E138558"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p>
          <w:p w14:paraId="7DEF6119"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Cost-</w:t>
            </w:r>
            <w:proofErr w:type="gramStart"/>
            <w:r w:rsidRPr="00800A49">
              <w:rPr>
                <w:rFonts w:ascii="Times New Roman" w:eastAsia="Times New Roman" w:hAnsi="Times New Roman" w:cs="Times New Roman"/>
                <w:color w:val="000000"/>
                <w:sz w:val="18"/>
                <w:szCs w:val="18"/>
                <w:lang w:eastAsia="en-AU"/>
              </w:rPr>
              <w:t>saving  =</w:t>
            </w:r>
            <w:proofErr w:type="gramEnd"/>
            <w:r w:rsidRPr="00800A49">
              <w:rPr>
                <w:rFonts w:ascii="Times New Roman" w:eastAsia="Times New Roman" w:hAnsi="Times New Roman" w:cs="Times New Roman"/>
                <w:color w:val="000000"/>
                <w:sz w:val="18"/>
                <w:szCs w:val="18"/>
                <w:lang w:eastAsia="en-AU"/>
              </w:rPr>
              <w:t xml:space="preserve"> Yes</w:t>
            </w:r>
          </w:p>
        </w:tc>
        <w:tc>
          <w:tcPr>
            <w:tcW w:w="1134" w:type="dxa"/>
            <w:vMerge w:val="restart"/>
            <w:vAlign w:val="center"/>
          </w:tcPr>
          <w:p w14:paraId="636CFE15"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Moderate</w:t>
            </w:r>
          </w:p>
        </w:tc>
      </w:tr>
      <w:tr w:rsidR="008461EA" w:rsidRPr="00800A49" w14:paraId="0F6DA61D" w14:textId="77777777" w:rsidTr="00720BDC">
        <w:trPr>
          <w:trHeight w:val="300"/>
        </w:trPr>
        <w:tc>
          <w:tcPr>
            <w:tcW w:w="1128" w:type="dxa"/>
            <w:vMerge/>
            <w:shd w:val="clear" w:color="auto" w:fill="auto"/>
            <w:noWrap/>
          </w:tcPr>
          <w:p w14:paraId="5ABC546F"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p>
        </w:tc>
        <w:tc>
          <w:tcPr>
            <w:tcW w:w="283" w:type="dxa"/>
            <w:vAlign w:val="center"/>
          </w:tcPr>
          <w:p w14:paraId="06001FC9"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C</w:t>
            </w:r>
          </w:p>
        </w:tc>
        <w:tc>
          <w:tcPr>
            <w:tcW w:w="709" w:type="dxa"/>
            <w:vAlign w:val="center"/>
          </w:tcPr>
          <w:p w14:paraId="4DD0265B"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N/A</w:t>
            </w:r>
          </w:p>
        </w:tc>
        <w:tc>
          <w:tcPr>
            <w:tcW w:w="2409" w:type="dxa"/>
            <w:shd w:val="clear" w:color="auto" w:fill="auto"/>
            <w:noWrap/>
            <w:vAlign w:val="center"/>
          </w:tcPr>
          <w:p w14:paraId="455C3DB6"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No intervention</w:t>
            </w:r>
          </w:p>
        </w:tc>
        <w:tc>
          <w:tcPr>
            <w:tcW w:w="1105" w:type="dxa"/>
            <w:vMerge/>
            <w:vAlign w:val="center"/>
          </w:tcPr>
          <w:p w14:paraId="7EB841FC"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851" w:type="dxa"/>
            <w:vMerge/>
            <w:vAlign w:val="center"/>
          </w:tcPr>
          <w:p w14:paraId="7DC85CB3"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851" w:type="dxa"/>
            <w:vMerge/>
            <w:shd w:val="clear" w:color="auto" w:fill="auto"/>
            <w:noWrap/>
            <w:vAlign w:val="center"/>
          </w:tcPr>
          <w:p w14:paraId="0A993E7C"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1190" w:type="dxa"/>
            <w:vMerge/>
            <w:vAlign w:val="center"/>
          </w:tcPr>
          <w:p w14:paraId="33FECD7A"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2760" w:type="dxa"/>
            <w:vMerge/>
            <w:shd w:val="clear" w:color="auto" w:fill="auto"/>
            <w:noWrap/>
          </w:tcPr>
          <w:p w14:paraId="511D7E29"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p>
        </w:tc>
        <w:tc>
          <w:tcPr>
            <w:tcW w:w="1190" w:type="dxa"/>
            <w:gridSpan w:val="2"/>
            <w:vMerge/>
            <w:shd w:val="clear" w:color="auto" w:fill="auto"/>
            <w:noWrap/>
            <w:vAlign w:val="center"/>
          </w:tcPr>
          <w:p w14:paraId="737DD79D"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1978" w:type="dxa"/>
            <w:vMerge/>
            <w:shd w:val="clear" w:color="auto" w:fill="auto"/>
            <w:noWrap/>
          </w:tcPr>
          <w:p w14:paraId="3DC59161"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p>
        </w:tc>
        <w:tc>
          <w:tcPr>
            <w:tcW w:w="1134" w:type="dxa"/>
            <w:vMerge/>
            <w:vAlign w:val="center"/>
          </w:tcPr>
          <w:p w14:paraId="5F670D14"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r>
      <w:tr w:rsidR="008461EA" w:rsidRPr="00800A49" w14:paraId="3ADC97F4" w14:textId="77777777" w:rsidTr="00720BDC">
        <w:trPr>
          <w:trHeight w:val="300"/>
        </w:trPr>
        <w:tc>
          <w:tcPr>
            <w:tcW w:w="1128" w:type="dxa"/>
            <w:vMerge w:val="restart"/>
            <w:shd w:val="clear" w:color="auto" w:fill="auto"/>
            <w:noWrap/>
            <w:hideMark/>
          </w:tcPr>
          <w:p w14:paraId="7C8A64F2"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Espinoza-Espinoza et al., 2019</w:t>
            </w:r>
          </w:p>
        </w:tc>
        <w:tc>
          <w:tcPr>
            <w:tcW w:w="283" w:type="dxa"/>
            <w:vAlign w:val="center"/>
          </w:tcPr>
          <w:p w14:paraId="644FA3E1"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I</w:t>
            </w:r>
          </w:p>
        </w:tc>
        <w:tc>
          <w:tcPr>
            <w:tcW w:w="709" w:type="dxa"/>
            <w:vAlign w:val="center"/>
          </w:tcPr>
          <w:p w14:paraId="5E4ED444"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Sel.</w:t>
            </w:r>
          </w:p>
        </w:tc>
        <w:tc>
          <w:tcPr>
            <w:tcW w:w="2409" w:type="dxa"/>
            <w:shd w:val="clear" w:color="auto" w:fill="auto"/>
            <w:noWrap/>
            <w:vAlign w:val="center"/>
            <w:hideMark/>
          </w:tcPr>
          <w:p w14:paraId="11321344"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Targeted school-based fissure sealants (all 1</w:t>
            </w:r>
            <w:r w:rsidRPr="00800A49">
              <w:rPr>
                <w:rFonts w:ascii="Times New Roman" w:eastAsia="Times New Roman" w:hAnsi="Times New Roman" w:cs="Times New Roman"/>
                <w:color w:val="000000"/>
                <w:sz w:val="18"/>
                <w:szCs w:val="18"/>
                <w:vertAlign w:val="superscript"/>
                <w:lang w:eastAsia="en-AU"/>
              </w:rPr>
              <w:t>st</w:t>
            </w:r>
            <w:r w:rsidRPr="00800A49">
              <w:rPr>
                <w:rFonts w:ascii="Times New Roman" w:eastAsia="Times New Roman" w:hAnsi="Times New Roman" w:cs="Times New Roman"/>
                <w:color w:val="000000"/>
                <w:sz w:val="18"/>
                <w:szCs w:val="18"/>
                <w:lang w:eastAsia="en-AU"/>
              </w:rPr>
              <w:t xml:space="preserve"> permanent molars)</w:t>
            </w:r>
          </w:p>
        </w:tc>
        <w:tc>
          <w:tcPr>
            <w:tcW w:w="1105" w:type="dxa"/>
            <w:vMerge w:val="restart"/>
            <w:vAlign w:val="center"/>
          </w:tcPr>
          <w:p w14:paraId="4919D405"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Healthcare</w:t>
            </w:r>
          </w:p>
        </w:tc>
        <w:tc>
          <w:tcPr>
            <w:tcW w:w="851" w:type="dxa"/>
            <w:vMerge w:val="restart"/>
            <w:vAlign w:val="center"/>
          </w:tcPr>
          <w:p w14:paraId="7EE7A61E"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6 years</w:t>
            </w:r>
          </w:p>
        </w:tc>
        <w:tc>
          <w:tcPr>
            <w:tcW w:w="851" w:type="dxa"/>
            <w:vMerge w:val="restart"/>
            <w:shd w:val="clear" w:color="auto" w:fill="auto"/>
            <w:noWrap/>
            <w:vAlign w:val="center"/>
            <w:hideMark/>
          </w:tcPr>
          <w:p w14:paraId="17DCD918"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6</w:t>
            </w:r>
          </w:p>
        </w:tc>
        <w:tc>
          <w:tcPr>
            <w:tcW w:w="1190" w:type="dxa"/>
            <w:vMerge w:val="restart"/>
            <w:vAlign w:val="center"/>
          </w:tcPr>
          <w:p w14:paraId="0E811B81"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N/R</w:t>
            </w:r>
          </w:p>
        </w:tc>
        <w:tc>
          <w:tcPr>
            <w:tcW w:w="2760" w:type="dxa"/>
            <w:vMerge w:val="restart"/>
            <w:shd w:val="clear" w:color="auto" w:fill="auto"/>
            <w:noWrap/>
            <w:hideMark/>
          </w:tcPr>
          <w:p w14:paraId="0A08D6AB"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Intervention costs (micro-costing for labour and dental materials)</w:t>
            </w:r>
          </w:p>
          <w:p w14:paraId="10201772" w14:textId="77777777" w:rsidR="008461EA" w:rsidRPr="00800A49" w:rsidRDefault="008461EA" w:rsidP="00720BDC">
            <w:pPr>
              <w:rPr>
                <w:rFonts w:ascii="Times New Roman" w:hAnsi="Times New Roman" w:cs="Times New Roman"/>
              </w:rPr>
            </w:pPr>
            <w:r w:rsidRPr="00800A49">
              <w:rPr>
                <w:rFonts w:ascii="Times New Roman" w:eastAsia="Times New Roman" w:hAnsi="Times New Roman" w:cs="Times New Roman"/>
                <w:color w:val="000000"/>
                <w:sz w:val="18"/>
                <w:szCs w:val="18"/>
                <w:lang w:eastAsia="en-AU"/>
              </w:rPr>
              <w:br/>
              <w:t>Dental treatment costs (check-up, restorations and extractions)</w:t>
            </w:r>
          </w:p>
        </w:tc>
        <w:tc>
          <w:tcPr>
            <w:tcW w:w="1190" w:type="dxa"/>
            <w:gridSpan w:val="2"/>
            <w:vMerge w:val="restart"/>
            <w:shd w:val="clear" w:color="auto" w:fill="auto"/>
            <w:noWrap/>
            <w:vAlign w:val="center"/>
          </w:tcPr>
          <w:p w14:paraId="3A30222B"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3%</w:t>
            </w:r>
          </w:p>
          <w:p w14:paraId="639B9679"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1978" w:type="dxa"/>
            <w:vMerge w:val="restart"/>
            <w:shd w:val="clear" w:color="auto" w:fill="auto"/>
            <w:noWrap/>
            <w:hideMark/>
          </w:tcPr>
          <w:p w14:paraId="62E88B67"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Costs (CLP) per QATY gained</w:t>
            </w:r>
            <w:r w:rsidRPr="00800A49">
              <w:rPr>
                <w:rFonts w:ascii="Times New Roman" w:eastAsia="Times New Roman" w:hAnsi="Times New Roman" w:cs="Times New Roman"/>
                <w:color w:val="000000"/>
                <w:sz w:val="18"/>
                <w:szCs w:val="18"/>
                <w:lang w:eastAsia="en-AU"/>
              </w:rPr>
              <w:br/>
              <w:t>ICER: 4,412</w:t>
            </w:r>
          </w:p>
          <w:p w14:paraId="0E38DA65"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p>
          <w:p w14:paraId="361EFE5A"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Cost-effective = Yes; Arbitrary WTP CLP 20,000 per QATY gained</w:t>
            </w:r>
          </w:p>
          <w:p w14:paraId="5E109C3C"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p>
          <w:p w14:paraId="3E4685F6"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p>
          <w:p w14:paraId="328DF1E1"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p>
          <w:p w14:paraId="0A851178"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p>
          <w:p w14:paraId="2DFBDC12"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p>
          <w:p w14:paraId="32367036"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p>
        </w:tc>
        <w:tc>
          <w:tcPr>
            <w:tcW w:w="1134" w:type="dxa"/>
            <w:vMerge w:val="restart"/>
            <w:vAlign w:val="center"/>
          </w:tcPr>
          <w:p w14:paraId="6D7BA101"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Good</w:t>
            </w:r>
          </w:p>
        </w:tc>
      </w:tr>
      <w:tr w:rsidR="008461EA" w:rsidRPr="00800A49" w14:paraId="74B50E2E" w14:textId="77777777" w:rsidTr="00720BDC">
        <w:trPr>
          <w:trHeight w:val="300"/>
        </w:trPr>
        <w:tc>
          <w:tcPr>
            <w:tcW w:w="1128" w:type="dxa"/>
            <w:vMerge/>
            <w:shd w:val="clear" w:color="auto" w:fill="auto"/>
            <w:noWrap/>
          </w:tcPr>
          <w:p w14:paraId="3BBE3765"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p>
        </w:tc>
        <w:tc>
          <w:tcPr>
            <w:tcW w:w="283" w:type="dxa"/>
            <w:vAlign w:val="center"/>
          </w:tcPr>
          <w:p w14:paraId="0B5FE9AC"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C</w:t>
            </w:r>
          </w:p>
        </w:tc>
        <w:tc>
          <w:tcPr>
            <w:tcW w:w="709" w:type="dxa"/>
            <w:vAlign w:val="center"/>
          </w:tcPr>
          <w:p w14:paraId="79942600"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N/A</w:t>
            </w:r>
          </w:p>
        </w:tc>
        <w:tc>
          <w:tcPr>
            <w:tcW w:w="2409" w:type="dxa"/>
            <w:shd w:val="clear" w:color="auto" w:fill="auto"/>
            <w:noWrap/>
            <w:vAlign w:val="center"/>
          </w:tcPr>
          <w:p w14:paraId="4382C8E2"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No intervention</w:t>
            </w:r>
          </w:p>
        </w:tc>
        <w:tc>
          <w:tcPr>
            <w:tcW w:w="1105" w:type="dxa"/>
            <w:vMerge/>
            <w:vAlign w:val="center"/>
          </w:tcPr>
          <w:p w14:paraId="0B615BC0"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851" w:type="dxa"/>
            <w:vMerge/>
            <w:vAlign w:val="center"/>
          </w:tcPr>
          <w:p w14:paraId="31097977"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851" w:type="dxa"/>
            <w:vMerge/>
            <w:shd w:val="clear" w:color="auto" w:fill="auto"/>
            <w:noWrap/>
            <w:vAlign w:val="center"/>
          </w:tcPr>
          <w:p w14:paraId="5385A438"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1190" w:type="dxa"/>
            <w:vMerge/>
            <w:vAlign w:val="center"/>
          </w:tcPr>
          <w:p w14:paraId="48F9D7F4"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2760" w:type="dxa"/>
            <w:vMerge/>
            <w:shd w:val="clear" w:color="auto" w:fill="auto"/>
            <w:noWrap/>
          </w:tcPr>
          <w:p w14:paraId="33DE7CCA"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p>
        </w:tc>
        <w:tc>
          <w:tcPr>
            <w:tcW w:w="1190" w:type="dxa"/>
            <w:gridSpan w:val="2"/>
            <w:vMerge/>
            <w:shd w:val="clear" w:color="auto" w:fill="auto"/>
            <w:noWrap/>
            <w:vAlign w:val="center"/>
          </w:tcPr>
          <w:p w14:paraId="7966205B"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1978" w:type="dxa"/>
            <w:vMerge/>
            <w:shd w:val="clear" w:color="auto" w:fill="auto"/>
            <w:noWrap/>
          </w:tcPr>
          <w:p w14:paraId="5DF42E21"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p>
        </w:tc>
        <w:tc>
          <w:tcPr>
            <w:tcW w:w="1134" w:type="dxa"/>
            <w:vMerge/>
            <w:vAlign w:val="center"/>
          </w:tcPr>
          <w:p w14:paraId="7B9A978E"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r>
      <w:tr w:rsidR="008461EA" w:rsidRPr="00800A49" w14:paraId="0F3792C1" w14:textId="77777777" w:rsidTr="00720BDC">
        <w:trPr>
          <w:trHeight w:val="300"/>
        </w:trPr>
        <w:tc>
          <w:tcPr>
            <w:tcW w:w="1128" w:type="dxa"/>
            <w:vMerge w:val="restart"/>
            <w:shd w:val="clear" w:color="auto" w:fill="auto"/>
            <w:noWrap/>
            <w:hideMark/>
          </w:tcPr>
          <w:p w14:paraId="60EDF49E"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proofErr w:type="spellStart"/>
            <w:r w:rsidRPr="00800A49">
              <w:rPr>
                <w:rFonts w:ascii="Times New Roman" w:eastAsia="Times New Roman" w:hAnsi="Times New Roman" w:cs="Times New Roman"/>
                <w:color w:val="000000"/>
                <w:sz w:val="18"/>
                <w:szCs w:val="18"/>
                <w:lang w:eastAsia="en-AU"/>
              </w:rPr>
              <w:t>Fardal</w:t>
            </w:r>
            <w:proofErr w:type="spellEnd"/>
            <w:r w:rsidRPr="00800A49">
              <w:rPr>
                <w:rFonts w:ascii="Times New Roman" w:eastAsia="Times New Roman" w:hAnsi="Times New Roman" w:cs="Times New Roman"/>
                <w:color w:val="000000"/>
                <w:sz w:val="18"/>
                <w:szCs w:val="18"/>
                <w:lang w:eastAsia="en-AU"/>
              </w:rPr>
              <w:t xml:space="preserve"> and </w:t>
            </w:r>
            <w:proofErr w:type="spellStart"/>
            <w:r w:rsidRPr="00800A49">
              <w:rPr>
                <w:rFonts w:ascii="Times New Roman" w:eastAsia="Times New Roman" w:hAnsi="Times New Roman" w:cs="Times New Roman"/>
                <w:color w:val="000000"/>
                <w:sz w:val="18"/>
                <w:szCs w:val="18"/>
                <w:lang w:eastAsia="en-AU"/>
              </w:rPr>
              <w:t>Grytten</w:t>
            </w:r>
            <w:proofErr w:type="spellEnd"/>
            <w:r w:rsidRPr="00800A49">
              <w:rPr>
                <w:rFonts w:ascii="Times New Roman" w:eastAsia="Times New Roman" w:hAnsi="Times New Roman" w:cs="Times New Roman"/>
                <w:color w:val="000000"/>
                <w:sz w:val="18"/>
                <w:szCs w:val="18"/>
                <w:lang w:eastAsia="en-AU"/>
              </w:rPr>
              <w:t>, 2014</w:t>
            </w:r>
          </w:p>
        </w:tc>
        <w:tc>
          <w:tcPr>
            <w:tcW w:w="283" w:type="dxa"/>
            <w:vAlign w:val="center"/>
          </w:tcPr>
          <w:p w14:paraId="23CE3F9F"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I</w:t>
            </w:r>
          </w:p>
        </w:tc>
        <w:tc>
          <w:tcPr>
            <w:tcW w:w="709" w:type="dxa"/>
            <w:vAlign w:val="center"/>
          </w:tcPr>
          <w:p w14:paraId="3A6B71A8"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Ind.</w:t>
            </w:r>
          </w:p>
        </w:tc>
        <w:tc>
          <w:tcPr>
            <w:tcW w:w="2409" w:type="dxa"/>
            <w:shd w:val="clear" w:color="auto" w:fill="auto"/>
            <w:noWrap/>
            <w:vAlign w:val="center"/>
            <w:hideMark/>
          </w:tcPr>
          <w:p w14:paraId="46F40B07"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Regular supportive periodontal therapy</w:t>
            </w:r>
          </w:p>
        </w:tc>
        <w:tc>
          <w:tcPr>
            <w:tcW w:w="1105" w:type="dxa"/>
            <w:vMerge w:val="restart"/>
            <w:vAlign w:val="center"/>
          </w:tcPr>
          <w:p w14:paraId="1B57F2F2"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Healthcare</w:t>
            </w:r>
          </w:p>
        </w:tc>
        <w:tc>
          <w:tcPr>
            <w:tcW w:w="851" w:type="dxa"/>
            <w:vMerge w:val="restart"/>
            <w:vAlign w:val="center"/>
          </w:tcPr>
          <w:p w14:paraId="180FFADE"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20 years</w:t>
            </w:r>
          </w:p>
        </w:tc>
        <w:tc>
          <w:tcPr>
            <w:tcW w:w="851" w:type="dxa"/>
            <w:shd w:val="clear" w:color="auto" w:fill="auto"/>
            <w:noWrap/>
            <w:vAlign w:val="center"/>
            <w:hideMark/>
          </w:tcPr>
          <w:p w14:paraId="3817DF08"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Mean</w:t>
            </w:r>
          </w:p>
          <w:p w14:paraId="06D3FB38"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63.4</w:t>
            </w:r>
          </w:p>
        </w:tc>
        <w:tc>
          <w:tcPr>
            <w:tcW w:w="1190" w:type="dxa"/>
            <w:vAlign w:val="center"/>
          </w:tcPr>
          <w:p w14:paraId="0D59477F"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80</w:t>
            </w:r>
          </w:p>
        </w:tc>
        <w:tc>
          <w:tcPr>
            <w:tcW w:w="2760" w:type="dxa"/>
            <w:vMerge w:val="restart"/>
            <w:shd w:val="clear" w:color="auto" w:fill="auto"/>
            <w:noWrap/>
            <w:hideMark/>
          </w:tcPr>
          <w:p w14:paraId="351896CC"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 xml:space="preserve">Intervention costs (non-surgical and surgical periodontal therapy, </w:t>
            </w:r>
            <w:r w:rsidRPr="00800A49">
              <w:rPr>
                <w:rFonts w:ascii="Times New Roman" w:eastAsia="Times New Roman" w:hAnsi="Times New Roman" w:cs="Times New Roman"/>
                <w:color w:val="000000"/>
                <w:sz w:val="18"/>
                <w:szCs w:val="18"/>
                <w:lang w:eastAsia="en-AU"/>
              </w:rPr>
              <w:lastRenderedPageBreak/>
              <w:t>supportive periodontal maintenance)</w:t>
            </w:r>
          </w:p>
        </w:tc>
        <w:tc>
          <w:tcPr>
            <w:tcW w:w="634" w:type="dxa"/>
            <w:vMerge w:val="restart"/>
            <w:shd w:val="clear" w:color="auto" w:fill="auto"/>
            <w:noWrap/>
            <w:vAlign w:val="center"/>
            <w:hideMark/>
          </w:tcPr>
          <w:p w14:paraId="0B5DEAC7"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lastRenderedPageBreak/>
              <w:t>5%</w:t>
            </w:r>
          </w:p>
        </w:tc>
        <w:tc>
          <w:tcPr>
            <w:tcW w:w="556" w:type="dxa"/>
            <w:vMerge w:val="restart"/>
            <w:vAlign w:val="center"/>
          </w:tcPr>
          <w:p w14:paraId="2D047F87"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N/R</w:t>
            </w:r>
          </w:p>
        </w:tc>
        <w:tc>
          <w:tcPr>
            <w:tcW w:w="1978" w:type="dxa"/>
            <w:vMerge w:val="restart"/>
            <w:shd w:val="clear" w:color="auto" w:fill="auto"/>
            <w:noWrap/>
            <w:hideMark/>
          </w:tcPr>
          <w:p w14:paraId="209D3077"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 xml:space="preserve">Costs (€) per </w:t>
            </w:r>
            <w:proofErr w:type="gramStart"/>
            <w:r w:rsidRPr="00800A49">
              <w:rPr>
                <w:rFonts w:ascii="Times New Roman" w:eastAsia="Times New Roman" w:hAnsi="Times New Roman" w:cs="Times New Roman"/>
                <w:color w:val="000000"/>
                <w:sz w:val="18"/>
                <w:szCs w:val="18"/>
                <w:lang w:eastAsia="en-AU"/>
              </w:rPr>
              <w:t>retained-tooth</w:t>
            </w:r>
            <w:proofErr w:type="gramEnd"/>
            <w:r w:rsidRPr="00800A49">
              <w:rPr>
                <w:rFonts w:ascii="Times New Roman" w:eastAsia="Times New Roman" w:hAnsi="Times New Roman" w:cs="Times New Roman"/>
                <w:color w:val="000000"/>
                <w:sz w:val="18"/>
                <w:szCs w:val="18"/>
                <w:lang w:eastAsia="en-AU"/>
              </w:rPr>
              <w:t xml:space="preserve"> per year</w:t>
            </w:r>
            <w:r w:rsidRPr="00800A49">
              <w:rPr>
                <w:rFonts w:ascii="Times New Roman" w:eastAsia="Times New Roman" w:hAnsi="Times New Roman" w:cs="Times New Roman"/>
                <w:color w:val="000000"/>
                <w:sz w:val="18"/>
                <w:szCs w:val="18"/>
                <w:lang w:eastAsia="en-AU"/>
              </w:rPr>
              <w:br/>
              <w:t>ICER: 20.2</w:t>
            </w:r>
          </w:p>
          <w:p w14:paraId="49591794"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p>
          <w:p w14:paraId="79EA5424"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Cost-effective = N/S</w:t>
            </w:r>
          </w:p>
        </w:tc>
        <w:tc>
          <w:tcPr>
            <w:tcW w:w="1134" w:type="dxa"/>
            <w:vMerge w:val="restart"/>
            <w:vAlign w:val="center"/>
          </w:tcPr>
          <w:p w14:paraId="2DAADEF1"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Low</w:t>
            </w:r>
          </w:p>
        </w:tc>
      </w:tr>
      <w:tr w:rsidR="008461EA" w:rsidRPr="00800A49" w14:paraId="63962578" w14:textId="77777777" w:rsidTr="00720BDC">
        <w:trPr>
          <w:trHeight w:val="300"/>
        </w:trPr>
        <w:tc>
          <w:tcPr>
            <w:tcW w:w="1128" w:type="dxa"/>
            <w:vMerge/>
            <w:shd w:val="clear" w:color="auto" w:fill="auto"/>
            <w:noWrap/>
          </w:tcPr>
          <w:p w14:paraId="6205A95D"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p>
        </w:tc>
        <w:tc>
          <w:tcPr>
            <w:tcW w:w="283" w:type="dxa"/>
            <w:vAlign w:val="center"/>
          </w:tcPr>
          <w:p w14:paraId="0E3F37EB"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C</w:t>
            </w:r>
          </w:p>
        </w:tc>
        <w:tc>
          <w:tcPr>
            <w:tcW w:w="709" w:type="dxa"/>
            <w:vAlign w:val="center"/>
          </w:tcPr>
          <w:p w14:paraId="2A50F1C3"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Ind.</w:t>
            </w:r>
          </w:p>
        </w:tc>
        <w:tc>
          <w:tcPr>
            <w:tcW w:w="2409" w:type="dxa"/>
            <w:shd w:val="clear" w:color="auto" w:fill="auto"/>
            <w:noWrap/>
            <w:vAlign w:val="center"/>
          </w:tcPr>
          <w:p w14:paraId="7E5792F0"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Irregular supportive periodontal therapy</w:t>
            </w:r>
          </w:p>
        </w:tc>
        <w:tc>
          <w:tcPr>
            <w:tcW w:w="1105" w:type="dxa"/>
            <w:vMerge/>
            <w:vAlign w:val="center"/>
          </w:tcPr>
          <w:p w14:paraId="00ACFDDF"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851" w:type="dxa"/>
            <w:vMerge/>
            <w:vAlign w:val="center"/>
          </w:tcPr>
          <w:p w14:paraId="07941115"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851" w:type="dxa"/>
            <w:shd w:val="clear" w:color="auto" w:fill="auto"/>
            <w:noWrap/>
            <w:vAlign w:val="center"/>
          </w:tcPr>
          <w:p w14:paraId="56600787"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Mean</w:t>
            </w:r>
          </w:p>
          <w:p w14:paraId="3D0DB486"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62.3</w:t>
            </w:r>
          </w:p>
        </w:tc>
        <w:tc>
          <w:tcPr>
            <w:tcW w:w="1190" w:type="dxa"/>
            <w:vAlign w:val="center"/>
          </w:tcPr>
          <w:p w14:paraId="51D35F2E"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25</w:t>
            </w:r>
          </w:p>
          <w:p w14:paraId="34F75422"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2760" w:type="dxa"/>
            <w:vMerge/>
            <w:shd w:val="clear" w:color="auto" w:fill="auto"/>
            <w:noWrap/>
          </w:tcPr>
          <w:p w14:paraId="0F636FD3"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p>
        </w:tc>
        <w:tc>
          <w:tcPr>
            <w:tcW w:w="634" w:type="dxa"/>
            <w:vMerge/>
            <w:shd w:val="clear" w:color="auto" w:fill="auto"/>
            <w:noWrap/>
            <w:vAlign w:val="center"/>
          </w:tcPr>
          <w:p w14:paraId="74C5B276"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556" w:type="dxa"/>
            <w:vMerge/>
            <w:vAlign w:val="center"/>
          </w:tcPr>
          <w:p w14:paraId="5F5C5DA3"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1978" w:type="dxa"/>
            <w:vMerge/>
            <w:shd w:val="clear" w:color="auto" w:fill="auto"/>
            <w:noWrap/>
          </w:tcPr>
          <w:p w14:paraId="75813152"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p>
        </w:tc>
        <w:tc>
          <w:tcPr>
            <w:tcW w:w="1134" w:type="dxa"/>
            <w:vMerge/>
            <w:vAlign w:val="center"/>
          </w:tcPr>
          <w:p w14:paraId="784E0156"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r>
      <w:tr w:rsidR="008461EA" w:rsidRPr="00800A49" w14:paraId="7F72DF91" w14:textId="77777777" w:rsidTr="00720BDC">
        <w:trPr>
          <w:trHeight w:val="1027"/>
        </w:trPr>
        <w:tc>
          <w:tcPr>
            <w:tcW w:w="1128" w:type="dxa"/>
            <w:vMerge w:val="restart"/>
            <w:shd w:val="clear" w:color="auto" w:fill="auto"/>
            <w:noWrap/>
            <w:hideMark/>
          </w:tcPr>
          <w:p w14:paraId="122855B9"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Fyfe et al., 2015</w:t>
            </w:r>
          </w:p>
        </w:tc>
        <w:tc>
          <w:tcPr>
            <w:tcW w:w="283" w:type="dxa"/>
            <w:vAlign w:val="center"/>
          </w:tcPr>
          <w:p w14:paraId="306D479D"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I</w:t>
            </w:r>
          </w:p>
        </w:tc>
        <w:tc>
          <w:tcPr>
            <w:tcW w:w="709" w:type="dxa"/>
            <w:vAlign w:val="center"/>
          </w:tcPr>
          <w:p w14:paraId="6B612EB8"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Uni.</w:t>
            </w:r>
          </w:p>
        </w:tc>
        <w:tc>
          <w:tcPr>
            <w:tcW w:w="2409" w:type="dxa"/>
            <w:shd w:val="clear" w:color="auto" w:fill="auto"/>
            <w:noWrap/>
            <w:vAlign w:val="center"/>
            <w:hideMark/>
          </w:tcPr>
          <w:p w14:paraId="0A4A3D23"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Water fluoridation</w:t>
            </w:r>
          </w:p>
        </w:tc>
        <w:tc>
          <w:tcPr>
            <w:tcW w:w="1105" w:type="dxa"/>
            <w:vMerge w:val="restart"/>
            <w:vAlign w:val="center"/>
          </w:tcPr>
          <w:p w14:paraId="5D181798"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Societal</w:t>
            </w:r>
          </w:p>
        </w:tc>
        <w:tc>
          <w:tcPr>
            <w:tcW w:w="851" w:type="dxa"/>
            <w:vMerge w:val="restart"/>
            <w:vAlign w:val="center"/>
          </w:tcPr>
          <w:p w14:paraId="004DFEAF"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N/R</w:t>
            </w:r>
          </w:p>
        </w:tc>
        <w:tc>
          <w:tcPr>
            <w:tcW w:w="851" w:type="dxa"/>
            <w:vMerge w:val="restart"/>
            <w:shd w:val="clear" w:color="auto" w:fill="auto"/>
            <w:noWrap/>
            <w:vAlign w:val="center"/>
            <w:hideMark/>
          </w:tcPr>
          <w:p w14:paraId="4B303898"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&gt;2</w:t>
            </w:r>
          </w:p>
        </w:tc>
        <w:tc>
          <w:tcPr>
            <w:tcW w:w="1190" w:type="dxa"/>
            <w:vMerge w:val="restart"/>
            <w:vAlign w:val="center"/>
          </w:tcPr>
          <w:p w14:paraId="13F801D4"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N/R</w:t>
            </w:r>
          </w:p>
        </w:tc>
        <w:tc>
          <w:tcPr>
            <w:tcW w:w="2760" w:type="dxa"/>
            <w:vMerge w:val="restart"/>
            <w:shd w:val="clear" w:color="auto" w:fill="auto"/>
            <w:noWrap/>
            <w:hideMark/>
          </w:tcPr>
          <w:p w14:paraId="2C6AE561"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Intervention costs (capital and maintenance)</w:t>
            </w:r>
          </w:p>
          <w:p w14:paraId="1BEE7908"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br/>
              <w:t>Dental treatment costs (restorations)</w:t>
            </w:r>
          </w:p>
          <w:p w14:paraId="26A5E3A0"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br/>
              <w:t>Opportunity costs lost (dental treatment time)</w:t>
            </w:r>
          </w:p>
        </w:tc>
        <w:tc>
          <w:tcPr>
            <w:tcW w:w="634" w:type="dxa"/>
            <w:vMerge w:val="restart"/>
            <w:shd w:val="clear" w:color="auto" w:fill="auto"/>
            <w:noWrap/>
            <w:vAlign w:val="center"/>
          </w:tcPr>
          <w:p w14:paraId="451A420C"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4%</w:t>
            </w:r>
          </w:p>
        </w:tc>
        <w:tc>
          <w:tcPr>
            <w:tcW w:w="556" w:type="dxa"/>
            <w:vMerge w:val="restart"/>
            <w:vAlign w:val="center"/>
          </w:tcPr>
          <w:p w14:paraId="1B64A6CB"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N/R</w:t>
            </w:r>
          </w:p>
        </w:tc>
        <w:tc>
          <w:tcPr>
            <w:tcW w:w="1978" w:type="dxa"/>
            <w:vMerge w:val="restart"/>
            <w:shd w:val="clear" w:color="auto" w:fill="auto"/>
            <w:noWrap/>
            <w:hideMark/>
          </w:tcPr>
          <w:p w14:paraId="7F5F8AD1"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 xml:space="preserve">Costs (NZ$) per </w:t>
            </w:r>
            <w:proofErr w:type="spellStart"/>
            <w:r w:rsidRPr="00800A49">
              <w:rPr>
                <w:rFonts w:ascii="Times New Roman" w:eastAsia="Times New Roman" w:hAnsi="Times New Roman" w:cs="Times New Roman"/>
                <w:color w:val="000000"/>
                <w:sz w:val="18"/>
                <w:szCs w:val="18"/>
                <w:lang w:eastAsia="en-AU"/>
              </w:rPr>
              <w:t>dmft</w:t>
            </w:r>
            <w:proofErr w:type="spellEnd"/>
            <w:r w:rsidRPr="00800A49">
              <w:rPr>
                <w:rFonts w:ascii="Times New Roman" w:eastAsia="Times New Roman" w:hAnsi="Times New Roman" w:cs="Times New Roman"/>
                <w:color w:val="000000"/>
                <w:sz w:val="18"/>
                <w:szCs w:val="18"/>
                <w:lang w:eastAsia="en-AU"/>
              </w:rPr>
              <w:t>/DMFT averted</w:t>
            </w:r>
            <w:r w:rsidRPr="00800A49">
              <w:rPr>
                <w:rFonts w:ascii="Times New Roman" w:eastAsia="Times New Roman" w:hAnsi="Times New Roman" w:cs="Times New Roman"/>
                <w:color w:val="000000"/>
                <w:sz w:val="18"/>
                <w:szCs w:val="18"/>
                <w:lang w:eastAsia="en-AU"/>
              </w:rPr>
              <w:br/>
              <w:t>1) Population &lt;5,000</w:t>
            </w:r>
          </w:p>
          <w:p w14:paraId="0F5D624C"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ICER: -0.55 (-7.78; 4.24) (dominant)</w:t>
            </w:r>
            <w:r w:rsidRPr="00800A49">
              <w:rPr>
                <w:rFonts w:ascii="Times New Roman" w:eastAsia="Times New Roman" w:hAnsi="Times New Roman" w:cs="Times New Roman"/>
                <w:color w:val="000000"/>
                <w:sz w:val="18"/>
                <w:szCs w:val="18"/>
                <w:lang w:eastAsia="en-AU"/>
              </w:rPr>
              <w:br/>
              <w:t>2) Population 5,000-10,000</w:t>
            </w:r>
          </w:p>
          <w:p w14:paraId="0C90C685"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ICER: -4.49 (-10.79; -1.03) (dominant)</w:t>
            </w:r>
            <w:r w:rsidRPr="00800A49">
              <w:rPr>
                <w:rFonts w:ascii="Times New Roman" w:eastAsia="Times New Roman" w:hAnsi="Times New Roman" w:cs="Times New Roman"/>
                <w:color w:val="000000"/>
                <w:sz w:val="18"/>
                <w:szCs w:val="18"/>
                <w:lang w:eastAsia="en-AU"/>
              </w:rPr>
              <w:br/>
              <w:t>3) Population 5,001-50,000</w:t>
            </w:r>
          </w:p>
          <w:p w14:paraId="291C85AE"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ICER: -5.20 (-11.19; -2.23) (dominant)</w:t>
            </w:r>
            <w:r w:rsidRPr="00800A49">
              <w:rPr>
                <w:rFonts w:ascii="Times New Roman" w:eastAsia="Times New Roman" w:hAnsi="Times New Roman" w:cs="Times New Roman"/>
                <w:color w:val="000000"/>
                <w:sz w:val="18"/>
                <w:szCs w:val="18"/>
                <w:lang w:eastAsia="en-AU"/>
              </w:rPr>
              <w:br/>
              <w:t>4) Population &gt;50,000</w:t>
            </w:r>
          </w:p>
          <w:p w14:paraId="464121E0"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ICER: -5.38 (-11.31; -2.39) (dominant)</w:t>
            </w:r>
          </w:p>
          <w:p w14:paraId="4BBD7B05"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p>
          <w:p w14:paraId="3F255731"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Cost-effective = Yes</w:t>
            </w:r>
          </w:p>
        </w:tc>
        <w:tc>
          <w:tcPr>
            <w:tcW w:w="1134" w:type="dxa"/>
            <w:vMerge w:val="restart"/>
            <w:vAlign w:val="center"/>
          </w:tcPr>
          <w:p w14:paraId="168ECD9E"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Good</w:t>
            </w:r>
          </w:p>
        </w:tc>
      </w:tr>
      <w:tr w:rsidR="008461EA" w:rsidRPr="00800A49" w14:paraId="48052492" w14:textId="77777777" w:rsidTr="00720BDC">
        <w:trPr>
          <w:trHeight w:val="300"/>
        </w:trPr>
        <w:tc>
          <w:tcPr>
            <w:tcW w:w="1128" w:type="dxa"/>
            <w:vMerge/>
            <w:shd w:val="clear" w:color="auto" w:fill="auto"/>
            <w:noWrap/>
          </w:tcPr>
          <w:p w14:paraId="74F7AE37"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p>
        </w:tc>
        <w:tc>
          <w:tcPr>
            <w:tcW w:w="283" w:type="dxa"/>
            <w:vAlign w:val="center"/>
          </w:tcPr>
          <w:p w14:paraId="5CE36D96"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C</w:t>
            </w:r>
          </w:p>
        </w:tc>
        <w:tc>
          <w:tcPr>
            <w:tcW w:w="709" w:type="dxa"/>
            <w:vAlign w:val="center"/>
          </w:tcPr>
          <w:p w14:paraId="1BF00C34"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N/A</w:t>
            </w:r>
          </w:p>
        </w:tc>
        <w:tc>
          <w:tcPr>
            <w:tcW w:w="2409" w:type="dxa"/>
            <w:shd w:val="clear" w:color="auto" w:fill="auto"/>
            <w:noWrap/>
            <w:vAlign w:val="center"/>
          </w:tcPr>
          <w:p w14:paraId="6310F244"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No intervention</w:t>
            </w:r>
          </w:p>
        </w:tc>
        <w:tc>
          <w:tcPr>
            <w:tcW w:w="1105" w:type="dxa"/>
            <w:vMerge/>
            <w:vAlign w:val="center"/>
          </w:tcPr>
          <w:p w14:paraId="1C2B1091"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851" w:type="dxa"/>
            <w:vMerge/>
            <w:vAlign w:val="center"/>
          </w:tcPr>
          <w:p w14:paraId="3B2759CD"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851" w:type="dxa"/>
            <w:vMerge/>
            <w:shd w:val="clear" w:color="auto" w:fill="auto"/>
            <w:noWrap/>
            <w:vAlign w:val="center"/>
          </w:tcPr>
          <w:p w14:paraId="6FACE01E"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1190" w:type="dxa"/>
            <w:vMerge/>
            <w:vAlign w:val="center"/>
          </w:tcPr>
          <w:p w14:paraId="561EC626"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2760" w:type="dxa"/>
            <w:vMerge/>
            <w:shd w:val="clear" w:color="auto" w:fill="auto"/>
            <w:noWrap/>
          </w:tcPr>
          <w:p w14:paraId="75A48554"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p>
        </w:tc>
        <w:tc>
          <w:tcPr>
            <w:tcW w:w="634" w:type="dxa"/>
            <w:vMerge/>
            <w:shd w:val="clear" w:color="auto" w:fill="auto"/>
            <w:noWrap/>
            <w:vAlign w:val="center"/>
          </w:tcPr>
          <w:p w14:paraId="439BEC70"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556" w:type="dxa"/>
            <w:vMerge/>
            <w:vAlign w:val="center"/>
          </w:tcPr>
          <w:p w14:paraId="4FCA6784"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1978" w:type="dxa"/>
            <w:vMerge/>
            <w:shd w:val="clear" w:color="auto" w:fill="auto"/>
            <w:noWrap/>
          </w:tcPr>
          <w:p w14:paraId="22F22333"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p>
        </w:tc>
        <w:tc>
          <w:tcPr>
            <w:tcW w:w="1134" w:type="dxa"/>
            <w:vMerge/>
            <w:vAlign w:val="center"/>
          </w:tcPr>
          <w:p w14:paraId="3E3D12C0"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r>
      <w:tr w:rsidR="008461EA" w:rsidRPr="00800A49" w14:paraId="788018BD" w14:textId="77777777" w:rsidTr="00720BDC">
        <w:trPr>
          <w:trHeight w:val="300"/>
        </w:trPr>
        <w:tc>
          <w:tcPr>
            <w:tcW w:w="1128" w:type="dxa"/>
            <w:vMerge w:val="restart"/>
            <w:shd w:val="clear" w:color="auto" w:fill="auto"/>
            <w:noWrap/>
            <w:hideMark/>
          </w:tcPr>
          <w:p w14:paraId="0858C032"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Goldman et al., 2017</w:t>
            </w:r>
          </w:p>
        </w:tc>
        <w:tc>
          <w:tcPr>
            <w:tcW w:w="283" w:type="dxa"/>
            <w:vAlign w:val="center"/>
          </w:tcPr>
          <w:p w14:paraId="4FD1F8C2"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I</w:t>
            </w:r>
          </w:p>
        </w:tc>
        <w:tc>
          <w:tcPr>
            <w:tcW w:w="709" w:type="dxa"/>
            <w:vAlign w:val="center"/>
          </w:tcPr>
          <w:p w14:paraId="454105F7"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Sel.</w:t>
            </w:r>
          </w:p>
        </w:tc>
        <w:tc>
          <w:tcPr>
            <w:tcW w:w="2409" w:type="dxa"/>
            <w:shd w:val="clear" w:color="auto" w:fill="auto"/>
            <w:noWrap/>
            <w:vAlign w:val="center"/>
            <w:hideMark/>
          </w:tcPr>
          <w:p w14:paraId="6A8EA640"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Targeted school-based fissure sealant using glass ionomer cement (ART/HVGIC)</w:t>
            </w:r>
          </w:p>
        </w:tc>
        <w:tc>
          <w:tcPr>
            <w:tcW w:w="1105" w:type="dxa"/>
            <w:vMerge w:val="restart"/>
            <w:vAlign w:val="center"/>
          </w:tcPr>
          <w:p w14:paraId="7D8CD710"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Societal</w:t>
            </w:r>
          </w:p>
        </w:tc>
        <w:tc>
          <w:tcPr>
            <w:tcW w:w="851" w:type="dxa"/>
            <w:vMerge w:val="restart"/>
            <w:vAlign w:val="center"/>
          </w:tcPr>
          <w:p w14:paraId="1F237DA5"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3 years</w:t>
            </w:r>
          </w:p>
        </w:tc>
        <w:tc>
          <w:tcPr>
            <w:tcW w:w="851" w:type="dxa"/>
            <w:vMerge w:val="restart"/>
            <w:shd w:val="clear" w:color="auto" w:fill="auto"/>
            <w:noWrap/>
            <w:vAlign w:val="center"/>
            <w:hideMark/>
          </w:tcPr>
          <w:p w14:paraId="2F97EE19"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6-7</w:t>
            </w:r>
          </w:p>
        </w:tc>
        <w:tc>
          <w:tcPr>
            <w:tcW w:w="1190" w:type="dxa"/>
            <w:vAlign w:val="center"/>
          </w:tcPr>
          <w:p w14:paraId="7295EFAC"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70</w:t>
            </w:r>
          </w:p>
        </w:tc>
        <w:tc>
          <w:tcPr>
            <w:tcW w:w="2760" w:type="dxa"/>
            <w:vMerge w:val="restart"/>
            <w:shd w:val="clear" w:color="auto" w:fill="auto"/>
            <w:noWrap/>
            <w:hideMark/>
          </w:tcPr>
          <w:p w14:paraId="7D189B55"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Intervention costs (micro-costing for labour and consumables)</w:t>
            </w:r>
          </w:p>
          <w:p w14:paraId="340C03D7"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br/>
              <w:t>Dental treatment costs (restorations)</w:t>
            </w:r>
          </w:p>
        </w:tc>
        <w:tc>
          <w:tcPr>
            <w:tcW w:w="1190" w:type="dxa"/>
            <w:gridSpan w:val="2"/>
            <w:vMerge w:val="restart"/>
            <w:shd w:val="clear" w:color="auto" w:fill="auto"/>
            <w:noWrap/>
            <w:vAlign w:val="center"/>
            <w:hideMark/>
          </w:tcPr>
          <w:p w14:paraId="4BFC219A"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3%</w:t>
            </w:r>
          </w:p>
        </w:tc>
        <w:tc>
          <w:tcPr>
            <w:tcW w:w="1978" w:type="dxa"/>
            <w:vMerge w:val="restart"/>
            <w:shd w:val="clear" w:color="auto" w:fill="auto"/>
            <w:noWrap/>
            <w:hideMark/>
          </w:tcPr>
          <w:p w14:paraId="22A1EA43"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Costs (US$) per decayed tooth averted (cavitated dentine)</w:t>
            </w:r>
            <w:r w:rsidRPr="00800A49">
              <w:rPr>
                <w:rFonts w:ascii="Times New Roman" w:eastAsia="Times New Roman" w:hAnsi="Times New Roman" w:cs="Times New Roman"/>
                <w:color w:val="000000"/>
                <w:sz w:val="18"/>
                <w:szCs w:val="18"/>
                <w:lang w:eastAsia="en-AU"/>
              </w:rPr>
              <w:br/>
              <w:t>1) ART/HVGIC vs CR ICER: -</w:t>
            </w:r>
            <w:proofErr w:type="gramStart"/>
            <w:r w:rsidRPr="00800A49">
              <w:rPr>
                <w:rFonts w:ascii="Times New Roman" w:eastAsia="Times New Roman" w:hAnsi="Times New Roman" w:cs="Times New Roman"/>
                <w:color w:val="000000"/>
                <w:sz w:val="18"/>
                <w:szCs w:val="18"/>
                <w:lang w:eastAsia="en-AU"/>
              </w:rPr>
              <w:t>17  (</w:t>
            </w:r>
            <w:proofErr w:type="gramEnd"/>
            <w:r w:rsidRPr="00800A49">
              <w:rPr>
                <w:rFonts w:ascii="Times New Roman" w:eastAsia="Times New Roman" w:hAnsi="Times New Roman" w:cs="Times New Roman"/>
                <w:color w:val="000000"/>
                <w:sz w:val="18"/>
                <w:szCs w:val="18"/>
                <w:lang w:eastAsia="en-AU"/>
              </w:rPr>
              <w:t>dominant)</w:t>
            </w:r>
          </w:p>
          <w:p w14:paraId="38A4D399"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Cost-effective = Yes</w:t>
            </w:r>
          </w:p>
          <w:p w14:paraId="26566475"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br/>
              <w:t>2) ART/HVGIC vs STB ICER: 140</w:t>
            </w:r>
          </w:p>
          <w:p w14:paraId="5B58A81B"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Cost-effective = N/S</w:t>
            </w:r>
          </w:p>
        </w:tc>
        <w:tc>
          <w:tcPr>
            <w:tcW w:w="1134" w:type="dxa"/>
            <w:vMerge w:val="restart"/>
            <w:vAlign w:val="center"/>
          </w:tcPr>
          <w:p w14:paraId="7335F836"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Good</w:t>
            </w:r>
          </w:p>
        </w:tc>
      </w:tr>
      <w:tr w:rsidR="008461EA" w:rsidRPr="00800A49" w14:paraId="51761BC1" w14:textId="77777777" w:rsidTr="00720BDC">
        <w:trPr>
          <w:trHeight w:val="300"/>
        </w:trPr>
        <w:tc>
          <w:tcPr>
            <w:tcW w:w="1128" w:type="dxa"/>
            <w:vMerge/>
            <w:shd w:val="clear" w:color="auto" w:fill="auto"/>
            <w:noWrap/>
          </w:tcPr>
          <w:p w14:paraId="654204DE"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p>
        </w:tc>
        <w:tc>
          <w:tcPr>
            <w:tcW w:w="283" w:type="dxa"/>
            <w:vMerge w:val="restart"/>
            <w:vAlign w:val="center"/>
          </w:tcPr>
          <w:p w14:paraId="30C19C61"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C</w:t>
            </w:r>
          </w:p>
        </w:tc>
        <w:tc>
          <w:tcPr>
            <w:tcW w:w="709" w:type="dxa"/>
            <w:vAlign w:val="center"/>
          </w:tcPr>
          <w:p w14:paraId="0E990604"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Sel.</w:t>
            </w:r>
          </w:p>
        </w:tc>
        <w:tc>
          <w:tcPr>
            <w:tcW w:w="2409" w:type="dxa"/>
            <w:shd w:val="clear" w:color="auto" w:fill="auto"/>
            <w:noWrap/>
            <w:vAlign w:val="center"/>
          </w:tcPr>
          <w:p w14:paraId="1F887397"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Targeted school-based fissure sealant using composite resin (CR)</w:t>
            </w:r>
          </w:p>
        </w:tc>
        <w:tc>
          <w:tcPr>
            <w:tcW w:w="1105" w:type="dxa"/>
            <w:vMerge/>
            <w:vAlign w:val="center"/>
          </w:tcPr>
          <w:p w14:paraId="50C71ACE"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851" w:type="dxa"/>
            <w:vMerge/>
            <w:vAlign w:val="center"/>
          </w:tcPr>
          <w:p w14:paraId="015C3E76"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851" w:type="dxa"/>
            <w:vMerge/>
            <w:shd w:val="clear" w:color="auto" w:fill="auto"/>
            <w:noWrap/>
            <w:vAlign w:val="center"/>
          </w:tcPr>
          <w:p w14:paraId="4AD4DE61"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1190" w:type="dxa"/>
            <w:vAlign w:val="center"/>
          </w:tcPr>
          <w:p w14:paraId="6363FAD7"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37</w:t>
            </w:r>
          </w:p>
        </w:tc>
        <w:tc>
          <w:tcPr>
            <w:tcW w:w="2760" w:type="dxa"/>
            <w:vMerge/>
            <w:shd w:val="clear" w:color="auto" w:fill="auto"/>
            <w:noWrap/>
          </w:tcPr>
          <w:p w14:paraId="0D9AF9FA"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p>
        </w:tc>
        <w:tc>
          <w:tcPr>
            <w:tcW w:w="1190" w:type="dxa"/>
            <w:gridSpan w:val="2"/>
            <w:vMerge/>
            <w:shd w:val="clear" w:color="auto" w:fill="auto"/>
            <w:noWrap/>
            <w:vAlign w:val="center"/>
          </w:tcPr>
          <w:p w14:paraId="0D74A691"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1978" w:type="dxa"/>
            <w:vMerge/>
            <w:shd w:val="clear" w:color="auto" w:fill="auto"/>
            <w:noWrap/>
          </w:tcPr>
          <w:p w14:paraId="4F26CBBC"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p>
        </w:tc>
        <w:tc>
          <w:tcPr>
            <w:tcW w:w="1134" w:type="dxa"/>
            <w:vMerge/>
            <w:vAlign w:val="center"/>
          </w:tcPr>
          <w:p w14:paraId="1E62DAF1"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r>
      <w:tr w:rsidR="008461EA" w:rsidRPr="00800A49" w14:paraId="0176F16B" w14:textId="77777777" w:rsidTr="00720BDC">
        <w:trPr>
          <w:trHeight w:val="300"/>
        </w:trPr>
        <w:tc>
          <w:tcPr>
            <w:tcW w:w="1128" w:type="dxa"/>
            <w:vMerge/>
            <w:shd w:val="clear" w:color="auto" w:fill="auto"/>
            <w:noWrap/>
          </w:tcPr>
          <w:p w14:paraId="3B138A8A"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p>
        </w:tc>
        <w:tc>
          <w:tcPr>
            <w:tcW w:w="283" w:type="dxa"/>
            <w:vMerge/>
            <w:vAlign w:val="center"/>
          </w:tcPr>
          <w:p w14:paraId="77B69849"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709" w:type="dxa"/>
            <w:vAlign w:val="center"/>
          </w:tcPr>
          <w:p w14:paraId="32FD25A7"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roofErr w:type="spellStart"/>
            <w:r w:rsidRPr="00800A49">
              <w:rPr>
                <w:rFonts w:ascii="Times New Roman" w:eastAsia="Times New Roman" w:hAnsi="Times New Roman" w:cs="Times New Roman"/>
                <w:color w:val="000000"/>
                <w:sz w:val="18"/>
                <w:szCs w:val="18"/>
                <w:lang w:eastAsia="en-AU"/>
              </w:rPr>
              <w:t>Sel</w:t>
            </w:r>
            <w:proofErr w:type="spellEnd"/>
          </w:p>
        </w:tc>
        <w:tc>
          <w:tcPr>
            <w:tcW w:w="2409" w:type="dxa"/>
            <w:shd w:val="clear" w:color="auto" w:fill="auto"/>
            <w:noWrap/>
            <w:vAlign w:val="center"/>
          </w:tcPr>
          <w:p w14:paraId="349A3855"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Targeted school-based toothbrushing (STB)</w:t>
            </w:r>
          </w:p>
        </w:tc>
        <w:tc>
          <w:tcPr>
            <w:tcW w:w="1105" w:type="dxa"/>
            <w:vMerge/>
            <w:vAlign w:val="center"/>
          </w:tcPr>
          <w:p w14:paraId="1B6FE55B"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851" w:type="dxa"/>
            <w:vMerge/>
            <w:vAlign w:val="center"/>
          </w:tcPr>
          <w:p w14:paraId="2EBE8AAF"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851" w:type="dxa"/>
            <w:vMerge/>
            <w:shd w:val="clear" w:color="auto" w:fill="auto"/>
            <w:noWrap/>
            <w:vAlign w:val="center"/>
          </w:tcPr>
          <w:p w14:paraId="5EDB1F02"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1190" w:type="dxa"/>
            <w:vAlign w:val="center"/>
          </w:tcPr>
          <w:p w14:paraId="17417BDA"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38</w:t>
            </w:r>
          </w:p>
        </w:tc>
        <w:tc>
          <w:tcPr>
            <w:tcW w:w="2760" w:type="dxa"/>
            <w:vMerge/>
            <w:shd w:val="clear" w:color="auto" w:fill="auto"/>
            <w:noWrap/>
          </w:tcPr>
          <w:p w14:paraId="463911CB"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p>
        </w:tc>
        <w:tc>
          <w:tcPr>
            <w:tcW w:w="1190" w:type="dxa"/>
            <w:gridSpan w:val="2"/>
            <w:vMerge/>
            <w:shd w:val="clear" w:color="auto" w:fill="auto"/>
            <w:noWrap/>
            <w:vAlign w:val="center"/>
          </w:tcPr>
          <w:p w14:paraId="166C6A0C"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1978" w:type="dxa"/>
            <w:vMerge/>
            <w:shd w:val="clear" w:color="auto" w:fill="auto"/>
            <w:noWrap/>
          </w:tcPr>
          <w:p w14:paraId="582D04E8"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p>
        </w:tc>
        <w:tc>
          <w:tcPr>
            <w:tcW w:w="1134" w:type="dxa"/>
            <w:vMerge/>
            <w:vAlign w:val="center"/>
          </w:tcPr>
          <w:p w14:paraId="52221B1C"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r>
      <w:tr w:rsidR="008461EA" w:rsidRPr="00800A49" w14:paraId="23AE1062" w14:textId="77777777" w:rsidTr="00720BDC">
        <w:trPr>
          <w:trHeight w:val="1728"/>
        </w:trPr>
        <w:tc>
          <w:tcPr>
            <w:tcW w:w="1128" w:type="dxa"/>
            <w:vMerge w:val="restart"/>
            <w:shd w:val="clear" w:color="auto" w:fill="auto"/>
            <w:noWrap/>
            <w:hideMark/>
          </w:tcPr>
          <w:p w14:paraId="4B184D18"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Griffin et al., 2001</w:t>
            </w:r>
          </w:p>
        </w:tc>
        <w:tc>
          <w:tcPr>
            <w:tcW w:w="283" w:type="dxa"/>
            <w:vAlign w:val="center"/>
          </w:tcPr>
          <w:p w14:paraId="7E526689"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I</w:t>
            </w:r>
          </w:p>
        </w:tc>
        <w:tc>
          <w:tcPr>
            <w:tcW w:w="709" w:type="dxa"/>
            <w:vAlign w:val="center"/>
          </w:tcPr>
          <w:p w14:paraId="3A3492C0"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Uni.</w:t>
            </w:r>
          </w:p>
        </w:tc>
        <w:tc>
          <w:tcPr>
            <w:tcW w:w="2409" w:type="dxa"/>
            <w:shd w:val="clear" w:color="auto" w:fill="auto"/>
            <w:noWrap/>
            <w:vAlign w:val="center"/>
            <w:hideMark/>
          </w:tcPr>
          <w:p w14:paraId="0DEEA8B1"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Water fluoridation</w:t>
            </w:r>
          </w:p>
        </w:tc>
        <w:tc>
          <w:tcPr>
            <w:tcW w:w="1105" w:type="dxa"/>
            <w:vMerge w:val="restart"/>
            <w:vAlign w:val="center"/>
          </w:tcPr>
          <w:p w14:paraId="17CA5915"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Societal</w:t>
            </w:r>
          </w:p>
        </w:tc>
        <w:tc>
          <w:tcPr>
            <w:tcW w:w="851" w:type="dxa"/>
            <w:vMerge w:val="restart"/>
            <w:vAlign w:val="center"/>
          </w:tcPr>
          <w:p w14:paraId="48C838BF"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Lifetime</w:t>
            </w:r>
          </w:p>
        </w:tc>
        <w:tc>
          <w:tcPr>
            <w:tcW w:w="851" w:type="dxa"/>
            <w:vMerge w:val="restart"/>
            <w:shd w:val="clear" w:color="auto" w:fill="auto"/>
            <w:noWrap/>
            <w:vAlign w:val="center"/>
            <w:hideMark/>
          </w:tcPr>
          <w:p w14:paraId="4435C11E"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6</w:t>
            </w:r>
          </w:p>
        </w:tc>
        <w:tc>
          <w:tcPr>
            <w:tcW w:w="1190" w:type="dxa"/>
            <w:vMerge w:val="restart"/>
            <w:vAlign w:val="center"/>
          </w:tcPr>
          <w:p w14:paraId="5D3E6B8C"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N/R</w:t>
            </w:r>
          </w:p>
        </w:tc>
        <w:tc>
          <w:tcPr>
            <w:tcW w:w="2760" w:type="dxa"/>
            <w:vMerge w:val="restart"/>
            <w:shd w:val="clear" w:color="auto" w:fill="auto"/>
            <w:noWrap/>
            <w:hideMark/>
          </w:tcPr>
          <w:p w14:paraId="3EB0B6EC"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Intervention costs (fixed costs and maintenance)</w:t>
            </w:r>
          </w:p>
          <w:p w14:paraId="1C664624"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br/>
              <w:t>Dental treatment costs (single-surface restorations and repeat restorations)</w:t>
            </w:r>
          </w:p>
          <w:p w14:paraId="1A9D94B8"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br/>
              <w:t>Opportunity costs lost (dental treatment time)</w:t>
            </w:r>
          </w:p>
        </w:tc>
        <w:tc>
          <w:tcPr>
            <w:tcW w:w="634" w:type="dxa"/>
            <w:vMerge w:val="restart"/>
            <w:shd w:val="clear" w:color="auto" w:fill="auto"/>
            <w:noWrap/>
            <w:vAlign w:val="center"/>
          </w:tcPr>
          <w:p w14:paraId="2A5F0ED1"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4%</w:t>
            </w:r>
          </w:p>
        </w:tc>
        <w:tc>
          <w:tcPr>
            <w:tcW w:w="556" w:type="dxa"/>
            <w:vMerge w:val="restart"/>
            <w:vAlign w:val="center"/>
          </w:tcPr>
          <w:p w14:paraId="1BC835B4"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N/A</w:t>
            </w:r>
          </w:p>
        </w:tc>
        <w:tc>
          <w:tcPr>
            <w:tcW w:w="1978" w:type="dxa"/>
            <w:vMerge w:val="restart"/>
            <w:shd w:val="clear" w:color="auto" w:fill="auto"/>
            <w:noWrap/>
            <w:hideMark/>
          </w:tcPr>
          <w:p w14:paraId="6AC102B2"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Net benefits/costs:</w:t>
            </w:r>
          </w:p>
          <w:p w14:paraId="09914B5F"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1) Population &lt;5,000:</w:t>
            </w:r>
          </w:p>
          <w:p w14:paraId="260533C9"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-US$15.95 (-31.04; -0.85)</w:t>
            </w:r>
            <w:r w:rsidRPr="00800A49">
              <w:rPr>
                <w:rFonts w:ascii="Times New Roman" w:eastAsia="Times New Roman" w:hAnsi="Times New Roman" w:cs="Times New Roman"/>
                <w:color w:val="000000"/>
                <w:sz w:val="18"/>
                <w:szCs w:val="18"/>
                <w:lang w:eastAsia="en-AU"/>
              </w:rPr>
              <w:br/>
              <w:t>2) Population 5,000 - 9,999:</w:t>
            </w:r>
          </w:p>
          <w:p w14:paraId="30A0694E"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-US$17.48 (-032.57; -2.38)</w:t>
            </w:r>
            <w:r w:rsidRPr="00800A49">
              <w:rPr>
                <w:rFonts w:ascii="Times New Roman" w:eastAsia="Times New Roman" w:hAnsi="Times New Roman" w:cs="Times New Roman"/>
                <w:color w:val="000000"/>
                <w:sz w:val="18"/>
                <w:szCs w:val="18"/>
                <w:lang w:eastAsia="en-AU"/>
              </w:rPr>
              <w:br/>
              <w:t>3) Population 10,000 - 20,000:</w:t>
            </w:r>
          </w:p>
          <w:p w14:paraId="14F4B386"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lastRenderedPageBreak/>
              <w:t>-US$18.06 (33.15; -2.96)</w:t>
            </w:r>
            <w:r w:rsidRPr="00800A49">
              <w:rPr>
                <w:rFonts w:ascii="Times New Roman" w:eastAsia="Times New Roman" w:hAnsi="Times New Roman" w:cs="Times New Roman"/>
                <w:color w:val="000000"/>
                <w:sz w:val="18"/>
                <w:szCs w:val="18"/>
                <w:lang w:eastAsia="en-AU"/>
              </w:rPr>
              <w:br/>
              <w:t>4) Population &gt;20,000:</w:t>
            </w:r>
          </w:p>
          <w:p w14:paraId="0A97DB86"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-US$18.62 (-33.71; -3.52)</w:t>
            </w:r>
          </w:p>
          <w:p w14:paraId="7ECD4DDC"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p>
          <w:p w14:paraId="2530FB3E"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Cost-saving = Yes</w:t>
            </w:r>
          </w:p>
          <w:p w14:paraId="632338FC"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p>
        </w:tc>
        <w:tc>
          <w:tcPr>
            <w:tcW w:w="1134" w:type="dxa"/>
            <w:vMerge w:val="restart"/>
            <w:vAlign w:val="center"/>
          </w:tcPr>
          <w:p w14:paraId="594E15FA"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lastRenderedPageBreak/>
              <w:t>Good</w:t>
            </w:r>
          </w:p>
        </w:tc>
      </w:tr>
      <w:tr w:rsidR="008461EA" w:rsidRPr="00800A49" w14:paraId="2DA0E053" w14:textId="77777777" w:rsidTr="00720BDC">
        <w:trPr>
          <w:trHeight w:val="300"/>
        </w:trPr>
        <w:tc>
          <w:tcPr>
            <w:tcW w:w="1128" w:type="dxa"/>
            <w:vMerge/>
            <w:shd w:val="clear" w:color="auto" w:fill="auto"/>
            <w:noWrap/>
          </w:tcPr>
          <w:p w14:paraId="67B73D0A"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p>
        </w:tc>
        <w:tc>
          <w:tcPr>
            <w:tcW w:w="283" w:type="dxa"/>
            <w:vAlign w:val="center"/>
          </w:tcPr>
          <w:p w14:paraId="7BADA6BC"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C</w:t>
            </w:r>
          </w:p>
        </w:tc>
        <w:tc>
          <w:tcPr>
            <w:tcW w:w="709" w:type="dxa"/>
            <w:vAlign w:val="center"/>
          </w:tcPr>
          <w:p w14:paraId="4FE26F09"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N/A</w:t>
            </w:r>
          </w:p>
        </w:tc>
        <w:tc>
          <w:tcPr>
            <w:tcW w:w="2409" w:type="dxa"/>
            <w:shd w:val="clear" w:color="auto" w:fill="auto"/>
            <w:noWrap/>
            <w:vAlign w:val="center"/>
          </w:tcPr>
          <w:p w14:paraId="3CCA861C"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No intervention</w:t>
            </w:r>
          </w:p>
        </w:tc>
        <w:tc>
          <w:tcPr>
            <w:tcW w:w="1105" w:type="dxa"/>
            <w:vMerge/>
            <w:vAlign w:val="center"/>
          </w:tcPr>
          <w:p w14:paraId="4087B1D8"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851" w:type="dxa"/>
            <w:vMerge/>
            <w:vAlign w:val="center"/>
          </w:tcPr>
          <w:p w14:paraId="30BE84DC"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851" w:type="dxa"/>
            <w:vMerge/>
            <w:shd w:val="clear" w:color="auto" w:fill="auto"/>
            <w:noWrap/>
            <w:vAlign w:val="center"/>
          </w:tcPr>
          <w:p w14:paraId="17FBBA26"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1190" w:type="dxa"/>
            <w:vMerge/>
            <w:vAlign w:val="center"/>
          </w:tcPr>
          <w:p w14:paraId="2F210F8F"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2760" w:type="dxa"/>
            <w:vMerge/>
            <w:shd w:val="clear" w:color="auto" w:fill="auto"/>
            <w:noWrap/>
          </w:tcPr>
          <w:p w14:paraId="225EACEE"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p>
        </w:tc>
        <w:tc>
          <w:tcPr>
            <w:tcW w:w="634" w:type="dxa"/>
            <w:vMerge/>
            <w:shd w:val="clear" w:color="auto" w:fill="auto"/>
            <w:noWrap/>
            <w:vAlign w:val="center"/>
          </w:tcPr>
          <w:p w14:paraId="251CE0FB"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556" w:type="dxa"/>
            <w:vMerge/>
            <w:vAlign w:val="center"/>
          </w:tcPr>
          <w:p w14:paraId="5FEFD1B3"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1978" w:type="dxa"/>
            <w:vMerge/>
            <w:shd w:val="clear" w:color="auto" w:fill="auto"/>
            <w:noWrap/>
          </w:tcPr>
          <w:p w14:paraId="0E4CBC09"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p>
        </w:tc>
        <w:tc>
          <w:tcPr>
            <w:tcW w:w="1134" w:type="dxa"/>
            <w:vMerge/>
            <w:vAlign w:val="center"/>
          </w:tcPr>
          <w:p w14:paraId="30D67059"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r>
      <w:tr w:rsidR="008461EA" w:rsidRPr="00800A49" w14:paraId="3CD446B0" w14:textId="77777777" w:rsidTr="00720BDC">
        <w:trPr>
          <w:trHeight w:val="300"/>
        </w:trPr>
        <w:tc>
          <w:tcPr>
            <w:tcW w:w="1128" w:type="dxa"/>
            <w:vMerge w:val="restart"/>
            <w:shd w:val="clear" w:color="auto" w:fill="auto"/>
            <w:noWrap/>
            <w:hideMark/>
          </w:tcPr>
          <w:p w14:paraId="0FCA8967"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Griffin et al., 2002</w:t>
            </w:r>
          </w:p>
        </w:tc>
        <w:tc>
          <w:tcPr>
            <w:tcW w:w="283" w:type="dxa"/>
            <w:vMerge w:val="restart"/>
            <w:vAlign w:val="center"/>
          </w:tcPr>
          <w:p w14:paraId="6805DF33"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I</w:t>
            </w:r>
          </w:p>
        </w:tc>
        <w:tc>
          <w:tcPr>
            <w:tcW w:w="709" w:type="dxa"/>
            <w:vAlign w:val="center"/>
          </w:tcPr>
          <w:p w14:paraId="44509CDD"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N/A</w:t>
            </w:r>
          </w:p>
        </w:tc>
        <w:tc>
          <w:tcPr>
            <w:tcW w:w="2409" w:type="dxa"/>
            <w:shd w:val="clear" w:color="auto" w:fill="auto"/>
            <w:noWrap/>
            <w:vAlign w:val="center"/>
            <w:hideMark/>
          </w:tcPr>
          <w:p w14:paraId="639EB55B"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No fissure sealant (NS)</w:t>
            </w:r>
            <w:r w:rsidRPr="00800A49">
              <w:rPr>
                <w:rFonts w:ascii="Times New Roman" w:eastAsia="Times New Roman" w:hAnsi="Times New Roman" w:cs="Times New Roman"/>
                <w:color w:val="000000"/>
                <w:sz w:val="18"/>
                <w:szCs w:val="18"/>
                <w:lang w:eastAsia="en-AU"/>
              </w:rPr>
              <w:br/>
            </w:r>
          </w:p>
        </w:tc>
        <w:tc>
          <w:tcPr>
            <w:tcW w:w="1105" w:type="dxa"/>
            <w:vMerge w:val="restart"/>
            <w:vAlign w:val="center"/>
          </w:tcPr>
          <w:p w14:paraId="5AA0538D"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Societal</w:t>
            </w:r>
          </w:p>
        </w:tc>
        <w:tc>
          <w:tcPr>
            <w:tcW w:w="851" w:type="dxa"/>
            <w:vMerge w:val="restart"/>
            <w:vAlign w:val="center"/>
          </w:tcPr>
          <w:p w14:paraId="53B22CDA"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9 years</w:t>
            </w:r>
          </w:p>
        </w:tc>
        <w:tc>
          <w:tcPr>
            <w:tcW w:w="851" w:type="dxa"/>
            <w:vMerge w:val="restart"/>
            <w:shd w:val="clear" w:color="auto" w:fill="auto"/>
            <w:noWrap/>
            <w:vAlign w:val="center"/>
            <w:hideMark/>
          </w:tcPr>
          <w:p w14:paraId="756F7EDC"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6-7</w:t>
            </w:r>
          </w:p>
        </w:tc>
        <w:tc>
          <w:tcPr>
            <w:tcW w:w="1190" w:type="dxa"/>
            <w:vMerge w:val="restart"/>
            <w:vAlign w:val="center"/>
          </w:tcPr>
          <w:p w14:paraId="5162ABB1"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Individual</w:t>
            </w:r>
          </w:p>
        </w:tc>
        <w:tc>
          <w:tcPr>
            <w:tcW w:w="2760" w:type="dxa"/>
            <w:vMerge w:val="restart"/>
            <w:shd w:val="clear" w:color="auto" w:fill="auto"/>
            <w:noWrap/>
            <w:hideMark/>
          </w:tcPr>
          <w:p w14:paraId="5161832F"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Intervention costs (macro-costing)</w:t>
            </w:r>
          </w:p>
          <w:p w14:paraId="24F292C5"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br/>
              <w:t>Dental treatment costs (restorations)</w:t>
            </w:r>
          </w:p>
          <w:p w14:paraId="08F54A3D"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br/>
              <w:t>Opportunity costs lost (travel and waiting time)</w:t>
            </w:r>
          </w:p>
        </w:tc>
        <w:tc>
          <w:tcPr>
            <w:tcW w:w="1190" w:type="dxa"/>
            <w:gridSpan w:val="2"/>
            <w:vMerge w:val="restart"/>
            <w:shd w:val="clear" w:color="auto" w:fill="auto"/>
            <w:noWrap/>
            <w:vAlign w:val="center"/>
          </w:tcPr>
          <w:p w14:paraId="452DC241"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hAnsi="Times New Roman" w:cs="Times New Roman"/>
                <w:color w:val="000000"/>
              </w:rPr>
              <w:t>3%</w:t>
            </w:r>
          </w:p>
        </w:tc>
        <w:tc>
          <w:tcPr>
            <w:tcW w:w="1978" w:type="dxa"/>
            <w:vMerge w:val="restart"/>
            <w:shd w:val="clear" w:color="auto" w:fill="auto"/>
            <w:noWrap/>
            <w:hideMark/>
          </w:tcPr>
          <w:p w14:paraId="07820505"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Cost (US$) per decayed occlusal surface on the 1st permanent molar averted</w:t>
            </w:r>
            <w:r w:rsidRPr="00800A49">
              <w:rPr>
                <w:rFonts w:ascii="Times New Roman" w:eastAsia="Times New Roman" w:hAnsi="Times New Roman" w:cs="Times New Roman"/>
                <w:color w:val="000000"/>
                <w:sz w:val="18"/>
                <w:szCs w:val="18"/>
                <w:lang w:eastAsia="en-AU"/>
              </w:rPr>
              <w:br/>
              <w:t>1) NS vs. AS ICER: 23.42</w:t>
            </w:r>
          </w:p>
          <w:p w14:paraId="22073648"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Cost-effective = N/S</w:t>
            </w:r>
          </w:p>
          <w:p w14:paraId="09BA3B1B"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br/>
              <w:t>2) TS vs AS ICER: 73.96</w:t>
            </w:r>
          </w:p>
          <w:p w14:paraId="487A3135"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Cost-effective = N/S</w:t>
            </w:r>
          </w:p>
          <w:p w14:paraId="12BE9327"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br/>
              <w:t>3) TS vs. NS ICER: N/R (dominant)</w:t>
            </w:r>
          </w:p>
          <w:p w14:paraId="341FEAED"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Cost-effective = Yes</w:t>
            </w:r>
          </w:p>
        </w:tc>
        <w:tc>
          <w:tcPr>
            <w:tcW w:w="1134" w:type="dxa"/>
            <w:vMerge w:val="restart"/>
            <w:vAlign w:val="center"/>
          </w:tcPr>
          <w:p w14:paraId="478462EF"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Moderate</w:t>
            </w:r>
          </w:p>
        </w:tc>
      </w:tr>
      <w:tr w:rsidR="008461EA" w:rsidRPr="00800A49" w14:paraId="002AE11E" w14:textId="77777777" w:rsidTr="00720BDC">
        <w:trPr>
          <w:trHeight w:val="300"/>
        </w:trPr>
        <w:tc>
          <w:tcPr>
            <w:tcW w:w="1128" w:type="dxa"/>
            <w:vMerge/>
            <w:shd w:val="clear" w:color="auto" w:fill="auto"/>
            <w:noWrap/>
          </w:tcPr>
          <w:p w14:paraId="36A89BF0"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p>
        </w:tc>
        <w:tc>
          <w:tcPr>
            <w:tcW w:w="283" w:type="dxa"/>
            <w:vMerge/>
            <w:vAlign w:val="center"/>
          </w:tcPr>
          <w:p w14:paraId="7D732365"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709" w:type="dxa"/>
            <w:vAlign w:val="center"/>
          </w:tcPr>
          <w:p w14:paraId="4521D865"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Ind.</w:t>
            </w:r>
          </w:p>
        </w:tc>
        <w:tc>
          <w:tcPr>
            <w:tcW w:w="2409" w:type="dxa"/>
            <w:shd w:val="clear" w:color="auto" w:fill="auto"/>
            <w:noWrap/>
            <w:vAlign w:val="center"/>
          </w:tcPr>
          <w:p w14:paraId="3E777A86"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All fissure sealant (AS)</w:t>
            </w:r>
          </w:p>
        </w:tc>
        <w:tc>
          <w:tcPr>
            <w:tcW w:w="1105" w:type="dxa"/>
            <w:vMerge/>
            <w:vAlign w:val="center"/>
          </w:tcPr>
          <w:p w14:paraId="08A44CBC"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851" w:type="dxa"/>
            <w:vMerge/>
            <w:vAlign w:val="center"/>
          </w:tcPr>
          <w:p w14:paraId="22208AE9"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851" w:type="dxa"/>
            <w:vMerge/>
            <w:shd w:val="clear" w:color="auto" w:fill="auto"/>
            <w:noWrap/>
            <w:vAlign w:val="center"/>
          </w:tcPr>
          <w:p w14:paraId="557DD27A"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1190" w:type="dxa"/>
            <w:vMerge/>
            <w:vAlign w:val="center"/>
          </w:tcPr>
          <w:p w14:paraId="5700773F"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2760" w:type="dxa"/>
            <w:vMerge/>
            <w:shd w:val="clear" w:color="auto" w:fill="auto"/>
            <w:noWrap/>
          </w:tcPr>
          <w:p w14:paraId="47EB9F6D"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p>
        </w:tc>
        <w:tc>
          <w:tcPr>
            <w:tcW w:w="1190" w:type="dxa"/>
            <w:gridSpan w:val="2"/>
            <w:vMerge/>
            <w:shd w:val="clear" w:color="auto" w:fill="auto"/>
            <w:noWrap/>
            <w:vAlign w:val="center"/>
          </w:tcPr>
          <w:p w14:paraId="354FF5E2"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1978" w:type="dxa"/>
            <w:vMerge/>
            <w:shd w:val="clear" w:color="auto" w:fill="auto"/>
            <w:noWrap/>
          </w:tcPr>
          <w:p w14:paraId="5798BE69"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p>
        </w:tc>
        <w:tc>
          <w:tcPr>
            <w:tcW w:w="1134" w:type="dxa"/>
            <w:vMerge/>
            <w:vAlign w:val="center"/>
          </w:tcPr>
          <w:p w14:paraId="19CD9DC9"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r>
      <w:tr w:rsidR="008461EA" w:rsidRPr="00800A49" w14:paraId="3801E343" w14:textId="77777777" w:rsidTr="00720BDC">
        <w:trPr>
          <w:trHeight w:val="300"/>
        </w:trPr>
        <w:tc>
          <w:tcPr>
            <w:tcW w:w="1128" w:type="dxa"/>
            <w:vMerge/>
            <w:shd w:val="clear" w:color="auto" w:fill="auto"/>
            <w:noWrap/>
          </w:tcPr>
          <w:p w14:paraId="080AFF1D"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p>
        </w:tc>
        <w:tc>
          <w:tcPr>
            <w:tcW w:w="283" w:type="dxa"/>
            <w:vAlign w:val="center"/>
          </w:tcPr>
          <w:p w14:paraId="28E9AC64"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C</w:t>
            </w:r>
          </w:p>
        </w:tc>
        <w:tc>
          <w:tcPr>
            <w:tcW w:w="709" w:type="dxa"/>
            <w:vAlign w:val="center"/>
          </w:tcPr>
          <w:p w14:paraId="27874AAB"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Ind.</w:t>
            </w:r>
          </w:p>
        </w:tc>
        <w:tc>
          <w:tcPr>
            <w:tcW w:w="2409" w:type="dxa"/>
            <w:shd w:val="clear" w:color="auto" w:fill="auto"/>
            <w:noWrap/>
            <w:vAlign w:val="center"/>
          </w:tcPr>
          <w:p w14:paraId="0C483E41"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Targeted fissure sealant (TS)</w:t>
            </w:r>
          </w:p>
        </w:tc>
        <w:tc>
          <w:tcPr>
            <w:tcW w:w="1105" w:type="dxa"/>
            <w:vMerge/>
            <w:vAlign w:val="center"/>
          </w:tcPr>
          <w:p w14:paraId="4A890151"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851" w:type="dxa"/>
            <w:vMerge/>
            <w:vAlign w:val="center"/>
          </w:tcPr>
          <w:p w14:paraId="05045D61"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851" w:type="dxa"/>
            <w:vMerge/>
            <w:shd w:val="clear" w:color="auto" w:fill="auto"/>
            <w:noWrap/>
            <w:vAlign w:val="center"/>
          </w:tcPr>
          <w:p w14:paraId="137EFF0C"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1190" w:type="dxa"/>
            <w:vMerge/>
            <w:vAlign w:val="center"/>
          </w:tcPr>
          <w:p w14:paraId="0A0B3AAA"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2760" w:type="dxa"/>
            <w:vMerge/>
            <w:shd w:val="clear" w:color="auto" w:fill="auto"/>
            <w:noWrap/>
          </w:tcPr>
          <w:p w14:paraId="6BD65449"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p>
        </w:tc>
        <w:tc>
          <w:tcPr>
            <w:tcW w:w="1190" w:type="dxa"/>
            <w:gridSpan w:val="2"/>
            <w:vMerge/>
            <w:shd w:val="clear" w:color="auto" w:fill="auto"/>
            <w:noWrap/>
            <w:vAlign w:val="center"/>
          </w:tcPr>
          <w:p w14:paraId="186C6E22"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1978" w:type="dxa"/>
            <w:vMerge/>
            <w:shd w:val="clear" w:color="auto" w:fill="auto"/>
            <w:noWrap/>
          </w:tcPr>
          <w:p w14:paraId="12C9BA56"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p>
        </w:tc>
        <w:tc>
          <w:tcPr>
            <w:tcW w:w="1134" w:type="dxa"/>
            <w:vMerge/>
            <w:vAlign w:val="center"/>
          </w:tcPr>
          <w:p w14:paraId="5FFE409E"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r>
      <w:tr w:rsidR="008461EA" w:rsidRPr="00800A49" w14:paraId="7B8C327E" w14:textId="77777777" w:rsidTr="00720BDC">
        <w:trPr>
          <w:trHeight w:val="954"/>
        </w:trPr>
        <w:tc>
          <w:tcPr>
            <w:tcW w:w="1128" w:type="dxa"/>
            <w:vMerge w:val="restart"/>
            <w:shd w:val="clear" w:color="auto" w:fill="auto"/>
            <w:noWrap/>
            <w:hideMark/>
          </w:tcPr>
          <w:p w14:paraId="3B785077"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Griffin et al., 2016</w:t>
            </w:r>
          </w:p>
        </w:tc>
        <w:tc>
          <w:tcPr>
            <w:tcW w:w="283" w:type="dxa"/>
            <w:vAlign w:val="center"/>
          </w:tcPr>
          <w:p w14:paraId="11B3B7E1"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I</w:t>
            </w:r>
          </w:p>
        </w:tc>
        <w:tc>
          <w:tcPr>
            <w:tcW w:w="709" w:type="dxa"/>
            <w:vAlign w:val="center"/>
          </w:tcPr>
          <w:p w14:paraId="36A1F3A1"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Sel.</w:t>
            </w:r>
          </w:p>
        </w:tc>
        <w:tc>
          <w:tcPr>
            <w:tcW w:w="2409" w:type="dxa"/>
            <w:shd w:val="clear" w:color="auto" w:fill="auto"/>
            <w:noWrap/>
            <w:vAlign w:val="center"/>
            <w:hideMark/>
          </w:tcPr>
          <w:p w14:paraId="7E0C2680"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Targeted school-based fissure sealant</w:t>
            </w:r>
          </w:p>
        </w:tc>
        <w:tc>
          <w:tcPr>
            <w:tcW w:w="1105" w:type="dxa"/>
            <w:vMerge w:val="restart"/>
            <w:vAlign w:val="center"/>
          </w:tcPr>
          <w:p w14:paraId="332DF37D"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Societal</w:t>
            </w:r>
          </w:p>
        </w:tc>
        <w:tc>
          <w:tcPr>
            <w:tcW w:w="851" w:type="dxa"/>
            <w:vMerge w:val="restart"/>
            <w:vAlign w:val="center"/>
          </w:tcPr>
          <w:p w14:paraId="04E2C6F9"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4 years</w:t>
            </w:r>
          </w:p>
        </w:tc>
        <w:tc>
          <w:tcPr>
            <w:tcW w:w="851" w:type="dxa"/>
            <w:vMerge w:val="restart"/>
            <w:shd w:val="clear" w:color="auto" w:fill="auto"/>
            <w:noWrap/>
            <w:vAlign w:val="center"/>
            <w:hideMark/>
          </w:tcPr>
          <w:p w14:paraId="0AF7F9A7"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6</w:t>
            </w:r>
          </w:p>
        </w:tc>
        <w:tc>
          <w:tcPr>
            <w:tcW w:w="1190" w:type="dxa"/>
            <w:vMerge w:val="restart"/>
            <w:vAlign w:val="center"/>
          </w:tcPr>
          <w:p w14:paraId="6631422C"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1,000</w:t>
            </w:r>
          </w:p>
        </w:tc>
        <w:tc>
          <w:tcPr>
            <w:tcW w:w="2760" w:type="dxa"/>
            <w:vMerge w:val="restart"/>
            <w:shd w:val="clear" w:color="auto" w:fill="auto"/>
            <w:noWrap/>
            <w:hideMark/>
          </w:tcPr>
          <w:p w14:paraId="0AC48F45"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Intervention costs (labour and consumables)</w:t>
            </w:r>
          </w:p>
          <w:p w14:paraId="31B8F227"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br/>
              <w:t>Dental treatment costs (restorations)</w:t>
            </w:r>
          </w:p>
          <w:p w14:paraId="1F2EA2D4"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br/>
              <w:t>Opportunity costs lost (travel and dental treatment time)</w:t>
            </w:r>
          </w:p>
        </w:tc>
        <w:tc>
          <w:tcPr>
            <w:tcW w:w="1190" w:type="dxa"/>
            <w:gridSpan w:val="2"/>
            <w:vMerge w:val="restart"/>
            <w:shd w:val="clear" w:color="auto" w:fill="auto"/>
            <w:noWrap/>
            <w:vAlign w:val="center"/>
          </w:tcPr>
          <w:p w14:paraId="5B295EA1"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3%</w:t>
            </w:r>
          </w:p>
        </w:tc>
        <w:tc>
          <w:tcPr>
            <w:tcW w:w="1978" w:type="dxa"/>
            <w:vMerge w:val="restart"/>
            <w:shd w:val="clear" w:color="auto" w:fill="auto"/>
            <w:noWrap/>
            <w:hideMark/>
          </w:tcPr>
          <w:p w14:paraId="5D20287E"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Costs (US$) per DALY averted</w:t>
            </w:r>
            <w:r w:rsidRPr="00800A49">
              <w:rPr>
                <w:rFonts w:ascii="Times New Roman" w:eastAsia="Times New Roman" w:hAnsi="Times New Roman" w:cs="Times New Roman"/>
                <w:color w:val="000000"/>
                <w:sz w:val="18"/>
                <w:szCs w:val="18"/>
                <w:lang w:eastAsia="en-AU"/>
              </w:rPr>
              <w:br/>
              <w:t>ICER: N/R (dominant)</w:t>
            </w:r>
          </w:p>
          <w:p w14:paraId="35BE5A18"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p>
          <w:p w14:paraId="629308E8"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Cost-effective = Yes</w:t>
            </w:r>
          </w:p>
        </w:tc>
        <w:tc>
          <w:tcPr>
            <w:tcW w:w="1134" w:type="dxa"/>
            <w:vMerge w:val="restart"/>
            <w:vAlign w:val="center"/>
          </w:tcPr>
          <w:p w14:paraId="3DC9A358"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Good</w:t>
            </w:r>
          </w:p>
        </w:tc>
      </w:tr>
      <w:tr w:rsidR="008461EA" w:rsidRPr="00800A49" w14:paraId="6FF0424A" w14:textId="77777777" w:rsidTr="00720BDC">
        <w:trPr>
          <w:trHeight w:val="300"/>
        </w:trPr>
        <w:tc>
          <w:tcPr>
            <w:tcW w:w="1128" w:type="dxa"/>
            <w:vMerge/>
            <w:shd w:val="clear" w:color="auto" w:fill="auto"/>
            <w:noWrap/>
          </w:tcPr>
          <w:p w14:paraId="4C7A0F92"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p>
        </w:tc>
        <w:tc>
          <w:tcPr>
            <w:tcW w:w="283" w:type="dxa"/>
            <w:vAlign w:val="center"/>
          </w:tcPr>
          <w:p w14:paraId="01B4415D"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C</w:t>
            </w:r>
          </w:p>
        </w:tc>
        <w:tc>
          <w:tcPr>
            <w:tcW w:w="709" w:type="dxa"/>
            <w:vAlign w:val="center"/>
          </w:tcPr>
          <w:p w14:paraId="7B3C40C8"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N/A</w:t>
            </w:r>
          </w:p>
        </w:tc>
        <w:tc>
          <w:tcPr>
            <w:tcW w:w="2409" w:type="dxa"/>
            <w:shd w:val="clear" w:color="auto" w:fill="auto"/>
            <w:noWrap/>
            <w:vAlign w:val="center"/>
          </w:tcPr>
          <w:p w14:paraId="518E3B1C"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No intervention</w:t>
            </w:r>
          </w:p>
        </w:tc>
        <w:tc>
          <w:tcPr>
            <w:tcW w:w="1105" w:type="dxa"/>
            <w:vMerge/>
            <w:vAlign w:val="center"/>
          </w:tcPr>
          <w:p w14:paraId="587E74B7"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851" w:type="dxa"/>
            <w:vMerge/>
            <w:vAlign w:val="center"/>
          </w:tcPr>
          <w:p w14:paraId="06507EA1"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851" w:type="dxa"/>
            <w:vMerge/>
            <w:shd w:val="clear" w:color="auto" w:fill="auto"/>
            <w:noWrap/>
            <w:vAlign w:val="center"/>
          </w:tcPr>
          <w:p w14:paraId="59169A6A"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1190" w:type="dxa"/>
            <w:vMerge/>
            <w:vAlign w:val="center"/>
          </w:tcPr>
          <w:p w14:paraId="532EA9A0"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2760" w:type="dxa"/>
            <w:vMerge/>
            <w:shd w:val="clear" w:color="auto" w:fill="auto"/>
            <w:noWrap/>
          </w:tcPr>
          <w:p w14:paraId="402E4627"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p>
        </w:tc>
        <w:tc>
          <w:tcPr>
            <w:tcW w:w="1190" w:type="dxa"/>
            <w:gridSpan w:val="2"/>
            <w:vMerge/>
            <w:shd w:val="clear" w:color="auto" w:fill="auto"/>
            <w:noWrap/>
            <w:vAlign w:val="center"/>
          </w:tcPr>
          <w:p w14:paraId="4A4616A4"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1978" w:type="dxa"/>
            <w:vMerge/>
            <w:shd w:val="clear" w:color="auto" w:fill="auto"/>
            <w:noWrap/>
          </w:tcPr>
          <w:p w14:paraId="7DDF6E90"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p>
        </w:tc>
        <w:tc>
          <w:tcPr>
            <w:tcW w:w="1134" w:type="dxa"/>
            <w:vMerge/>
            <w:vAlign w:val="center"/>
          </w:tcPr>
          <w:p w14:paraId="7FA1741C"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r>
      <w:tr w:rsidR="008461EA" w:rsidRPr="00800A49" w14:paraId="0F76BB60" w14:textId="77777777" w:rsidTr="00720BDC">
        <w:trPr>
          <w:trHeight w:val="300"/>
        </w:trPr>
        <w:tc>
          <w:tcPr>
            <w:tcW w:w="1128" w:type="dxa"/>
            <w:vMerge w:val="restart"/>
            <w:shd w:val="clear" w:color="auto" w:fill="auto"/>
            <w:noWrap/>
            <w:hideMark/>
          </w:tcPr>
          <w:p w14:paraId="6F2C1547"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proofErr w:type="spellStart"/>
            <w:r w:rsidRPr="00800A49">
              <w:rPr>
                <w:rFonts w:ascii="Times New Roman" w:eastAsia="Times New Roman" w:hAnsi="Times New Roman" w:cs="Times New Roman"/>
                <w:color w:val="000000"/>
                <w:sz w:val="18"/>
                <w:szCs w:val="18"/>
                <w:lang w:eastAsia="en-AU"/>
              </w:rPr>
              <w:t>Hietasalo</w:t>
            </w:r>
            <w:proofErr w:type="spellEnd"/>
            <w:r w:rsidRPr="00800A49">
              <w:rPr>
                <w:rFonts w:ascii="Times New Roman" w:eastAsia="Times New Roman" w:hAnsi="Times New Roman" w:cs="Times New Roman"/>
                <w:color w:val="000000"/>
                <w:sz w:val="18"/>
                <w:szCs w:val="18"/>
                <w:lang w:eastAsia="en-AU"/>
              </w:rPr>
              <w:t xml:space="preserve"> et al., 2009</w:t>
            </w:r>
          </w:p>
        </w:tc>
        <w:tc>
          <w:tcPr>
            <w:tcW w:w="283" w:type="dxa"/>
            <w:vAlign w:val="center"/>
          </w:tcPr>
          <w:p w14:paraId="09394380"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I</w:t>
            </w:r>
          </w:p>
        </w:tc>
        <w:tc>
          <w:tcPr>
            <w:tcW w:w="709" w:type="dxa"/>
            <w:vAlign w:val="center"/>
          </w:tcPr>
          <w:p w14:paraId="74DF3EF8"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Ind.</w:t>
            </w:r>
          </w:p>
        </w:tc>
        <w:tc>
          <w:tcPr>
            <w:tcW w:w="2409" w:type="dxa"/>
            <w:shd w:val="clear" w:color="auto" w:fill="auto"/>
            <w:noWrap/>
            <w:vAlign w:val="center"/>
            <w:hideMark/>
          </w:tcPr>
          <w:p w14:paraId="337F9626"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Oral health education, suck fluoride lozenges before snacking (up to 4 times daily) and xylitol lozenges after meals (at least 3 times daily)</w:t>
            </w:r>
            <w:r w:rsidRPr="00800A49">
              <w:rPr>
                <w:rFonts w:ascii="Times New Roman" w:eastAsia="Times New Roman" w:hAnsi="Times New Roman" w:cs="Times New Roman"/>
                <w:color w:val="000000"/>
                <w:sz w:val="18"/>
                <w:szCs w:val="18"/>
                <w:lang w:eastAsia="en-AU"/>
              </w:rPr>
              <w:br/>
              <w:t>Professional cleaning of initial caries lesion sites chlorhexidine varnish, 1-2 weekly until initial caries lesions stabilised</w:t>
            </w:r>
          </w:p>
        </w:tc>
        <w:tc>
          <w:tcPr>
            <w:tcW w:w="1105" w:type="dxa"/>
            <w:vMerge w:val="restart"/>
            <w:vAlign w:val="center"/>
          </w:tcPr>
          <w:p w14:paraId="40AFF291"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Healthcare</w:t>
            </w:r>
          </w:p>
        </w:tc>
        <w:tc>
          <w:tcPr>
            <w:tcW w:w="851" w:type="dxa"/>
            <w:vMerge w:val="restart"/>
            <w:vAlign w:val="center"/>
          </w:tcPr>
          <w:p w14:paraId="38F97872"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4 years</w:t>
            </w:r>
          </w:p>
        </w:tc>
        <w:tc>
          <w:tcPr>
            <w:tcW w:w="851" w:type="dxa"/>
            <w:vMerge w:val="restart"/>
            <w:shd w:val="clear" w:color="auto" w:fill="auto"/>
            <w:noWrap/>
            <w:vAlign w:val="center"/>
            <w:hideMark/>
          </w:tcPr>
          <w:p w14:paraId="558E8A19"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11-12</w:t>
            </w:r>
          </w:p>
        </w:tc>
        <w:tc>
          <w:tcPr>
            <w:tcW w:w="1190" w:type="dxa"/>
            <w:vAlign w:val="center"/>
          </w:tcPr>
          <w:p w14:paraId="5854D55F"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250</w:t>
            </w:r>
          </w:p>
        </w:tc>
        <w:tc>
          <w:tcPr>
            <w:tcW w:w="2760" w:type="dxa"/>
            <w:vMerge w:val="restart"/>
            <w:shd w:val="clear" w:color="auto" w:fill="auto"/>
            <w:noWrap/>
            <w:hideMark/>
          </w:tcPr>
          <w:p w14:paraId="498A73C1"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Interventions costs (micro-costing)</w:t>
            </w:r>
          </w:p>
          <w:p w14:paraId="5F878F93"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br/>
              <w:t>Dental treatment costs (preventive procedures, restorations, local anaesthetics, root canal treatment)</w:t>
            </w:r>
          </w:p>
        </w:tc>
        <w:tc>
          <w:tcPr>
            <w:tcW w:w="1190" w:type="dxa"/>
            <w:gridSpan w:val="2"/>
            <w:vMerge w:val="restart"/>
            <w:shd w:val="clear" w:color="auto" w:fill="auto"/>
            <w:noWrap/>
            <w:vAlign w:val="center"/>
            <w:hideMark/>
          </w:tcPr>
          <w:p w14:paraId="6E9BD9C9"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0%</w:t>
            </w:r>
          </w:p>
        </w:tc>
        <w:tc>
          <w:tcPr>
            <w:tcW w:w="1978" w:type="dxa"/>
            <w:vMerge w:val="restart"/>
            <w:shd w:val="clear" w:color="auto" w:fill="auto"/>
            <w:noWrap/>
            <w:hideMark/>
          </w:tcPr>
          <w:p w14:paraId="6BFED69F"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Costs (</w:t>
            </w:r>
            <w:r w:rsidRPr="00800A49">
              <w:rPr>
                <w:rFonts w:ascii="Times New Roman" w:hAnsi="Times New Roman" w:cs="Times New Roman"/>
                <w:sz w:val="18"/>
                <w:szCs w:val="18"/>
              </w:rPr>
              <w:t>€</w:t>
            </w:r>
            <w:r w:rsidRPr="00800A49">
              <w:rPr>
                <w:rFonts w:ascii="Times New Roman" w:eastAsia="Times New Roman" w:hAnsi="Times New Roman" w:cs="Times New Roman"/>
                <w:color w:val="000000"/>
                <w:sz w:val="18"/>
                <w:szCs w:val="18"/>
                <w:lang w:eastAsia="en-AU"/>
              </w:rPr>
              <w:t>) per DMF averted</w:t>
            </w:r>
            <w:r w:rsidRPr="00800A49">
              <w:rPr>
                <w:rFonts w:ascii="Times New Roman" w:eastAsia="Times New Roman" w:hAnsi="Times New Roman" w:cs="Times New Roman"/>
                <w:color w:val="000000"/>
                <w:sz w:val="18"/>
                <w:szCs w:val="18"/>
                <w:lang w:eastAsia="en-AU"/>
              </w:rPr>
              <w:br/>
              <w:t>ICER: 34.07</w:t>
            </w:r>
          </w:p>
          <w:p w14:paraId="2A7C9377"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p>
          <w:p w14:paraId="0831FFE5"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 xml:space="preserve">Cost-effective = Yes; Arbitrary WTP </w:t>
            </w:r>
            <w:r w:rsidRPr="00800A49">
              <w:rPr>
                <w:rFonts w:ascii="Times New Roman" w:hAnsi="Times New Roman" w:cs="Times New Roman"/>
                <w:sz w:val="18"/>
                <w:szCs w:val="18"/>
              </w:rPr>
              <w:t>€</w:t>
            </w:r>
            <w:r w:rsidRPr="00800A49">
              <w:rPr>
                <w:rFonts w:ascii="Times New Roman" w:eastAsia="Times New Roman" w:hAnsi="Times New Roman" w:cs="Times New Roman"/>
                <w:color w:val="000000"/>
                <w:sz w:val="18"/>
                <w:szCs w:val="18"/>
                <w:lang w:eastAsia="en-AU"/>
              </w:rPr>
              <w:t>40 per DMF averted</w:t>
            </w:r>
          </w:p>
        </w:tc>
        <w:tc>
          <w:tcPr>
            <w:tcW w:w="1134" w:type="dxa"/>
            <w:vMerge w:val="restart"/>
            <w:vAlign w:val="center"/>
          </w:tcPr>
          <w:p w14:paraId="0132A87F"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Good</w:t>
            </w:r>
          </w:p>
        </w:tc>
      </w:tr>
      <w:tr w:rsidR="008461EA" w:rsidRPr="00800A49" w14:paraId="604C73A3" w14:textId="77777777" w:rsidTr="00720BDC">
        <w:trPr>
          <w:trHeight w:val="300"/>
        </w:trPr>
        <w:tc>
          <w:tcPr>
            <w:tcW w:w="1128" w:type="dxa"/>
            <w:vMerge/>
            <w:shd w:val="clear" w:color="auto" w:fill="auto"/>
            <w:noWrap/>
          </w:tcPr>
          <w:p w14:paraId="58FEFDEF"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p>
        </w:tc>
        <w:tc>
          <w:tcPr>
            <w:tcW w:w="283" w:type="dxa"/>
            <w:vAlign w:val="center"/>
          </w:tcPr>
          <w:p w14:paraId="496097AC"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C</w:t>
            </w:r>
          </w:p>
        </w:tc>
        <w:tc>
          <w:tcPr>
            <w:tcW w:w="709" w:type="dxa"/>
            <w:vAlign w:val="center"/>
          </w:tcPr>
          <w:p w14:paraId="19A77B8D"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N/A</w:t>
            </w:r>
          </w:p>
        </w:tc>
        <w:tc>
          <w:tcPr>
            <w:tcW w:w="2409" w:type="dxa"/>
            <w:shd w:val="clear" w:color="auto" w:fill="auto"/>
            <w:noWrap/>
            <w:vAlign w:val="center"/>
          </w:tcPr>
          <w:p w14:paraId="493B9070"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Standard care</w:t>
            </w:r>
          </w:p>
        </w:tc>
        <w:tc>
          <w:tcPr>
            <w:tcW w:w="1105" w:type="dxa"/>
            <w:vMerge/>
            <w:vAlign w:val="center"/>
          </w:tcPr>
          <w:p w14:paraId="0D20E5B8"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851" w:type="dxa"/>
            <w:vMerge/>
            <w:vAlign w:val="center"/>
          </w:tcPr>
          <w:p w14:paraId="42196CD4"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851" w:type="dxa"/>
            <w:vMerge/>
            <w:shd w:val="clear" w:color="auto" w:fill="auto"/>
            <w:noWrap/>
            <w:vAlign w:val="center"/>
          </w:tcPr>
          <w:p w14:paraId="6470E891"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1190" w:type="dxa"/>
            <w:vAlign w:val="center"/>
          </w:tcPr>
          <w:p w14:paraId="5A96DD90"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247</w:t>
            </w:r>
          </w:p>
        </w:tc>
        <w:tc>
          <w:tcPr>
            <w:tcW w:w="2760" w:type="dxa"/>
            <w:vMerge/>
            <w:shd w:val="clear" w:color="auto" w:fill="auto"/>
            <w:noWrap/>
          </w:tcPr>
          <w:p w14:paraId="68BEC3D0"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p>
        </w:tc>
        <w:tc>
          <w:tcPr>
            <w:tcW w:w="1190" w:type="dxa"/>
            <w:gridSpan w:val="2"/>
            <w:vMerge/>
            <w:shd w:val="clear" w:color="auto" w:fill="auto"/>
            <w:noWrap/>
            <w:vAlign w:val="center"/>
          </w:tcPr>
          <w:p w14:paraId="796AEEFB"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1978" w:type="dxa"/>
            <w:vMerge/>
            <w:shd w:val="clear" w:color="auto" w:fill="auto"/>
            <w:noWrap/>
          </w:tcPr>
          <w:p w14:paraId="165F0D05"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p>
        </w:tc>
        <w:tc>
          <w:tcPr>
            <w:tcW w:w="1134" w:type="dxa"/>
            <w:vMerge/>
            <w:vAlign w:val="center"/>
          </w:tcPr>
          <w:p w14:paraId="578339C7"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r>
      <w:tr w:rsidR="008461EA" w:rsidRPr="00800A49" w14:paraId="250C1EC0" w14:textId="77777777" w:rsidTr="00720BDC">
        <w:trPr>
          <w:trHeight w:val="758"/>
        </w:trPr>
        <w:tc>
          <w:tcPr>
            <w:tcW w:w="1128" w:type="dxa"/>
            <w:vMerge w:val="restart"/>
            <w:shd w:val="clear" w:color="auto" w:fill="auto"/>
            <w:noWrap/>
            <w:hideMark/>
          </w:tcPr>
          <w:p w14:paraId="6FFD2714"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lastRenderedPageBreak/>
              <w:t>Higashi et al., 2002</w:t>
            </w:r>
          </w:p>
        </w:tc>
        <w:tc>
          <w:tcPr>
            <w:tcW w:w="283" w:type="dxa"/>
            <w:vAlign w:val="center"/>
          </w:tcPr>
          <w:p w14:paraId="5DD11590"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I</w:t>
            </w:r>
          </w:p>
        </w:tc>
        <w:tc>
          <w:tcPr>
            <w:tcW w:w="709" w:type="dxa"/>
            <w:vAlign w:val="center"/>
          </w:tcPr>
          <w:p w14:paraId="39351359"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Uni.</w:t>
            </w:r>
          </w:p>
        </w:tc>
        <w:tc>
          <w:tcPr>
            <w:tcW w:w="2409" w:type="dxa"/>
            <w:shd w:val="clear" w:color="auto" w:fill="auto"/>
            <w:noWrap/>
            <w:vAlign w:val="center"/>
            <w:hideMark/>
          </w:tcPr>
          <w:p w14:paraId="44341599"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Interleukin-1 genetic testing</w:t>
            </w:r>
          </w:p>
        </w:tc>
        <w:tc>
          <w:tcPr>
            <w:tcW w:w="1105" w:type="dxa"/>
            <w:vMerge w:val="restart"/>
            <w:vAlign w:val="center"/>
          </w:tcPr>
          <w:p w14:paraId="1D2D6760"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Healthcare</w:t>
            </w:r>
          </w:p>
        </w:tc>
        <w:tc>
          <w:tcPr>
            <w:tcW w:w="851" w:type="dxa"/>
            <w:vMerge w:val="restart"/>
            <w:vAlign w:val="center"/>
          </w:tcPr>
          <w:p w14:paraId="71E38AB7"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30 years</w:t>
            </w:r>
          </w:p>
        </w:tc>
        <w:tc>
          <w:tcPr>
            <w:tcW w:w="851" w:type="dxa"/>
            <w:vMerge w:val="restart"/>
            <w:shd w:val="clear" w:color="auto" w:fill="auto"/>
            <w:noWrap/>
            <w:vAlign w:val="center"/>
            <w:hideMark/>
          </w:tcPr>
          <w:p w14:paraId="414D7B34"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35</w:t>
            </w:r>
          </w:p>
        </w:tc>
        <w:tc>
          <w:tcPr>
            <w:tcW w:w="1190" w:type="dxa"/>
            <w:vMerge w:val="restart"/>
            <w:vAlign w:val="center"/>
          </w:tcPr>
          <w:p w14:paraId="547C42F2"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1,000</w:t>
            </w:r>
          </w:p>
        </w:tc>
        <w:tc>
          <w:tcPr>
            <w:tcW w:w="2760" w:type="dxa"/>
            <w:vMerge w:val="restart"/>
            <w:shd w:val="clear" w:color="auto" w:fill="auto"/>
            <w:noWrap/>
            <w:hideMark/>
          </w:tcPr>
          <w:p w14:paraId="3E211B93"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Intervention costs (micro-costing)</w:t>
            </w:r>
          </w:p>
          <w:p w14:paraId="172BB231"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br/>
              <w:t>Dental treatment costs (check-up, initial treatment including surgical periodontal treatment, and supportive periodontal therapy for periodontitis)</w:t>
            </w:r>
          </w:p>
        </w:tc>
        <w:tc>
          <w:tcPr>
            <w:tcW w:w="1190" w:type="dxa"/>
            <w:gridSpan w:val="2"/>
            <w:vMerge w:val="restart"/>
            <w:shd w:val="clear" w:color="auto" w:fill="auto"/>
            <w:noWrap/>
            <w:vAlign w:val="center"/>
          </w:tcPr>
          <w:p w14:paraId="025FC8D6"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3%</w:t>
            </w:r>
          </w:p>
        </w:tc>
        <w:tc>
          <w:tcPr>
            <w:tcW w:w="1978" w:type="dxa"/>
            <w:vMerge w:val="restart"/>
            <w:shd w:val="clear" w:color="auto" w:fill="auto"/>
            <w:noWrap/>
            <w:hideMark/>
          </w:tcPr>
          <w:p w14:paraId="2FA874B6"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Costs (US$) per QALY gained</w:t>
            </w:r>
            <w:r w:rsidRPr="00800A49">
              <w:rPr>
                <w:rFonts w:ascii="Times New Roman" w:eastAsia="Times New Roman" w:hAnsi="Times New Roman" w:cs="Times New Roman"/>
                <w:color w:val="000000"/>
                <w:sz w:val="18"/>
                <w:szCs w:val="18"/>
                <w:lang w:eastAsia="en-AU"/>
              </w:rPr>
              <w:br/>
              <w:t>ICER: 32,633</w:t>
            </w:r>
          </w:p>
          <w:p w14:paraId="6C924215"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p>
          <w:p w14:paraId="41FE19E9"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Cost-effective = N/S</w:t>
            </w:r>
          </w:p>
        </w:tc>
        <w:tc>
          <w:tcPr>
            <w:tcW w:w="1134" w:type="dxa"/>
            <w:vMerge w:val="restart"/>
            <w:vAlign w:val="center"/>
          </w:tcPr>
          <w:p w14:paraId="4C34EA44"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Good</w:t>
            </w:r>
          </w:p>
        </w:tc>
      </w:tr>
      <w:tr w:rsidR="008461EA" w:rsidRPr="00800A49" w14:paraId="0B01142C" w14:textId="77777777" w:rsidTr="00720BDC">
        <w:trPr>
          <w:trHeight w:val="300"/>
        </w:trPr>
        <w:tc>
          <w:tcPr>
            <w:tcW w:w="1128" w:type="dxa"/>
            <w:vMerge/>
            <w:shd w:val="clear" w:color="auto" w:fill="auto"/>
            <w:noWrap/>
          </w:tcPr>
          <w:p w14:paraId="5D0482BE"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p>
        </w:tc>
        <w:tc>
          <w:tcPr>
            <w:tcW w:w="283" w:type="dxa"/>
            <w:vAlign w:val="center"/>
          </w:tcPr>
          <w:p w14:paraId="11188872"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C</w:t>
            </w:r>
          </w:p>
        </w:tc>
        <w:tc>
          <w:tcPr>
            <w:tcW w:w="709" w:type="dxa"/>
            <w:vAlign w:val="center"/>
          </w:tcPr>
          <w:p w14:paraId="75373396"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N/A</w:t>
            </w:r>
          </w:p>
        </w:tc>
        <w:tc>
          <w:tcPr>
            <w:tcW w:w="2409" w:type="dxa"/>
            <w:shd w:val="clear" w:color="auto" w:fill="auto"/>
            <w:noWrap/>
            <w:vAlign w:val="center"/>
          </w:tcPr>
          <w:p w14:paraId="61C2E7D8"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No intervention</w:t>
            </w:r>
          </w:p>
        </w:tc>
        <w:tc>
          <w:tcPr>
            <w:tcW w:w="1105" w:type="dxa"/>
            <w:vMerge/>
            <w:vAlign w:val="center"/>
          </w:tcPr>
          <w:p w14:paraId="0D45281B"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851" w:type="dxa"/>
            <w:vMerge/>
            <w:vAlign w:val="center"/>
          </w:tcPr>
          <w:p w14:paraId="31205718"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851" w:type="dxa"/>
            <w:vMerge/>
            <w:shd w:val="clear" w:color="auto" w:fill="auto"/>
            <w:noWrap/>
            <w:vAlign w:val="center"/>
          </w:tcPr>
          <w:p w14:paraId="40BA11E7"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1190" w:type="dxa"/>
            <w:vMerge/>
            <w:vAlign w:val="center"/>
          </w:tcPr>
          <w:p w14:paraId="3D4DB11F"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2760" w:type="dxa"/>
            <w:vMerge/>
            <w:shd w:val="clear" w:color="auto" w:fill="auto"/>
            <w:noWrap/>
          </w:tcPr>
          <w:p w14:paraId="6890C2CF"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p>
        </w:tc>
        <w:tc>
          <w:tcPr>
            <w:tcW w:w="1190" w:type="dxa"/>
            <w:gridSpan w:val="2"/>
            <w:vMerge/>
            <w:shd w:val="clear" w:color="auto" w:fill="auto"/>
            <w:noWrap/>
            <w:vAlign w:val="center"/>
          </w:tcPr>
          <w:p w14:paraId="148E6328"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1978" w:type="dxa"/>
            <w:vMerge/>
            <w:shd w:val="clear" w:color="auto" w:fill="auto"/>
            <w:noWrap/>
          </w:tcPr>
          <w:p w14:paraId="357EB4D9"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p>
        </w:tc>
        <w:tc>
          <w:tcPr>
            <w:tcW w:w="1134" w:type="dxa"/>
            <w:vMerge/>
            <w:vAlign w:val="center"/>
          </w:tcPr>
          <w:p w14:paraId="58ECAEF7"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r>
      <w:tr w:rsidR="008461EA" w:rsidRPr="00800A49" w14:paraId="0D9B404A" w14:textId="77777777" w:rsidTr="00720BDC">
        <w:trPr>
          <w:trHeight w:val="699"/>
        </w:trPr>
        <w:tc>
          <w:tcPr>
            <w:tcW w:w="1128" w:type="dxa"/>
            <w:vMerge w:val="restart"/>
            <w:shd w:val="clear" w:color="auto" w:fill="auto"/>
            <w:noWrap/>
            <w:hideMark/>
          </w:tcPr>
          <w:p w14:paraId="436F98AD"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proofErr w:type="spellStart"/>
            <w:r w:rsidRPr="00800A49">
              <w:rPr>
                <w:rFonts w:ascii="Times New Roman" w:eastAsia="Times New Roman" w:hAnsi="Times New Roman" w:cs="Times New Roman"/>
                <w:color w:val="000000"/>
                <w:sz w:val="18"/>
                <w:szCs w:val="18"/>
                <w:lang w:eastAsia="en-AU"/>
              </w:rPr>
              <w:t>Jevdjevic</w:t>
            </w:r>
            <w:proofErr w:type="spellEnd"/>
            <w:r w:rsidRPr="00800A49">
              <w:rPr>
                <w:rFonts w:ascii="Times New Roman" w:eastAsia="Times New Roman" w:hAnsi="Times New Roman" w:cs="Times New Roman"/>
                <w:color w:val="000000"/>
                <w:sz w:val="18"/>
                <w:szCs w:val="18"/>
                <w:lang w:eastAsia="en-AU"/>
              </w:rPr>
              <w:t xml:space="preserve"> et al., 2019</w:t>
            </w:r>
          </w:p>
        </w:tc>
        <w:tc>
          <w:tcPr>
            <w:tcW w:w="283" w:type="dxa"/>
            <w:vAlign w:val="center"/>
          </w:tcPr>
          <w:p w14:paraId="2B4103A2"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I</w:t>
            </w:r>
          </w:p>
        </w:tc>
        <w:tc>
          <w:tcPr>
            <w:tcW w:w="709" w:type="dxa"/>
            <w:vAlign w:val="center"/>
          </w:tcPr>
          <w:p w14:paraId="78352F12"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Uni.</w:t>
            </w:r>
          </w:p>
        </w:tc>
        <w:tc>
          <w:tcPr>
            <w:tcW w:w="2409" w:type="dxa"/>
            <w:shd w:val="clear" w:color="auto" w:fill="auto"/>
            <w:noWrap/>
            <w:vAlign w:val="center"/>
            <w:hideMark/>
          </w:tcPr>
          <w:p w14:paraId="2B5BC1D9"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20% sugar-sweetened beverages tax</w:t>
            </w:r>
          </w:p>
        </w:tc>
        <w:tc>
          <w:tcPr>
            <w:tcW w:w="1105" w:type="dxa"/>
            <w:vMerge w:val="restart"/>
            <w:vAlign w:val="center"/>
          </w:tcPr>
          <w:p w14:paraId="7A28627E"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Societal</w:t>
            </w:r>
          </w:p>
        </w:tc>
        <w:tc>
          <w:tcPr>
            <w:tcW w:w="851" w:type="dxa"/>
            <w:vMerge w:val="restart"/>
            <w:vAlign w:val="center"/>
          </w:tcPr>
          <w:p w14:paraId="7A57729B"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10 years</w:t>
            </w:r>
          </w:p>
        </w:tc>
        <w:tc>
          <w:tcPr>
            <w:tcW w:w="851" w:type="dxa"/>
            <w:vMerge w:val="restart"/>
            <w:shd w:val="clear" w:color="auto" w:fill="auto"/>
            <w:noWrap/>
            <w:vAlign w:val="center"/>
            <w:hideMark/>
          </w:tcPr>
          <w:p w14:paraId="07D4A7D0"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5-79</w:t>
            </w:r>
          </w:p>
        </w:tc>
        <w:tc>
          <w:tcPr>
            <w:tcW w:w="1190" w:type="dxa"/>
            <w:vMerge w:val="restart"/>
            <w:vAlign w:val="center"/>
          </w:tcPr>
          <w:p w14:paraId="043681A6"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N/R</w:t>
            </w:r>
          </w:p>
        </w:tc>
        <w:tc>
          <w:tcPr>
            <w:tcW w:w="2760" w:type="dxa"/>
            <w:vMerge w:val="restart"/>
            <w:shd w:val="clear" w:color="auto" w:fill="auto"/>
            <w:noWrap/>
            <w:hideMark/>
          </w:tcPr>
          <w:p w14:paraId="3A1881CA"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Intervention costs</w:t>
            </w:r>
          </w:p>
          <w:p w14:paraId="5937FCF8"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br/>
              <w:t>Dental treatment costs (check-up, restorations, root canal treatment, crown, extraction)</w:t>
            </w:r>
          </w:p>
        </w:tc>
        <w:tc>
          <w:tcPr>
            <w:tcW w:w="634" w:type="dxa"/>
            <w:vMerge w:val="restart"/>
            <w:shd w:val="clear" w:color="auto" w:fill="auto"/>
            <w:noWrap/>
            <w:vAlign w:val="center"/>
            <w:hideMark/>
          </w:tcPr>
          <w:p w14:paraId="53F0A716"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4%</w:t>
            </w:r>
          </w:p>
        </w:tc>
        <w:tc>
          <w:tcPr>
            <w:tcW w:w="556" w:type="dxa"/>
            <w:vMerge w:val="restart"/>
            <w:shd w:val="clear" w:color="auto" w:fill="auto"/>
            <w:vAlign w:val="center"/>
          </w:tcPr>
          <w:p w14:paraId="5246CD89"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2%</w:t>
            </w:r>
          </w:p>
        </w:tc>
        <w:tc>
          <w:tcPr>
            <w:tcW w:w="1978" w:type="dxa"/>
            <w:vMerge w:val="restart"/>
            <w:shd w:val="clear" w:color="auto" w:fill="auto"/>
            <w:noWrap/>
            <w:hideMark/>
          </w:tcPr>
          <w:p w14:paraId="0147D2BF"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Net benefits/costs:</w:t>
            </w:r>
          </w:p>
          <w:p w14:paraId="3B6C91EC"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-€159.01 million</w:t>
            </w:r>
          </w:p>
          <w:p w14:paraId="4F26EED7"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(-159.35; -158.67)</w:t>
            </w:r>
          </w:p>
          <w:p w14:paraId="23A586D3"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p>
          <w:p w14:paraId="20320287"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Cost-saving = Yes</w:t>
            </w:r>
          </w:p>
        </w:tc>
        <w:tc>
          <w:tcPr>
            <w:tcW w:w="1134" w:type="dxa"/>
            <w:vMerge w:val="restart"/>
            <w:vAlign w:val="center"/>
          </w:tcPr>
          <w:p w14:paraId="3997BF86"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Good</w:t>
            </w:r>
          </w:p>
        </w:tc>
      </w:tr>
      <w:tr w:rsidR="008461EA" w:rsidRPr="00800A49" w14:paraId="7EF0A757" w14:textId="77777777" w:rsidTr="00720BDC">
        <w:trPr>
          <w:trHeight w:val="300"/>
        </w:trPr>
        <w:tc>
          <w:tcPr>
            <w:tcW w:w="1128" w:type="dxa"/>
            <w:vMerge/>
            <w:shd w:val="clear" w:color="auto" w:fill="auto"/>
            <w:noWrap/>
          </w:tcPr>
          <w:p w14:paraId="17FE0ABC"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p>
        </w:tc>
        <w:tc>
          <w:tcPr>
            <w:tcW w:w="283" w:type="dxa"/>
            <w:vAlign w:val="center"/>
          </w:tcPr>
          <w:p w14:paraId="07EE9C73"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C</w:t>
            </w:r>
          </w:p>
        </w:tc>
        <w:tc>
          <w:tcPr>
            <w:tcW w:w="709" w:type="dxa"/>
            <w:vAlign w:val="center"/>
          </w:tcPr>
          <w:p w14:paraId="67F4AC8F"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N/A</w:t>
            </w:r>
          </w:p>
        </w:tc>
        <w:tc>
          <w:tcPr>
            <w:tcW w:w="2409" w:type="dxa"/>
            <w:shd w:val="clear" w:color="auto" w:fill="auto"/>
            <w:noWrap/>
            <w:vAlign w:val="center"/>
          </w:tcPr>
          <w:p w14:paraId="308CE06A"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No intervention</w:t>
            </w:r>
          </w:p>
        </w:tc>
        <w:tc>
          <w:tcPr>
            <w:tcW w:w="1105" w:type="dxa"/>
            <w:vMerge/>
            <w:vAlign w:val="center"/>
          </w:tcPr>
          <w:p w14:paraId="2789FCA7"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851" w:type="dxa"/>
            <w:vMerge/>
            <w:vAlign w:val="center"/>
          </w:tcPr>
          <w:p w14:paraId="73AE6AB5"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851" w:type="dxa"/>
            <w:vMerge/>
            <w:shd w:val="clear" w:color="auto" w:fill="auto"/>
            <w:noWrap/>
            <w:vAlign w:val="center"/>
          </w:tcPr>
          <w:p w14:paraId="05408C02"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1190" w:type="dxa"/>
            <w:vMerge/>
            <w:vAlign w:val="center"/>
          </w:tcPr>
          <w:p w14:paraId="1847CBB9"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2760" w:type="dxa"/>
            <w:vMerge/>
            <w:shd w:val="clear" w:color="auto" w:fill="auto"/>
            <w:noWrap/>
          </w:tcPr>
          <w:p w14:paraId="155F2504"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p>
        </w:tc>
        <w:tc>
          <w:tcPr>
            <w:tcW w:w="634" w:type="dxa"/>
            <w:vMerge/>
            <w:shd w:val="clear" w:color="auto" w:fill="auto"/>
            <w:noWrap/>
            <w:vAlign w:val="center"/>
          </w:tcPr>
          <w:p w14:paraId="7E1BD5C1"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556" w:type="dxa"/>
            <w:vMerge/>
            <w:shd w:val="clear" w:color="auto" w:fill="auto"/>
            <w:vAlign w:val="center"/>
          </w:tcPr>
          <w:p w14:paraId="0CE43C03"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1978" w:type="dxa"/>
            <w:vMerge/>
            <w:shd w:val="clear" w:color="auto" w:fill="auto"/>
            <w:noWrap/>
          </w:tcPr>
          <w:p w14:paraId="2ADEEBF9"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p>
        </w:tc>
        <w:tc>
          <w:tcPr>
            <w:tcW w:w="1134" w:type="dxa"/>
            <w:vMerge/>
            <w:vAlign w:val="center"/>
          </w:tcPr>
          <w:p w14:paraId="450F81BA"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r>
      <w:tr w:rsidR="008461EA" w:rsidRPr="00800A49" w14:paraId="2AB441F2" w14:textId="77777777" w:rsidTr="00720BDC">
        <w:trPr>
          <w:trHeight w:val="300"/>
        </w:trPr>
        <w:tc>
          <w:tcPr>
            <w:tcW w:w="1128" w:type="dxa"/>
            <w:vMerge w:val="restart"/>
            <w:shd w:val="clear" w:color="auto" w:fill="auto"/>
            <w:noWrap/>
            <w:hideMark/>
          </w:tcPr>
          <w:p w14:paraId="7150AE96"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proofErr w:type="spellStart"/>
            <w:r w:rsidRPr="00800A49">
              <w:rPr>
                <w:rFonts w:ascii="Times New Roman" w:eastAsia="Times New Roman" w:hAnsi="Times New Roman" w:cs="Times New Roman"/>
                <w:color w:val="000000"/>
                <w:sz w:val="18"/>
                <w:szCs w:val="18"/>
                <w:lang w:eastAsia="en-AU"/>
              </w:rPr>
              <w:t>Jevdjevic</w:t>
            </w:r>
            <w:proofErr w:type="spellEnd"/>
            <w:r w:rsidRPr="00800A49">
              <w:rPr>
                <w:rFonts w:ascii="Times New Roman" w:eastAsia="Times New Roman" w:hAnsi="Times New Roman" w:cs="Times New Roman"/>
                <w:color w:val="000000"/>
                <w:sz w:val="18"/>
                <w:szCs w:val="18"/>
                <w:lang w:eastAsia="en-AU"/>
              </w:rPr>
              <w:t xml:space="preserve"> et al., 2020</w:t>
            </w:r>
          </w:p>
        </w:tc>
        <w:tc>
          <w:tcPr>
            <w:tcW w:w="283" w:type="dxa"/>
            <w:vAlign w:val="center"/>
          </w:tcPr>
          <w:p w14:paraId="3F46A59B"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I</w:t>
            </w:r>
          </w:p>
        </w:tc>
        <w:tc>
          <w:tcPr>
            <w:tcW w:w="709" w:type="dxa"/>
            <w:vAlign w:val="center"/>
          </w:tcPr>
          <w:p w14:paraId="144C018E"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Uni.</w:t>
            </w:r>
          </w:p>
        </w:tc>
        <w:tc>
          <w:tcPr>
            <w:tcW w:w="2409" w:type="dxa"/>
            <w:shd w:val="clear" w:color="auto" w:fill="auto"/>
            <w:noWrap/>
            <w:vAlign w:val="center"/>
            <w:hideMark/>
          </w:tcPr>
          <w:p w14:paraId="42E45AAF"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Front-of-package food labelling</w:t>
            </w:r>
          </w:p>
        </w:tc>
        <w:tc>
          <w:tcPr>
            <w:tcW w:w="1105" w:type="dxa"/>
            <w:vMerge w:val="restart"/>
            <w:vAlign w:val="center"/>
          </w:tcPr>
          <w:p w14:paraId="4D77CAF5"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Societal</w:t>
            </w:r>
          </w:p>
        </w:tc>
        <w:tc>
          <w:tcPr>
            <w:tcW w:w="851" w:type="dxa"/>
            <w:vMerge w:val="restart"/>
            <w:vAlign w:val="center"/>
          </w:tcPr>
          <w:p w14:paraId="07B1FB9D"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Societal</w:t>
            </w:r>
          </w:p>
        </w:tc>
        <w:tc>
          <w:tcPr>
            <w:tcW w:w="851" w:type="dxa"/>
            <w:vMerge w:val="restart"/>
            <w:shd w:val="clear" w:color="auto" w:fill="auto"/>
            <w:noWrap/>
            <w:vAlign w:val="center"/>
            <w:hideMark/>
          </w:tcPr>
          <w:p w14:paraId="520E6B02"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15-80</w:t>
            </w:r>
          </w:p>
        </w:tc>
        <w:tc>
          <w:tcPr>
            <w:tcW w:w="1190" w:type="dxa"/>
            <w:vMerge w:val="restart"/>
            <w:vAlign w:val="center"/>
          </w:tcPr>
          <w:p w14:paraId="0E2C15AE"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500,000</w:t>
            </w:r>
          </w:p>
        </w:tc>
        <w:tc>
          <w:tcPr>
            <w:tcW w:w="2760" w:type="dxa"/>
            <w:vMerge w:val="restart"/>
            <w:shd w:val="clear" w:color="auto" w:fill="auto"/>
            <w:noWrap/>
            <w:hideMark/>
          </w:tcPr>
          <w:p w14:paraId="4C48618B"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Interventions costs (front-of-package food labelling)</w:t>
            </w:r>
          </w:p>
          <w:p w14:paraId="0FD2E738"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br/>
              <w:t>Dental treatment costs (restorations)</w:t>
            </w:r>
          </w:p>
        </w:tc>
        <w:tc>
          <w:tcPr>
            <w:tcW w:w="1190" w:type="dxa"/>
            <w:gridSpan w:val="2"/>
            <w:vMerge w:val="restart"/>
            <w:shd w:val="clear" w:color="auto" w:fill="auto"/>
            <w:noWrap/>
            <w:vAlign w:val="center"/>
            <w:hideMark/>
          </w:tcPr>
          <w:p w14:paraId="28FCFB07"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3%</w:t>
            </w:r>
          </w:p>
        </w:tc>
        <w:tc>
          <w:tcPr>
            <w:tcW w:w="1978" w:type="dxa"/>
            <w:vMerge w:val="restart"/>
            <w:shd w:val="clear" w:color="auto" w:fill="auto"/>
            <w:noWrap/>
            <w:hideMark/>
          </w:tcPr>
          <w:p w14:paraId="0C37116A"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Net benefits/costs:</w:t>
            </w:r>
          </w:p>
          <w:p w14:paraId="37A3C921"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-€175.67 million</w:t>
            </w:r>
          </w:p>
          <w:p w14:paraId="2167C49E"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(-198.49; -152.85)</w:t>
            </w:r>
          </w:p>
          <w:p w14:paraId="24EE9BC5"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p>
          <w:p w14:paraId="70DA9B25"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Cost-saving = Yes</w:t>
            </w:r>
          </w:p>
          <w:p w14:paraId="0D7EDEB1"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p>
          <w:p w14:paraId="5731F6B4"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Costs (€) per caries lesion averted</w:t>
            </w:r>
          </w:p>
          <w:p w14:paraId="32D23F64"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ICER: N/R (dominant)</w:t>
            </w:r>
          </w:p>
          <w:p w14:paraId="46D6BDAA"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Refer to Figure 3.</w:t>
            </w:r>
          </w:p>
          <w:p w14:paraId="3736F089"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p>
          <w:p w14:paraId="51B68013"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Cost-effective = Yes</w:t>
            </w:r>
          </w:p>
        </w:tc>
        <w:tc>
          <w:tcPr>
            <w:tcW w:w="1134" w:type="dxa"/>
            <w:vMerge w:val="restart"/>
            <w:vAlign w:val="center"/>
          </w:tcPr>
          <w:p w14:paraId="615C3D9B"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Good</w:t>
            </w:r>
          </w:p>
        </w:tc>
      </w:tr>
      <w:tr w:rsidR="008461EA" w:rsidRPr="00800A49" w14:paraId="7FE35051" w14:textId="77777777" w:rsidTr="00720BDC">
        <w:trPr>
          <w:trHeight w:val="300"/>
        </w:trPr>
        <w:tc>
          <w:tcPr>
            <w:tcW w:w="1128" w:type="dxa"/>
            <w:vMerge/>
            <w:shd w:val="clear" w:color="auto" w:fill="auto"/>
            <w:noWrap/>
          </w:tcPr>
          <w:p w14:paraId="6052A433"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p>
        </w:tc>
        <w:tc>
          <w:tcPr>
            <w:tcW w:w="283" w:type="dxa"/>
            <w:vAlign w:val="center"/>
          </w:tcPr>
          <w:p w14:paraId="5D7216B6"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C</w:t>
            </w:r>
          </w:p>
        </w:tc>
        <w:tc>
          <w:tcPr>
            <w:tcW w:w="709" w:type="dxa"/>
            <w:vAlign w:val="center"/>
          </w:tcPr>
          <w:p w14:paraId="7CDE2A51"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N/A</w:t>
            </w:r>
          </w:p>
        </w:tc>
        <w:tc>
          <w:tcPr>
            <w:tcW w:w="2409" w:type="dxa"/>
            <w:shd w:val="clear" w:color="auto" w:fill="auto"/>
            <w:noWrap/>
            <w:vAlign w:val="center"/>
          </w:tcPr>
          <w:p w14:paraId="720A5C56"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No intervention</w:t>
            </w:r>
          </w:p>
        </w:tc>
        <w:tc>
          <w:tcPr>
            <w:tcW w:w="1105" w:type="dxa"/>
            <w:vMerge/>
            <w:vAlign w:val="center"/>
          </w:tcPr>
          <w:p w14:paraId="12853346"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851" w:type="dxa"/>
            <w:vMerge/>
            <w:vAlign w:val="center"/>
          </w:tcPr>
          <w:p w14:paraId="1B0CCACA"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851" w:type="dxa"/>
            <w:vMerge/>
            <w:shd w:val="clear" w:color="auto" w:fill="auto"/>
            <w:noWrap/>
            <w:vAlign w:val="center"/>
          </w:tcPr>
          <w:p w14:paraId="54CC705D"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1190" w:type="dxa"/>
            <w:vMerge/>
            <w:vAlign w:val="center"/>
          </w:tcPr>
          <w:p w14:paraId="41FF767A"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2760" w:type="dxa"/>
            <w:vMerge/>
            <w:shd w:val="clear" w:color="auto" w:fill="auto"/>
            <w:noWrap/>
          </w:tcPr>
          <w:p w14:paraId="0071063C"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p>
        </w:tc>
        <w:tc>
          <w:tcPr>
            <w:tcW w:w="1190" w:type="dxa"/>
            <w:gridSpan w:val="2"/>
            <w:vMerge/>
            <w:shd w:val="clear" w:color="auto" w:fill="auto"/>
            <w:noWrap/>
            <w:vAlign w:val="center"/>
          </w:tcPr>
          <w:p w14:paraId="0B08CC18"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1978" w:type="dxa"/>
            <w:vMerge/>
            <w:shd w:val="clear" w:color="auto" w:fill="auto"/>
            <w:noWrap/>
          </w:tcPr>
          <w:p w14:paraId="6B8A7335"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p>
        </w:tc>
        <w:tc>
          <w:tcPr>
            <w:tcW w:w="1134" w:type="dxa"/>
            <w:vMerge/>
            <w:vAlign w:val="center"/>
          </w:tcPr>
          <w:p w14:paraId="3972B054"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r>
      <w:tr w:rsidR="008461EA" w:rsidRPr="00800A49" w14:paraId="6B687F49" w14:textId="77777777" w:rsidTr="00720BDC">
        <w:trPr>
          <w:trHeight w:val="300"/>
        </w:trPr>
        <w:tc>
          <w:tcPr>
            <w:tcW w:w="1128" w:type="dxa"/>
            <w:vMerge w:val="restart"/>
            <w:shd w:val="clear" w:color="auto" w:fill="auto"/>
            <w:noWrap/>
            <w:hideMark/>
          </w:tcPr>
          <w:p w14:paraId="4E8D3068"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proofErr w:type="spellStart"/>
            <w:r w:rsidRPr="00800A49">
              <w:rPr>
                <w:rFonts w:ascii="Times New Roman" w:eastAsia="Times New Roman" w:hAnsi="Times New Roman" w:cs="Times New Roman"/>
                <w:color w:val="000000"/>
                <w:sz w:val="18"/>
                <w:szCs w:val="18"/>
                <w:lang w:eastAsia="en-AU"/>
              </w:rPr>
              <w:t>Jönsson</w:t>
            </w:r>
            <w:proofErr w:type="spellEnd"/>
            <w:r w:rsidRPr="00800A49">
              <w:rPr>
                <w:rFonts w:ascii="Times New Roman" w:eastAsia="Times New Roman" w:hAnsi="Times New Roman" w:cs="Times New Roman"/>
                <w:color w:val="000000"/>
                <w:sz w:val="18"/>
                <w:szCs w:val="18"/>
                <w:lang w:eastAsia="en-AU"/>
              </w:rPr>
              <w:t xml:space="preserve"> et al., 2012</w:t>
            </w:r>
          </w:p>
        </w:tc>
        <w:tc>
          <w:tcPr>
            <w:tcW w:w="283" w:type="dxa"/>
            <w:vAlign w:val="center"/>
          </w:tcPr>
          <w:p w14:paraId="1986DEB9"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I</w:t>
            </w:r>
          </w:p>
        </w:tc>
        <w:tc>
          <w:tcPr>
            <w:tcW w:w="709" w:type="dxa"/>
            <w:vAlign w:val="center"/>
          </w:tcPr>
          <w:p w14:paraId="661B29FC"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Ind.</w:t>
            </w:r>
          </w:p>
        </w:tc>
        <w:tc>
          <w:tcPr>
            <w:tcW w:w="2409" w:type="dxa"/>
            <w:shd w:val="clear" w:color="auto" w:fill="auto"/>
            <w:noWrap/>
            <w:vAlign w:val="center"/>
            <w:hideMark/>
          </w:tcPr>
          <w:p w14:paraId="3B268D07"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Individualised oral health education using cognitive behavioural perspective and motivational interviewing</w:t>
            </w:r>
          </w:p>
        </w:tc>
        <w:tc>
          <w:tcPr>
            <w:tcW w:w="1105" w:type="dxa"/>
            <w:vMerge w:val="restart"/>
            <w:vAlign w:val="center"/>
          </w:tcPr>
          <w:p w14:paraId="50FD0F46"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Healthcare</w:t>
            </w:r>
          </w:p>
          <w:p w14:paraId="173FC015"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and</w:t>
            </w:r>
          </w:p>
          <w:p w14:paraId="03B89C55"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Societal</w:t>
            </w:r>
          </w:p>
        </w:tc>
        <w:tc>
          <w:tcPr>
            <w:tcW w:w="851" w:type="dxa"/>
            <w:vMerge w:val="restart"/>
            <w:vAlign w:val="center"/>
          </w:tcPr>
          <w:p w14:paraId="5C520CEB"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1 year</w:t>
            </w:r>
          </w:p>
        </w:tc>
        <w:tc>
          <w:tcPr>
            <w:tcW w:w="851" w:type="dxa"/>
            <w:vMerge w:val="restart"/>
            <w:shd w:val="clear" w:color="auto" w:fill="auto"/>
            <w:noWrap/>
            <w:vAlign w:val="center"/>
            <w:hideMark/>
          </w:tcPr>
          <w:p w14:paraId="52C67B5F"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Mean</w:t>
            </w:r>
          </w:p>
          <w:p w14:paraId="2377C9D9"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51.2</w:t>
            </w:r>
          </w:p>
        </w:tc>
        <w:tc>
          <w:tcPr>
            <w:tcW w:w="1190" w:type="dxa"/>
            <w:vAlign w:val="center"/>
          </w:tcPr>
          <w:p w14:paraId="4587579C"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57</w:t>
            </w:r>
          </w:p>
          <w:p w14:paraId="7438C3FA"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2760" w:type="dxa"/>
            <w:vMerge w:val="restart"/>
            <w:shd w:val="clear" w:color="auto" w:fill="auto"/>
            <w:noWrap/>
            <w:hideMark/>
          </w:tcPr>
          <w:p w14:paraId="40C33286"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Intervention costs (micro-costing for workforce labour, dental materials)</w:t>
            </w:r>
          </w:p>
          <w:p w14:paraId="1B761D51"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p>
          <w:p w14:paraId="1D4F6FB7"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Dental treatment costs for periodontitis</w:t>
            </w:r>
          </w:p>
          <w:p w14:paraId="0B7D774E"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br/>
              <w:t>Opportunity costs lost (waiting, intervention and travel time)</w:t>
            </w:r>
          </w:p>
        </w:tc>
        <w:tc>
          <w:tcPr>
            <w:tcW w:w="634" w:type="dxa"/>
            <w:vMerge w:val="restart"/>
            <w:shd w:val="clear" w:color="auto" w:fill="auto"/>
            <w:noWrap/>
            <w:vAlign w:val="center"/>
            <w:hideMark/>
          </w:tcPr>
          <w:p w14:paraId="6756AB2C"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3%</w:t>
            </w:r>
          </w:p>
        </w:tc>
        <w:tc>
          <w:tcPr>
            <w:tcW w:w="556" w:type="dxa"/>
            <w:vMerge w:val="restart"/>
            <w:vAlign w:val="center"/>
          </w:tcPr>
          <w:p w14:paraId="02F1ADE6"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N/R</w:t>
            </w:r>
          </w:p>
        </w:tc>
        <w:tc>
          <w:tcPr>
            <w:tcW w:w="1978" w:type="dxa"/>
            <w:vMerge w:val="restart"/>
            <w:shd w:val="clear" w:color="auto" w:fill="auto"/>
            <w:noWrap/>
            <w:hideMark/>
          </w:tcPr>
          <w:p w14:paraId="0CA90E26"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Costs (SEK/€) per successful non-surgical periodontal treatment</w:t>
            </w:r>
            <w:r w:rsidRPr="00800A49">
              <w:rPr>
                <w:rFonts w:ascii="Times New Roman" w:eastAsia="Times New Roman" w:hAnsi="Times New Roman" w:cs="Times New Roman"/>
                <w:color w:val="000000"/>
                <w:sz w:val="18"/>
                <w:szCs w:val="18"/>
                <w:lang w:eastAsia="en-AU"/>
              </w:rPr>
              <w:br/>
              <w:t>Societal ICER: 1,724; 191.09</w:t>
            </w:r>
            <w:r w:rsidRPr="00800A49">
              <w:rPr>
                <w:rFonts w:ascii="Times New Roman" w:eastAsia="Times New Roman" w:hAnsi="Times New Roman" w:cs="Times New Roman"/>
                <w:color w:val="000000"/>
                <w:sz w:val="18"/>
                <w:szCs w:val="18"/>
                <w:lang w:eastAsia="en-AU"/>
              </w:rPr>
              <w:br/>
              <w:t>Healthcare ICER: 1,189; 131.82</w:t>
            </w:r>
          </w:p>
          <w:p w14:paraId="4C90871F"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p>
          <w:p w14:paraId="5F9C8D63"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Cost-effective = N/S</w:t>
            </w:r>
          </w:p>
        </w:tc>
        <w:tc>
          <w:tcPr>
            <w:tcW w:w="1134" w:type="dxa"/>
            <w:vMerge w:val="restart"/>
            <w:vAlign w:val="center"/>
          </w:tcPr>
          <w:p w14:paraId="13E8F76B"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Good</w:t>
            </w:r>
          </w:p>
        </w:tc>
      </w:tr>
      <w:tr w:rsidR="008461EA" w:rsidRPr="00800A49" w14:paraId="44C3DD54" w14:textId="77777777" w:rsidTr="00720BDC">
        <w:trPr>
          <w:trHeight w:val="300"/>
        </w:trPr>
        <w:tc>
          <w:tcPr>
            <w:tcW w:w="1128" w:type="dxa"/>
            <w:vMerge/>
            <w:shd w:val="clear" w:color="auto" w:fill="auto"/>
            <w:noWrap/>
          </w:tcPr>
          <w:p w14:paraId="22E8154C"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p>
        </w:tc>
        <w:tc>
          <w:tcPr>
            <w:tcW w:w="283" w:type="dxa"/>
            <w:vAlign w:val="center"/>
          </w:tcPr>
          <w:p w14:paraId="3C85CF2A"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C</w:t>
            </w:r>
          </w:p>
        </w:tc>
        <w:tc>
          <w:tcPr>
            <w:tcW w:w="709" w:type="dxa"/>
            <w:vAlign w:val="center"/>
          </w:tcPr>
          <w:p w14:paraId="74694DD4"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N/A</w:t>
            </w:r>
          </w:p>
        </w:tc>
        <w:tc>
          <w:tcPr>
            <w:tcW w:w="2409" w:type="dxa"/>
            <w:shd w:val="clear" w:color="auto" w:fill="auto"/>
            <w:noWrap/>
            <w:vAlign w:val="center"/>
          </w:tcPr>
          <w:p w14:paraId="06DBBA7A"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Standard care</w:t>
            </w:r>
          </w:p>
        </w:tc>
        <w:tc>
          <w:tcPr>
            <w:tcW w:w="1105" w:type="dxa"/>
            <w:vMerge/>
            <w:vAlign w:val="center"/>
          </w:tcPr>
          <w:p w14:paraId="368D828F"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851" w:type="dxa"/>
            <w:vMerge/>
            <w:vAlign w:val="center"/>
          </w:tcPr>
          <w:p w14:paraId="6DD6702D"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851" w:type="dxa"/>
            <w:vMerge/>
            <w:shd w:val="clear" w:color="auto" w:fill="auto"/>
            <w:noWrap/>
            <w:vAlign w:val="center"/>
          </w:tcPr>
          <w:p w14:paraId="569A7272"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1190" w:type="dxa"/>
            <w:vAlign w:val="center"/>
          </w:tcPr>
          <w:p w14:paraId="7E25623E"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56</w:t>
            </w:r>
          </w:p>
        </w:tc>
        <w:tc>
          <w:tcPr>
            <w:tcW w:w="2760" w:type="dxa"/>
            <w:vMerge/>
            <w:shd w:val="clear" w:color="auto" w:fill="auto"/>
            <w:noWrap/>
          </w:tcPr>
          <w:p w14:paraId="7B36D4C3"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p>
        </w:tc>
        <w:tc>
          <w:tcPr>
            <w:tcW w:w="634" w:type="dxa"/>
            <w:vMerge/>
            <w:shd w:val="clear" w:color="auto" w:fill="auto"/>
            <w:noWrap/>
            <w:vAlign w:val="center"/>
          </w:tcPr>
          <w:p w14:paraId="018D40F1"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556" w:type="dxa"/>
            <w:vMerge/>
            <w:vAlign w:val="center"/>
          </w:tcPr>
          <w:p w14:paraId="23011A05"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1978" w:type="dxa"/>
            <w:vMerge/>
            <w:shd w:val="clear" w:color="auto" w:fill="auto"/>
            <w:noWrap/>
          </w:tcPr>
          <w:p w14:paraId="7C4FFBB2"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p>
        </w:tc>
        <w:tc>
          <w:tcPr>
            <w:tcW w:w="1134" w:type="dxa"/>
            <w:vMerge/>
            <w:vAlign w:val="center"/>
          </w:tcPr>
          <w:p w14:paraId="2377C4C1"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r>
      <w:tr w:rsidR="008461EA" w:rsidRPr="00800A49" w14:paraId="4B7D8A9C" w14:textId="77777777" w:rsidTr="00720BDC">
        <w:trPr>
          <w:trHeight w:val="1550"/>
        </w:trPr>
        <w:tc>
          <w:tcPr>
            <w:tcW w:w="1128" w:type="dxa"/>
            <w:vMerge w:val="restart"/>
            <w:shd w:val="clear" w:color="auto" w:fill="auto"/>
            <w:noWrap/>
            <w:hideMark/>
          </w:tcPr>
          <w:p w14:paraId="290EC8B7"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p>
          <w:p w14:paraId="3736EF38"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Kay et al., 2018</w:t>
            </w:r>
          </w:p>
        </w:tc>
        <w:tc>
          <w:tcPr>
            <w:tcW w:w="283" w:type="dxa"/>
            <w:vMerge w:val="restart"/>
            <w:vAlign w:val="center"/>
          </w:tcPr>
          <w:p w14:paraId="51840FE9"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I</w:t>
            </w:r>
          </w:p>
        </w:tc>
        <w:tc>
          <w:tcPr>
            <w:tcW w:w="709" w:type="dxa"/>
            <w:vAlign w:val="center"/>
          </w:tcPr>
          <w:p w14:paraId="52632BF2"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Sel.</w:t>
            </w:r>
          </w:p>
        </w:tc>
        <w:tc>
          <w:tcPr>
            <w:tcW w:w="2409" w:type="dxa"/>
            <w:shd w:val="clear" w:color="auto" w:fill="auto"/>
            <w:vAlign w:val="center"/>
            <w:hideMark/>
          </w:tcPr>
          <w:p w14:paraId="4199B5A3"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Targeted school-based 6-monthly fluoride varnish</w:t>
            </w:r>
          </w:p>
        </w:tc>
        <w:tc>
          <w:tcPr>
            <w:tcW w:w="1105" w:type="dxa"/>
            <w:vMerge w:val="restart"/>
            <w:vAlign w:val="center"/>
          </w:tcPr>
          <w:p w14:paraId="40D9F612"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Healthcare</w:t>
            </w:r>
          </w:p>
        </w:tc>
        <w:tc>
          <w:tcPr>
            <w:tcW w:w="851" w:type="dxa"/>
            <w:vAlign w:val="center"/>
          </w:tcPr>
          <w:p w14:paraId="04C1F1CD"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1 year</w:t>
            </w:r>
          </w:p>
        </w:tc>
        <w:tc>
          <w:tcPr>
            <w:tcW w:w="851" w:type="dxa"/>
            <w:vMerge w:val="restart"/>
            <w:shd w:val="clear" w:color="auto" w:fill="auto"/>
            <w:noWrap/>
            <w:vAlign w:val="center"/>
            <w:hideMark/>
          </w:tcPr>
          <w:p w14:paraId="1F65F01C"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p w14:paraId="24B92336"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5</w:t>
            </w:r>
          </w:p>
          <w:p w14:paraId="6D889B91"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and</w:t>
            </w:r>
          </w:p>
          <w:p w14:paraId="2CC4F86C"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12</w:t>
            </w:r>
          </w:p>
          <w:p w14:paraId="1B7B0CB2"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p w14:paraId="5AA2CAC0"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1190" w:type="dxa"/>
            <w:vMerge w:val="restart"/>
            <w:vAlign w:val="center"/>
          </w:tcPr>
          <w:p w14:paraId="32490988"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Individual</w:t>
            </w:r>
          </w:p>
        </w:tc>
        <w:tc>
          <w:tcPr>
            <w:tcW w:w="2760" w:type="dxa"/>
            <w:vMerge w:val="restart"/>
            <w:shd w:val="clear" w:color="auto" w:fill="auto"/>
            <w:noWrap/>
            <w:hideMark/>
          </w:tcPr>
          <w:p w14:paraId="36FF81D2"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Intervention costs (N/R)</w:t>
            </w:r>
          </w:p>
          <w:p w14:paraId="03241FD9"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p>
          <w:p w14:paraId="1BE6710C"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Dental treatment costs (restorations including more complex restorations, and dental treatment under general anaesthesia)</w:t>
            </w:r>
          </w:p>
        </w:tc>
        <w:tc>
          <w:tcPr>
            <w:tcW w:w="634" w:type="dxa"/>
            <w:vMerge w:val="restart"/>
            <w:shd w:val="clear" w:color="auto" w:fill="auto"/>
            <w:noWrap/>
            <w:vAlign w:val="center"/>
            <w:hideMark/>
          </w:tcPr>
          <w:p w14:paraId="728B8917"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2%</w:t>
            </w:r>
          </w:p>
        </w:tc>
        <w:tc>
          <w:tcPr>
            <w:tcW w:w="556" w:type="dxa"/>
            <w:vMerge w:val="restart"/>
            <w:vAlign w:val="center"/>
          </w:tcPr>
          <w:p w14:paraId="6E171CE1"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N/R</w:t>
            </w:r>
          </w:p>
        </w:tc>
        <w:tc>
          <w:tcPr>
            <w:tcW w:w="1978" w:type="dxa"/>
            <w:vMerge w:val="restart"/>
            <w:shd w:val="clear" w:color="auto" w:fill="auto"/>
            <w:noWrap/>
            <w:hideMark/>
          </w:tcPr>
          <w:p w14:paraId="07BBE8BD"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ICER not reported. Cost-utility threshold analysis.</w:t>
            </w:r>
          </w:p>
          <w:p w14:paraId="4EDC5E05"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p>
          <w:p w14:paraId="770FCAF7"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 xml:space="preserve">Maximum cost for intervention to be cost-effective varied </w:t>
            </w:r>
            <w:r w:rsidRPr="00800A49">
              <w:rPr>
                <w:rFonts w:ascii="Times New Roman" w:eastAsia="Times New Roman" w:hAnsi="Times New Roman" w:cs="Times New Roman"/>
                <w:color w:val="000000"/>
                <w:sz w:val="18"/>
                <w:szCs w:val="18"/>
                <w:lang w:eastAsia="en-AU"/>
              </w:rPr>
              <w:lastRenderedPageBreak/>
              <w:t>depending on intervention compared.</w:t>
            </w:r>
          </w:p>
          <w:p w14:paraId="33EA6E2D"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br/>
              <w:t>Refer to Table 2, 3, and 4 of the manuscript.</w:t>
            </w:r>
          </w:p>
          <w:p w14:paraId="43918558"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p>
          <w:p w14:paraId="40B5685F"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Cost-effective = N/S; WTP of £20,000 per QALY.</w:t>
            </w:r>
          </w:p>
        </w:tc>
        <w:tc>
          <w:tcPr>
            <w:tcW w:w="1134" w:type="dxa"/>
            <w:vMerge w:val="restart"/>
            <w:vAlign w:val="center"/>
          </w:tcPr>
          <w:p w14:paraId="0A71D177"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lastRenderedPageBreak/>
              <w:t>Moderate</w:t>
            </w:r>
          </w:p>
        </w:tc>
      </w:tr>
      <w:tr w:rsidR="008461EA" w:rsidRPr="00800A49" w14:paraId="3ED270FB" w14:textId="77777777" w:rsidTr="00720BDC">
        <w:trPr>
          <w:trHeight w:val="600"/>
        </w:trPr>
        <w:tc>
          <w:tcPr>
            <w:tcW w:w="1128" w:type="dxa"/>
            <w:vMerge/>
            <w:shd w:val="clear" w:color="auto" w:fill="auto"/>
            <w:noWrap/>
          </w:tcPr>
          <w:p w14:paraId="2A3B6E58"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p>
        </w:tc>
        <w:tc>
          <w:tcPr>
            <w:tcW w:w="283" w:type="dxa"/>
            <w:vMerge/>
            <w:vAlign w:val="center"/>
          </w:tcPr>
          <w:p w14:paraId="4505007B"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709" w:type="dxa"/>
            <w:vAlign w:val="center"/>
          </w:tcPr>
          <w:p w14:paraId="6BF058B4"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Sel.</w:t>
            </w:r>
          </w:p>
        </w:tc>
        <w:tc>
          <w:tcPr>
            <w:tcW w:w="2409" w:type="dxa"/>
            <w:shd w:val="clear" w:color="auto" w:fill="auto"/>
            <w:vAlign w:val="center"/>
          </w:tcPr>
          <w:p w14:paraId="7E87F26A"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Targeted supervised toothbrushing program</w:t>
            </w:r>
          </w:p>
        </w:tc>
        <w:tc>
          <w:tcPr>
            <w:tcW w:w="1105" w:type="dxa"/>
            <w:vMerge/>
            <w:vAlign w:val="center"/>
          </w:tcPr>
          <w:p w14:paraId="406BC49E"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851" w:type="dxa"/>
            <w:vAlign w:val="center"/>
          </w:tcPr>
          <w:p w14:paraId="0162C1D6"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3 years</w:t>
            </w:r>
          </w:p>
        </w:tc>
        <w:tc>
          <w:tcPr>
            <w:tcW w:w="851" w:type="dxa"/>
            <w:vMerge/>
            <w:shd w:val="clear" w:color="auto" w:fill="auto"/>
            <w:noWrap/>
            <w:vAlign w:val="center"/>
          </w:tcPr>
          <w:p w14:paraId="44B2D974"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1190" w:type="dxa"/>
            <w:vMerge/>
            <w:vAlign w:val="center"/>
          </w:tcPr>
          <w:p w14:paraId="1C4CFF26"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2760" w:type="dxa"/>
            <w:vMerge/>
            <w:shd w:val="clear" w:color="auto" w:fill="auto"/>
            <w:noWrap/>
          </w:tcPr>
          <w:p w14:paraId="50E52919"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p>
        </w:tc>
        <w:tc>
          <w:tcPr>
            <w:tcW w:w="634" w:type="dxa"/>
            <w:vMerge/>
            <w:shd w:val="clear" w:color="auto" w:fill="auto"/>
            <w:noWrap/>
            <w:vAlign w:val="center"/>
          </w:tcPr>
          <w:p w14:paraId="02668B30"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556" w:type="dxa"/>
            <w:vMerge/>
            <w:vAlign w:val="center"/>
          </w:tcPr>
          <w:p w14:paraId="32F66184"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1978" w:type="dxa"/>
            <w:vMerge/>
            <w:shd w:val="clear" w:color="auto" w:fill="auto"/>
            <w:noWrap/>
          </w:tcPr>
          <w:p w14:paraId="3107DDD2"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p>
        </w:tc>
        <w:tc>
          <w:tcPr>
            <w:tcW w:w="1134" w:type="dxa"/>
            <w:vMerge/>
            <w:vAlign w:val="center"/>
          </w:tcPr>
          <w:p w14:paraId="15D59C1B"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r>
      <w:tr w:rsidR="008461EA" w:rsidRPr="00800A49" w14:paraId="27C4018A" w14:textId="77777777" w:rsidTr="00720BDC">
        <w:trPr>
          <w:trHeight w:val="600"/>
        </w:trPr>
        <w:tc>
          <w:tcPr>
            <w:tcW w:w="1128" w:type="dxa"/>
            <w:vMerge/>
            <w:shd w:val="clear" w:color="auto" w:fill="auto"/>
            <w:noWrap/>
          </w:tcPr>
          <w:p w14:paraId="2A45175D"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p>
        </w:tc>
        <w:tc>
          <w:tcPr>
            <w:tcW w:w="283" w:type="dxa"/>
            <w:vAlign w:val="center"/>
          </w:tcPr>
          <w:p w14:paraId="379E1DE2"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C</w:t>
            </w:r>
          </w:p>
        </w:tc>
        <w:tc>
          <w:tcPr>
            <w:tcW w:w="709" w:type="dxa"/>
            <w:vAlign w:val="center"/>
          </w:tcPr>
          <w:p w14:paraId="47ED2B70"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N/A</w:t>
            </w:r>
          </w:p>
        </w:tc>
        <w:tc>
          <w:tcPr>
            <w:tcW w:w="2409" w:type="dxa"/>
            <w:shd w:val="clear" w:color="auto" w:fill="auto"/>
            <w:vAlign w:val="center"/>
          </w:tcPr>
          <w:p w14:paraId="70A83456"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No intervention</w:t>
            </w:r>
          </w:p>
        </w:tc>
        <w:tc>
          <w:tcPr>
            <w:tcW w:w="1105" w:type="dxa"/>
            <w:vMerge/>
            <w:vAlign w:val="center"/>
          </w:tcPr>
          <w:p w14:paraId="7FECC079"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851" w:type="dxa"/>
            <w:vAlign w:val="center"/>
          </w:tcPr>
          <w:p w14:paraId="38A0DE44"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1 or 3 years</w:t>
            </w:r>
          </w:p>
        </w:tc>
        <w:tc>
          <w:tcPr>
            <w:tcW w:w="851" w:type="dxa"/>
            <w:vMerge/>
            <w:shd w:val="clear" w:color="auto" w:fill="auto"/>
            <w:noWrap/>
            <w:vAlign w:val="center"/>
          </w:tcPr>
          <w:p w14:paraId="0E7B975F"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1190" w:type="dxa"/>
            <w:vMerge/>
            <w:vAlign w:val="center"/>
          </w:tcPr>
          <w:p w14:paraId="366AC19F"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2760" w:type="dxa"/>
            <w:vMerge/>
            <w:shd w:val="clear" w:color="auto" w:fill="auto"/>
            <w:noWrap/>
          </w:tcPr>
          <w:p w14:paraId="3892CDC0"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p>
        </w:tc>
        <w:tc>
          <w:tcPr>
            <w:tcW w:w="634" w:type="dxa"/>
            <w:vMerge/>
            <w:shd w:val="clear" w:color="auto" w:fill="auto"/>
            <w:noWrap/>
            <w:vAlign w:val="center"/>
          </w:tcPr>
          <w:p w14:paraId="72EC022F"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556" w:type="dxa"/>
            <w:vMerge/>
            <w:vAlign w:val="center"/>
          </w:tcPr>
          <w:p w14:paraId="631CB132"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1978" w:type="dxa"/>
            <w:vMerge/>
            <w:shd w:val="clear" w:color="auto" w:fill="auto"/>
            <w:noWrap/>
          </w:tcPr>
          <w:p w14:paraId="5EC6A933"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p>
        </w:tc>
        <w:tc>
          <w:tcPr>
            <w:tcW w:w="1134" w:type="dxa"/>
            <w:vMerge/>
            <w:vAlign w:val="center"/>
          </w:tcPr>
          <w:p w14:paraId="0655E1CC"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r>
      <w:tr w:rsidR="008461EA" w:rsidRPr="00800A49" w14:paraId="6404C506" w14:textId="77777777" w:rsidTr="00720BDC">
        <w:trPr>
          <w:trHeight w:val="300"/>
        </w:trPr>
        <w:tc>
          <w:tcPr>
            <w:tcW w:w="1128" w:type="dxa"/>
            <w:vMerge w:val="restart"/>
            <w:shd w:val="clear" w:color="auto" w:fill="auto"/>
            <w:noWrap/>
            <w:hideMark/>
          </w:tcPr>
          <w:p w14:paraId="257BC7FA"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Khouja and Smith, 2018</w:t>
            </w:r>
          </w:p>
        </w:tc>
        <w:tc>
          <w:tcPr>
            <w:tcW w:w="283" w:type="dxa"/>
            <w:vMerge w:val="restart"/>
            <w:vAlign w:val="center"/>
          </w:tcPr>
          <w:p w14:paraId="18B3882E"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C</w:t>
            </w:r>
          </w:p>
        </w:tc>
        <w:tc>
          <w:tcPr>
            <w:tcW w:w="709" w:type="dxa"/>
            <w:vAlign w:val="center"/>
          </w:tcPr>
          <w:p w14:paraId="3A7C15B1"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Ind.</w:t>
            </w:r>
          </w:p>
        </w:tc>
        <w:tc>
          <w:tcPr>
            <w:tcW w:w="2409" w:type="dxa"/>
            <w:shd w:val="clear" w:color="auto" w:fill="auto"/>
            <w:noWrap/>
            <w:vAlign w:val="center"/>
            <w:hideMark/>
          </w:tcPr>
          <w:p w14:paraId="4558FDFE"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Fissure sealant of 1st permanent molars</w:t>
            </w:r>
          </w:p>
        </w:tc>
        <w:tc>
          <w:tcPr>
            <w:tcW w:w="1105" w:type="dxa"/>
            <w:vMerge w:val="restart"/>
            <w:vAlign w:val="center"/>
          </w:tcPr>
          <w:p w14:paraId="0214D930"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Healthcare</w:t>
            </w:r>
          </w:p>
        </w:tc>
        <w:tc>
          <w:tcPr>
            <w:tcW w:w="851" w:type="dxa"/>
            <w:vMerge w:val="restart"/>
            <w:vAlign w:val="center"/>
          </w:tcPr>
          <w:p w14:paraId="74DCA6BB"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9 years</w:t>
            </w:r>
          </w:p>
        </w:tc>
        <w:tc>
          <w:tcPr>
            <w:tcW w:w="851" w:type="dxa"/>
            <w:vMerge w:val="restart"/>
            <w:shd w:val="clear" w:color="auto" w:fill="auto"/>
            <w:noWrap/>
            <w:vAlign w:val="center"/>
            <w:hideMark/>
          </w:tcPr>
          <w:p w14:paraId="4FF538CA"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N/R</w:t>
            </w:r>
          </w:p>
        </w:tc>
        <w:tc>
          <w:tcPr>
            <w:tcW w:w="1190" w:type="dxa"/>
            <w:vMerge w:val="restart"/>
            <w:vAlign w:val="center"/>
          </w:tcPr>
          <w:p w14:paraId="0D907AAC"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N/R</w:t>
            </w:r>
          </w:p>
        </w:tc>
        <w:tc>
          <w:tcPr>
            <w:tcW w:w="2760" w:type="dxa"/>
            <w:vMerge w:val="restart"/>
            <w:shd w:val="clear" w:color="auto" w:fill="auto"/>
            <w:noWrap/>
            <w:hideMark/>
          </w:tcPr>
          <w:p w14:paraId="7ABED16D"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Intervention costs (macro-costing)</w:t>
            </w:r>
          </w:p>
        </w:tc>
        <w:tc>
          <w:tcPr>
            <w:tcW w:w="1190" w:type="dxa"/>
            <w:gridSpan w:val="2"/>
            <w:vMerge w:val="restart"/>
            <w:shd w:val="clear" w:color="auto" w:fill="auto"/>
            <w:noWrap/>
            <w:vAlign w:val="center"/>
            <w:hideMark/>
          </w:tcPr>
          <w:p w14:paraId="0575449A"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0%</w:t>
            </w:r>
          </w:p>
        </w:tc>
        <w:tc>
          <w:tcPr>
            <w:tcW w:w="1978" w:type="dxa"/>
            <w:vMerge w:val="restart"/>
            <w:shd w:val="clear" w:color="auto" w:fill="auto"/>
            <w:noWrap/>
            <w:hideMark/>
          </w:tcPr>
          <w:p w14:paraId="7ED5811D"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Costs (US$) per first occlusal caries averted (1st permanent molar)</w:t>
            </w:r>
            <w:r w:rsidRPr="00800A49">
              <w:rPr>
                <w:rFonts w:ascii="Times New Roman" w:eastAsia="Times New Roman" w:hAnsi="Times New Roman" w:cs="Times New Roman"/>
                <w:color w:val="000000"/>
                <w:sz w:val="18"/>
                <w:szCs w:val="18"/>
                <w:lang w:eastAsia="en-AU"/>
              </w:rPr>
              <w:br/>
              <w:t>1) Fissure sealant ICER: 156.87</w:t>
            </w:r>
          </w:p>
          <w:p w14:paraId="5FC72613"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Cost-effective = N/S</w:t>
            </w:r>
          </w:p>
          <w:p w14:paraId="760CA082"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br/>
              <w:t>2) 6-monthly fluoride varnish ICER: N/R (dominated)</w:t>
            </w:r>
          </w:p>
          <w:p w14:paraId="5D7693DC"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Cost-effective = No</w:t>
            </w:r>
          </w:p>
        </w:tc>
        <w:tc>
          <w:tcPr>
            <w:tcW w:w="1134" w:type="dxa"/>
            <w:vMerge w:val="restart"/>
            <w:vAlign w:val="center"/>
          </w:tcPr>
          <w:p w14:paraId="291349D9"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Moderate</w:t>
            </w:r>
          </w:p>
        </w:tc>
      </w:tr>
      <w:tr w:rsidR="008461EA" w:rsidRPr="00800A49" w14:paraId="49EE14F0" w14:textId="77777777" w:rsidTr="00720BDC">
        <w:trPr>
          <w:trHeight w:val="461"/>
        </w:trPr>
        <w:tc>
          <w:tcPr>
            <w:tcW w:w="1128" w:type="dxa"/>
            <w:vMerge/>
            <w:shd w:val="clear" w:color="auto" w:fill="auto"/>
            <w:noWrap/>
          </w:tcPr>
          <w:p w14:paraId="2607640D"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p>
        </w:tc>
        <w:tc>
          <w:tcPr>
            <w:tcW w:w="283" w:type="dxa"/>
            <w:vMerge/>
            <w:vAlign w:val="center"/>
          </w:tcPr>
          <w:p w14:paraId="04961DA5"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709" w:type="dxa"/>
            <w:vAlign w:val="center"/>
          </w:tcPr>
          <w:p w14:paraId="0DFBEB08"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Ind.</w:t>
            </w:r>
          </w:p>
        </w:tc>
        <w:tc>
          <w:tcPr>
            <w:tcW w:w="2409" w:type="dxa"/>
            <w:shd w:val="clear" w:color="auto" w:fill="auto"/>
            <w:noWrap/>
            <w:vAlign w:val="center"/>
          </w:tcPr>
          <w:p w14:paraId="14744C34"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6-monthly fluoride varnish</w:t>
            </w:r>
          </w:p>
        </w:tc>
        <w:tc>
          <w:tcPr>
            <w:tcW w:w="1105" w:type="dxa"/>
            <w:vMerge/>
            <w:vAlign w:val="center"/>
          </w:tcPr>
          <w:p w14:paraId="4C9C2681"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851" w:type="dxa"/>
            <w:vMerge/>
            <w:vAlign w:val="center"/>
          </w:tcPr>
          <w:p w14:paraId="1D7E04DF"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851" w:type="dxa"/>
            <w:vMerge/>
            <w:shd w:val="clear" w:color="auto" w:fill="auto"/>
            <w:noWrap/>
            <w:vAlign w:val="center"/>
          </w:tcPr>
          <w:p w14:paraId="068DA8F8"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1190" w:type="dxa"/>
            <w:vMerge/>
            <w:vAlign w:val="center"/>
          </w:tcPr>
          <w:p w14:paraId="0397F04A"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2760" w:type="dxa"/>
            <w:vMerge/>
            <w:shd w:val="clear" w:color="auto" w:fill="auto"/>
            <w:noWrap/>
          </w:tcPr>
          <w:p w14:paraId="76E9F137"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p>
        </w:tc>
        <w:tc>
          <w:tcPr>
            <w:tcW w:w="1190" w:type="dxa"/>
            <w:gridSpan w:val="2"/>
            <w:vMerge/>
            <w:shd w:val="clear" w:color="auto" w:fill="auto"/>
            <w:noWrap/>
            <w:vAlign w:val="center"/>
          </w:tcPr>
          <w:p w14:paraId="07D7BCE0"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1978" w:type="dxa"/>
            <w:vMerge/>
            <w:shd w:val="clear" w:color="auto" w:fill="auto"/>
            <w:noWrap/>
          </w:tcPr>
          <w:p w14:paraId="7A759472"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p>
        </w:tc>
        <w:tc>
          <w:tcPr>
            <w:tcW w:w="1134" w:type="dxa"/>
            <w:vMerge/>
            <w:vAlign w:val="center"/>
          </w:tcPr>
          <w:p w14:paraId="0BCCC6AA"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r>
      <w:tr w:rsidR="008461EA" w:rsidRPr="00800A49" w14:paraId="45C144EC" w14:textId="77777777" w:rsidTr="00720BDC">
        <w:trPr>
          <w:trHeight w:val="53"/>
        </w:trPr>
        <w:tc>
          <w:tcPr>
            <w:tcW w:w="1128" w:type="dxa"/>
            <w:vMerge/>
            <w:shd w:val="clear" w:color="auto" w:fill="auto"/>
            <w:noWrap/>
          </w:tcPr>
          <w:p w14:paraId="4DA62955"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p>
        </w:tc>
        <w:tc>
          <w:tcPr>
            <w:tcW w:w="283" w:type="dxa"/>
            <w:vAlign w:val="center"/>
          </w:tcPr>
          <w:p w14:paraId="7A8C7C2A"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I</w:t>
            </w:r>
          </w:p>
        </w:tc>
        <w:tc>
          <w:tcPr>
            <w:tcW w:w="709" w:type="dxa"/>
            <w:vAlign w:val="center"/>
          </w:tcPr>
          <w:p w14:paraId="7A8452BD"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N/A</w:t>
            </w:r>
          </w:p>
        </w:tc>
        <w:tc>
          <w:tcPr>
            <w:tcW w:w="2409" w:type="dxa"/>
            <w:shd w:val="clear" w:color="auto" w:fill="auto"/>
            <w:noWrap/>
            <w:vAlign w:val="center"/>
          </w:tcPr>
          <w:p w14:paraId="416703B0"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No intervention</w:t>
            </w:r>
          </w:p>
        </w:tc>
        <w:tc>
          <w:tcPr>
            <w:tcW w:w="1105" w:type="dxa"/>
            <w:vMerge/>
            <w:vAlign w:val="center"/>
          </w:tcPr>
          <w:p w14:paraId="2805477D"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851" w:type="dxa"/>
            <w:vMerge/>
            <w:vAlign w:val="center"/>
          </w:tcPr>
          <w:p w14:paraId="6D944400"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851" w:type="dxa"/>
            <w:vMerge/>
            <w:shd w:val="clear" w:color="auto" w:fill="auto"/>
            <w:noWrap/>
            <w:vAlign w:val="center"/>
          </w:tcPr>
          <w:p w14:paraId="6C0199AD"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1190" w:type="dxa"/>
            <w:vMerge/>
            <w:vAlign w:val="center"/>
          </w:tcPr>
          <w:p w14:paraId="14716E6C"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2760" w:type="dxa"/>
            <w:vMerge/>
            <w:shd w:val="clear" w:color="auto" w:fill="auto"/>
            <w:noWrap/>
          </w:tcPr>
          <w:p w14:paraId="5EA5E05A"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p>
        </w:tc>
        <w:tc>
          <w:tcPr>
            <w:tcW w:w="1190" w:type="dxa"/>
            <w:gridSpan w:val="2"/>
            <w:vMerge/>
            <w:shd w:val="clear" w:color="auto" w:fill="auto"/>
            <w:noWrap/>
            <w:vAlign w:val="center"/>
          </w:tcPr>
          <w:p w14:paraId="1C9CC29A"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1978" w:type="dxa"/>
            <w:vMerge/>
            <w:shd w:val="clear" w:color="auto" w:fill="auto"/>
            <w:noWrap/>
          </w:tcPr>
          <w:p w14:paraId="44E2429F"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p>
        </w:tc>
        <w:tc>
          <w:tcPr>
            <w:tcW w:w="1134" w:type="dxa"/>
            <w:vMerge/>
            <w:vAlign w:val="center"/>
          </w:tcPr>
          <w:p w14:paraId="37229BD6"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r>
      <w:tr w:rsidR="008461EA" w:rsidRPr="00800A49" w14:paraId="02A48D82" w14:textId="77777777" w:rsidTr="00720BDC">
        <w:trPr>
          <w:trHeight w:val="699"/>
        </w:trPr>
        <w:tc>
          <w:tcPr>
            <w:tcW w:w="1128" w:type="dxa"/>
            <w:vMerge w:val="restart"/>
            <w:shd w:val="clear" w:color="auto" w:fill="auto"/>
            <w:noWrap/>
            <w:hideMark/>
          </w:tcPr>
          <w:p w14:paraId="227DE5F5"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Koh et al, 2015</w:t>
            </w:r>
          </w:p>
        </w:tc>
        <w:tc>
          <w:tcPr>
            <w:tcW w:w="283" w:type="dxa"/>
            <w:vMerge w:val="restart"/>
            <w:vAlign w:val="center"/>
          </w:tcPr>
          <w:p w14:paraId="52EBA1C6"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I</w:t>
            </w:r>
          </w:p>
        </w:tc>
        <w:tc>
          <w:tcPr>
            <w:tcW w:w="709" w:type="dxa"/>
            <w:vAlign w:val="center"/>
          </w:tcPr>
          <w:p w14:paraId="34AA047E"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Sel.</w:t>
            </w:r>
          </w:p>
        </w:tc>
        <w:tc>
          <w:tcPr>
            <w:tcW w:w="2409" w:type="dxa"/>
            <w:shd w:val="clear" w:color="auto" w:fill="auto"/>
            <w:noWrap/>
            <w:vAlign w:val="center"/>
            <w:hideMark/>
          </w:tcPr>
          <w:p w14:paraId="797B2E43"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Consultation via home visits by dental practitioners</w:t>
            </w:r>
          </w:p>
        </w:tc>
        <w:tc>
          <w:tcPr>
            <w:tcW w:w="1105" w:type="dxa"/>
            <w:vMerge w:val="restart"/>
            <w:vAlign w:val="center"/>
          </w:tcPr>
          <w:p w14:paraId="05AAAE0A"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Societal</w:t>
            </w:r>
          </w:p>
        </w:tc>
        <w:tc>
          <w:tcPr>
            <w:tcW w:w="851" w:type="dxa"/>
            <w:vMerge w:val="restart"/>
            <w:vAlign w:val="center"/>
          </w:tcPr>
          <w:p w14:paraId="7FE3661C"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5.5 years</w:t>
            </w:r>
          </w:p>
        </w:tc>
        <w:tc>
          <w:tcPr>
            <w:tcW w:w="851" w:type="dxa"/>
            <w:vMerge w:val="restart"/>
            <w:shd w:val="clear" w:color="auto" w:fill="auto"/>
            <w:noWrap/>
            <w:vAlign w:val="center"/>
            <w:hideMark/>
          </w:tcPr>
          <w:p w14:paraId="51D12E04"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1</w:t>
            </w:r>
          </w:p>
        </w:tc>
        <w:tc>
          <w:tcPr>
            <w:tcW w:w="1190" w:type="dxa"/>
            <w:vAlign w:val="center"/>
          </w:tcPr>
          <w:p w14:paraId="60DF3461"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188</w:t>
            </w:r>
          </w:p>
        </w:tc>
        <w:tc>
          <w:tcPr>
            <w:tcW w:w="2760" w:type="dxa"/>
            <w:vMerge w:val="restart"/>
            <w:shd w:val="clear" w:color="auto" w:fill="auto"/>
            <w:noWrap/>
            <w:hideMark/>
          </w:tcPr>
          <w:p w14:paraId="6DE960C6"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Interventions costs (micro-costing)</w:t>
            </w:r>
          </w:p>
          <w:p w14:paraId="2D328F95"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br/>
              <w:t>Dental treatment costs (restorations, crown, extraction)</w:t>
            </w:r>
          </w:p>
          <w:p w14:paraId="07BB0027"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br/>
              <w:t>Opportunity costs lost (travel and dental treatment time)</w:t>
            </w:r>
          </w:p>
          <w:p w14:paraId="2C019469"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br/>
              <w:t>Family costs (travel and medications)</w:t>
            </w:r>
          </w:p>
        </w:tc>
        <w:tc>
          <w:tcPr>
            <w:tcW w:w="1190" w:type="dxa"/>
            <w:gridSpan w:val="2"/>
            <w:vMerge w:val="restart"/>
            <w:shd w:val="clear" w:color="auto" w:fill="auto"/>
            <w:noWrap/>
            <w:vAlign w:val="center"/>
          </w:tcPr>
          <w:p w14:paraId="53A75B7B"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5%</w:t>
            </w:r>
          </w:p>
        </w:tc>
        <w:tc>
          <w:tcPr>
            <w:tcW w:w="1978" w:type="dxa"/>
            <w:vMerge w:val="restart"/>
            <w:shd w:val="clear" w:color="auto" w:fill="auto"/>
            <w:noWrap/>
            <w:hideMark/>
          </w:tcPr>
          <w:p w14:paraId="566D67A2"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Costs (US$) per QALY gained</w:t>
            </w:r>
            <w:r w:rsidRPr="00800A49">
              <w:rPr>
                <w:rFonts w:ascii="Times New Roman" w:eastAsia="Times New Roman" w:hAnsi="Times New Roman" w:cs="Times New Roman"/>
                <w:color w:val="000000"/>
                <w:sz w:val="18"/>
                <w:szCs w:val="18"/>
                <w:lang w:eastAsia="en-AU"/>
              </w:rPr>
              <w:br/>
              <w:t>1) Home Visits ICER: N/R (dominant)</w:t>
            </w:r>
            <w:r w:rsidRPr="00800A49">
              <w:rPr>
                <w:rFonts w:ascii="Times New Roman" w:eastAsia="Times New Roman" w:hAnsi="Times New Roman" w:cs="Times New Roman"/>
                <w:color w:val="000000"/>
                <w:sz w:val="18"/>
                <w:szCs w:val="18"/>
                <w:lang w:eastAsia="en-AU"/>
              </w:rPr>
              <w:br/>
              <w:t>2) Telephone Contacts ICER: N/R (dominant)</w:t>
            </w:r>
            <w:r w:rsidRPr="00800A49">
              <w:rPr>
                <w:rFonts w:ascii="Times New Roman" w:eastAsia="Times New Roman" w:hAnsi="Times New Roman" w:cs="Times New Roman"/>
                <w:color w:val="000000"/>
                <w:sz w:val="18"/>
                <w:szCs w:val="18"/>
                <w:lang w:eastAsia="en-AU"/>
              </w:rPr>
              <w:br/>
              <w:t>3) Home Visits vs Telephone Contacts ICER: N/R (dominant)</w:t>
            </w:r>
          </w:p>
          <w:p w14:paraId="3E2D858C"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p>
          <w:p w14:paraId="73692193"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Cost-effective = Yes</w:t>
            </w:r>
          </w:p>
        </w:tc>
        <w:tc>
          <w:tcPr>
            <w:tcW w:w="1134" w:type="dxa"/>
            <w:vMerge w:val="restart"/>
            <w:vAlign w:val="center"/>
          </w:tcPr>
          <w:p w14:paraId="2339FCD0"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Good</w:t>
            </w:r>
          </w:p>
        </w:tc>
      </w:tr>
      <w:tr w:rsidR="008461EA" w:rsidRPr="00800A49" w14:paraId="1410E145" w14:textId="77777777" w:rsidTr="00720BDC">
        <w:trPr>
          <w:trHeight w:val="695"/>
        </w:trPr>
        <w:tc>
          <w:tcPr>
            <w:tcW w:w="1128" w:type="dxa"/>
            <w:vMerge/>
            <w:shd w:val="clear" w:color="auto" w:fill="auto"/>
            <w:noWrap/>
          </w:tcPr>
          <w:p w14:paraId="7DD574D0"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p>
        </w:tc>
        <w:tc>
          <w:tcPr>
            <w:tcW w:w="283" w:type="dxa"/>
            <w:vMerge/>
            <w:vAlign w:val="center"/>
          </w:tcPr>
          <w:p w14:paraId="00EF3F70"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709" w:type="dxa"/>
            <w:vAlign w:val="center"/>
          </w:tcPr>
          <w:p w14:paraId="75615711"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Sel.</w:t>
            </w:r>
          </w:p>
        </w:tc>
        <w:tc>
          <w:tcPr>
            <w:tcW w:w="2409" w:type="dxa"/>
            <w:shd w:val="clear" w:color="auto" w:fill="auto"/>
            <w:noWrap/>
            <w:vAlign w:val="center"/>
          </w:tcPr>
          <w:p w14:paraId="32562DE6"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Telephone consultation by dental practitioners</w:t>
            </w:r>
          </w:p>
        </w:tc>
        <w:tc>
          <w:tcPr>
            <w:tcW w:w="1105" w:type="dxa"/>
            <w:vMerge/>
            <w:vAlign w:val="center"/>
          </w:tcPr>
          <w:p w14:paraId="2F2BA633"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851" w:type="dxa"/>
            <w:vMerge/>
            <w:vAlign w:val="center"/>
          </w:tcPr>
          <w:p w14:paraId="3893BD9B"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851" w:type="dxa"/>
            <w:vMerge/>
            <w:shd w:val="clear" w:color="auto" w:fill="auto"/>
            <w:noWrap/>
            <w:vAlign w:val="center"/>
          </w:tcPr>
          <w:p w14:paraId="16DDBD4D"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1190" w:type="dxa"/>
            <w:vAlign w:val="center"/>
          </w:tcPr>
          <w:p w14:paraId="53B3EC38"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58</w:t>
            </w:r>
          </w:p>
        </w:tc>
        <w:tc>
          <w:tcPr>
            <w:tcW w:w="2760" w:type="dxa"/>
            <w:vMerge/>
            <w:shd w:val="clear" w:color="auto" w:fill="auto"/>
            <w:noWrap/>
          </w:tcPr>
          <w:p w14:paraId="3879F17E"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p>
        </w:tc>
        <w:tc>
          <w:tcPr>
            <w:tcW w:w="1190" w:type="dxa"/>
            <w:gridSpan w:val="2"/>
            <w:vMerge/>
            <w:shd w:val="clear" w:color="auto" w:fill="auto"/>
            <w:noWrap/>
            <w:vAlign w:val="center"/>
          </w:tcPr>
          <w:p w14:paraId="39323DC0"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1978" w:type="dxa"/>
            <w:vMerge/>
            <w:shd w:val="clear" w:color="auto" w:fill="auto"/>
            <w:noWrap/>
          </w:tcPr>
          <w:p w14:paraId="5777B375"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p>
        </w:tc>
        <w:tc>
          <w:tcPr>
            <w:tcW w:w="1134" w:type="dxa"/>
            <w:vMerge/>
            <w:vAlign w:val="center"/>
          </w:tcPr>
          <w:p w14:paraId="262C7F00"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r>
      <w:tr w:rsidR="008461EA" w:rsidRPr="00800A49" w14:paraId="6A30C728" w14:textId="77777777" w:rsidTr="00720BDC">
        <w:trPr>
          <w:trHeight w:val="300"/>
        </w:trPr>
        <w:tc>
          <w:tcPr>
            <w:tcW w:w="1128" w:type="dxa"/>
            <w:vMerge/>
            <w:shd w:val="clear" w:color="auto" w:fill="auto"/>
            <w:noWrap/>
          </w:tcPr>
          <w:p w14:paraId="669EC55E"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p>
        </w:tc>
        <w:tc>
          <w:tcPr>
            <w:tcW w:w="283" w:type="dxa"/>
            <w:vAlign w:val="center"/>
          </w:tcPr>
          <w:p w14:paraId="740694EA"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C</w:t>
            </w:r>
          </w:p>
        </w:tc>
        <w:tc>
          <w:tcPr>
            <w:tcW w:w="709" w:type="dxa"/>
            <w:vAlign w:val="center"/>
          </w:tcPr>
          <w:p w14:paraId="3B8BD92F"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N/A</w:t>
            </w:r>
          </w:p>
        </w:tc>
        <w:tc>
          <w:tcPr>
            <w:tcW w:w="2409" w:type="dxa"/>
            <w:shd w:val="clear" w:color="auto" w:fill="auto"/>
            <w:noWrap/>
            <w:vAlign w:val="center"/>
          </w:tcPr>
          <w:p w14:paraId="7F17A36E"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Standard care</w:t>
            </w:r>
          </w:p>
        </w:tc>
        <w:tc>
          <w:tcPr>
            <w:tcW w:w="1105" w:type="dxa"/>
            <w:vMerge/>
            <w:vAlign w:val="center"/>
          </w:tcPr>
          <w:p w14:paraId="48E5BE7A"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851" w:type="dxa"/>
            <w:vMerge/>
            <w:vAlign w:val="center"/>
          </w:tcPr>
          <w:p w14:paraId="30C9308D"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851" w:type="dxa"/>
            <w:vMerge/>
            <w:shd w:val="clear" w:color="auto" w:fill="auto"/>
            <w:noWrap/>
            <w:vAlign w:val="center"/>
          </w:tcPr>
          <w:p w14:paraId="31587015"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1190" w:type="dxa"/>
            <w:vAlign w:val="center"/>
          </w:tcPr>
          <w:p w14:paraId="28D0ADD2"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40</w:t>
            </w:r>
          </w:p>
        </w:tc>
        <w:tc>
          <w:tcPr>
            <w:tcW w:w="2760" w:type="dxa"/>
            <w:vMerge/>
            <w:shd w:val="clear" w:color="auto" w:fill="auto"/>
            <w:noWrap/>
          </w:tcPr>
          <w:p w14:paraId="68A9231C"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p>
        </w:tc>
        <w:tc>
          <w:tcPr>
            <w:tcW w:w="1190" w:type="dxa"/>
            <w:gridSpan w:val="2"/>
            <w:vMerge/>
            <w:shd w:val="clear" w:color="auto" w:fill="auto"/>
            <w:noWrap/>
            <w:vAlign w:val="center"/>
          </w:tcPr>
          <w:p w14:paraId="3BB4D080"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1978" w:type="dxa"/>
            <w:vMerge/>
            <w:shd w:val="clear" w:color="auto" w:fill="auto"/>
            <w:noWrap/>
          </w:tcPr>
          <w:p w14:paraId="22AF847C"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p>
        </w:tc>
        <w:tc>
          <w:tcPr>
            <w:tcW w:w="1134" w:type="dxa"/>
            <w:vMerge/>
            <w:vAlign w:val="center"/>
          </w:tcPr>
          <w:p w14:paraId="427A558D"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r>
      <w:tr w:rsidR="008461EA" w:rsidRPr="00800A49" w14:paraId="0A1FD2D9" w14:textId="77777777" w:rsidTr="00720BDC">
        <w:trPr>
          <w:trHeight w:val="300"/>
        </w:trPr>
        <w:tc>
          <w:tcPr>
            <w:tcW w:w="1128" w:type="dxa"/>
            <w:vMerge w:val="restart"/>
            <w:shd w:val="clear" w:color="auto" w:fill="auto"/>
            <w:noWrap/>
            <w:hideMark/>
          </w:tcPr>
          <w:p w14:paraId="6C552790"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proofErr w:type="spellStart"/>
            <w:r w:rsidRPr="00800A49">
              <w:rPr>
                <w:rFonts w:ascii="Times New Roman" w:eastAsia="Times New Roman" w:hAnsi="Times New Roman" w:cs="Times New Roman"/>
                <w:color w:val="000000"/>
                <w:sz w:val="18"/>
                <w:szCs w:val="18"/>
                <w:lang w:eastAsia="en-AU"/>
              </w:rPr>
              <w:t>Kowash</w:t>
            </w:r>
            <w:proofErr w:type="spellEnd"/>
            <w:r w:rsidRPr="00800A49">
              <w:rPr>
                <w:rFonts w:ascii="Times New Roman" w:eastAsia="Times New Roman" w:hAnsi="Times New Roman" w:cs="Times New Roman"/>
                <w:color w:val="000000"/>
                <w:sz w:val="18"/>
                <w:szCs w:val="18"/>
                <w:lang w:eastAsia="en-AU"/>
              </w:rPr>
              <w:t xml:space="preserve"> et al., 2006</w:t>
            </w:r>
          </w:p>
        </w:tc>
        <w:tc>
          <w:tcPr>
            <w:tcW w:w="283" w:type="dxa"/>
            <w:vAlign w:val="center"/>
          </w:tcPr>
          <w:p w14:paraId="19DBBDF2"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I</w:t>
            </w:r>
          </w:p>
        </w:tc>
        <w:tc>
          <w:tcPr>
            <w:tcW w:w="709" w:type="dxa"/>
            <w:vAlign w:val="center"/>
          </w:tcPr>
          <w:p w14:paraId="1E129F7E"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Sel.</w:t>
            </w:r>
          </w:p>
        </w:tc>
        <w:tc>
          <w:tcPr>
            <w:tcW w:w="2409" w:type="dxa"/>
            <w:shd w:val="clear" w:color="auto" w:fill="auto"/>
            <w:noWrap/>
            <w:vAlign w:val="center"/>
            <w:hideMark/>
          </w:tcPr>
          <w:p w14:paraId="4B7D6F8D"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Home visit consultations dental nurses and dental hygienists)</w:t>
            </w:r>
          </w:p>
        </w:tc>
        <w:tc>
          <w:tcPr>
            <w:tcW w:w="1105" w:type="dxa"/>
            <w:vMerge w:val="restart"/>
            <w:vAlign w:val="center"/>
          </w:tcPr>
          <w:p w14:paraId="262D58B4"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Healthcare</w:t>
            </w:r>
          </w:p>
        </w:tc>
        <w:tc>
          <w:tcPr>
            <w:tcW w:w="851" w:type="dxa"/>
            <w:vMerge w:val="restart"/>
            <w:vAlign w:val="center"/>
          </w:tcPr>
          <w:p w14:paraId="34B0BB1F"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3 years</w:t>
            </w:r>
          </w:p>
        </w:tc>
        <w:tc>
          <w:tcPr>
            <w:tcW w:w="851" w:type="dxa"/>
            <w:vMerge w:val="restart"/>
            <w:shd w:val="clear" w:color="auto" w:fill="auto"/>
            <w:noWrap/>
            <w:vAlign w:val="center"/>
            <w:hideMark/>
          </w:tcPr>
          <w:p w14:paraId="7B0763E8"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5-12</w:t>
            </w:r>
          </w:p>
        </w:tc>
        <w:tc>
          <w:tcPr>
            <w:tcW w:w="1190" w:type="dxa"/>
            <w:vMerge w:val="restart"/>
            <w:vAlign w:val="center"/>
          </w:tcPr>
          <w:p w14:paraId="6590BEB4"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7,000</w:t>
            </w:r>
          </w:p>
        </w:tc>
        <w:tc>
          <w:tcPr>
            <w:tcW w:w="2760" w:type="dxa"/>
            <w:vMerge w:val="restart"/>
            <w:shd w:val="clear" w:color="auto" w:fill="auto"/>
            <w:noWrap/>
            <w:hideMark/>
          </w:tcPr>
          <w:p w14:paraId="7CF0F04E"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Intervention costs (capital, labour, consumables)</w:t>
            </w:r>
          </w:p>
          <w:p w14:paraId="423FD646"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br/>
              <w:t>Dental treatment costs (check-up, restorations, treatment under general anaesthesia)</w:t>
            </w:r>
          </w:p>
        </w:tc>
        <w:tc>
          <w:tcPr>
            <w:tcW w:w="1190" w:type="dxa"/>
            <w:gridSpan w:val="2"/>
            <w:vMerge w:val="restart"/>
            <w:shd w:val="clear" w:color="auto" w:fill="auto"/>
            <w:noWrap/>
            <w:vAlign w:val="center"/>
          </w:tcPr>
          <w:p w14:paraId="260C11AD"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N/R</w:t>
            </w:r>
          </w:p>
        </w:tc>
        <w:tc>
          <w:tcPr>
            <w:tcW w:w="1978" w:type="dxa"/>
            <w:vMerge w:val="restart"/>
            <w:shd w:val="clear" w:color="auto" w:fill="auto"/>
            <w:noWrap/>
            <w:hideMark/>
          </w:tcPr>
          <w:p w14:paraId="380ECFF2"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Cost-benefit ratio:</w:t>
            </w:r>
            <w:r w:rsidRPr="00800A49">
              <w:rPr>
                <w:rFonts w:ascii="Times New Roman" w:eastAsia="Times New Roman" w:hAnsi="Times New Roman" w:cs="Times New Roman"/>
                <w:color w:val="000000"/>
                <w:sz w:val="18"/>
                <w:szCs w:val="18"/>
                <w:lang w:eastAsia="en-AU"/>
              </w:rPr>
              <w:br/>
              <w:t>1) Home visit consultations dental nurses and dental hygienists: 5.21</w:t>
            </w:r>
          </w:p>
          <w:p w14:paraId="2B4C564D"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Cost-saving = Yes</w:t>
            </w:r>
          </w:p>
          <w:p w14:paraId="2A978437"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br/>
              <w:t>2) Slow releasing fluoride glass devices program: 4.17</w:t>
            </w:r>
          </w:p>
          <w:p w14:paraId="11B80D52"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Cost-saving = Yes</w:t>
            </w:r>
          </w:p>
          <w:p w14:paraId="5CE3C65F"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lastRenderedPageBreak/>
              <w:br/>
              <w:t>3) Water fluoridation: 1.15</w:t>
            </w:r>
          </w:p>
          <w:p w14:paraId="293E2492"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Cost-saving = Yes</w:t>
            </w:r>
          </w:p>
          <w:p w14:paraId="500DCAC2"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br/>
              <w:t>4) Targeted school-based fissure sealants: 0.42</w:t>
            </w:r>
          </w:p>
          <w:p w14:paraId="3C284686"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Cost-saving = No</w:t>
            </w:r>
          </w:p>
        </w:tc>
        <w:tc>
          <w:tcPr>
            <w:tcW w:w="1134" w:type="dxa"/>
            <w:vMerge w:val="restart"/>
            <w:vAlign w:val="center"/>
          </w:tcPr>
          <w:p w14:paraId="7026588B"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lastRenderedPageBreak/>
              <w:t>Low</w:t>
            </w:r>
          </w:p>
        </w:tc>
      </w:tr>
      <w:tr w:rsidR="008461EA" w:rsidRPr="00800A49" w14:paraId="41936D20" w14:textId="77777777" w:rsidTr="00720BDC">
        <w:trPr>
          <w:trHeight w:val="300"/>
        </w:trPr>
        <w:tc>
          <w:tcPr>
            <w:tcW w:w="1128" w:type="dxa"/>
            <w:vMerge/>
            <w:shd w:val="clear" w:color="auto" w:fill="auto"/>
            <w:noWrap/>
          </w:tcPr>
          <w:p w14:paraId="01E8762C"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p>
        </w:tc>
        <w:tc>
          <w:tcPr>
            <w:tcW w:w="283" w:type="dxa"/>
            <w:vAlign w:val="center"/>
          </w:tcPr>
          <w:p w14:paraId="4E0A3752"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709" w:type="dxa"/>
            <w:vAlign w:val="center"/>
          </w:tcPr>
          <w:p w14:paraId="78F92D9D"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Ind.</w:t>
            </w:r>
          </w:p>
        </w:tc>
        <w:tc>
          <w:tcPr>
            <w:tcW w:w="2409" w:type="dxa"/>
            <w:shd w:val="clear" w:color="auto" w:fill="auto"/>
            <w:noWrap/>
            <w:vAlign w:val="center"/>
          </w:tcPr>
          <w:p w14:paraId="0A57D54D"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Slow releasing fluoride glass devices program</w:t>
            </w:r>
          </w:p>
        </w:tc>
        <w:tc>
          <w:tcPr>
            <w:tcW w:w="1105" w:type="dxa"/>
            <w:vMerge/>
            <w:vAlign w:val="center"/>
          </w:tcPr>
          <w:p w14:paraId="669EA8C9"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851" w:type="dxa"/>
            <w:vMerge/>
            <w:vAlign w:val="center"/>
          </w:tcPr>
          <w:p w14:paraId="6FBE219A"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851" w:type="dxa"/>
            <w:vMerge/>
            <w:shd w:val="clear" w:color="auto" w:fill="auto"/>
            <w:noWrap/>
            <w:vAlign w:val="center"/>
          </w:tcPr>
          <w:p w14:paraId="6C1BF113"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1190" w:type="dxa"/>
            <w:vMerge/>
            <w:vAlign w:val="center"/>
          </w:tcPr>
          <w:p w14:paraId="06FC67E8"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2760" w:type="dxa"/>
            <w:vMerge/>
            <w:shd w:val="clear" w:color="auto" w:fill="auto"/>
            <w:noWrap/>
          </w:tcPr>
          <w:p w14:paraId="1C2AE874"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p>
        </w:tc>
        <w:tc>
          <w:tcPr>
            <w:tcW w:w="1190" w:type="dxa"/>
            <w:gridSpan w:val="2"/>
            <w:vMerge/>
            <w:shd w:val="clear" w:color="auto" w:fill="auto"/>
            <w:noWrap/>
            <w:vAlign w:val="center"/>
          </w:tcPr>
          <w:p w14:paraId="35247452"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1978" w:type="dxa"/>
            <w:vMerge/>
            <w:shd w:val="clear" w:color="auto" w:fill="auto"/>
            <w:noWrap/>
          </w:tcPr>
          <w:p w14:paraId="528F40E2"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p>
        </w:tc>
        <w:tc>
          <w:tcPr>
            <w:tcW w:w="1134" w:type="dxa"/>
            <w:vMerge/>
            <w:vAlign w:val="center"/>
          </w:tcPr>
          <w:p w14:paraId="5CB908CC"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r>
      <w:tr w:rsidR="008461EA" w:rsidRPr="00800A49" w14:paraId="76A80A59" w14:textId="77777777" w:rsidTr="00720BDC">
        <w:trPr>
          <w:trHeight w:val="300"/>
        </w:trPr>
        <w:tc>
          <w:tcPr>
            <w:tcW w:w="1128" w:type="dxa"/>
            <w:vMerge/>
            <w:shd w:val="clear" w:color="auto" w:fill="auto"/>
            <w:noWrap/>
          </w:tcPr>
          <w:p w14:paraId="4FCE377F"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p>
        </w:tc>
        <w:tc>
          <w:tcPr>
            <w:tcW w:w="283" w:type="dxa"/>
            <w:vAlign w:val="center"/>
          </w:tcPr>
          <w:p w14:paraId="3533D8EE"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709" w:type="dxa"/>
            <w:vAlign w:val="center"/>
          </w:tcPr>
          <w:p w14:paraId="2115FB7A"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Uni.</w:t>
            </w:r>
          </w:p>
        </w:tc>
        <w:tc>
          <w:tcPr>
            <w:tcW w:w="2409" w:type="dxa"/>
            <w:shd w:val="clear" w:color="auto" w:fill="auto"/>
            <w:noWrap/>
            <w:vAlign w:val="center"/>
          </w:tcPr>
          <w:p w14:paraId="635D4911"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Water fluoridation</w:t>
            </w:r>
          </w:p>
        </w:tc>
        <w:tc>
          <w:tcPr>
            <w:tcW w:w="1105" w:type="dxa"/>
            <w:vMerge/>
            <w:vAlign w:val="center"/>
          </w:tcPr>
          <w:p w14:paraId="0CC8F189"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851" w:type="dxa"/>
            <w:vMerge/>
            <w:vAlign w:val="center"/>
          </w:tcPr>
          <w:p w14:paraId="13E6DEE0"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851" w:type="dxa"/>
            <w:vMerge/>
            <w:shd w:val="clear" w:color="auto" w:fill="auto"/>
            <w:noWrap/>
            <w:vAlign w:val="center"/>
          </w:tcPr>
          <w:p w14:paraId="1B010381"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1190" w:type="dxa"/>
            <w:vMerge/>
            <w:vAlign w:val="center"/>
          </w:tcPr>
          <w:p w14:paraId="10F03452"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2760" w:type="dxa"/>
            <w:vMerge/>
            <w:shd w:val="clear" w:color="auto" w:fill="auto"/>
            <w:noWrap/>
          </w:tcPr>
          <w:p w14:paraId="6A13FA10"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p>
        </w:tc>
        <w:tc>
          <w:tcPr>
            <w:tcW w:w="1190" w:type="dxa"/>
            <w:gridSpan w:val="2"/>
            <w:vMerge/>
            <w:shd w:val="clear" w:color="auto" w:fill="auto"/>
            <w:noWrap/>
            <w:vAlign w:val="center"/>
          </w:tcPr>
          <w:p w14:paraId="1B6D3492"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1978" w:type="dxa"/>
            <w:vMerge/>
            <w:shd w:val="clear" w:color="auto" w:fill="auto"/>
            <w:noWrap/>
          </w:tcPr>
          <w:p w14:paraId="47868913"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p>
        </w:tc>
        <w:tc>
          <w:tcPr>
            <w:tcW w:w="1134" w:type="dxa"/>
            <w:vMerge/>
            <w:vAlign w:val="center"/>
          </w:tcPr>
          <w:p w14:paraId="0F45750C"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r>
      <w:tr w:rsidR="008461EA" w:rsidRPr="00800A49" w14:paraId="4C5FFABA" w14:textId="77777777" w:rsidTr="00720BDC">
        <w:trPr>
          <w:trHeight w:val="300"/>
        </w:trPr>
        <w:tc>
          <w:tcPr>
            <w:tcW w:w="1128" w:type="dxa"/>
            <w:vMerge/>
            <w:shd w:val="clear" w:color="auto" w:fill="auto"/>
            <w:noWrap/>
          </w:tcPr>
          <w:p w14:paraId="27A1F2FE"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p>
        </w:tc>
        <w:tc>
          <w:tcPr>
            <w:tcW w:w="283" w:type="dxa"/>
            <w:vAlign w:val="center"/>
          </w:tcPr>
          <w:p w14:paraId="0AF3BB17"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709" w:type="dxa"/>
            <w:vAlign w:val="center"/>
          </w:tcPr>
          <w:p w14:paraId="435D1967"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Sel.</w:t>
            </w:r>
          </w:p>
        </w:tc>
        <w:tc>
          <w:tcPr>
            <w:tcW w:w="2409" w:type="dxa"/>
            <w:shd w:val="clear" w:color="auto" w:fill="auto"/>
            <w:noWrap/>
            <w:vAlign w:val="center"/>
          </w:tcPr>
          <w:p w14:paraId="65A45929"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Targeted school-based fissure sealants</w:t>
            </w:r>
          </w:p>
        </w:tc>
        <w:tc>
          <w:tcPr>
            <w:tcW w:w="1105" w:type="dxa"/>
            <w:vMerge/>
            <w:vAlign w:val="center"/>
          </w:tcPr>
          <w:p w14:paraId="6CFD6471"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851" w:type="dxa"/>
            <w:vMerge/>
            <w:vAlign w:val="center"/>
          </w:tcPr>
          <w:p w14:paraId="50032821"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851" w:type="dxa"/>
            <w:vMerge/>
            <w:shd w:val="clear" w:color="auto" w:fill="auto"/>
            <w:noWrap/>
            <w:vAlign w:val="center"/>
          </w:tcPr>
          <w:p w14:paraId="2427552E"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1190" w:type="dxa"/>
            <w:vMerge/>
            <w:vAlign w:val="center"/>
          </w:tcPr>
          <w:p w14:paraId="13FB7B5D"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2760" w:type="dxa"/>
            <w:vMerge/>
            <w:shd w:val="clear" w:color="auto" w:fill="auto"/>
            <w:noWrap/>
          </w:tcPr>
          <w:p w14:paraId="31B8545C"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p>
        </w:tc>
        <w:tc>
          <w:tcPr>
            <w:tcW w:w="1190" w:type="dxa"/>
            <w:gridSpan w:val="2"/>
            <w:vMerge/>
            <w:shd w:val="clear" w:color="auto" w:fill="auto"/>
            <w:noWrap/>
            <w:vAlign w:val="center"/>
          </w:tcPr>
          <w:p w14:paraId="07892265"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1978" w:type="dxa"/>
            <w:vMerge/>
            <w:shd w:val="clear" w:color="auto" w:fill="auto"/>
            <w:noWrap/>
          </w:tcPr>
          <w:p w14:paraId="32F92F6B"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p>
        </w:tc>
        <w:tc>
          <w:tcPr>
            <w:tcW w:w="1134" w:type="dxa"/>
            <w:vMerge/>
            <w:vAlign w:val="center"/>
          </w:tcPr>
          <w:p w14:paraId="1C9CF497"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r>
      <w:tr w:rsidR="008461EA" w:rsidRPr="00800A49" w14:paraId="3F8ACA66" w14:textId="77777777" w:rsidTr="00720BDC">
        <w:trPr>
          <w:trHeight w:val="300"/>
        </w:trPr>
        <w:tc>
          <w:tcPr>
            <w:tcW w:w="1128" w:type="dxa"/>
            <w:vMerge/>
            <w:shd w:val="clear" w:color="auto" w:fill="auto"/>
            <w:noWrap/>
          </w:tcPr>
          <w:p w14:paraId="1922A26A"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p>
        </w:tc>
        <w:tc>
          <w:tcPr>
            <w:tcW w:w="283" w:type="dxa"/>
            <w:vAlign w:val="center"/>
          </w:tcPr>
          <w:p w14:paraId="60BD851D"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C</w:t>
            </w:r>
          </w:p>
        </w:tc>
        <w:tc>
          <w:tcPr>
            <w:tcW w:w="709" w:type="dxa"/>
            <w:vAlign w:val="center"/>
          </w:tcPr>
          <w:p w14:paraId="61A883BF"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N/A</w:t>
            </w:r>
          </w:p>
        </w:tc>
        <w:tc>
          <w:tcPr>
            <w:tcW w:w="2409" w:type="dxa"/>
            <w:shd w:val="clear" w:color="auto" w:fill="auto"/>
            <w:noWrap/>
            <w:vAlign w:val="center"/>
          </w:tcPr>
          <w:p w14:paraId="18D32AE7"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No intervention</w:t>
            </w:r>
          </w:p>
        </w:tc>
        <w:tc>
          <w:tcPr>
            <w:tcW w:w="1105" w:type="dxa"/>
            <w:vMerge/>
            <w:vAlign w:val="center"/>
          </w:tcPr>
          <w:p w14:paraId="7821A4B3"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851" w:type="dxa"/>
            <w:vMerge/>
            <w:vAlign w:val="center"/>
          </w:tcPr>
          <w:p w14:paraId="3DB85D7D"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851" w:type="dxa"/>
            <w:vMerge/>
            <w:shd w:val="clear" w:color="auto" w:fill="auto"/>
            <w:noWrap/>
            <w:vAlign w:val="center"/>
          </w:tcPr>
          <w:p w14:paraId="64E764FE"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1190" w:type="dxa"/>
            <w:vMerge/>
            <w:vAlign w:val="center"/>
          </w:tcPr>
          <w:p w14:paraId="1C1A4349"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2760" w:type="dxa"/>
            <w:vMerge/>
            <w:shd w:val="clear" w:color="auto" w:fill="auto"/>
            <w:noWrap/>
          </w:tcPr>
          <w:p w14:paraId="36940749"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p>
        </w:tc>
        <w:tc>
          <w:tcPr>
            <w:tcW w:w="1190" w:type="dxa"/>
            <w:gridSpan w:val="2"/>
            <w:vMerge/>
            <w:shd w:val="clear" w:color="auto" w:fill="auto"/>
            <w:noWrap/>
            <w:vAlign w:val="center"/>
          </w:tcPr>
          <w:p w14:paraId="67E84519"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1978" w:type="dxa"/>
            <w:vMerge/>
            <w:shd w:val="clear" w:color="auto" w:fill="auto"/>
            <w:noWrap/>
          </w:tcPr>
          <w:p w14:paraId="54AFB828"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p>
        </w:tc>
        <w:tc>
          <w:tcPr>
            <w:tcW w:w="1134" w:type="dxa"/>
            <w:vMerge/>
            <w:vAlign w:val="center"/>
          </w:tcPr>
          <w:p w14:paraId="7438BBD5"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r>
      <w:tr w:rsidR="008461EA" w:rsidRPr="00800A49" w14:paraId="00CA66A6" w14:textId="77777777" w:rsidTr="00720BDC">
        <w:trPr>
          <w:trHeight w:val="534"/>
        </w:trPr>
        <w:tc>
          <w:tcPr>
            <w:tcW w:w="1128" w:type="dxa"/>
            <w:vMerge w:val="restart"/>
            <w:shd w:val="clear" w:color="auto" w:fill="auto"/>
            <w:noWrap/>
            <w:hideMark/>
          </w:tcPr>
          <w:p w14:paraId="4A8373CF"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 xml:space="preserve">Kroon and Van </w:t>
            </w:r>
            <w:proofErr w:type="spellStart"/>
            <w:r w:rsidRPr="00800A49">
              <w:rPr>
                <w:rFonts w:ascii="Times New Roman" w:eastAsia="Times New Roman" w:hAnsi="Times New Roman" w:cs="Times New Roman"/>
                <w:color w:val="000000"/>
                <w:sz w:val="18"/>
                <w:szCs w:val="18"/>
                <w:lang w:eastAsia="en-AU"/>
              </w:rPr>
              <w:t>Wyk</w:t>
            </w:r>
            <w:proofErr w:type="spellEnd"/>
            <w:r w:rsidRPr="00800A49">
              <w:rPr>
                <w:rFonts w:ascii="Times New Roman" w:eastAsia="Times New Roman" w:hAnsi="Times New Roman" w:cs="Times New Roman"/>
                <w:color w:val="000000"/>
                <w:sz w:val="18"/>
                <w:szCs w:val="18"/>
                <w:lang w:eastAsia="en-AU"/>
              </w:rPr>
              <w:t>, 2012</w:t>
            </w:r>
          </w:p>
        </w:tc>
        <w:tc>
          <w:tcPr>
            <w:tcW w:w="283" w:type="dxa"/>
            <w:vAlign w:val="center"/>
          </w:tcPr>
          <w:p w14:paraId="2FFEB45A"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I</w:t>
            </w:r>
          </w:p>
        </w:tc>
        <w:tc>
          <w:tcPr>
            <w:tcW w:w="709" w:type="dxa"/>
            <w:vAlign w:val="center"/>
          </w:tcPr>
          <w:p w14:paraId="5959A69A"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Uni.</w:t>
            </w:r>
          </w:p>
        </w:tc>
        <w:tc>
          <w:tcPr>
            <w:tcW w:w="2409" w:type="dxa"/>
            <w:shd w:val="clear" w:color="auto" w:fill="auto"/>
            <w:noWrap/>
            <w:vAlign w:val="center"/>
            <w:hideMark/>
          </w:tcPr>
          <w:p w14:paraId="5F594DD7"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Water fluoridation</w:t>
            </w:r>
          </w:p>
        </w:tc>
        <w:tc>
          <w:tcPr>
            <w:tcW w:w="1105" w:type="dxa"/>
            <w:vMerge w:val="restart"/>
            <w:vAlign w:val="center"/>
          </w:tcPr>
          <w:p w14:paraId="000C2087"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Societal</w:t>
            </w:r>
          </w:p>
        </w:tc>
        <w:tc>
          <w:tcPr>
            <w:tcW w:w="851" w:type="dxa"/>
            <w:vMerge w:val="restart"/>
            <w:vAlign w:val="center"/>
          </w:tcPr>
          <w:p w14:paraId="6C489256"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5 years</w:t>
            </w:r>
          </w:p>
        </w:tc>
        <w:tc>
          <w:tcPr>
            <w:tcW w:w="851" w:type="dxa"/>
            <w:vMerge w:val="restart"/>
            <w:shd w:val="clear" w:color="auto" w:fill="auto"/>
            <w:noWrap/>
            <w:vAlign w:val="center"/>
            <w:hideMark/>
          </w:tcPr>
          <w:p w14:paraId="3722EF65"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All ages</w:t>
            </w:r>
          </w:p>
        </w:tc>
        <w:tc>
          <w:tcPr>
            <w:tcW w:w="1190" w:type="dxa"/>
            <w:vMerge w:val="restart"/>
            <w:vAlign w:val="center"/>
          </w:tcPr>
          <w:p w14:paraId="5246CA6F"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27.08 million</w:t>
            </w:r>
          </w:p>
        </w:tc>
        <w:tc>
          <w:tcPr>
            <w:tcW w:w="2760" w:type="dxa"/>
            <w:vMerge w:val="restart"/>
            <w:shd w:val="clear" w:color="auto" w:fill="auto"/>
            <w:noWrap/>
            <w:hideMark/>
          </w:tcPr>
          <w:p w14:paraId="00D0EEE0"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Intervention costs (capital and maintenance)</w:t>
            </w:r>
          </w:p>
          <w:p w14:paraId="6A68C616"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p>
          <w:p w14:paraId="50843B78"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Dental treatment costs (restorations)</w:t>
            </w:r>
          </w:p>
        </w:tc>
        <w:tc>
          <w:tcPr>
            <w:tcW w:w="1190" w:type="dxa"/>
            <w:gridSpan w:val="2"/>
            <w:vMerge w:val="restart"/>
            <w:shd w:val="clear" w:color="auto" w:fill="auto"/>
            <w:noWrap/>
            <w:vAlign w:val="center"/>
            <w:hideMark/>
          </w:tcPr>
          <w:p w14:paraId="7BEA4B19"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N/R</w:t>
            </w:r>
          </w:p>
        </w:tc>
        <w:tc>
          <w:tcPr>
            <w:tcW w:w="1978" w:type="dxa"/>
            <w:vMerge w:val="restart"/>
            <w:shd w:val="clear" w:color="auto" w:fill="auto"/>
            <w:noWrap/>
            <w:hideMark/>
          </w:tcPr>
          <w:p w14:paraId="664FFC7C"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Cost-benefit ratio</w:t>
            </w:r>
            <w:r w:rsidRPr="00800A49">
              <w:rPr>
                <w:rFonts w:ascii="Times New Roman" w:eastAsia="Times New Roman" w:hAnsi="Times New Roman" w:cs="Times New Roman"/>
                <w:color w:val="000000"/>
                <w:sz w:val="18"/>
                <w:szCs w:val="18"/>
                <w:lang w:eastAsia="en-AU"/>
              </w:rPr>
              <w:br/>
              <w:t>1) 5% efficacy: 0.14-0.52</w:t>
            </w:r>
            <w:r w:rsidRPr="00800A49">
              <w:rPr>
                <w:rFonts w:ascii="Times New Roman" w:eastAsia="Times New Roman" w:hAnsi="Times New Roman" w:cs="Times New Roman"/>
                <w:color w:val="000000"/>
                <w:sz w:val="18"/>
                <w:szCs w:val="18"/>
                <w:lang w:eastAsia="en-AU"/>
              </w:rPr>
              <w:br/>
              <w:t>2) 30% efficacy: 0.07-0.26</w:t>
            </w:r>
            <w:r w:rsidRPr="00800A49">
              <w:rPr>
                <w:rFonts w:ascii="Times New Roman" w:eastAsia="Times New Roman" w:hAnsi="Times New Roman" w:cs="Times New Roman"/>
                <w:color w:val="000000"/>
                <w:sz w:val="18"/>
                <w:szCs w:val="18"/>
                <w:lang w:eastAsia="en-AU"/>
              </w:rPr>
              <w:br/>
              <w:t>3) 50% efficacy: 0.04-0.15</w:t>
            </w:r>
          </w:p>
          <w:p w14:paraId="25960B5F"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p>
          <w:p w14:paraId="083F0BB0"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Cost-saving = Yes</w:t>
            </w:r>
          </w:p>
        </w:tc>
        <w:tc>
          <w:tcPr>
            <w:tcW w:w="1134" w:type="dxa"/>
            <w:vMerge w:val="restart"/>
            <w:vAlign w:val="center"/>
          </w:tcPr>
          <w:p w14:paraId="75B0200C"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Moderate</w:t>
            </w:r>
          </w:p>
        </w:tc>
      </w:tr>
      <w:tr w:rsidR="008461EA" w:rsidRPr="00800A49" w14:paraId="226EC82F" w14:textId="77777777" w:rsidTr="00720BDC">
        <w:trPr>
          <w:trHeight w:val="300"/>
        </w:trPr>
        <w:tc>
          <w:tcPr>
            <w:tcW w:w="1128" w:type="dxa"/>
            <w:vMerge/>
            <w:shd w:val="clear" w:color="auto" w:fill="auto"/>
            <w:noWrap/>
          </w:tcPr>
          <w:p w14:paraId="6FD08C33"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p>
        </w:tc>
        <w:tc>
          <w:tcPr>
            <w:tcW w:w="283" w:type="dxa"/>
            <w:vAlign w:val="center"/>
          </w:tcPr>
          <w:p w14:paraId="2E9F6C94"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C</w:t>
            </w:r>
          </w:p>
        </w:tc>
        <w:tc>
          <w:tcPr>
            <w:tcW w:w="709" w:type="dxa"/>
            <w:vAlign w:val="center"/>
          </w:tcPr>
          <w:p w14:paraId="351525EF"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N/A</w:t>
            </w:r>
          </w:p>
        </w:tc>
        <w:tc>
          <w:tcPr>
            <w:tcW w:w="2409" w:type="dxa"/>
            <w:shd w:val="clear" w:color="auto" w:fill="auto"/>
            <w:noWrap/>
            <w:vAlign w:val="center"/>
          </w:tcPr>
          <w:p w14:paraId="075D1632"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No intervention</w:t>
            </w:r>
          </w:p>
        </w:tc>
        <w:tc>
          <w:tcPr>
            <w:tcW w:w="1105" w:type="dxa"/>
            <w:vMerge/>
          </w:tcPr>
          <w:p w14:paraId="192943E0"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p>
        </w:tc>
        <w:tc>
          <w:tcPr>
            <w:tcW w:w="851" w:type="dxa"/>
            <w:vMerge/>
            <w:vAlign w:val="center"/>
          </w:tcPr>
          <w:p w14:paraId="5F1D9555"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851" w:type="dxa"/>
            <w:vMerge/>
            <w:shd w:val="clear" w:color="auto" w:fill="auto"/>
            <w:noWrap/>
            <w:vAlign w:val="center"/>
          </w:tcPr>
          <w:p w14:paraId="0CF6B71F"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1190" w:type="dxa"/>
            <w:vMerge/>
            <w:vAlign w:val="center"/>
          </w:tcPr>
          <w:p w14:paraId="6FDBE08C"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2760" w:type="dxa"/>
            <w:vMerge/>
            <w:shd w:val="clear" w:color="auto" w:fill="auto"/>
            <w:noWrap/>
          </w:tcPr>
          <w:p w14:paraId="61425537"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p>
        </w:tc>
        <w:tc>
          <w:tcPr>
            <w:tcW w:w="1190" w:type="dxa"/>
            <w:gridSpan w:val="2"/>
            <w:vMerge/>
            <w:shd w:val="clear" w:color="auto" w:fill="auto"/>
            <w:noWrap/>
            <w:vAlign w:val="center"/>
          </w:tcPr>
          <w:p w14:paraId="48CC10A5"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1978" w:type="dxa"/>
            <w:vMerge/>
            <w:shd w:val="clear" w:color="auto" w:fill="auto"/>
            <w:noWrap/>
          </w:tcPr>
          <w:p w14:paraId="57A778D6"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p>
        </w:tc>
        <w:tc>
          <w:tcPr>
            <w:tcW w:w="1134" w:type="dxa"/>
            <w:vMerge/>
            <w:vAlign w:val="center"/>
          </w:tcPr>
          <w:p w14:paraId="4ED37CFD"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r>
      <w:tr w:rsidR="008461EA" w:rsidRPr="00800A49" w14:paraId="1F8E548A" w14:textId="77777777" w:rsidTr="00720BDC">
        <w:trPr>
          <w:trHeight w:val="300"/>
        </w:trPr>
        <w:tc>
          <w:tcPr>
            <w:tcW w:w="1128" w:type="dxa"/>
            <w:vMerge w:val="restart"/>
            <w:shd w:val="clear" w:color="auto" w:fill="auto"/>
            <w:noWrap/>
            <w:hideMark/>
          </w:tcPr>
          <w:p w14:paraId="0F02777D"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Maguire et al., 2020</w:t>
            </w:r>
          </w:p>
        </w:tc>
        <w:tc>
          <w:tcPr>
            <w:tcW w:w="283" w:type="dxa"/>
            <w:vAlign w:val="center"/>
          </w:tcPr>
          <w:p w14:paraId="6CAEA3AA"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I</w:t>
            </w:r>
          </w:p>
        </w:tc>
        <w:tc>
          <w:tcPr>
            <w:tcW w:w="709" w:type="dxa"/>
            <w:vAlign w:val="center"/>
          </w:tcPr>
          <w:p w14:paraId="02C9A5E0"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N/A</w:t>
            </w:r>
          </w:p>
        </w:tc>
        <w:tc>
          <w:tcPr>
            <w:tcW w:w="2409" w:type="dxa"/>
            <w:shd w:val="clear" w:color="auto" w:fill="auto"/>
            <w:noWrap/>
            <w:vAlign w:val="center"/>
            <w:hideMark/>
          </w:tcPr>
          <w:p w14:paraId="0CED3242"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Conventional caries management ('drill and fill') and prevention (</w:t>
            </w:r>
            <w:proofErr w:type="spellStart"/>
            <w:r w:rsidRPr="00800A49">
              <w:rPr>
                <w:rFonts w:ascii="Times New Roman" w:eastAsia="Times New Roman" w:hAnsi="Times New Roman" w:cs="Times New Roman"/>
                <w:color w:val="000000"/>
                <w:sz w:val="18"/>
                <w:szCs w:val="18"/>
                <w:lang w:eastAsia="en-AU"/>
              </w:rPr>
              <w:t>CandP</w:t>
            </w:r>
            <w:proofErr w:type="spellEnd"/>
            <w:r w:rsidRPr="00800A49">
              <w:rPr>
                <w:rFonts w:ascii="Times New Roman" w:eastAsia="Times New Roman" w:hAnsi="Times New Roman" w:cs="Times New Roman"/>
                <w:color w:val="000000"/>
                <w:sz w:val="18"/>
                <w:szCs w:val="18"/>
                <w:lang w:eastAsia="en-AU"/>
              </w:rPr>
              <w:t>)</w:t>
            </w:r>
          </w:p>
        </w:tc>
        <w:tc>
          <w:tcPr>
            <w:tcW w:w="1105" w:type="dxa"/>
            <w:vMerge w:val="restart"/>
            <w:vAlign w:val="center"/>
          </w:tcPr>
          <w:p w14:paraId="02ADC415"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Healthcare</w:t>
            </w:r>
          </w:p>
        </w:tc>
        <w:tc>
          <w:tcPr>
            <w:tcW w:w="851" w:type="dxa"/>
            <w:vMerge w:val="restart"/>
            <w:vAlign w:val="center"/>
          </w:tcPr>
          <w:p w14:paraId="5F480347"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3 years</w:t>
            </w:r>
          </w:p>
        </w:tc>
        <w:tc>
          <w:tcPr>
            <w:tcW w:w="851" w:type="dxa"/>
            <w:vMerge w:val="restart"/>
            <w:shd w:val="clear" w:color="auto" w:fill="auto"/>
            <w:noWrap/>
            <w:vAlign w:val="center"/>
            <w:hideMark/>
          </w:tcPr>
          <w:p w14:paraId="68B2AB70"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3-7</w:t>
            </w:r>
          </w:p>
        </w:tc>
        <w:tc>
          <w:tcPr>
            <w:tcW w:w="1190" w:type="dxa"/>
            <w:vAlign w:val="center"/>
          </w:tcPr>
          <w:p w14:paraId="2967E02D"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352</w:t>
            </w:r>
          </w:p>
        </w:tc>
        <w:tc>
          <w:tcPr>
            <w:tcW w:w="2760" w:type="dxa"/>
            <w:vMerge w:val="restart"/>
            <w:shd w:val="clear" w:color="auto" w:fill="auto"/>
            <w:noWrap/>
          </w:tcPr>
          <w:p w14:paraId="110FD4D3"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Intervention costs (micro-costing, labour and consumables)</w:t>
            </w:r>
          </w:p>
          <w:p w14:paraId="27645827"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p>
          <w:p w14:paraId="4F969E2B"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Dental treatment costs (preventive treatment, restorations, referral, prescriptions)</w:t>
            </w:r>
          </w:p>
        </w:tc>
        <w:tc>
          <w:tcPr>
            <w:tcW w:w="1190" w:type="dxa"/>
            <w:gridSpan w:val="2"/>
            <w:vMerge w:val="restart"/>
            <w:shd w:val="clear" w:color="auto" w:fill="auto"/>
            <w:noWrap/>
            <w:vAlign w:val="center"/>
          </w:tcPr>
          <w:p w14:paraId="603EB4D5"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4%</w:t>
            </w:r>
          </w:p>
        </w:tc>
        <w:tc>
          <w:tcPr>
            <w:tcW w:w="1978" w:type="dxa"/>
            <w:vMerge w:val="restart"/>
            <w:shd w:val="clear" w:color="auto" w:fill="auto"/>
            <w:noWrap/>
            <w:hideMark/>
          </w:tcPr>
          <w:p w14:paraId="60AC27B8"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Costs (£) per incidence of dental pain and/or dental sepsis avoided; costs per episode of dental pain and/or dental sepsis avoided</w:t>
            </w:r>
            <w:r w:rsidRPr="00800A49">
              <w:rPr>
                <w:rFonts w:ascii="Times New Roman" w:eastAsia="Times New Roman" w:hAnsi="Times New Roman" w:cs="Times New Roman"/>
                <w:color w:val="000000"/>
                <w:sz w:val="18"/>
                <w:szCs w:val="18"/>
                <w:lang w:eastAsia="en-AU"/>
              </w:rPr>
              <w:br/>
              <w:t xml:space="preserve">1) </w:t>
            </w:r>
            <w:proofErr w:type="spellStart"/>
            <w:r w:rsidRPr="00800A49">
              <w:rPr>
                <w:rFonts w:ascii="Times New Roman" w:eastAsia="Times New Roman" w:hAnsi="Times New Roman" w:cs="Times New Roman"/>
                <w:color w:val="000000"/>
                <w:sz w:val="18"/>
                <w:szCs w:val="18"/>
                <w:lang w:eastAsia="en-AU"/>
              </w:rPr>
              <w:t>CandP</w:t>
            </w:r>
            <w:proofErr w:type="spellEnd"/>
            <w:r w:rsidRPr="00800A49">
              <w:rPr>
                <w:rFonts w:ascii="Times New Roman" w:eastAsia="Times New Roman" w:hAnsi="Times New Roman" w:cs="Times New Roman"/>
                <w:color w:val="000000"/>
                <w:sz w:val="18"/>
                <w:szCs w:val="18"/>
                <w:lang w:eastAsia="en-AU"/>
              </w:rPr>
              <w:t xml:space="preserve"> vs </w:t>
            </w:r>
            <w:proofErr w:type="spellStart"/>
            <w:r w:rsidRPr="00800A49">
              <w:rPr>
                <w:rFonts w:ascii="Times New Roman" w:eastAsia="Times New Roman" w:hAnsi="Times New Roman" w:cs="Times New Roman"/>
                <w:color w:val="000000"/>
                <w:sz w:val="18"/>
                <w:szCs w:val="18"/>
                <w:lang w:eastAsia="en-AU"/>
              </w:rPr>
              <w:t>BandP</w:t>
            </w:r>
            <w:proofErr w:type="spellEnd"/>
            <w:r w:rsidRPr="00800A49">
              <w:rPr>
                <w:rFonts w:ascii="Times New Roman" w:eastAsia="Times New Roman" w:hAnsi="Times New Roman" w:cs="Times New Roman"/>
                <w:color w:val="000000"/>
                <w:sz w:val="18"/>
                <w:szCs w:val="18"/>
                <w:lang w:eastAsia="en-AU"/>
              </w:rPr>
              <w:t xml:space="preserve"> ICER: N/R (dominated); N/R (dominated)</w:t>
            </w:r>
          </w:p>
          <w:p w14:paraId="477C9D9A"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Cost-effective = No</w:t>
            </w:r>
          </w:p>
          <w:p w14:paraId="12B6FC08"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br/>
              <w:t xml:space="preserve">2) </w:t>
            </w:r>
            <w:proofErr w:type="spellStart"/>
            <w:r w:rsidRPr="00800A49">
              <w:rPr>
                <w:rFonts w:ascii="Times New Roman" w:eastAsia="Times New Roman" w:hAnsi="Times New Roman" w:cs="Times New Roman"/>
                <w:color w:val="000000"/>
                <w:sz w:val="18"/>
                <w:szCs w:val="18"/>
                <w:lang w:eastAsia="en-AU"/>
              </w:rPr>
              <w:t>CandP</w:t>
            </w:r>
            <w:proofErr w:type="spellEnd"/>
            <w:r w:rsidRPr="00800A49">
              <w:rPr>
                <w:rFonts w:ascii="Times New Roman" w:eastAsia="Times New Roman" w:hAnsi="Times New Roman" w:cs="Times New Roman"/>
                <w:color w:val="000000"/>
                <w:sz w:val="18"/>
                <w:szCs w:val="18"/>
                <w:lang w:eastAsia="en-AU"/>
              </w:rPr>
              <w:t xml:space="preserve"> vs PA ICER: 799.30; 309.64</w:t>
            </w:r>
          </w:p>
          <w:p w14:paraId="10EF85A4"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Cost-effective = N/S</w:t>
            </w:r>
          </w:p>
          <w:p w14:paraId="4FE6AA09"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br/>
              <w:t xml:space="preserve">3) </w:t>
            </w:r>
            <w:proofErr w:type="spellStart"/>
            <w:r w:rsidRPr="00800A49">
              <w:rPr>
                <w:rFonts w:ascii="Times New Roman" w:eastAsia="Times New Roman" w:hAnsi="Times New Roman" w:cs="Times New Roman"/>
                <w:color w:val="000000"/>
                <w:sz w:val="18"/>
                <w:szCs w:val="18"/>
                <w:lang w:eastAsia="en-AU"/>
              </w:rPr>
              <w:t>BandP</w:t>
            </w:r>
            <w:proofErr w:type="spellEnd"/>
            <w:r w:rsidRPr="00800A49">
              <w:rPr>
                <w:rFonts w:ascii="Times New Roman" w:eastAsia="Times New Roman" w:hAnsi="Times New Roman" w:cs="Times New Roman"/>
                <w:color w:val="000000"/>
                <w:sz w:val="18"/>
                <w:szCs w:val="18"/>
                <w:lang w:eastAsia="en-AU"/>
              </w:rPr>
              <w:t xml:space="preserve"> vs PA ICER: 323.62; 131.26</w:t>
            </w:r>
          </w:p>
          <w:p w14:paraId="5F1603B8"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Cost-effective = N/S</w:t>
            </w:r>
          </w:p>
        </w:tc>
        <w:tc>
          <w:tcPr>
            <w:tcW w:w="1134" w:type="dxa"/>
            <w:vMerge w:val="restart"/>
            <w:vAlign w:val="center"/>
          </w:tcPr>
          <w:p w14:paraId="6A998B9F"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Good</w:t>
            </w:r>
          </w:p>
        </w:tc>
      </w:tr>
      <w:tr w:rsidR="008461EA" w:rsidRPr="00800A49" w14:paraId="4F6485DD" w14:textId="77777777" w:rsidTr="00720BDC">
        <w:trPr>
          <w:trHeight w:val="300"/>
        </w:trPr>
        <w:tc>
          <w:tcPr>
            <w:tcW w:w="1128" w:type="dxa"/>
            <w:vMerge/>
            <w:shd w:val="clear" w:color="auto" w:fill="auto"/>
            <w:noWrap/>
          </w:tcPr>
          <w:p w14:paraId="324DFCB0"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p>
        </w:tc>
        <w:tc>
          <w:tcPr>
            <w:tcW w:w="283" w:type="dxa"/>
            <w:vAlign w:val="center"/>
          </w:tcPr>
          <w:p w14:paraId="74E3BB82"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I</w:t>
            </w:r>
          </w:p>
        </w:tc>
        <w:tc>
          <w:tcPr>
            <w:tcW w:w="709" w:type="dxa"/>
            <w:vAlign w:val="center"/>
          </w:tcPr>
          <w:p w14:paraId="5F9D66AE"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Ind.</w:t>
            </w:r>
          </w:p>
        </w:tc>
        <w:tc>
          <w:tcPr>
            <w:tcW w:w="2409" w:type="dxa"/>
            <w:shd w:val="clear" w:color="auto" w:fill="auto"/>
            <w:noWrap/>
            <w:vAlign w:val="center"/>
          </w:tcPr>
          <w:p w14:paraId="3479162D"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br/>
              <w:t>2) Biological management (sealing caries, ART, Hall crowns) and prevention (</w:t>
            </w:r>
            <w:proofErr w:type="spellStart"/>
            <w:r w:rsidRPr="00800A49">
              <w:rPr>
                <w:rFonts w:ascii="Times New Roman" w:eastAsia="Times New Roman" w:hAnsi="Times New Roman" w:cs="Times New Roman"/>
                <w:color w:val="000000"/>
                <w:sz w:val="18"/>
                <w:szCs w:val="18"/>
                <w:lang w:eastAsia="en-AU"/>
              </w:rPr>
              <w:t>BandP</w:t>
            </w:r>
            <w:proofErr w:type="spellEnd"/>
            <w:r w:rsidRPr="00800A49">
              <w:rPr>
                <w:rFonts w:ascii="Times New Roman" w:eastAsia="Times New Roman" w:hAnsi="Times New Roman" w:cs="Times New Roman"/>
                <w:color w:val="000000"/>
                <w:sz w:val="18"/>
                <w:szCs w:val="18"/>
                <w:lang w:eastAsia="en-AU"/>
              </w:rPr>
              <w:t>)</w:t>
            </w:r>
          </w:p>
        </w:tc>
        <w:tc>
          <w:tcPr>
            <w:tcW w:w="1105" w:type="dxa"/>
            <w:vMerge/>
            <w:vAlign w:val="center"/>
          </w:tcPr>
          <w:p w14:paraId="24548495"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851" w:type="dxa"/>
            <w:vMerge/>
            <w:vAlign w:val="center"/>
          </w:tcPr>
          <w:p w14:paraId="596EFF80"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851" w:type="dxa"/>
            <w:vMerge/>
            <w:shd w:val="clear" w:color="auto" w:fill="auto"/>
            <w:noWrap/>
            <w:vAlign w:val="center"/>
          </w:tcPr>
          <w:p w14:paraId="124CB442"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1190" w:type="dxa"/>
            <w:vAlign w:val="center"/>
          </w:tcPr>
          <w:p w14:paraId="23AC0AE4"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352</w:t>
            </w:r>
          </w:p>
        </w:tc>
        <w:tc>
          <w:tcPr>
            <w:tcW w:w="2760" w:type="dxa"/>
            <w:vMerge/>
            <w:shd w:val="clear" w:color="auto" w:fill="auto"/>
            <w:noWrap/>
          </w:tcPr>
          <w:p w14:paraId="1A2A882D"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p>
        </w:tc>
        <w:tc>
          <w:tcPr>
            <w:tcW w:w="1190" w:type="dxa"/>
            <w:gridSpan w:val="2"/>
            <w:vMerge/>
            <w:shd w:val="clear" w:color="auto" w:fill="auto"/>
            <w:noWrap/>
            <w:vAlign w:val="center"/>
          </w:tcPr>
          <w:p w14:paraId="6CB6D46D"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1978" w:type="dxa"/>
            <w:vMerge/>
            <w:shd w:val="clear" w:color="auto" w:fill="auto"/>
            <w:noWrap/>
          </w:tcPr>
          <w:p w14:paraId="3D004EA3"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p>
        </w:tc>
        <w:tc>
          <w:tcPr>
            <w:tcW w:w="1134" w:type="dxa"/>
            <w:vMerge/>
            <w:vAlign w:val="center"/>
          </w:tcPr>
          <w:p w14:paraId="4FD59290"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r>
      <w:tr w:rsidR="008461EA" w:rsidRPr="00800A49" w14:paraId="3AFF5877" w14:textId="77777777" w:rsidTr="00720BDC">
        <w:trPr>
          <w:trHeight w:val="300"/>
        </w:trPr>
        <w:tc>
          <w:tcPr>
            <w:tcW w:w="1128" w:type="dxa"/>
            <w:vMerge/>
            <w:shd w:val="clear" w:color="auto" w:fill="auto"/>
            <w:noWrap/>
          </w:tcPr>
          <w:p w14:paraId="5E704A2C"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p>
        </w:tc>
        <w:tc>
          <w:tcPr>
            <w:tcW w:w="283" w:type="dxa"/>
            <w:vAlign w:val="center"/>
          </w:tcPr>
          <w:p w14:paraId="14DA607D"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C</w:t>
            </w:r>
          </w:p>
        </w:tc>
        <w:tc>
          <w:tcPr>
            <w:tcW w:w="709" w:type="dxa"/>
            <w:vAlign w:val="center"/>
          </w:tcPr>
          <w:p w14:paraId="18B46179"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Ind.</w:t>
            </w:r>
          </w:p>
        </w:tc>
        <w:tc>
          <w:tcPr>
            <w:tcW w:w="2409" w:type="dxa"/>
            <w:shd w:val="clear" w:color="auto" w:fill="auto"/>
            <w:noWrap/>
            <w:vAlign w:val="center"/>
          </w:tcPr>
          <w:p w14:paraId="5B0C0C10"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Prevention alone (dietary advice, oral hygiene advice, topical fluoride varnish, fissure sealing) (PA)</w:t>
            </w:r>
          </w:p>
        </w:tc>
        <w:tc>
          <w:tcPr>
            <w:tcW w:w="1105" w:type="dxa"/>
            <w:vMerge/>
            <w:vAlign w:val="center"/>
          </w:tcPr>
          <w:p w14:paraId="7837A8FC"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851" w:type="dxa"/>
            <w:vMerge/>
            <w:vAlign w:val="center"/>
          </w:tcPr>
          <w:p w14:paraId="0A5AD053"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851" w:type="dxa"/>
            <w:vMerge/>
            <w:shd w:val="clear" w:color="auto" w:fill="auto"/>
            <w:noWrap/>
            <w:vAlign w:val="center"/>
          </w:tcPr>
          <w:p w14:paraId="58F6AE88"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1190" w:type="dxa"/>
            <w:vAlign w:val="center"/>
          </w:tcPr>
          <w:p w14:paraId="0A9281F5"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354</w:t>
            </w:r>
          </w:p>
        </w:tc>
        <w:tc>
          <w:tcPr>
            <w:tcW w:w="2760" w:type="dxa"/>
            <w:vMerge/>
            <w:shd w:val="clear" w:color="auto" w:fill="auto"/>
            <w:noWrap/>
          </w:tcPr>
          <w:p w14:paraId="319052B8"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p>
        </w:tc>
        <w:tc>
          <w:tcPr>
            <w:tcW w:w="1190" w:type="dxa"/>
            <w:gridSpan w:val="2"/>
            <w:vMerge/>
            <w:shd w:val="clear" w:color="auto" w:fill="auto"/>
            <w:noWrap/>
            <w:vAlign w:val="center"/>
          </w:tcPr>
          <w:p w14:paraId="08C237F6"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1978" w:type="dxa"/>
            <w:vMerge/>
            <w:shd w:val="clear" w:color="auto" w:fill="auto"/>
            <w:noWrap/>
          </w:tcPr>
          <w:p w14:paraId="1DE9870D"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p>
        </w:tc>
        <w:tc>
          <w:tcPr>
            <w:tcW w:w="1134" w:type="dxa"/>
            <w:vMerge/>
            <w:vAlign w:val="center"/>
          </w:tcPr>
          <w:p w14:paraId="22EEB76B"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r>
      <w:tr w:rsidR="008461EA" w:rsidRPr="00800A49" w14:paraId="7195E8CA" w14:textId="77777777" w:rsidTr="00720BDC">
        <w:trPr>
          <w:trHeight w:val="836"/>
        </w:trPr>
        <w:tc>
          <w:tcPr>
            <w:tcW w:w="1128" w:type="dxa"/>
            <w:vMerge w:val="restart"/>
            <w:shd w:val="clear" w:color="auto" w:fill="auto"/>
            <w:noWrap/>
            <w:hideMark/>
          </w:tcPr>
          <w:p w14:paraId="70F1A9D7"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proofErr w:type="spellStart"/>
            <w:r w:rsidRPr="00800A49">
              <w:rPr>
                <w:rFonts w:ascii="Times New Roman" w:eastAsia="Times New Roman" w:hAnsi="Times New Roman" w:cs="Times New Roman"/>
                <w:color w:val="000000"/>
                <w:sz w:val="18"/>
                <w:szCs w:val="18"/>
                <w:lang w:eastAsia="en-AU"/>
              </w:rPr>
              <w:t>Mariño</w:t>
            </w:r>
            <w:proofErr w:type="spellEnd"/>
            <w:r w:rsidRPr="00800A49">
              <w:rPr>
                <w:rFonts w:ascii="Times New Roman" w:eastAsia="Times New Roman" w:hAnsi="Times New Roman" w:cs="Times New Roman"/>
                <w:color w:val="000000"/>
                <w:sz w:val="18"/>
                <w:szCs w:val="18"/>
                <w:lang w:eastAsia="en-AU"/>
              </w:rPr>
              <w:t xml:space="preserve"> et al., 2007</w:t>
            </w:r>
          </w:p>
        </w:tc>
        <w:tc>
          <w:tcPr>
            <w:tcW w:w="283" w:type="dxa"/>
            <w:vAlign w:val="center"/>
          </w:tcPr>
          <w:p w14:paraId="020D8A6E"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I</w:t>
            </w:r>
          </w:p>
        </w:tc>
        <w:tc>
          <w:tcPr>
            <w:tcW w:w="709" w:type="dxa"/>
            <w:vAlign w:val="center"/>
          </w:tcPr>
          <w:p w14:paraId="5C845209"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Uni.</w:t>
            </w:r>
          </w:p>
        </w:tc>
        <w:tc>
          <w:tcPr>
            <w:tcW w:w="2409" w:type="dxa"/>
            <w:shd w:val="clear" w:color="auto" w:fill="auto"/>
            <w:noWrap/>
            <w:vAlign w:val="center"/>
            <w:hideMark/>
          </w:tcPr>
          <w:p w14:paraId="5B4C0653"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Milk fluoridation</w:t>
            </w:r>
          </w:p>
        </w:tc>
        <w:tc>
          <w:tcPr>
            <w:tcW w:w="1105" w:type="dxa"/>
            <w:vMerge w:val="restart"/>
            <w:vAlign w:val="center"/>
          </w:tcPr>
          <w:p w14:paraId="0E9B93F1"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Societal</w:t>
            </w:r>
          </w:p>
        </w:tc>
        <w:tc>
          <w:tcPr>
            <w:tcW w:w="851" w:type="dxa"/>
            <w:vMerge w:val="restart"/>
            <w:vAlign w:val="center"/>
          </w:tcPr>
          <w:p w14:paraId="01874CB6"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4 years</w:t>
            </w:r>
          </w:p>
        </w:tc>
        <w:tc>
          <w:tcPr>
            <w:tcW w:w="851" w:type="dxa"/>
            <w:vMerge w:val="restart"/>
            <w:shd w:val="clear" w:color="auto" w:fill="auto"/>
            <w:noWrap/>
            <w:vAlign w:val="center"/>
            <w:hideMark/>
          </w:tcPr>
          <w:p w14:paraId="3E969285"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3-6</w:t>
            </w:r>
          </w:p>
        </w:tc>
        <w:tc>
          <w:tcPr>
            <w:tcW w:w="1190" w:type="dxa"/>
            <w:vMerge w:val="restart"/>
            <w:vAlign w:val="center"/>
          </w:tcPr>
          <w:p w14:paraId="317FDF32"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1,000</w:t>
            </w:r>
          </w:p>
        </w:tc>
        <w:tc>
          <w:tcPr>
            <w:tcW w:w="2760" w:type="dxa"/>
            <w:vMerge w:val="restart"/>
            <w:shd w:val="clear" w:color="auto" w:fill="auto"/>
            <w:noWrap/>
            <w:hideMark/>
          </w:tcPr>
          <w:p w14:paraId="11A24F2B"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Intervention costs (labour and maintenance)</w:t>
            </w:r>
          </w:p>
          <w:p w14:paraId="1AC3DB79"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br/>
              <w:t>Dental treatment costs (restorations and extractions)</w:t>
            </w:r>
          </w:p>
          <w:p w14:paraId="66C762EF"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lastRenderedPageBreak/>
              <w:br/>
              <w:t>Opportunity costs lost (travel and dental treatment time)</w:t>
            </w:r>
          </w:p>
        </w:tc>
        <w:tc>
          <w:tcPr>
            <w:tcW w:w="634" w:type="dxa"/>
            <w:vMerge w:val="restart"/>
            <w:shd w:val="clear" w:color="auto" w:fill="auto"/>
            <w:noWrap/>
            <w:vAlign w:val="center"/>
            <w:hideMark/>
          </w:tcPr>
          <w:p w14:paraId="0A2B4A96"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lastRenderedPageBreak/>
              <w:t>3%</w:t>
            </w:r>
          </w:p>
        </w:tc>
        <w:tc>
          <w:tcPr>
            <w:tcW w:w="556" w:type="dxa"/>
            <w:vMerge w:val="restart"/>
            <w:vAlign w:val="center"/>
          </w:tcPr>
          <w:p w14:paraId="39D91537"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0%</w:t>
            </w:r>
          </w:p>
        </w:tc>
        <w:tc>
          <w:tcPr>
            <w:tcW w:w="1978" w:type="dxa"/>
            <w:vMerge w:val="restart"/>
            <w:shd w:val="clear" w:color="auto" w:fill="auto"/>
            <w:noWrap/>
            <w:hideMark/>
          </w:tcPr>
          <w:p w14:paraId="580FA5B6"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 xml:space="preserve">Costs (CLP) per </w:t>
            </w:r>
            <w:proofErr w:type="spellStart"/>
            <w:r w:rsidRPr="00800A49">
              <w:rPr>
                <w:rFonts w:ascii="Times New Roman" w:eastAsia="Times New Roman" w:hAnsi="Times New Roman" w:cs="Times New Roman"/>
                <w:color w:val="000000"/>
                <w:sz w:val="18"/>
                <w:szCs w:val="18"/>
                <w:lang w:eastAsia="en-AU"/>
              </w:rPr>
              <w:t>dmft</w:t>
            </w:r>
            <w:proofErr w:type="spellEnd"/>
            <w:r w:rsidRPr="00800A49">
              <w:rPr>
                <w:rFonts w:ascii="Times New Roman" w:eastAsia="Times New Roman" w:hAnsi="Times New Roman" w:cs="Times New Roman"/>
                <w:color w:val="000000"/>
                <w:sz w:val="18"/>
                <w:szCs w:val="18"/>
                <w:lang w:eastAsia="en-AU"/>
              </w:rPr>
              <w:t xml:space="preserve"> averted</w:t>
            </w:r>
            <w:r w:rsidRPr="00800A49">
              <w:rPr>
                <w:rFonts w:ascii="Times New Roman" w:eastAsia="Times New Roman" w:hAnsi="Times New Roman" w:cs="Times New Roman"/>
                <w:color w:val="000000"/>
                <w:sz w:val="18"/>
                <w:szCs w:val="18"/>
                <w:lang w:eastAsia="en-AU"/>
              </w:rPr>
              <w:br/>
              <w:t>ICER: -2,695.61 (dominant)</w:t>
            </w:r>
          </w:p>
          <w:p w14:paraId="6B5522F0"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p>
          <w:p w14:paraId="3C2A39A3"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Cost-effective = Yes</w:t>
            </w:r>
          </w:p>
        </w:tc>
        <w:tc>
          <w:tcPr>
            <w:tcW w:w="1134" w:type="dxa"/>
            <w:vMerge w:val="restart"/>
            <w:vAlign w:val="center"/>
          </w:tcPr>
          <w:p w14:paraId="3AF20426"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Good</w:t>
            </w:r>
          </w:p>
        </w:tc>
      </w:tr>
      <w:tr w:rsidR="008461EA" w:rsidRPr="00800A49" w14:paraId="126573ED" w14:textId="77777777" w:rsidTr="00720BDC">
        <w:trPr>
          <w:trHeight w:val="300"/>
        </w:trPr>
        <w:tc>
          <w:tcPr>
            <w:tcW w:w="1128" w:type="dxa"/>
            <w:vMerge/>
            <w:shd w:val="clear" w:color="auto" w:fill="auto"/>
            <w:noWrap/>
          </w:tcPr>
          <w:p w14:paraId="1F10760F"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p>
        </w:tc>
        <w:tc>
          <w:tcPr>
            <w:tcW w:w="283" w:type="dxa"/>
            <w:vAlign w:val="center"/>
          </w:tcPr>
          <w:p w14:paraId="558DEDD9"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C</w:t>
            </w:r>
          </w:p>
        </w:tc>
        <w:tc>
          <w:tcPr>
            <w:tcW w:w="709" w:type="dxa"/>
            <w:vAlign w:val="center"/>
          </w:tcPr>
          <w:p w14:paraId="40EA73DA"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N/A</w:t>
            </w:r>
          </w:p>
        </w:tc>
        <w:tc>
          <w:tcPr>
            <w:tcW w:w="2409" w:type="dxa"/>
            <w:shd w:val="clear" w:color="auto" w:fill="auto"/>
            <w:noWrap/>
            <w:vAlign w:val="center"/>
          </w:tcPr>
          <w:p w14:paraId="7D6B39C0"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No intervention</w:t>
            </w:r>
          </w:p>
        </w:tc>
        <w:tc>
          <w:tcPr>
            <w:tcW w:w="1105" w:type="dxa"/>
            <w:vMerge/>
            <w:vAlign w:val="center"/>
          </w:tcPr>
          <w:p w14:paraId="15936680"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851" w:type="dxa"/>
            <w:vMerge/>
            <w:vAlign w:val="center"/>
          </w:tcPr>
          <w:p w14:paraId="52CFF7C4"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851" w:type="dxa"/>
            <w:vMerge/>
            <w:shd w:val="clear" w:color="auto" w:fill="auto"/>
            <w:noWrap/>
            <w:vAlign w:val="center"/>
          </w:tcPr>
          <w:p w14:paraId="0F610E0C"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1190" w:type="dxa"/>
            <w:vMerge/>
            <w:vAlign w:val="center"/>
          </w:tcPr>
          <w:p w14:paraId="19648ECB"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2760" w:type="dxa"/>
            <w:vMerge/>
            <w:shd w:val="clear" w:color="auto" w:fill="auto"/>
            <w:noWrap/>
          </w:tcPr>
          <w:p w14:paraId="41C6D092"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p>
        </w:tc>
        <w:tc>
          <w:tcPr>
            <w:tcW w:w="634" w:type="dxa"/>
            <w:vMerge/>
            <w:shd w:val="clear" w:color="auto" w:fill="auto"/>
            <w:noWrap/>
            <w:vAlign w:val="center"/>
          </w:tcPr>
          <w:p w14:paraId="033C4E2E"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556" w:type="dxa"/>
            <w:vMerge/>
            <w:vAlign w:val="center"/>
          </w:tcPr>
          <w:p w14:paraId="3B8FE5B8"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1978" w:type="dxa"/>
            <w:vMerge/>
            <w:shd w:val="clear" w:color="auto" w:fill="auto"/>
            <w:noWrap/>
          </w:tcPr>
          <w:p w14:paraId="1A6CA7BA"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p>
        </w:tc>
        <w:tc>
          <w:tcPr>
            <w:tcW w:w="1134" w:type="dxa"/>
            <w:vMerge/>
            <w:vAlign w:val="center"/>
          </w:tcPr>
          <w:p w14:paraId="556B59EB"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r>
      <w:tr w:rsidR="008461EA" w:rsidRPr="00800A49" w14:paraId="557EED94" w14:textId="77777777" w:rsidTr="00720BDC">
        <w:trPr>
          <w:trHeight w:val="848"/>
        </w:trPr>
        <w:tc>
          <w:tcPr>
            <w:tcW w:w="1128" w:type="dxa"/>
            <w:vMerge w:val="restart"/>
            <w:shd w:val="clear" w:color="auto" w:fill="auto"/>
            <w:noWrap/>
            <w:hideMark/>
          </w:tcPr>
          <w:p w14:paraId="591CFF9F"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proofErr w:type="spellStart"/>
            <w:r w:rsidRPr="00800A49">
              <w:rPr>
                <w:rFonts w:ascii="Times New Roman" w:eastAsia="Times New Roman" w:hAnsi="Times New Roman" w:cs="Times New Roman"/>
                <w:color w:val="000000"/>
                <w:sz w:val="18"/>
                <w:szCs w:val="18"/>
                <w:lang w:eastAsia="en-AU"/>
              </w:rPr>
              <w:t>Mariño</w:t>
            </w:r>
            <w:proofErr w:type="spellEnd"/>
            <w:r w:rsidRPr="00800A49">
              <w:rPr>
                <w:rFonts w:ascii="Times New Roman" w:eastAsia="Times New Roman" w:hAnsi="Times New Roman" w:cs="Times New Roman"/>
                <w:color w:val="000000"/>
                <w:sz w:val="18"/>
                <w:szCs w:val="18"/>
                <w:lang w:eastAsia="en-AU"/>
              </w:rPr>
              <w:t xml:space="preserve"> et al., 2011</w:t>
            </w:r>
          </w:p>
        </w:tc>
        <w:tc>
          <w:tcPr>
            <w:tcW w:w="283" w:type="dxa"/>
            <w:vAlign w:val="center"/>
          </w:tcPr>
          <w:p w14:paraId="48875D43"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I</w:t>
            </w:r>
          </w:p>
        </w:tc>
        <w:tc>
          <w:tcPr>
            <w:tcW w:w="709" w:type="dxa"/>
            <w:vAlign w:val="center"/>
          </w:tcPr>
          <w:p w14:paraId="0C11BFC4"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Uni.</w:t>
            </w:r>
          </w:p>
        </w:tc>
        <w:tc>
          <w:tcPr>
            <w:tcW w:w="2409" w:type="dxa"/>
            <w:shd w:val="clear" w:color="auto" w:fill="auto"/>
            <w:noWrap/>
            <w:vAlign w:val="center"/>
            <w:hideMark/>
          </w:tcPr>
          <w:p w14:paraId="1FF66F50"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Salt fluoridation</w:t>
            </w:r>
          </w:p>
        </w:tc>
        <w:tc>
          <w:tcPr>
            <w:tcW w:w="1105" w:type="dxa"/>
            <w:vMerge w:val="restart"/>
            <w:vAlign w:val="center"/>
          </w:tcPr>
          <w:p w14:paraId="4C1910E0"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Societal</w:t>
            </w:r>
          </w:p>
        </w:tc>
        <w:tc>
          <w:tcPr>
            <w:tcW w:w="851" w:type="dxa"/>
            <w:vMerge w:val="restart"/>
            <w:vAlign w:val="center"/>
          </w:tcPr>
          <w:p w14:paraId="78A93FC8"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6 years</w:t>
            </w:r>
          </w:p>
        </w:tc>
        <w:tc>
          <w:tcPr>
            <w:tcW w:w="851" w:type="dxa"/>
            <w:vMerge w:val="restart"/>
            <w:shd w:val="clear" w:color="auto" w:fill="auto"/>
            <w:noWrap/>
            <w:vAlign w:val="center"/>
            <w:hideMark/>
          </w:tcPr>
          <w:p w14:paraId="1000D6C4"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6</w:t>
            </w:r>
          </w:p>
        </w:tc>
        <w:tc>
          <w:tcPr>
            <w:tcW w:w="1190" w:type="dxa"/>
            <w:vMerge w:val="restart"/>
            <w:vAlign w:val="center"/>
          </w:tcPr>
          <w:p w14:paraId="0B3BE177"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25,000</w:t>
            </w:r>
          </w:p>
        </w:tc>
        <w:tc>
          <w:tcPr>
            <w:tcW w:w="2760" w:type="dxa"/>
            <w:vMerge w:val="restart"/>
            <w:shd w:val="clear" w:color="auto" w:fill="auto"/>
            <w:noWrap/>
            <w:hideMark/>
          </w:tcPr>
          <w:p w14:paraId="134557EB"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Intervention costs (micro-costing, labour, maintenance, quality assurance testing)</w:t>
            </w:r>
          </w:p>
          <w:p w14:paraId="664A82FF"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br/>
              <w:t>Dental treatment costs (restorations and extraction)</w:t>
            </w:r>
          </w:p>
          <w:p w14:paraId="53906C6B"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br/>
              <w:t>Opportunity costs lost (travel and dental treatment time)</w:t>
            </w:r>
          </w:p>
        </w:tc>
        <w:tc>
          <w:tcPr>
            <w:tcW w:w="634" w:type="dxa"/>
            <w:vMerge w:val="restart"/>
            <w:shd w:val="clear" w:color="auto" w:fill="auto"/>
            <w:noWrap/>
            <w:vAlign w:val="center"/>
            <w:hideMark/>
          </w:tcPr>
          <w:p w14:paraId="669C2168"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3%</w:t>
            </w:r>
          </w:p>
        </w:tc>
        <w:tc>
          <w:tcPr>
            <w:tcW w:w="556" w:type="dxa"/>
            <w:vMerge w:val="restart"/>
            <w:vAlign w:val="center"/>
          </w:tcPr>
          <w:p w14:paraId="0EBA7923"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N/R</w:t>
            </w:r>
          </w:p>
        </w:tc>
        <w:tc>
          <w:tcPr>
            <w:tcW w:w="1978" w:type="dxa"/>
            <w:vMerge w:val="restart"/>
            <w:shd w:val="clear" w:color="auto" w:fill="auto"/>
            <w:noWrap/>
            <w:hideMark/>
          </w:tcPr>
          <w:p w14:paraId="22C5EBD7"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Costs (S/.) per DMFT averted</w:t>
            </w:r>
            <w:r w:rsidRPr="00800A49">
              <w:rPr>
                <w:rFonts w:ascii="Times New Roman" w:eastAsia="Times New Roman" w:hAnsi="Times New Roman" w:cs="Times New Roman"/>
                <w:color w:val="000000"/>
                <w:sz w:val="18"/>
                <w:szCs w:val="18"/>
                <w:lang w:eastAsia="en-AU"/>
              </w:rPr>
              <w:br/>
              <w:t>ICER: -11.95 (dominant)</w:t>
            </w:r>
          </w:p>
          <w:p w14:paraId="1DF54C75"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p>
          <w:p w14:paraId="6682E491"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Cost-effective = Yes</w:t>
            </w:r>
          </w:p>
        </w:tc>
        <w:tc>
          <w:tcPr>
            <w:tcW w:w="1134" w:type="dxa"/>
            <w:vMerge w:val="restart"/>
            <w:vAlign w:val="center"/>
          </w:tcPr>
          <w:p w14:paraId="46877421"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Good</w:t>
            </w:r>
          </w:p>
        </w:tc>
      </w:tr>
      <w:tr w:rsidR="008461EA" w:rsidRPr="00800A49" w14:paraId="1C6EEC42" w14:textId="77777777" w:rsidTr="00720BDC">
        <w:trPr>
          <w:trHeight w:val="300"/>
        </w:trPr>
        <w:tc>
          <w:tcPr>
            <w:tcW w:w="1128" w:type="dxa"/>
            <w:vMerge/>
            <w:shd w:val="clear" w:color="auto" w:fill="auto"/>
            <w:noWrap/>
          </w:tcPr>
          <w:p w14:paraId="016D2D92"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p>
        </w:tc>
        <w:tc>
          <w:tcPr>
            <w:tcW w:w="283" w:type="dxa"/>
            <w:vAlign w:val="center"/>
          </w:tcPr>
          <w:p w14:paraId="5479F59B"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C</w:t>
            </w:r>
          </w:p>
        </w:tc>
        <w:tc>
          <w:tcPr>
            <w:tcW w:w="709" w:type="dxa"/>
            <w:vAlign w:val="center"/>
          </w:tcPr>
          <w:p w14:paraId="65D024A8"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N/A</w:t>
            </w:r>
          </w:p>
        </w:tc>
        <w:tc>
          <w:tcPr>
            <w:tcW w:w="2409" w:type="dxa"/>
            <w:shd w:val="clear" w:color="auto" w:fill="auto"/>
            <w:noWrap/>
            <w:vAlign w:val="center"/>
          </w:tcPr>
          <w:p w14:paraId="7D1B352B"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No intervention</w:t>
            </w:r>
          </w:p>
        </w:tc>
        <w:tc>
          <w:tcPr>
            <w:tcW w:w="1105" w:type="dxa"/>
            <w:vMerge/>
            <w:vAlign w:val="center"/>
          </w:tcPr>
          <w:p w14:paraId="17D3A14B"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851" w:type="dxa"/>
            <w:vMerge/>
            <w:vAlign w:val="center"/>
          </w:tcPr>
          <w:p w14:paraId="2CDF78AA"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851" w:type="dxa"/>
            <w:vMerge/>
            <w:shd w:val="clear" w:color="auto" w:fill="auto"/>
            <w:noWrap/>
            <w:vAlign w:val="center"/>
          </w:tcPr>
          <w:p w14:paraId="1424D100"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1190" w:type="dxa"/>
            <w:vMerge/>
            <w:vAlign w:val="center"/>
          </w:tcPr>
          <w:p w14:paraId="6372AC2A"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2760" w:type="dxa"/>
            <w:vMerge/>
            <w:shd w:val="clear" w:color="auto" w:fill="auto"/>
            <w:noWrap/>
          </w:tcPr>
          <w:p w14:paraId="4143A5D1"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p>
        </w:tc>
        <w:tc>
          <w:tcPr>
            <w:tcW w:w="634" w:type="dxa"/>
            <w:vMerge/>
            <w:shd w:val="clear" w:color="auto" w:fill="auto"/>
            <w:noWrap/>
            <w:vAlign w:val="center"/>
          </w:tcPr>
          <w:p w14:paraId="5B3D259B"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556" w:type="dxa"/>
            <w:vMerge/>
            <w:vAlign w:val="center"/>
          </w:tcPr>
          <w:p w14:paraId="53D88D9D"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1978" w:type="dxa"/>
            <w:vMerge/>
            <w:shd w:val="clear" w:color="auto" w:fill="auto"/>
            <w:noWrap/>
          </w:tcPr>
          <w:p w14:paraId="35BDA5DD"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p>
        </w:tc>
        <w:tc>
          <w:tcPr>
            <w:tcW w:w="1134" w:type="dxa"/>
            <w:vMerge/>
            <w:vAlign w:val="center"/>
          </w:tcPr>
          <w:p w14:paraId="4790E35B"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r>
      <w:tr w:rsidR="008461EA" w:rsidRPr="00800A49" w14:paraId="1FF573E1" w14:textId="77777777" w:rsidTr="00720BDC">
        <w:trPr>
          <w:trHeight w:val="300"/>
        </w:trPr>
        <w:tc>
          <w:tcPr>
            <w:tcW w:w="1128" w:type="dxa"/>
            <w:vMerge w:val="restart"/>
            <w:shd w:val="clear" w:color="auto" w:fill="auto"/>
            <w:noWrap/>
            <w:hideMark/>
          </w:tcPr>
          <w:p w14:paraId="666A5D6A"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proofErr w:type="spellStart"/>
            <w:r w:rsidRPr="00800A49">
              <w:rPr>
                <w:rFonts w:ascii="Times New Roman" w:eastAsia="Times New Roman" w:hAnsi="Times New Roman" w:cs="Times New Roman"/>
                <w:color w:val="000000"/>
                <w:sz w:val="18"/>
                <w:szCs w:val="18"/>
                <w:lang w:eastAsia="en-AU"/>
              </w:rPr>
              <w:t>Mariño</w:t>
            </w:r>
            <w:proofErr w:type="spellEnd"/>
            <w:r w:rsidRPr="00800A49">
              <w:rPr>
                <w:rFonts w:ascii="Times New Roman" w:eastAsia="Times New Roman" w:hAnsi="Times New Roman" w:cs="Times New Roman"/>
                <w:color w:val="000000"/>
                <w:sz w:val="18"/>
                <w:szCs w:val="18"/>
                <w:lang w:eastAsia="en-AU"/>
              </w:rPr>
              <w:t xml:space="preserve"> et al, 2012</w:t>
            </w:r>
          </w:p>
        </w:tc>
        <w:tc>
          <w:tcPr>
            <w:tcW w:w="283" w:type="dxa"/>
            <w:vMerge w:val="restart"/>
            <w:vAlign w:val="center"/>
          </w:tcPr>
          <w:p w14:paraId="198EA99D"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I</w:t>
            </w:r>
          </w:p>
        </w:tc>
        <w:tc>
          <w:tcPr>
            <w:tcW w:w="709" w:type="dxa"/>
            <w:vAlign w:val="center"/>
          </w:tcPr>
          <w:p w14:paraId="110DBA6A"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Uni.</w:t>
            </w:r>
          </w:p>
        </w:tc>
        <w:tc>
          <w:tcPr>
            <w:tcW w:w="2409" w:type="dxa"/>
            <w:shd w:val="clear" w:color="auto" w:fill="auto"/>
            <w:noWrap/>
            <w:vAlign w:val="center"/>
            <w:hideMark/>
          </w:tcPr>
          <w:p w14:paraId="56B527D5"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Water fluoridation</w:t>
            </w:r>
            <w:r w:rsidRPr="00800A49">
              <w:rPr>
                <w:rFonts w:ascii="Times New Roman" w:eastAsia="Times New Roman" w:hAnsi="Times New Roman" w:cs="Times New Roman"/>
                <w:color w:val="000000"/>
                <w:sz w:val="18"/>
                <w:szCs w:val="18"/>
                <w:lang w:eastAsia="en-AU"/>
              </w:rPr>
              <w:br/>
            </w:r>
          </w:p>
        </w:tc>
        <w:tc>
          <w:tcPr>
            <w:tcW w:w="1105" w:type="dxa"/>
            <w:vMerge w:val="restart"/>
            <w:vAlign w:val="center"/>
          </w:tcPr>
          <w:p w14:paraId="7EC60079"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Societal</w:t>
            </w:r>
          </w:p>
        </w:tc>
        <w:tc>
          <w:tcPr>
            <w:tcW w:w="851" w:type="dxa"/>
            <w:vMerge w:val="restart"/>
            <w:vAlign w:val="center"/>
          </w:tcPr>
          <w:p w14:paraId="0D0D29F5"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6 years</w:t>
            </w:r>
          </w:p>
        </w:tc>
        <w:tc>
          <w:tcPr>
            <w:tcW w:w="851" w:type="dxa"/>
            <w:vMerge w:val="restart"/>
            <w:shd w:val="clear" w:color="auto" w:fill="auto"/>
            <w:noWrap/>
            <w:vAlign w:val="center"/>
            <w:hideMark/>
          </w:tcPr>
          <w:p w14:paraId="4D0F4331"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6</w:t>
            </w:r>
          </w:p>
        </w:tc>
        <w:tc>
          <w:tcPr>
            <w:tcW w:w="1190" w:type="dxa"/>
            <w:vMerge w:val="restart"/>
            <w:vAlign w:val="center"/>
          </w:tcPr>
          <w:p w14:paraId="5D918890"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80,000</w:t>
            </w:r>
          </w:p>
          <w:p w14:paraId="3330ED61"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2760" w:type="dxa"/>
            <w:vMerge w:val="restart"/>
            <w:shd w:val="clear" w:color="auto" w:fill="auto"/>
            <w:noWrap/>
            <w:hideMark/>
          </w:tcPr>
          <w:p w14:paraId="770F7FBF"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Intervention costs (capital, labour, maintenance, quality assurance testing)</w:t>
            </w:r>
          </w:p>
          <w:p w14:paraId="28A4B69A"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br/>
              <w:t>Dental treatment costs (restorations and extractions)</w:t>
            </w:r>
          </w:p>
          <w:p w14:paraId="51FE014B"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br/>
              <w:t>Opportunity costs lost (travel and dental treatment time)</w:t>
            </w:r>
          </w:p>
        </w:tc>
        <w:tc>
          <w:tcPr>
            <w:tcW w:w="634" w:type="dxa"/>
            <w:vMerge w:val="restart"/>
            <w:shd w:val="clear" w:color="auto" w:fill="auto"/>
            <w:noWrap/>
            <w:vAlign w:val="center"/>
            <w:hideMark/>
          </w:tcPr>
          <w:p w14:paraId="188481CD"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3%</w:t>
            </w:r>
          </w:p>
        </w:tc>
        <w:tc>
          <w:tcPr>
            <w:tcW w:w="556" w:type="dxa"/>
            <w:vMerge w:val="restart"/>
            <w:vAlign w:val="center"/>
          </w:tcPr>
          <w:p w14:paraId="2E744A00"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0%</w:t>
            </w:r>
          </w:p>
        </w:tc>
        <w:tc>
          <w:tcPr>
            <w:tcW w:w="1978" w:type="dxa"/>
            <w:vMerge w:val="restart"/>
            <w:shd w:val="clear" w:color="auto" w:fill="auto"/>
            <w:noWrap/>
            <w:hideMark/>
          </w:tcPr>
          <w:p w14:paraId="3E47A224"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Costs (US$) per DMFT averted</w:t>
            </w:r>
            <w:r w:rsidRPr="00800A49">
              <w:rPr>
                <w:rFonts w:ascii="Times New Roman" w:eastAsia="Times New Roman" w:hAnsi="Times New Roman" w:cs="Times New Roman"/>
                <w:color w:val="000000"/>
                <w:sz w:val="18"/>
                <w:szCs w:val="18"/>
                <w:lang w:eastAsia="en-AU"/>
              </w:rPr>
              <w:br/>
              <w:t>1) Water fluoridation</w:t>
            </w:r>
            <w:r w:rsidRPr="00800A49">
              <w:rPr>
                <w:rFonts w:ascii="Times New Roman" w:eastAsia="Times New Roman" w:hAnsi="Times New Roman" w:cs="Times New Roman"/>
                <w:color w:val="000000"/>
                <w:sz w:val="18"/>
                <w:szCs w:val="18"/>
                <w:lang w:eastAsia="en-AU"/>
              </w:rPr>
              <w:br/>
              <w:t>ICER: -14.89 (-16.87; -13.25) (dominant)</w:t>
            </w:r>
          </w:p>
          <w:p w14:paraId="5D240522"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Cost-effective = Yes</w:t>
            </w:r>
          </w:p>
          <w:p w14:paraId="49E5E32F"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br/>
              <w:t>2) Salt fluoridation</w:t>
            </w:r>
            <w:r w:rsidRPr="00800A49">
              <w:rPr>
                <w:rFonts w:ascii="Times New Roman" w:eastAsia="Times New Roman" w:hAnsi="Times New Roman" w:cs="Times New Roman"/>
                <w:color w:val="000000"/>
                <w:sz w:val="18"/>
                <w:szCs w:val="18"/>
                <w:lang w:eastAsia="en-AU"/>
              </w:rPr>
              <w:br/>
              <w:t>ICER: -16.21 (-17.63; -15.10) (dominant)</w:t>
            </w:r>
          </w:p>
          <w:p w14:paraId="13496941"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Cost-effective = Yes</w:t>
            </w:r>
          </w:p>
          <w:p w14:paraId="02579AAA"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p>
          <w:p w14:paraId="75D51A23"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br/>
              <w:t>3) Fissure sealant program</w:t>
            </w:r>
            <w:r w:rsidRPr="00800A49">
              <w:rPr>
                <w:rFonts w:ascii="Times New Roman" w:eastAsia="Times New Roman" w:hAnsi="Times New Roman" w:cs="Times New Roman"/>
                <w:color w:val="000000"/>
                <w:sz w:val="18"/>
                <w:szCs w:val="18"/>
                <w:lang w:eastAsia="en-AU"/>
              </w:rPr>
              <w:br/>
              <w:t>ICER: 11.56 (-4.01; 26.11)</w:t>
            </w:r>
          </w:p>
          <w:p w14:paraId="0B589B45"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Cost-effective = N/S</w:t>
            </w:r>
          </w:p>
          <w:p w14:paraId="6149557F"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br/>
              <w:t>4) Milk fluoridation</w:t>
            </w:r>
            <w:r w:rsidRPr="00800A49">
              <w:rPr>
                <w:rFonts w:ascii="Times New Roman" w:eastAsia="Times New Roman" w:hAnsi="Times New Roman" w:cs="Times New Roman"/>
                <w:color w:val="000000"/>
                <w:sz w:val="18"/>
                <w:szCs w:val="18"/>
                <w:lang w:eastAsia="en-AU"/>
              </w:rPr>
              <w:br/>
              <w:t>ICER: -14.78 (-16.17; -12.64) (dominant)</w:t>
            </w:r>
          </w:p>
          <w:p w14:paraId="5561C227"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Cost-effective = Yes</w:t>
            </w:r>
          </w:p>
          <w:p w14:paraId="226223EB"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br/>
              <w:t xml:space="preserve">5) School-based fluoride </w:t>
            </w:r>
            <w:proofErr w:type="spellStart"/>
            <w:r w:rsidRPr="00800A49">
              <w:rPr>
                <w:rFonts w:ascii="Times New Roman" w:eastAsia="Times New Roman" w:hAnsi="Times New Roman" w:cs="Times New Roman"/>
                <w:color w:val="000000"/>
                <w:sz w:val="18"/>
                <w:szCs w:val="18"/>
                <w:lang w:eastAsia="en-AU"/>
              </w:rPr>
              <w:t>mouthrinse</w:t>
            </w:r>
            <w:proofErr w:type="spellEnd"/>
            <w:r w:rsidRPr="00800A49">
              <w:rPr>
                <w:rFonts w:ascii="Times New Roman" w:eastAsia="Times New Roman" w:hAnsi="Times New Roman" w:cs="Times New Roman"/>
                <w:color w:val="000000"/>
                <w:sz w:val="18"/>
                <w:szCs w:val="18"/>
                <w:lang w:eastAsia="en-AU"/>
              </w:rPr>
              <w:t xml:space="preserve"> program</w:t>
            </w:r>
            <w:r w:rsidRPr="00800A49">
              <w:rPr>
                <w:rFonts w:ascii="Times New Roman" w:eastAsia="Times New Roman" w:hAnsi="Times New Roman" w:cs="Times New Roman"/>
                <w:color w:val="000000"/>
                <w:sz w:val="18"/>
                <w:szCs w:val="18"/>
                <w:lang w:eastAsia="en-AU"/>
              </w:rPr>
              <w:br/>
              <w:t>ICER: -8.63 (-16.47; -12.64) (dominant)</w:t>
            </w:r>
          </w:p>
          <w:p w14:paraId="2A08A85E"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Cost-effective = Yes</w:t>
            </w:r>
          </w:p>
          <w:p w14:paraId="292FE841"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lastRenderedPageBreak/>
              <w:br/>
              <w:t>6) School-based fluoride gel program</w:t>
            </w:r>
            <w:r w:rsidRPr="00800A49">
              <w:rPr>
                <w:rFonts w:ascii="Times New Roman" w:eastAsia="Times New Roman" w:hAnsi="Times New Roman" w:cs="Times New Roman"/>
                <w:color w:val="000000"/>
                <w:sz w:val="18"/>
                <w:szCs w:val="18"/>
                <w:lang w:eastAsia="en-AU"/>
              </w:rPr>
              <w:br/>
              <w:t>ICER: 21.30 (-1.50; 39.97)</w:t>
            </w:r>
          </w:p>
          <w:p w14:paraId="2DEDD1BE"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Cost-effective = N/S</w:t>
            </w:r>
          </w:p>
          <w:p w14:paraId="17942E7B"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br/>
              <w:t xml:space="preserve">7) School-based supervised toothbrushing </w:t>
            </w:r>
            <w:r w:rsidRPr="00800A49">
              <w:rPr>
                <w:rFonts w:ascii="Times New Roman" w:eastAsia="Times New Roman" w:hAnsi="Times New Roman" w:cs="Times New Roman"/>
                <w:color w:val="000000"/>
                <w:sz w:val="18"/>
                <w:szCs w:val="18"/>
                <w:lang w:eastAsia="en-AU"/>
              </w:rPr>
              <w:br/>
              <w:t>ICER: 8.55 (4.73; 13.06)</w:t>
            </w:r>
          </w:p>
          <w:p w14:paraId="2AC7F0F6"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Cost-effective = N/S</w:t>
            </w:r>
          </w:p>
        </w:tc>
        <w:tc>
          <w:tcPr>
            <w:tcW w:w="1134" w:type="dxa"/>
            <w:vMerge w:val="restart"/>
            <w:vAlign w:val="center"/>
          </w:tcPr>
          <w:p w14:paraId="5373E3C2"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lastRenderedPageBreak/>
              <w:t>Good</w:t>
            </w:r>
          </w:p>
        </w:tc>
      </w:tr>
      <w:tr w:rsidR="008461EA" w:rsidRPr="00800A49" w14:paraId="6555C032" w14:textId="77777777" w:rsidTr="00720BDC">
        <w:trPr>
          <w:trHeight w:val="300"/>
        </w:trPr>
        <w:tc>
          <w:tcPr>
            <w:tcW w:w="1128" w:type="dxa"/>
            <w:vMerge/>
            <w:shd w:val="clear" w:color="auto" w:fill="auto"/>
            <w:noWrap/>
          </w:tcPr>
          <w:p w14:paraId="266B2F85"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p>
        </w:tc>
        <w:tc>
          <w:tcPr>
            <w:tcW w:w="283" w:type="dxa"/>
            <w:vMerge/>
            <w:vAlign w:val="center"/>
          </w:tcPr>
          <w:p w14:paraId="790ABE4E"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709" w:type="dxa"/>
            <w:vAlign w:val="center"/>
          </w:tcPr>
          <w:p w14:paraId="2C33B0FF"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Uni.</w:t>
            </w:r>
          </w:p>
        </w:tc>
        <w:tc>
          <w:tcPr>
            <w:tcW w:w="2409" w:type="dxa"/>
            <w:shd w:val="clear" w:color="auto" w:fill="auto"/>
            <w:noWrap/>
            <w:vAlign w:val="center"/>
          </w:tcPr>
          <w:p w14:paraId="5619E773"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Salt fluoridation</w:t>
            </w:r>
            <w:r w:rsidRPr="00800A49">
              <w:rPr>
                <w:rFonts w:ascii="Times New Roman" w:eastAsia="Times New Roman" w:hAnsi="Times New Roman" w:cs="Times New Roman"/>
                <w:color w:val="000000"/>
                <w:sz w:val="18"/>
                <w:szCs w:val="18"/>
                <w:lang w:eastAsia="en-AU"/>
              </w:rPr>
              <w:br/>
            </w:r>
          </w:p>
        </w:tc>
        <w:tc>
          <w:tcPr>
            <w:tcW w:w="1105" w:type="dxa"/>
            <w:vMerge/>
            <w:vAlign w:val="center"/>
          </w:tcPr>
          <w:p w14:paraId="3AD10530"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851" w:type="dxa"/>
            <w:vMerge/>
            <w:vAlign w:val="center"/>
          </w:tcPr>
          <w:p w14:paraId="7FC0D72E"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851" w:type="dxa"/>
            <w:vMerge/>
            <w:shd w:val="clear" w:color="auto" w:fill="auto"/>
            <w:noWrap/>
            <w:vAlign w:val="center"/>
          </w:tcPr>
          <w:p w14:paraId="240BEA43"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1190" w:type="dxa"/>
            <w:vMerge/>
            <w:vAlign w:val="center"/>
          </w:tcPr>
          <w:p w14:paraId="7826CB34"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2760" w:type="dxa"/>
            <w:vMerge/>
            <w:shd w:val="clear" w:color="auto" w:fill="auto"/>
            <w:noWrap/>
          </w:tcPr>
          <w:p w14:paraId="034E72F2"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p>
        </w:tc>
        <w:tc>
          <w:tcPr>
            <w:tcW w:w="634" w:type="dxa"/>
            <w:vMerge/>
            <w:shd w:val="clear" w:color="auto" w:fill="auto"/>
            <w:noWrap/>
            <w:vAlign w:val="center"/>
          </w:tcPr>
          <w:p w14:paraId="739C5480"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556" w:type="dxa"/>
            <w:vMerge/>
            <w:vAlign w:val="center"/>
          </w:tcPr>
          <w:p w14:paraId="4F62A13F"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1978" w:type="dxa"/>
            <w:vMerge/>
            <w:shd w:val="clear" w:color="auto" w:fill="auto"/>
            <w:noWrap/>
          </w:tcPr>
          <w:p w14:paraId="15D0CA47"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p>
        </w:tc>
        <w:tc>
          <w:tcPr>
            <w:tcW w:w="1134" w:type="dxa"/>
            <w:vMerge/>
            <w:vAlign w:val="center"/>
          </w:tcPr>
          <w:p w14:paraId="05ECB7D9"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r>
      <w:tr w:rsidR="008461EA" w:rsidRPr="00800A49" w14:paraId="00F7A4B2" w14:textId="77777777" w:rsidTr="00720BDC">
        <w:trPr>
          <w:trHeight w:val="300"/>
        </w:trPr>
        <w:tc>
          <w:tcPr>
            <w:tcW w:w="1128" w:type="dxa"/>
            <w:vMerge/>
            <w:shd w:val="clear" w:color="auto" w:fill="auto"/>
            <w:noWrap/>
          </w:tcPr>
          <w:p w14:paraId="25BB1921"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p>
        </w:tc>
        <w:tc>
          <w:tcPr>
            <w:tcW w:w="283" w:type="dxa"/>
            <w:vMerge/>
            <w:vAlign w:val="center"/>
          </w:tcPr>
          <w:p w14:paraId="15BFCE19"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709" w:type="dxa"/>
            <w:vAlign w:val="center"/>
          </w:tcPr>
          <w:p w14:paraId="7A525704"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Sel.</w:t>
            </w:r>
          </w:p>
        </w:tc>
        <w:tc>
          <w:tcPr>
            <w:tcW w:w="2409" w:type="dxa"/>
            <w:shd w:val="clear" w:color="auto" w:fill="auto"/>
            <w:noWrap/>
            <w:vAlign w:val="center"/>
          </w:tcPr>
          <w:p w14:paraId="43E12EA9"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Targeted school-based fissure sealant program</w:t>
            </w:r>
          </w:p>
        </w:tc>
        <w:tc>
          <w:tcPr>
            <w:tcW w:w="1105" w:type="dxa"/>
            <w:vMerge/>
            <w:vAlign w:val="center"/>
          </w:tcPr>
          <w:p w14:paraId="30C7ED20"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851" w:type="dxa"/>
            <w:vMerge/>
            <w:vAlign w:val="center"/>
          </w:tcPr>
          <w:p w14:paraId="00E0B567"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851" w:type="dxa"/>
            <w:vMerge/>
            <w:shd w:val="clear" w:color="auto" w:fill="auto"/>
            <w:noWrap/>
            <w:vAlign w:val="center"/>
          </w:tcPr>
          <w:p w14:paraId="479BDC8D"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1190" w:type="dxa"/>
            <w:vMerge/>
            <w:vAlign w:val="center"/>
          </w:tcPr>
          <w:p w14:paraId="4168E68A"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2760" w:type="dxa"/>
            <w:vMerge/>
            <w:shd w:val="clear" w:color="auto" w:fill="auto"/>
            <w:noWrap/>
          </w:tcPr>
          <w:p w14:paraId="70610EDA"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p>
        </w:tc>
        <w:tc>
          <w:tcPr>
            <w:tcW w:w="634" w:type="dxa"/>
            <w:vMerge/>
            <w:shd w:val="clear" w:color="auto" w:fill="auto"/>
            <w:noWrap/>
            <w:vAlign w:val="center"/>
          </w:tcPr>
          <w:p w14:paraId="5683AF6A"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556" w:type="dxa"/>
            <w:vMerge/>
            <w:vAlign w:val="center"/>
          </w:tcPr>
          <w:p w14:paraId="14ED56D8"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1978" w:type="dxa"/>
            <w:vMerge/>
            <w:shd w:val="clear" w:color="auto" w:fill="auto"/>
            <w:noWrap/>
          </w:tcPr>
          <w:p w14:paraId="70294E12"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p>
        </w:tc>
        <w:tc>
          <w:tcPr>
            <w:tcW w:w="1134" w:type="dxa"/>
            <w:vMerge/>
            <w:vAlign w:val="center"/>
          </w:tcPr>
          <w:p w14:paraId="7BA4EBD1"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r>
      <w:tr w:rsidR="008461EA" w:rsidRPr="00800A49" w14:paraId="7C494534" w14:textId="77777777" w:rsidTr="00720BDC">
        <w:trPr>
          <w:trHeight w:val="300"/>
        </w:trPr>
        <w:tc>
          <w:tcPr>
            <w:tcW w:w="1128" w:type="dxa"/>
            <w:vMerge/>
            <w:shd w:val="clear" w:color="auto" w:fill="auto"/>
            <w:noWrap/>
          </w:tcPr>
          <w:p w14:paraId="3775E634"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p>
        </w:tc>
        <w:tc>
          <w:tcPr>
            <w:tcW w:w="283" w:type="dxa"/>
            <w:vMerge/>
            <w:vAlign w:val="center"/>
          </w:tcPr>
          <w:p w14:paraId="410D32CE"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709" w:type="dxa"/>
            <w:vAlign w:val="center"/>
          </w:tcPr>
          <w:p w14:paraId="3262ECF1"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Uni.</w:t>
            </w:r>
          </w:p>
        </w:tc>
        <w:tc>
          <w:tcPr>
            <w:tcW w:w="2409" w:type="dxa"/>
            <w:shd w:val="clear" w:color="auto" w:fill="auto"/>
            <w:noWrap/>
            <w:vAlign w:val="center"/>
          </w:tcPr>
          <w:p w14:paraId="1828A6CE"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Milk fluoridation</w:t>
            </w:r>
          </w:p>
        </w:tc>
        <w:tc>
          <w:tcPr>
            <w:tcW w:w="1105" w:type="dxa"/>
            <w:vMerge/>
            <w:vAlign w:val="center"/>
          </w:tcPr>
          <w:p w14:paraId="6A93EAB9"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851" w:type="dxa"/>
            <w:vMerge/>
            <w:vAlign w:val="center"/>
          </w:tcPr>
          <w:p w14:paraId="47A0BCC2"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851" w:type="dxa"/>
            <w:vMerge/>
            <w:shd w:val="clear" w:color="auto" w:fill="auto"/>
            <w:noWrap/>
            <w:vAlign w:val="center"/>
          </w:tcPr>
          <w:p w14:paraId="7C763A7C"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1190" w:type="dxa"/>
            <w:vMerge w:val="restart"/>
            <w:vAlign w:val="center"/>
          </w:tcPr>
          <w:p w14:paraId="5EAEA958"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6,000</w:t>
            </w:r>
          </w:p>
        </w:tc>
        <w:tc>
          <w:tcPr>
            <w:tcW w:w="2760" w:type="dxa"/>
            <w:vMerge/>
            <w:shd w:val="clear" w:color="auto" w:fill="auto"/>
            <w:noWrap/>
          </w:tcPr>
          <w:p w14:paraId="6DA39060"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p>
        </w:tc>
        <w:tc>
          <w:tcPr>
            <w:tcW w:w="634" w:type="dxa"/>
            <w:vMerge/>
            <w:shd w:val="clear" w:color="auto" w:fill="auto"/>
            <w:noWrap/>
            <w:vAlign w:val="center"/>
          </w:tcPr>
          <w:p w14:paraId="36E692EF"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556" w:type="dxa"/>
            <w:vMerge/>
            <w:vAlign w:val="center"/>
          </w:tcPr>
          <w:p w14:paraId="469FAF91"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1978" w:type="dxa"/>
            <w:vMerge/>
            <w:shd w:val="clear" w:color="auto" w:fill="auto"/>
            <w:noWrap/>
          </w:tcPr>
          <w:p w14:paraId="771F3839"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p>
        </w:tc>
        <w:tc>
          <w:tcPr>
            <w:tcW w:w="1134" w:type="dxa"/>
            <w:vMerge/>
            <w:vAlign w:val="center"/>
          </w:tcPr>
          <w:p w14:paraId="03BCC7CA"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r>
      <w:tr w:rsidR="008461EA" w:rsidRPr="00800A49" w14:paraId="08BFC790" w14:textId="77777777" w:rsidTr="00720BDC">
        <w:trPr>
          <w:trHeight w:val="300"/>
        </w:trPr>
        <w:tc>
          <w:tcPr>
            <w:tcW w:w="1128" w:type="dxa"/>
            <w:vMerge/>
            <w:shd w:val="clear" w:color="auto" w:fill="auto"/>
            <w:noWrap/>
          </w:tcPr>
          <w:p w14:paraId="21F0DE45"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p>
        </w:tc>
        <w:tc>
          <w:tcPr>
            <w:tcW w:w="283" w:type="dxa"/>
            <w:vMerge/>
            <w:vAlign w:val="center"/>
          </w:tcPr>
          <w:p w14:paraId="308BB2A4"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709" w:type="dxa"/>
            <w:vAlign w:val="center"/>
          </w:tcPr>
          <w:p w14:paraId="7A51128B"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Sel.</w:t>
            </w:r>
          </w:p>
        </w:tc>
        <w:tc>
          <w:tcPr>
            <w:tcW w:w="2409" w:type="dxa"/>
            <w:shd w:val="clear" w:color="auto" w:fill="auto"/>
            <w:noWrap/>
            <w:vAlign w:val="center"/>
          </w:tcPr>
          <w:p w14:paraId="13415DF4"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 xml:space="preserve">Targeted school-based fluoride </w:t>
            </w:r>
            <w:proofErr w:type="spellStart"/>
            <w:r w:rsidRPr="00800A49">
              <w:rPr>
                <w:rFonts w:ascii="Times New Roman" w:eastAsia="Times New Roman" w:hAnsi="Times New Roman" w:cs="Times New Roman"/>
                <w:color w:val="000000"/>
                <w:sz w:val="18"/>
                <w:szCs w:val="18"/>
                <w:lang w:eastAsia="en-AU"/>
              </w:rPr>
              <w:t>mouthrinse</w:t>
            </w:r>
            <w:proofErr w:type="spellEnd"/>
            <w:r w:rsidRPr="00800A49">
              <w:rPr>
                <w:rFonts w:ascii="Times New Roman" w:eastAsia="Times New Roman" w:hAnsi="Times New Roman" w:cs="Times New Roman"/>
                <w:color w:val="000000"/>
                <w:sz w:val="18"/>
                <w:szCs w:val="18"/>
                <w:lang w:eastAsia="en-AU"/>
              </w:rPr>
              <w:t xml:space="preserve"> program</w:t>
            </w:r>
          </w:p>
        </w:tc>
        <w:tc>
          <w:tcPr>
            <w:tcW w:w="1105" w:type="dxa"/>
            <w:vMerge/>
            <w:vAlign w:val="center"/>
          </w:tcPr>
          <w:p w14:paraId="4DBE0C11"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851" w:type="dxa"/>
            <w:vMerge/>
            <w:vAlign w:val="center"/>
          </w:tcPr>
          <w:p w14:paraId="0EE1CB62"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851" w:type="dxa"/>
            <w:vMerge/>
            <w:shd w:val="clear" w:color="auto" w:fill="auto"/>
            <w:noWrap/>
            <w:vAlign w:val="center"/>
          </w:tcPr>
          <w:p w14:paraId="074434F7"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1190" w:type="dxa"/>
            <w:vMerge/>
            <w:vAlign w:val="center"/>
          </w:tcPr>
          <w:p w14:paraId="5EB08A59"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2760" w:type="dxa"/>
            <w:vMerge/>
            <w:shd w:val="clear" w:color="auto" w:fill="auto"/>
            <w:noWrap/>
          </w:tcPr>
          <w:p w14:paraId="35B84F06"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p>
        </w:tc>
        <w:tc>
          <w:tcPr>
            <w:tcW w:w="634" w:type="dxa"/>
            <w:vMerge/>
            <w:shd w:val="clear" w:color="auto" w:fill="auto"/>
            <w:noWrap/>
            <w:vAlign w:val="center"/>
          </w:tcPr>
          <w:p w14:paraId="7ABC7916"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556" w:type="dxa"/>
            <w:vMerge/>
            <w:vAlign w:val="center"/>
          </w:tcPr>
          <w:p w14:paraId="2B7E2E04"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1978" w:type="dxa"/>
            <w:vMerge/>
            <w:shd w:val="clear" w:color="auto" w:fill="auto"/>
            <w:noWrap/>
          </w:tcPr>
          <w:p w14:paraId="22B80E05"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p>
        </w:tc>
        <w:tc>
          <w:tcPr>
            <w:tcW w:w="1134" w:type="dxa"/>
            <w:vMerge/>
            <w:vAlign w:val="center"/>
          </w:tcPr>
          <w:p w14:paraId="09FEA2FF"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r>
      <w:tr w:rsidR="008461EA" w:rsidRPr="00800A49" w14:paraId="1DB26C75" w14:textId="77777777" w:rsidTr="00720BDC">
        <w:trPr>
          <w:trHeight w:val="300"/>
        </w:trPr>
        <w:tc>
          <w:tcPr>
            <w:tcW w:w="1128" w:type="dxa"/>
            <w:vMerge/>
            <w:shd w:val="clear" w:color="auto" w:fill="auto"/>
            <w:noWrap/>
          </w:tcPr>
          <w:p w14:paraId="40579842"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p>
        </w:tc>
        <w:tc>
          <w:tcPr>
            <w:tcW w:w="283" w:type="dxa"/>
            <w:vMerge/>
            <w:vAlign w:val="center"/>
          </w:tcPr>
          <w:p w14:paraId="7B78F79C"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709" w:type="dxa"/>
            <w:vAlign w:val="center"/>
          </w:tcPr>
          <w:p w14:paraId="6AC0217E"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Sel.</w:t>
            </w:r>
          </w:p>
        </w:tc>
        <w:tc>
          <w:tcPr>
            <w:tcW w:w="2409" w:type="dxa"/>
            <w:shd w:val="clear" w:color="auto" w:fill="auto"/>
            <w:noWrap/>
            <w:vAlign w:val="center"/>
          </w:tcPr>
          <w:p w14:paraId="67D1C87F"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Targeted school-based fluoride gel program</w:t>
            </w:r>
          </w:p>
        </w:tc>
        <w:tc>
          <w:tcPr>
            <w:tcW w:w="1105" w:type="dxa"/>
            <w:vMerge/>
            <w:vAlign w:val="center"/>
          </w:tcPr>
          <w:p w14:paraId="76059549"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851" w:type="dxa"/>
            <w:vMerge/>
            <w:vAlign w:val="center"/>
          </w:tcPr>
          <w:p w14:paraId="4F3D19F7"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851" w:type="dxa"/>
            <w:vMerge/>
            <w:shd w:val="clear" w:color="auto" w:fill="auto"/>
            <w:noWrap/>
            <w:vAlign w:val="center"/>
          </w:tcPr>
          <w:p w14:paraId="7619E9BA"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1190" w:type="dxa"/>
            <w:vMerge/>
            <w:vAlign w:val="center"/>
          </w:tcPr>
          <w:p w14:paraId="5B286BF8"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2760" w:type="dxa"/>
            <w:vMerge/>
            <w:shd w:val="clear" w:color="auto" w:fill="auto"/>
            <w:noWrap/>
          </w:tcPr>
          <w:p w14:paraId="38C2FC69"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p>
        </w:tc>
        <w:tc>
          <w:tcPr>
            <w:tcW w:w="634" w:type="dxa"/>
            <w:vMerge/>
            <w:shd w:val="clear" w:color="auto" w:fill="auto"/>
            <w:noWrap/>
            <w:vAlign w:val="center"/>
          </w:tcPr>
          <w:p w14:paraId="2B5A1087"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556" w:type="dxa"/>
            <w:vMerge/>
            <w:vAlign w:val="center"/>
          </w:tcPr>
          <w:p w14:paraId="3938D05A"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1978" w:type="dxa"/>
            <w:vMerge/>
            <w:shd w:val="clear" w:color="auto" w:fill="auto"/>
            <w:noWrap/>
          </w:tcPr>
          <w:p w14:paraId="539DE735"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p>
        </w:tc>
        <w:tc>
          <w:tcPr>
            <w:tcW w:w="1134" w:type="dxa"/>
            <w:vMerge/>
            <w:vAlign w:val="center"/>
          </w:tcPr>
          <w:p w14:paraId="6BBBC646"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r>
      <w:tr w:rsidR="008461EA" w:rsidRPr="00800A49" w14:paraId="25A9A775" w14:textId="77777777" w:rsidTr="00720BDC">
        <w:trPr>
          <w:trHeight w:val="300"/>
        </w:trPr>
        <w:tc>
          <w:tcPr>
            <w:tcW w:w="1128" w:type="dxa"/>
            <w:vMerge/>
            <w:shd w:val="clear" w:color="auto" w:fill="auto"/>
            <w:noWrap/>
          </w:tcPr>
          <w:p w14:paraId="60F79640"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p>
        </w:tc>
        <w:tc>
          <w:tcPr>
            <w:tcW w:w="283" w:type="dxa"/>
            <w:vMerge/>
            <w:vAlign w:val="center"/>
          </w:tcPr>
          <w:p w14:paraId="154BF59C"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709" w:type="dxa"/>
            <w:vAlign w:val="center"/>
          </w:tcPr>
          <w:p w14:paraId="1E1A2BC7"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Sel.</w:t>
            </w:r>
          </w:p>
        </w:tc>
        <w:tc>
          <w:tcPr>
            <w:tcW w:w="2409" w:type="dxa"/>
            <w:shd w:val="clear" w:color="auto" w:fill="auto"/>
            <w:noWrap/>
            <w:vAlign w:val="center"/>
          </w:tcPr>
          <w:p w14:paraId="6D0E3D6B"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Targeted school-based supervised toothbrushing program</w:t>
            </w:r>
          </w:p>
        </w:tc>
        <w:tc>
          <w:tcPr>
            <w:tcW w:w="1105" w:type="dxa"/>
            <w:vMerge/>
            <w:vAlign w:val="center"/>
          </w:tcPr>
          <w:p w14:paraId="565720B0"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851" w:type="dxa"/>
            <w:vMerge/>
            <w:vAlign w:val="center"/>
          </w:tcPr>
          <w:p w14:paraId="678DF2A7"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851" w:type="dxa"/>
            <w:vMerge/>
            <w:shd w:val="clear" w:color="auto" w:fill="auto"/>
            <w:noWrap/>
            <w:vAlign w:val="center"/>
          </w:tcPr>
          <w:p w14:paraId="4BA2CE07"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1190" w:type="dxa"/>
            <w:vMerge/>
            <w:vAlign w:val="center"/>
          </w:tcPr>
          <w:p w14:paraId="3FC6C8D2"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2760" w:type="dxa"/>
            <w:vMerge/>
            <w:shd w:val="clear" w:color="auto" w:fill="auto"/>
            <w:noWrap/>
          </w:tcPr>
          <w:p w14:paraId="4812F7CE"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p>
        </w:tc>
        <w:tc>
          <w:tcPr>
            <w:tcW w:w="634" w:type="dxa"/>
            <w:vMerge/>
            <w:shd w:val="clear" w:color="auto" w:fill="auto"/>
            <w:noWrap/>
            <w:vAlign w:val="center"/>
          </w:tcPr>
          <w:p w14:paraId="1AB979AC"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556" w:type="dxa"/>
            <w:vMerge/>
            <w:vAlign w:val="center"/>
          </w:tcPr>
          <w:p w14:paraId="587D7B2C"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1978" w:type="dxa"/>
            <w:vMerge/>
            <w:shd w:val="clear" w:color="auto" w:fill="auto"/>
            <w:noWrap/>
          </w:tcPr>
          <w:p w14:paraId="60EB2FF5"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p>
        </w:tc>
        <w:tc>
          <w:tcPr>
            <w:tcW w:w="1134" w:type="dxa"/>
            <w:vMerge/>
            <w:vAlign w:val="center"/>
          </w:tcPr>
          <w:p w14:paraId="399BB633"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r>
      <w:tr w:rsidR="008461EA" w:rsidRPr="00800A49" w14:paraId="3533A562" w14:textId="77777777" w:rsidTr="00720BDC">
        <w:trPr>
          <w:trHeight w:val="300"/>
        </w:trPr>
        <w:tc>
          <w:tcPr>
            <w:tcW w:w="1128" w:type="dxa"/>
            <w:vMerge/>
            <w:shd w:val="clear" w:color="auto" w:fill="auto"/>
            <w:noWrap/>
          </w:tcPr>
          <w:p w14:paraId="788A00AD"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p>
        </w:tc>
        <w:tc>
          <w:tcPr>
            <w:tcW w:w="283" w:type="dxa"/>
            <w:vAlign w:val="center"/>
          </w:tcPr>
          <w:p w14:paraId="6148F07F"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C</w:t>
            </w:r>
          </w:p>
        </w:tc>
        <w:tc>
          <w:tcPr>
            <w:tcW w:w="709" w:type="dxa"/>
            <w:vAlign w:val="center"/>
          </w:tcPr>
          <w:p w14:paraId="463F1785"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N/A</w:t>
            </w:r>
          </w:p>
        </w:tc>
        <w:tc>
          <w:tcPr>
            <w:tcW w:w="2409" w:type="dxa"/>
            <w:shd w:val="clear" w:color="auto" w:fill="auto"/>
            <w:noWrap/>
            <w:vAlign w:val="center"/>
          </w:tcPr>
          <w:p w14:paraId="7D762BEB"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No intervention</w:t>
            </w:r>
          </w:p>
        </w:tc>
        <w:tc>
          <w:tcPr>
            <w:tcW w:w="1105" w:type="dxa"/>
            <w:vMerge/>
            <w:vAlign w:val="center"/>
          </w:tcPr>
          <w:p w14:paraId="397FD813"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851" w:type="dxa"/>
            <w:vMerge/>
            <w:vAlign w:val="center"/>
          </w:tcPr>
          <w:p w14:paraId="7891148F"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851" w:type="dxa"/>
            <w:vMerge/>
            <w:shd w:val="clear" w:color="auto" w:fill="auto"/>
            <w:noWrap/>
            <w:vAlign w:val="center"/>
          </w:tcPr>
          <w:p w14:paraId="70CEB2F9"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1190" w:type="dxa"/>
            <w:vMerge/>
            <w:vAlign w:val="center"/>
          </w:tcPr>
          <w:p w14:paraId="44B4F291"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2760" w:type="dxa"/>
            <w:vMerge/>
            <w:shd w:val="clear" w:color="auto" w:fill="auto"/>
            <w:noWrap/>
          </w:tcPr>
          <w:p w14:paraId="6CCA851B"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p>
        </w:tc>
        <w:tc>
          <w:tcPr>
            <w:tcW w:w="634" w:type="dxa"/>
            <w:vMerge/>
            <w:shd w:val="clear" w:color="auto" w:fill="auto"/>
            <w:noWrap/>
            <w:vAlign w:val="center"/>
          </w:tcPr>
          <w:p w14:paraId="3061543F"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556" w:type="dxa"/>
            <w:vMerge/>
            <w:vAlign w:val="center"/>
          </w:tcPr>
          <w:p w14:paraId="20E9BD0B"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1978" w:type="dxa"/>
            <w:vMerge/>
            <w:shd w:val="clear" w:color="auto" w:fill="auto"/>
            <w:noWrap/>
          </w:tcPr>
          <w:p w14:paraId="420625C3"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p>
        </w:tc>
        <w:tc>
          <w:tcPr>
            <w:tcW w:w="1134" w:type="dxa"/>
            <w:vMerge/>
            <w:vAlign w:val="center"/>
          </w:tcPr>
          <w:p w14:paraId="00E390B8"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r>
      <w:tr w:rsidR="008461EA" w:rsidRPr="00800A49" w14:paraId="572D86EA" w14:textId="77777777" w:rsidTr="00720BDC">
        <w:trPr>
          <w:trHeight w:val="300"/>
        </w:trPr>
        <w:tc>
          <w:tcPr>
            <w:tcW w:w="1128" w:type="dxa"/>
            <w:vMerge w:val="restart"/>
            <w:shd w:val="clear" w:color="auto" w:fill="auto"/>
            <w:noWrap/>
            <w:hideMark/>
          </w:tcPr>
          <w:p w14:paraId="195C5F78"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proofErr w:type="spellStart"/>
            <w:r w:rsidRPr="00800A49">
              <w:rPr>
                <w:rFonts w:ascii="Times New Roman" w:eastAsia="Times New Roman" w:hAnsi="Times New Roman" w:cs="Times New Roman"/>
                <w:color w:val="000000"/>
                <w:sz w:val="18"/>
                <w:szCs w:val="18"/>
                <w:lang w:eastAsia="en-AU"/>
              </w:rPr>
              <w:t>Mariño</w:t>
            </w:r>
            <w:proofErr w:type="spellEnd"/>
            <w:r w:rsidRPr="00800A49">
              <w:rPr>
                <w:rFonts w:ascii="Times New Roman" w:eastAsia="Times New Roman" w:hAnsi="Times New Roman" w:cs="Times New Roman"/>
                <w:color w:val="000000"/>
                <w:sz w:val="18"/>
                <w:szCs w:val="18"/>
                <w:lang w:eastAsia="en-AU"/>
              </w:rPr>
              <w:t xml:space="preserve"> et al., 2014</w:t>
            </w:r>
          </w:p>
        </w:tc>
        <w:tc>
          <w:tcPr>
            <w:tcW w:w="283" w:type="dxa"/>
            <w:vAlign w:val="center"/>
          </w:tcPr>
          <w:p w14:paraId="07C74CC9"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I</w:t>
            </w:r>
          </w:p>
        </w:tc>
        <w:tc>
          <w:tcPr>
            <w:tcW w:w="709" w:type="dxa"/>
            <w:vAlign w:val="center"/>
          </w:tcPr>
          <w:p w14:paraId="03D9701C"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Sel.</w:t>
            </w:r>
          </w:p>
        </w:tc>
        <w:tc>
          <w:tcPr>
            <w:tcW w:w="2409" w:type="dxa"/>
            <w:shd w:val="clear" w:color="auto" w:fill="auto"/>
            <w:noWrap/>
            <w:vAlign w:val="center"/>
            <w:hideMark/>
          </w:tcPr>
          <w:p w14:paraId="47AE9D07"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Community-based group oral health education</w:t>
            </w:r>
          </w:p>
        </w:tc>
        <w:tc>
          <w:tcPr>
            <w:tcW w:w="1105" w:type="dxa"/>
            <w:vMerge w:val="restart"/>
            <w:vAlign w:val="center"/>
          </w:tcPr>
          <w:p w14:paraId="10CAF63E"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Healthcare</w:t>
            </w:r>
          </w:p>
        </w:tc>
        <w:tc>
          <w:tcPr>
            <w:tcW w:w="851" w:type="dxa"/>
            <w:vMerge w:val="restart"/>
            <w:vAlign w:val="center"/>
          </w:tcPr>
          <w:p w14:paraId="5555587A"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1 year</w:t>
            </w:r>
          </w:p>
        </w:tc>
        <w:tc>
          <w:tcPr>
            <w:tcW w:w="851" w:type="dxa"/>
            <w:vMerge w:val="restart"/>
            <w:shd w:val="clear" w:color="auto" w:fill="auto"/>
            <w:noWrap/>
            <w:vAlign w:val="center"/>
            <w:hideMark/>
          </w:tcPr>
          <w:p w14:paraId="463023C0"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Mean</w:t>
            </w:r>
          </w:p>
          <w:p w14:paraId="3FD85803"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72.4</w:t>
            </w:r>
          </w:p>
        </w:tc>
        <w:tc>
          <w:tcPr>
            <w:tcW w:w="1190" w:type="dxa"/>
            <w:vAlign w:val="center"/>
          </w:tcPr>
          <w:p w14:paraId="69B54E11"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83</w:t>
            </w:r>
          </w:p>
        </w:tc>
        <w:tc>
          <w:tcPr>
            <w:tcW w:w="2760" w:type="dxa"/>
            <w:vMerge w:val="restart"/>
            <w:shd w:val="clear" w:color="auto" w:fill="auto"/>
            <w:noWrap/>
            <w:hideMark/>
          </w:tcPr>
          <w:p w14:paraId="6B80E05A"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Intervention costs (micro-costing, labour, travel, and consumables)</w:t>
            </w:r>
          </w:p>
        </w:tc>
        <w:tc>
          <w:tcPr>
            <w:tcW w:w="1190" w:type="dxa"/>
            <w:gridSpan w:val="2"/>
            <w:vMerge w:val="restart"/>
            <w:shd w:val="clear" w:color="auto" w:fill="auto"/>
            <w:noWrap/>
            <w:vAlign w:val="center"/>
            <w:hideMark/>
          </w:tcPr>
          <w:p w14:paraId="4A2BD867"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N/A</w:t>
            </w:r>
          </w:p>
        </w:tc>
        <w:tc>
          <w:tcPr>
            <w:tcW w:w="1978" w:type="dxa"/>
            <w:vMerge w:val="restart"/>
            <w:shd w:val="clear" w:color="auto" w:fill="auto"/>
            <w:noWrap/>
            <w:hideMark/>
          </w:tcPr>
          <w:p w14:paraId="0F19BD10"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AU$332.20 saved per-cycle per person</w:t>
            </w:r>
          </w:p>
          <w:p w14:paraId="6976D9E3"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p>
          <w:p w14:paraId="0F91D9D2"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Cost-saving = Yes</w:t>
            </w:r>
          </w:p>
        </w:tc>
        <w:tc>
          <w:tcPr>
            <w:tcW w:w="1134" w:type="dxa"/>
            <w:vMerge w:val="restart"/>
            <w:vAlign w:val="center"/>
          </w:tcPr>
          <w:p w14:paraId="695E0688"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Good</w:t>
            </w:r>
          </w:p>
        </w:tc>
      </w:tr>
      <w:tr w:rsidR="008461EA" w:rsidRPr="00800A49" w14:paraId="120D6DDE" w14:textId="77777777" w:rsidTr="00720BDC">
        <w:trPr>
          <w:trHeight w:val="300"/>
        </w:trPr>
        <w:tc>
          <w:tcPr>
            <w:tcW w:w="1128" w:type="dxa"/>
            <w:vMerge/>
            <w:shd w:val="clear" w:color="auto" w:fill="auto"/>
            <w:noWrap/>
          </w:tcPr>
          <w:p w14:paraId="089DB459"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p>
        </w:tc>
        <w:tc>
          <w:tcPr>
            <w:tcW w:w="283" w:type="dxa"/>
            <w:vAlign w:val="center"/>
          </w:tcPr>
          <w:p w14:paraId="251C7F0B"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C</w:t>
            </w:r>
          </w:p>
        </w:tc>
        <w:tc>
          <w:tcPr>
            <w:tcW w:w="709" w:type="dxa"/>
            <w:vAlign w:val="center"/>
          </w:tcPr>
          <w:p w14:paraId="51429220"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Ind.</w:t>
            </w:r>
          </w:p>
        </w:tc>
        <w:tc>
          <w:tcPr>
            <w:tcW w:w="2409" w:type="dxa"/>
            <w:shd w:val="clear" w:color="auto" w:fill="auto"/>
            <w:noWrap/>
            <w:vAlign w:val="center"/>
          </w:tcPr>
          <w:p w14:paraId="01ECBA42"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Chair-side oral health education</w:t>
            </w:r>
          </w:p>
        </w:tc>
        <w:tc>
          <w:tcPr>
            <w:tcW w:w="1105" w:type="dxa"/>
            <w:vMerge/>
            <w:vAlign w:val="center"/>
          </w:tcPr>
          <w:p w14:paraId="71B22747"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851" w:type="dxa"/>
            <w:vMerge/>
            <w:vAlign w:val="center"/>
          </w:tcPr>
          <w:p w14:paraId="5A99BC90"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851" w:type="dxa"/>
            <w:vMerge/>
            <w:shd w:val="clear" w:color="auto" w:fill="auto"/>
            <w:noWrap/>
            <w:vAlign w:val="center"/>
          </w:tcPr>
          <w:p w14:paraId="56E3D520"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1190" w:type="dxa"/>
            <w:vAlign w:val="center"/>
          </w:tcPr>
          <w:p w14:paraId="7D740D47"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100</w:t>
            </w:r>
          </w:p>
        </w:tc>
        <w:tc>
          <w:tcPr>
            <w:tcW w:w="2760" w:type="dxa"/>
            <w:vMerge/>
            <w:shd w:val="clear" w:color="auto" w:fill="auto"/>
            <w:noWrap/>
          </w:tcPr>
          <w:p w14:paraId="682E6922"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p>
        </w:tc>
        <w:tc>
          <w:tcPr>
            <w:tcW w:w="1190" w:type="dxa"/>
            <w:gridSpan w:val="2"/>
            <w:vMerge/>
            <w:shd w:val="clear" w:color="auto" w:fill="auto"/>
            <w:noWrap/>
            <w:vAlign w:val="center"/>
          </w:tcPr>
          <w:p w14:paraId="57841F6E"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1978" w:type="dxa"/>
            <w:vMerge/>
            <w:shd w:val="clear" w:color="auto" w:fill="auto"/>
            <w:noWrap/>
          </w:tcPr>
          <w:p w14:paraId="02B6B640"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p>
        </w:tc>
        <w:tc>
          <w:tcPr>
            <w:tcW w:w="1134" w:type="dxa"/>
            <w:vMerge/>
            <w:vAlign w:val="center"/>
          </w:tcPr>
          <w:p w14:paraId="367A6F52"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r>
      <w:tr w:rsidR="008461EA" w:rsidRPr="00800A49" w14:paraId="050735C4" w14:textId="77777777" w:rsidTr="00720BDC">
        <w:trPr>
          <w:trHeight w:val="1093"/>
        </w:trPr>
        <w:tc>
          <w:tcPr>
            <w:tcW w:w="1128" w:type="dxa"/>
            <w:vMerge w:val="restart"/>
            <w:shd w:val="clear" w:color="auto" w:fill="auto"/>
            <w:noWrap/>
            <w:hideMark/>
          </w:tcPr>
          <w:p w14:paraId="283C964C"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proofErr w:type="spellStart"/>
            <w:r w:rsidRPr="00800A49">
              <w:rPr>
                <w:rFonts w:ascii="Times New Roman" w:eastAsia="Times New Roman" w:hAnsi="Times New Roman" w:cs="Times New Roman"/>
                <w:color w:val="000000"/>
                <w:sz w:val="18"/>
                <w:szCs w:val="18"/>
                <w:lang w:eastAsia="en-AU"/>
              </w:rPr>
              <w:t>Mariño</w:t>
            </w:r>
            <w:proofErr w:type="spellEnd"/>
            <w:r w:rsidRPr="00800A49">
              <w:rPr>
                <w:rFonts w:ascii="Times New Roman" w:eastAsia="Times New Roman" w:hAnsi="Times New Roman" w:cs="Times New Roman"/>
                <w:color w:val="000000"/>
                <w:sz w:val="18"/>
                <w:szCs w:val="18"/>
                <w:lang w:eastAsia="en-AU"/>
              </w:rPr>
              <w:t xml:space="preserve"> et al., 2018</w:t>
            </w:r>
          </w:p>
        </w:tc>
        <w:tc>
          <w:tcPr>
            <w:tcW w:w="283" w:type="dxa"/>
            <w:vAlign w:val="center"/>
          </w:tcPr>
          <w:p w14:paraId="375EA160"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I</w:t>
            </w:r>
          </w:p>
        </w:tc>
        <w:tc>
          <w:tcPr>
            <w:tcW w:w="709" w:type="dxa"/>
            <w:vAlign w:val="center"/>
          </w:tcPr>
          <w:p w14:paraId="4461A974"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Uni.</w:t>
            </w:r>
          </w:p>
        </w:tc>
        <w:tc>
          <w:tcPr>
            <w:tcW w:w="2409" w:type="dxa"/>
            <w:shd w:val="clear" w:color="auto" w:fill="auto"/>
            <w:noWrap/>
            <w:vAlign w:val="center"/>
            <w:hideMark/>
          </w:tcPr>
          <w:p w14:paraId="71AEAF37"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School milk fluoridation</w:t>
            </w:r>
          </w:p>
        </w:tc>
        <w:tc>
          <w:tcPr>
            <w:tcW w:w="1105" w:type="dxa"/>
            <w:vMerge w:val="restart"/>
            <w:vAlign w:val="center"/>
          </w:tcPr>
          <w:p w14:paraId="5584B648"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Societal</w:t>
            </w:r>
          </w:p>
        </w:tc>
        <w:tc>
          <w:tcPr>
            <w:tcW w:w="851" w:type="dxa"/>
            <w:vMerge w:val="restart"/>
            <w:vAlign w:val="center"/>
          </w:tcPr>
          <w:p w14:paraId="5F51D82C"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6 years</w:t>
            </w:r>
          </w:p>
        </w:tc>
        <w:tc>
          <w:tcPr>
            <w:tcW w:w="851" w:type="dxa"/>
            <w:vMerge w:val="restart"/>
            <w:shd w:val="clear" w:color="auto" w:fill="auto"/>
            <w:noWrap/>
            <w:vAlign w:val="center"/>
            <w:hideMark/>
          </w:tcPr>
          <w:p w14:paraId="61DEFF07"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6</w:t>
            </w:r>
          </w:p>
        </w:tc>
        <w:tc>
          <w:tcPr>
            <w:tcW w:w="1190" w:type="dxa"/>
            <w:vMerge w:val="restart"/>
            <w:vAlign w:val="center"/>
          </w:tcPr>
          <w:p w14:paraId="42EA90BA"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75,000</w:t>
            </w:r>
          </w:p>
        </w:tc>
        <w:tc>
          <w:tcPr>
            <w:tcW w:w="2760" w:type="dxa"/>
            <w:vMerge w:val="restart"/>
            <w:shd w:val="clear" w:color="auto" w:fill="auto"/>
            <w:noWrap/>
            <w:hideMark/>
          </w:tcPr>
          <w:p w14:paraId="3BBEF99A"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Intervention costs (capital, labour, maintenance)</w:t>
            </w:r>
          </w:p>
          <w:p w14:paraId="287A4E1B"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br/>
              <w:t>Dental treatment costs (restorations and extraction)</w:t>
            </w:r>
          </w:p>
          <w:p w14:paraId="77132E62"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br/>
              <w:t>Opportunity costs lost (travel and treatment time)</w:t>
            </w:r>
          </w:p>
          <w:p w14:paraId="35E757DE"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br/>
              <w:t>Travel costs</w:t>
            </w:r>
          </w:p>
        </w:tc>
        <w:tc>
          <w:tcPr>
            <w:tcW w:w="634" w:type="dxa"/>
            <w:vMerge w:val="restart"/>
            <w:shd w:val="clear" w:color="auto" w:fill="auto"/>
            <w:noWrap/>
            <w:vAlign w:val="center"/>
          </w:tcPr>
          <w:p w14:paraId="0722B9A4"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3%</w:t>
            </w:r>
          </w:p>
        </w:tc>
        <w:tc>
          <w:tcPr>
            <w:tcW w:w="556" w:type="dxa"/>
            <w:vMerge w:val="restart"/>
            <w:vAlign w:val="center"/>
          </w:tcPr>
          <w:p w14:paraId="5A3881D2"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0%</w:t>
            </w:r>
          </w:p>
        </w:tc>
        <w:tc>
          <w:tcPr>
            <w:tcW w:w="1978" w:type="dxa"/>
            <w:vMerge w:val="restart"/>
            <w:shd w:val="clear" w:color="auto" w:fill="auto"/>
            <w:noWrap/>
            <w:hideMark/>
          </w:tcPr>
          <w:p w14:paraId="44D94CCD"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Costs (TBH.) per DMFS averted</w:t>
            </w:r>
            <w:r w:rsidRPr="00800A49">
              <w:rPr>
                <w:rFonts w:ascii="Times New Roman" w:eastAsia="Times New Roman" w:hAnsi="Times New Roman" w:cs="Times New Roman"/>
                <w:color w:val="000000"/>
                <w:sz w:val="18"/>
                <w:szCs w:val="18"/>
                <w:lang w:eastAsia="en-AU"/>
              </w:rPr>
              <w:br/>
              <w:t>ICER: -40,500 (dominant)</w:t>
            </w:r>
          </w:p>
          <w:p w14:paraId="5F642372"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p>
          <w:p w14:paraId="1FB0B77D"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Cost-effective = Yes</w:t>
            </w:r>
          </w:p>
        </w:tc>
        <w:tc>
          <w:tcPr>
            <w:tcW w:w="1134" w:type="dxa"/>
            <w:vMerge w:val="restart"/>
            <w:vAlign w:val="center"/>
          </w:tcPr>
          <w:p w14:paraId="597BFF8A"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Good</w:t>
            </w:r>
          </w:p>
        </w:tc>
      </w:tr>
      <w:tr w:rsidR="008461EA" w:rsidRPr="00800A49" w14:paraId="3A3765A3" w14:textId="77777777" w:rsidTr="00720BDC">
        <w:trPr>
          <w:trHeight w:val="300"/>
        </w:trPr>
        <w:tc>
          <w:tcPr>
            <w:tcW w:w="1128" w:type="dxa"/>
            <w:vMerge/>
            <w:shd w:val="clear" w:color="auto" w:fill="auto"/>
            <w:noWrap/>
          </w:tcPr>
          <w:p w14:paraId="00A65183"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p>
        </w:tc>
        <w:tc>
          <w:tcPr>
            <w:tcW w:w="283" w:type="dxa"/>
            <w:vAlign w:val="center"/>
          </w:tcPr>
          <w:p w14:paraId="0791AFA3"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C</w:t>
            </w:r>
          </w:p>
        </w:tc>
        <w:tc>
          <w:tcPr>
            <w:tcW w:w="709" w:type="dxa"/>
            <w:vAlign w:val="center"/>
          </w:tcPr>
          <w:p w14:paraId="7B0BB7A9"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N/A</w:t>
            </w:r>
          </w:p>
        </w:tc>
        <w:tc>
          <w:tcPr>
            <w:tcW w:w="2409" w:type="dxa"/>
            <w:shd w:val="clear" w:color="auto" w:fill="auto"/>
            <w:noWrap/>
            <w:vAlign w:val="center"/>
          </w:tcPr>
          <w:p w14:paraId="0B91C3A0"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No intervention</w:t>
            </w:r>
          </w:p>
        </w:tc>
        <w:tc>
          <w:tcPr>
            <w:tcW w:w="1105" w:type="dxa"/>
            <w:vMerge/>
            <w:vAlign w:val="center"/>
          </w:tcPr>
          <w:p w14:paraId="720A784F"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851" w:type="dxa"/>
            <w:vMerge/>
            <w:vAlign w:val="center"/>
          </w:tcPr>
          <w:p w14:paraId="16B66ED4"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851" w:type="dxa"/>
            <w:vMerge/>
            <w:shd w:val="clear" w:color="auto" w:fill="auto"/>
            <w:noWrap/>
            <w:vAlign w:val="center"/>
          </w:tcPr>
          <w:p w14:paraId="6FC685DE"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1190" w:type="dxa"/>
            <w:vMerge/>
            <w:vAlign w:val="center"/>
          </w:tcPr>
          <w:p w14:paraId="2E0A8119"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2760" w:type="dxa"/>
            <w:vMerge/>
            <w:shd w:val="clear" w:color="auto" w:fill="auto"/>
            <w:noWrap/>
          </w:tcPr>
          <w:p w14:paraId="640761D7"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p>
        </w:tc>
        <w:tc>
          <w:tcPr>
            <w:tcW w:w="634" w:type="dxa"/>
            <w:vMerge/>
            <w:shd w:val="clear" w:color="auto" w:fill="auto"/>
            <w:noWrap/>
            <w:vAlign w:val="center"/>
          </w:tcPr>
          <w:p w14:paraId="0A415312"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556" w:type="dxa"/>
            <w:vMerge/>
            <w:vAlign w:val="center"/>
          </w:tcPr>
          <w:p w14:paraId="071C847A"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1978" w:type="dxa"/>
            <w:vMerge/>
            <w:shd w:val="clear" w:color="auto" w:fill="auto"/>
            <w:noWrap/>
          </w:tcPr>
          <w:p w14:paraId="6C12F2DE"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p>
        </w:tc>
        <w:tc>
          <w:tcPr>
            <w:tcW w:w="1134" w:type="dxa"/>
            <w:vMerge/>
            <w:vAlign w:val="center"/>
          </w:tcPr>
          <w:p w14:paraId="2DFC117B"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r>
      <w:tr w:rsidR="008461EA" w:rsidRPr="00800A49" w14:paraId="217791B7" w14:textId="77777777" w:rsidTr="00720BDC">
        <w:trPr>
          <w:trHeight w:val="924"/>
        </w:trPr>
        <w:tc>
          <w:tcPr>
            <w:tcW w:w="1128" w:type="dxa"/>
            <w:vMerge w:val="restart"/>
            <w:shd w:val="clear" w:color="auto" w:fill="auto"/>
            <w:noWrap/>
            <w:hideMark/>
          </w:tcPr>
          <w:p w14:paraId="7A4302C4"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Moore et al., 2017</w:t>
            </w:r>
          </w:p>
        </w:tc>
        <w:tc>
          <w:tcPr>
            <w:tcW w:w="283" w:type="dxa"/>
            <w:vAlign w:val="center"/>
          </w:tcPr>
          <w:p w14:paraId="77CE1043"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I</w:t>
            </w:r>
          </w:p>
        </w:tc>
        <w:tc>
          <w:tcPr>
            <w:tcW w:w="709" w:type="dxa"/>
            <w:vAlign w:val="center"/>
          </w:tcPr>
          <w:p w14:paraId="3752CC4E"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Uni.</w:t>
            </w:r>
          </w:p>
        </w:tc>
        <w:tc>
          <w:tcPr>
            <w:tcW w:w="2409" w:type="dxa"/>
            <w:shd w:val="clear" w:color="auto" w:fill="auto"/>
            <w:noWrap/>
            <w:vAlign w:val="center"/>
            <w:hideMark/>
          </w:tcPr>
          <w:p w14:paraId="7E74B0D0"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Water fluoridation</w:t>
            </w:r>
          </w:p>
        </w:tc>
        <w:tc>
          <w:tcPr>
            <w:tcW w:w="1105" w:type="dxa"/>
            <w:vMerge w:val="restart"/>
            <w:vAlign w:val="center"/>
          </w:tcPr>
          <w:p w14:paraId="5DB00BA7"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Societal</w:t>
            </w:r>
          </w:p>
        </w:tc>
        <w:tc>
          <w:tcPr>
            <w:tcW w:w="851" w:type="dxa"/>
            <w:vMerge w:val="restart"/>
            <w:vAlign w:val="center"/>
          </w:tcPr>
          <w:p w14:paraId="45BBFBAE"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20 years</w:t>
            </w:r>
          </w:p>
        </w:tc>
        <w:tc>
          <w:tcPr>
            <w:tcW w:w="851" w:type="dxa"/>
            <w:vMerge w:val="restart"/>
            <w:shd w:val="clear" w:color="auto" w:fill="auto"/>
            <w:noWrap/>
            <w:vAlign w:val="center"/>
            <w:hideMark/>
          </w:tcPr>
          <w:p w14:paraId="57B31F45"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All ages</w:t>
            </w:r>
          </w:p>
        </w:tc>
        <w:tc>
          <w:tcPr>
            <w:tcW w:w="1190" w:type="dxa"/>
            <w:vMerge w:val="restart"/>
            <w:vAlign w:val="center"/>
          </w:tcPr>
          <w:p w14:paraId="0DC38AD6"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4.2 million</w:t>
            </w:r>
          </w:p>
        </w:tc>
        <w:tc>
          <w:tcPr>
            <w:tcW w:w="2760" w:type="dxa"/>
            <w:vMerge w:val="restart"/>
            <w:shd w:val="clear" w:color="auto" w:fill="auto"/>
            <w:noWrap/>
            <w:hideMark/>
          </w:tcPr>
          <w:p w14:paraId="21B1F562"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Intervention costs (capital, labour, maintenance)</w:t>
            </w:r>
          </w:p>
          <w:p w14:paraId="431F6893"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br/>
              <w:t xml:space="preserve">Dental treatment costs (restorations, extraction, treatment under general anaesthesia for </w:t>
            </w:r>
            <w:proofErr w:type="gramStart"/>
            <w:r w:rsidRPr="00800A49">
              <w:rPr>
                <w:rFonts w:ascii="Times New Roman" w:eastAsia="Times New Roman" w:hAnsi="Times New Roman" w:cs="Times New Roman"/>
                <w:color w:val="000000"/>
                <w:sz w:val="18"/>
                <w:szCs w:val="18"/>
                <w:lang w:eastAsia="en-AU"/>
              </w:rPr>
              <w:t>0-4 year olds</w:t>
            </w:r>
            <w:proofErr w:type="gramEnd"/>
            <w:r w:rsidRPr="00800A49">
              <w:rPr>
                <w:rFonts w:ascii="Times New Roman" w:eastAsia="Times New Roman" w:hAnsi="Times New Roman" w:cs="Times New Roman"/>
                <w:color w:val="000000"/>
                <w:sz w:val="18"/>
                <w:szCs w:val="18"/>
                <w:lang w:eastAsia="en-AU"/>
              </w:rPr>
              <w:t>)</w:t>
            </w:r>
          </w:p>
        </w:tc>
        <w:tc>
          <w:tcPr>
            <w:tcW w:w="634" w:type="dxa"/>
            <w:vMerge w:val="restart"/>
            <w:shd w:val="clear" w:color="auto" w:fill="auto"/>
            <w:noWrap/>
            <w:vAlign w:val="center"/>
            <w:hideMark/>
          </w:tcPr>
          <w:p w14:paraId="26FB9D2E"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4%</w:t>
            </w:r>
          </w:p>
        </w:tc>
        <w:tc>
          <w:tcPr>
            <w:tcW w:w="556" w:type="dxa"/>
            <w:vMerge w:val="restart"/>
            <w:vAlign w:val="center"/>
          </w:tcPr>
          <w:p w14:paraId="1DC9B605"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N/R</w:t>
            </w:r>
          </w:p>
        </w:tc>
        <w:tc>
          <w:tcPr>
            <w:tcW w:w="1978" w:type="dxa"/>
            <w:vMerge w:val="restart"/>
            <w:shd w:val="clear" w:color="auto" w:fill="auto"/>
            <w:noWrap/>
            <w:hideMark/>
          </w:tcPr>
          <w:p w14:paraId="5E589C28"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Net benefits/costs:</w:t>
            </w:r>
          </w:p>
          <w:p w14:paraId="086B892B"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-NZ$1,401 million</w:t>
            </w:r>
          </w:p>
          <w:p w14:paraId="2079F9E9"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Subgroup analysis</w:t>
            </w:r>
          </w:p>
          <w:p w14:paraId="02751778"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p>
          <w:p w14:paraId="6112166E"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Net benefit/cost: NZ$193,000 to -NZ$17,855,000 for populations of 50 and 50,000, respectively</w:t>
            </w:r>
          </w:p>
          <w:p w14:paraId="0DF370E1"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p>
          <w:p w14:paraId="4F3E15F8"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Cost-saving = Yes</w:t>
            </w:r>
          </w:p>
        </w:tc>
        <w:tc>
          <w:tcPr>
            <w:tcW w:w="1134" w:type="dxa"/>
            <w:vMerge w:val="restart"/>
            <w:vAlign w:val="center"/>
          </w:tcPr>
          <w:p w14:paraId="1BDDA7B5"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Good</w:t>
            </w:r>
          </w:p>
        </w:tc>
      </w:tr>
      <w:tr w:rsidR="008461EA" w:rsidRPr="00800A49" w14:paraId="441EADEA" w14:textId="77777777" w:rsidTr="00720BDC">
        <w:trPr>
          <w:trHeight w:val="300"/>
        </w:trPr>
        <w:tc>
          <w:tcPr>
            <w:tcW w:w="1128" w:type="dxa"/>
            <w:vMerge/>
            <w:shd w:val="clear" w:color="auto" w:fill="auto"/>
            <w:noWrap/>
          </w:tcPr>
          <w:p w14:paraId="031DCD7C"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p>
        </w:tc>
        <w:tc>
          <w:tcPr>
            <w:tcW w:w="283" w:type="dxa"/>
            <w:vAlign w:val="center"/>
          </w:tcPr>
          <w:p w14:paraId="2960C3C6"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C</w:t>
            </w:r>
          </w:p>
        </w:tc>
        <w:tc>
          <w:tcPr>
            <w:tcW w:w="709" w:type="dxa"/>
            <w:vAlign w:val="center"/>
          </w:tcPr>
          <w:p w14:paraId="00433F7A"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N/A</w:t>
            </w:r>
          </w:p>
        </w:tc>
        <w:tc>
          <w:tcPr>
            <w:tcW w:w="2409" w:type="dxa"/>
            <w:shd w:val="clear" w:color="auto" w:fill="auto"/>
            <w:noWrap/>
            <w:vAlign w:val="center"/>
          </w:tcPr>
          <w:p w14:paraId="2EE6ECCF"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No intervention</w:t>
            </w:r>
          </w:p>
        </w:tc>
        <w:tc>
          <w:tcPr>
            <w:tcW w:w="1105" w:type="dxa"/>
            <w:vMerge/>
            <w:vAlign w:val="center"/>
          </w:tcPr>
          <w:p w14:paraId="6C179199"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851" w:type="dxa"/>
            <w:vMerge/>
            <w:vAlign w:val="center"/>
          </w:tcPr>
          <w:p w14:paraId="5F397EFC"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851" w:type="dxa"/>
            <w:vMerge/>
            <w:shd w:val="clear" w:color="auto" w:fill="auto"/>
            <w:noWrap/>
            <w:vAlign w:val="center"/>
          </w:tcPr>
          <w:p w14:paraId="3BC972AC"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1190" w:type="dxa"/>
            <w:vMerge/>
            <w:vAlign w:val="center"/>
          </w:tcPr>
          <w:p w14:paraId="3A410441"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2760" w:type="dxa"/>
            <w:vMerge/>
            <w:shd w:val="clear" w:color="auto" w:fill="auto"/>
            <w:noWrap/>
          </w:tcPr>
          <w:p w14:paraId="6B4D0E4C"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p>
        </w:tc>
        <w:tc>
          <w:tcPr>
            <w:tcW w:w="634" w:type="dxa"/>
            <w:vMerge/>
            <w:shd w:val="clear" w:color="auto" w:fill="auto"/>
            <w:noWrap/>
            <w:vAlign w:val="center"/>
          </w:tcPr>
          <w:p w14:paraId="062A6DE7"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556" w:type="dxa"/>
            <w:vMerge/>
            <w:vAlign w:val="center"/>
          </w:tcPr>
          <w:p w14:paraId="24C6E6CD"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1978" w:type="dxa"/>
            <w:vMerge/>
            <w:shd w:val="clear" w:color="auto" w:fill="auto"/>
            <w:noWrap/>
          </w:tcPr>
          <w:p w14:paraId="7D90FC91"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p>
        </w:tc>
        <w:tc>
          <w:tcPr>
            <w:tcW w:w="1134" w:type="dxa"/>
            <w:vMerge/>
            <w:vAlign w:val="center"/>
          </w:tcPr>
          <w:p w14:paraId="3E364C6C"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r>
      <w:tr w:rsidR="008461EA" w:rsidRPr="00800A49" w14:paraId="62276476" w14:textId="77777777" w:rsidTr="00720BDC">
        <w:trPr>
          <w:trHeight w:val="1215"/>
        </w:trPr>
        <w:tc>
          <w:tcPr>
            <w:tcW w:w="1128" w:type="dxa"/>
            <w:vMerge w:val="restart"/>
            <w:shd w:val="clear" w:color="auto" w:fill="auto"/>
            <w:noWrap/>
            <w:hideMark/>
          </w:tcPr>
          <w:p w14:paraId="6802CC50"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lastRenderedPageBreak/>
              <w:t>Nguyen et al., 2017</w:t>
            </w:r>
          </w:p>
        </w:tc>
        <w:tc>
          <w:tcPr>
            <w:tcW w:w="283" w:type="dxa"/>
            <w:vAlign w:val="center"/>
          </w:tcPr>
          <w:p w14:paraId="4E64FEE4"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I</w:t>
            </w:r>
          </w:p>
        </w:tc>
        <w:tc>
          <w:tcPr>
            <w:tcW w:w="709" w:type="dxa"/>
            <w:vAlign w:val="center"/>
          </w:tcPr>
          <w:p w14:paraId="139344E7"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Sel.</w:t>
            </w:r>
          </w:p>
        </w:tc>
        <w:tc>
          <w:tcPr>
            <w:tcW w:w="2409" w:type="dxa"/>
            <w:shd w:val="clear" w:color="auto" w:fill="auto"/>
            <w:noWrap/>
            <w:vAlign w:val="center"/>
            <w:hideMark/>
          </w:tcPr>
          <w:p w14:paraId="13C6FDC1"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Targeted pre/primary school-based dental check-up program</w:t>
            </w:r>
          </w:p>
        </w:tc>
        <w:tc>
          <w:tcPr>
            <w:tcW w:w="1105" w:type="dxa"/>
            <w:vMerge w:val="restart"/>
            <w:vAlign w:val="center"/>
          </w:tcPr>
          <w:p w14:paraId="5401928E"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Societal</w:t>
            </w:r>
          </w:p>
        </w:tc>
        <w:tc>
          <w:tcPr>
            <w:tcW w:w="851" w:type="dxa"/>
            <w:vMerge w:val="restart"/>
            <w:vAlign w:val="center"/>
          </w:tcPr>
          <w:p w14:paraId="5B602953"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1 year</w:t>
            </w:r>
          </w:p>
        </w:tc>
        <w:tc>
          <w:tcPr>
            <w:tcW w:w="851" w:type="dxa"/>
            <w:shd w:val="clear" w:color="auto" w:fill="auto"/>
            <w:noWrap/>
            <w:vAlign w:val="center"/>
            <w:hideMark/>
          </w:tcPr>
          <w:p w14:paraId="131E49E5"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Mean</w:t>
            </w:r>
          </w:p>
          <w:p w14:paraId="0C058985"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6.8</w:t>
            </w:r>
          </w:p>
        </w:tc>
        <w:tc>
          <w:tcPr>
            <w:tcW w:w="1190" w:type="dxa"/>
            <w:vAlign w:val="center"/>
          </w:tcPr>
          <w:p w14:paraId="4B79770D"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145</w:t>
            </w:r>
          </w:p>
        </w:tc>
        <w:tc>
          <w:tcPr>
            <w:tcW w:w="2760" w:type="dxa"/>
            <w:vMerge w:val="restart"/>
            <w:shd w:val="clear" w:color="auto" w:fill="auto"/>
            <w:noWrap/>
            <w:hideMark/>
          </w:tcPr>
          <w:p w14:paraId="0DD90F5C"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Intervention costs (macro-costing)</w:t>
            </w:r>
          </w:p>
          <w:p w14:paraId="5B2EE388"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br/>
              <w:t>Dental treatment costs (check-up, diagnostic and preventive treatment, restorations, extractions)</w:t>
            </w:r>
          </w:p>
          <w:p w14:paraId="30DBD191"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br/>
              <w:t>Opportunity costs lost (travel and treatment time)</w:t>
            </w:r>
          </w:p>
          <w:p w14:paraId="7C03767F"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br/>
              <w:t>Travel costs</w:t>
            </w:r>
          </w:p>
        </w:tc>
        <w:tc>
          <w:tcPr>
            <w:tcW w:w="1190" w:type="dxa"/>
            <w:gridSpan w:val="2"/>
            <w:vMerge w:val="restart"/>
            <w:shd w:val="clear" w:color="auto" w:fill="auto"/>
            <w:noWrap/>
            <w:vAlign w:val="center"/>
            <w:hideMark/>
          </w:tcPr>
          <w:p w14:paraId="2BE5E9A3"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N/A</w:t>
            </w:r>
          </w:p>
        </w:tc>
        <w:tc>
          <w:tcPr>
            <w:tcW w:w="1978" w:type="dxa"/>
            <w:vMerge w:val="restart"/>
            <w:shd w:val="clear" w:color="auto" w:fill="auto"/>
            <w:noWrap/>
            <w:hideMark/>
          </w:tcPr>
          <w:p w14:paraId="2E40E3AA"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 xml:space="preserve">Costs (AU$) per </w:t>
            </w:r>
            <w:proofErr w:type="spellStart"/>
            <w:r w:rsidRPr="00800A49">
              <w:rPr>
                <w:rFonts w:ascii="Times New Roman" w:eastAsia="Times New Roman" w:hAnsi="Times New Roman" w:cs="Times New Roman"/>
                <w:color w:val="000000"/>
                <w:sz w:val="18"/>
                <w:szCs w:val="18"/>
                <w:lang w:eastAsia="en-AU"/>
              </w:rPr>
              <w:t>dmft</w:t>
            </w:r>
            <w:proofErr w:type="spellEnd"/>
            <w:r w:rsidRPr="00800A49">
              <w:rPr>
                <w:rFonts w:ascii="Times New Roman" w:eastAsia="Times New Roman" w:hAnsi="Times New Roman" w:cs="Times New Roman"/>
                <w:color w:val="000000"/>
                <w:sz w:val="18"/>
                <w:szCs w:val="18"/>
                <w:lang w:eastAsia="en-AU"/>
              </w:rPr>
              <w:t xml:space="preserve">/DFMT averted; costs per QATY gained; costs per 1% of </w:t>
            </w:r>
            <w:proofErr w:type="gramStart"/>
            <w:r w:rsidRPr="00800A49">
              <w:rPr>
                <w:rFonts w:ascii="Times New Roman" w:eastAsia="Times New Roman" w:hAnsi="Times New Roman" w:cs="Times New Roman"/>
                <w:color w:val="000000"/>
                <w:sz w:val="18"/>
                <w:szCs w:val="18"/>
                <w:lang w:eastAsia="en-AU"/>
              </w:rPr>
              <w:t>card-holder</w:t>
            </w:r>
            <w:proofErr w:type="gramEnd"/>
            <w:r w:rsidRPr="00800A49">
              <w:rPr>
                <w:rFonts w:ascii="Times New Roman" w:eastAsia="Times New Roman" w:hAnsi="Times New Roman" w:cs="Times New Roman"/>
                <w:color w:val="000000"/>
                <w:sz w:val="18"/>
                <w:szCs w:val="18"/>
                <w:lang w:eastAsia="en-AU"/>
              </w:rPr>
              <w:t xml:space="preserve"> reached (card holder as a proxy for level of socioeconomic disadvantage)</w:t>
            </w:r>
          </w:p>
          <w:p w14:paraId="0A6AB53F"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ICER: 3,252 (-1321; 6344</w:t>
            </w:r>
            <w:proofErr w:type="gramStart"/>
            <w:r w:rsidRPr="00800A49">
              <w:rPr>
                <w:rFonts w:ascii="Times New Roman" w:eastAsia="Times New Roman" w:hAnsi="Times New Roman" w:cs="Times New Roman"/>
                <w:color w:val="000000"/>
                <w:sz w:val="18"/>
                <w:szCs w:val="18"/>
                <w:lang w:eastAsia="en-AU"/>
              </w:rPr>
              <w:t>);</w:t>
            </w:r>
            <w:proofErr w:type="gramEnd"/>
          </w:p>
          <w:p w14:paraId="3AB7E61D"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-16,507 (-37322; 2722) (dominant); -10.6 (-31.5; -19.2) (dominant)</w:t>
            </w:r>
          </w:p>
          <w:p w14:paraId="3C03B12A"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p>
          <w:p w14:paraId="74B06ECC"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Cost-effective = Yes</w:t>
            </w:r>
          </w:p>
        </w:tc>
        <w:tc>
          <w:tcPr>
            <w:tcW w:w="1134" w:type="dxa"/>
            <w:vMerge w:val="restart"/>
            <w:vAlign w:val="center"/>
          </w:tcPr>
          <w:p w14:paraId="2F978072"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Good</w:t>
            </w:r>
          </w:p>
        </w:tc>
      </w:tr>
      <w:tr w:rsidR="008461EA" w:rsidRPr="00800A49" w14:paraId="5354FF1C" w14:textId="77777777" w:rsidTr="00720BDC">
        <w:trPr>
          <w:trHeight w:val="300"/>
        </w:trPr>
        <w:tc>
          <w:tcPr>
            <w:tcW w:w="1128" w:type="dxa"/>
            <w:vMerge/>
            <w:shd w:val="clear" w:color="auto" w:fill="auto"/>
            <w:noWrap/>
          </w:tcPr>
          <w:p w14:paraId="1C45F4E9"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p>
        </w:tc>
        <w:tc>
          <w:tcPr>
            <w:tcW w:w="283" w:type="dxa"/>
            <w:vAlign w:val="center"/>
          </w:tcPr>
          <w:p w14:paraId="42D153A7"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C</w:t>
            </w:r>
          </w:p>
        </w:tc>
        <w:tc>
          <w:tcPr>
            <w:tcW w:w="709" w:type="dxa"/>
            <w:vAlign w:val="center"/>
          </w:tcPr>
          <w:p w14:paraId="738312AB"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N/A</w:t>
            </w:r>
          </w:p>
        </w:tc>
        <w:tc>
          <w:tcPr>
            <w:tcW w:w="2409" w:type="dxa"/>
            <w:shd w:val="clear" w:color="auto" w:fill="auto"/>
            <w:noWrap/>
            <w:vAlign w:val="center"/>
          </w:tcPr>
          <w:p w14:paraId="067024A2"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Standard care</w:t>
            </w:r>
          </w:p>
        </w:tc>
        <w:tc>
          <w:tcPr>
            <w:tcW w:w="1105" w:type="dxa"/>
            <w:vMerge/>
            <w:vAlign w:val="center"/>
          </w:tcPr>
          <w:p w14:paraId="173A0DBB"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851" w:type="dxa"/>
            <w:vMerge/>
            <w:vAlign w:val="center"/>
          </w:tcPr>
          <w:p w14:paraId="292D7F39"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851" w:type="dxa"/>
            <w:shd w:val="clear" w:color="auto" w:fill="auto"/>
            <w:noWrap/>
            <w:vAlign w:val="center"/>
          </w:tcPr>
          <w:p w14:paraId="517681B3"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Mean</w:t>
            </w:r>
          </w:p>
          <w:p w14:paraId="4A5AA19E"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7.2</w:t>
            </w:r>
          </w:p>
        </w:tc>
        <w:tc>
          <w:tcPr>
            <w:tcW w:w="1190" w:type="dxa"/>
            <w:vAlign w:val="center"/>
          </w:tcPr>
          <w:p w14:paraId="11F71254"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128</w:t>
            </w:r>
          </w:p>
          <w:p w14:paraId="4E86D185"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2760" w:type="dxa"/>
            <w:vMerge/>
            <w:shd w:val="clear" w:color="auto" w:fill="auto"/>
            <w:noWrap/>
          </w:tcPr>
          <w:p w14:paraId="2520AD37"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p>
        </w:tc>
        <w:tc>
          <w:tcPr>
            <w:tcW w:w="1190" w:type="dxa"/>
            <w:gridSpan w:val="2"/>
            <w:vMerge/>
            <w:shd w:val="clear" w:color="auto" w:fill="auto"/>
            <w:noWrap/>
            <w:vAlign w:val="center"/>
          </w:tcPr>
          <w:p w14:paraId="71A1DEE9"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1978" w:type="dxa"/>
            <w:vMerge/>
            <w:shd w:val="clear" w:color="auto" w:fill="auto"/>
            <w:noWrap/>
          </w:tcPr>
          <w:p w14:paraId="69F178DE"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p>
        </w:tc>
        <w:tc>
          <w:tcPr>
            <w:tcW w:w="1134" w:type="dxa"/>
            <w:vMerge/>
            <w:vAlign w:val="center"/>
          </w:tcPr>
          <w:p w14:paraId="6FB6CFF6"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r>
      <w:tr w:rsidR="008461EA" w:rsidRPr="00800A49" w14:paraId="155F511F" w14:textId="77777777" w:rsidTr="00720BDC">
        <w:trPr>
          <w:trHeight w:val="655"/>
        </w:trPr>
        <w:tc>
          <w:tcPr>
            <w:tcW w:w="1128" w:type="dxa"/>
            <w:vMerge w:val="restart"/>
            <w:shd w:val="clear" w:color="auto" w:fill="auto"/>
            <w:noWrap/>
            <w:hideMark/>
          </w:tcPr>
          <w:p w14:paraId="7ECBC0FD"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Nguyen et al., 2019</w:t>
            </w:r>
          </w:p>
        </w:tc>
        <w:tc>
          <w:tcPr>
            <w:tcW w:w="283" w:type="dxa"/>
            <w:vAlign w:val="center"/>
          </w:tcPr>
          <w:p w14:paraId="69B7B8B9"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I</w:t>
            </w:r>
          </w:p>
        </w:tc>
        <w:tc>
          <w:tcPr>
            <w:tcW w:w="709" w:type="dxa"/>
            <w:vAlign w:val="center"/>
          </w:tcPr>
          <w:p w14:paraId="48367323"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Ind.</w:t>
            </w:r>
          </w:p>
        </w:tc>
        <w:tc>
          <w:tcPr>
            <w:tcW w:w="2409" w:type="dxa"/>
            <w:shd w:val="clear" w:color="auto" w:fill="auto"/>
            <w:noWrap/>
            <w:vAlign w:val="center"/>
            <w:hideMark/>
          </w:tcPr>
          <w:p w14:paraId="6BEBEF10"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6-monthly fluoride varnish and standard care</w:t>
            </w:r>
          </w:p>
        </w:tc>
        <w:tc>
          <w:tcPr>
            <w:tcW w:w="1105" w:type="dxa"/>
            <w:vMerge w:val="restart"/>
            <w:vAlign w:val="center"/>
          </w:tcPr>
          <w:p w14:paraId="553F217D"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Healthcare</w:t>
            </w:r>
          </w:p>
        </w:tc>
        <w:tc>
          <w:tcPr>
            <w:tcW w:w="851" w:type="dxa"/>
            <w:vMerge w:val="restart"/>
            <w:vAlign w:val="center"/>
          </w:tcPr>
          <w:p w14:paraId="71F488CE"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70 years</w:t>
            </w:r>
          </w:p>
        </w:tc>
        <w:tc>
          <w:tcPr>
            <w:tcW w:w="851" w:type="dxa"/>
            <w:vMerge w:val="restart"/>
            <w:shd w:val="clear" w:color="auto" w:fill="auto"/>
            <w:noWrap/>
            <w:vAlign w:val="center"/>
            <w:hideMark/>
          </w:tcPr>
          <w:p w14:paraId="4D314337"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15</w:t>
            </w:r>
          </w:p>
        </w:tc>
        <w:tc>
          <w:tcPr>
            <w:tcW w:w="1190" w:type="dxa"/>
            <w:vMerge w:val="restart"/>
            <w:vAlign w:val="center"/>
          </w:tcPr>
          <w:p w14:paraId="75EC82E6"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Individual</w:t>
            </w:r>
          </w:p>
        </w:tc>
        <w:tc>
          <w:tcPr>
            <w:tcW w:w="2760" w:type="dxa"/>
            <w:vMerge w:val="restart"/>
            <w:shd w:val="clear" w:color="auto" w:fill="auto"/>
            <w:noWrap/>
            <w:hideMark/>
          </w:tcPr>
          <w:p w14:paraId="0D669D4E"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Intervention costs (macro-costing)</w:t>
            </w:r>
          </w:p>
          <w:p w14:paraId="34AD749B"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br/>
              <w:t>Dental treatment costs (restorations, repeat restorations, root canal treatment, crown extraction, bridge, implant)</w:t>
            </w:r>
          </w:p>
        </w:tc>
        <w:tc>
          <w:tcPr>
            <w:tcW w:w="1190" w:type="dxa"/>
            <w:gridSpan w:val="2"/>
            <w:vMerge w:val="restart"/>
            <w:shd w:val="clear" w:color="auto" w:fill="auto"/>
            <w:noWrap/>
            <w:vAlign w:val="center"/>
          </w:tcPr>
          <w:p w14:paraId="7D5F2BC8"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5%</w:t>
            </w:r>
          </w:p>
        </w:tc>
        <w:tc>
          <w:tcPr>
            <w:tcW w:w="1978" w:type="dxa"/>
            <w:vMerge w:val="restart"/>
            <w:shd w:val="clear" w:color="auto" w:fill="auto"/>
            <w:noWrap/>
            <w:hideMark/>
          </w:tcPr>
          <w:p w14:paraId="471F90D1"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Costs (AU$) per DMFT averted; costs per QALY gained</w:t>
            </w:r>
          </w:p>
          <w:p w14:paraId="210370D4"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ICER: 849 (494; 1,453</w:t>
            </w:r>
            <w:proofErr w:type="gramStart"/>
            <w:r w:rsidRPr="00800A49">
              <w:rPr>
                <w:rFonts w:ascii="Times New Roman" w:eastAsia="Times New Roman" w:hAnsi="Times New Roman" w:cs="Times New Roman"/>
                <w:color w:val="000000"/>
                <w:sz w:val="18"/>
                <w:szCs w:val="18"/>
                <w:lang w:eastAsia="en-AU"/>
              </w:rPr>
              <w:t>);</w:t>
            </w:r>
            <w:proofErr w:type="gramEnd"/>
          </w:p>
          <w:p w14:paraId="1C0C32C2"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ICER: 1,851 (1,142; 3,042)</w:t>
            </w:r>
          </w:p>
          <w:p w14:paraId="1B0409BB"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p>
          <w:p w14:paraId="04F608D4"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Cost-effective = Yes; WTP AU$28,033 per QALY gained</w:t>
            </w:r>
          </w:p>
        </w:tc>
        <w:tc>
          <w:tcPr>
            <w:tcW w:w="1134" w:type="dxa"/>
            <w:vMerge w:val="restart"/>
            <w:vAlign w:val="center"/>
          </w:tcPr>
          <w:p w14:paraId="6DBD61D6"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Good</w:t>
            </w:r>
          </w:p>
        </w:tc>
      </w:tr>
      <w:tr w:rsidR="008461EA" w:rsidRPr="00800A49" w14:paraId="18B0537B" w14:textId="77777777" w:rsidTr="00720BDC">
        <w:trPr>
          <w:trHeight w:val="300"/>
        </w:trPr>
        <w:tc>
          <w:tcPr>
            <w:tcW w:w="1128" w:type="dxa"/>
            <w:vMerge/>
            <w:shd w:val="clear" w:color="auto" w:fill="auto"/>
            <w:noWrap/>
            <w:vAlign w:val="center"/>
          </w:tcPr>
          <w:p w14:paraId="04B7C7D7"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283" w:type="dxa"/>
            <w:vAlign w:val="center"/>
          </w:tcPr>
          <w:p w14:paraId="197A31B7"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C</w:t>
            </w:r>
          </w:p>
        </w:tc>
        <w:tc>
          <w:tcPr>
            <w:tcW w:w="709" w:type="dxa"/>
            <w:vAlign w:val="center"/>
          </w:tcPr>
          <w:p w14:paraId="7FD1EC34"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N/A</w:t>
            </w:r>
          </w:p>
        </w:tc>
        <w:tc>
          <w:tcPr>
            <w:tcW w:w="2409" w:type="dxa"/>
            <w:shd w:val="clear" w:color="auto" w:fill="auto"/>
            <w:noWrap/>
            <w:vAlign w:val="center"/>
          </w:tcPr>
          <w:p w14:paraId="335F85F8"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Standard care</w:t>
            </w:r>
          </w:p>
        </w:tc>
        <w:tc>
          <w:tcPr>
            <w:tcW w:w="1105" w:type="dxa"/>
            <w:vMerge/>
            <w:vAlign w:val="center"/>
          </w:tcPr>
          <w:p w14:paraId="72A35754"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851" w:type="dxa"/>
            <w:vMerge/>
          </w:tcPr>
          <w:p w14:paraId="7F5A225B"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851" w:type="dxa"/>
            <w:vMerge/>
            <w:shd w:val="clear" w:color="auto" w:fill="auto"/>
            <w:noWrap/>
            <w:vAlign w:val="center"/>
          </w:tcPr>
          <w:p w14:paraId="3FE4EC2D"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1190" w:type="dxa"/>
            <w:vMerge/>
            <w:vAlign w:val="center"/>
          </w:tcPr>
          <w:p w14:paraId="4C456293"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2760" w:type="dxa"/>
            <w:vMerge/>
            <w:shd w:val="clear" w:color="auto" w:fill="auto"/>
            <w:noWrap/>
          </w:tcPr>
          <w:p w14:paraId="1CE36E48"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p>
        </w:tc>
        <w:tc>
          <w:tcPr>
            <w:tcW w:w="1190" w:type="dxa"/>
            <w:gridSpan w:val="2"/>
            <w:vMerge/>
            <w:shd w:val="clear" w:color="auto" w:fill="auto"/>
            <w:noWrap/>
            <w:vAlign w:val="center"/>
          </w:tcPr>
          <w:p w14:paraId="5C0A8191"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1978" w:type="dxa"/>
            <w:vMerge/>
            <w:shd w:val="clear" w:color="auto" w:fill="auto"/>
            <w:noWrap/>
            <w:vAlign w:val="center"/>
          </w:tcPr>
          <w:p w14:paraId="1A198779"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1134" w:type="dxa"/>
            <w:vMerge/>
            <w:vAlign w:val="center"/>
          </w:tcPr>
          <w:p w14:paraId="606EE0BB"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r>
      <w:tr w:rsidR="008461EA" w:rsidRPr="00800A49" w14:paraId="11027165" w14:textId="77777777" w:rsidTr="00720BDC">
        <w:trPr>
          <w:trHeight w:val="300"/>
        </w:trPr>
        <w:tc>
          <w:tcPr>
            <w:tcW w:w="1128" w:type="dxa"/>
            <w:vMerge w:val="restart"/>
            <w:shd w:val="clear" w:color="auto" w:fill="auto"/>
            <w:noWrap/>
            <w:hideMark/>
          </w:tcPr>
          <w:p w14:paraId="3F7F5E97"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 xml:space="preserve">Norrie and </w:t>
            </w:r>
            <w:proofErr w:type="spellStart"/>
            <w:r w:rsidRPr="00800A49">
              <w:rPr>
                <w:rFonts w:ascii="Times New Roman" w:eastAsia="Times New Roman" w:hAnsi="Times New Roman" w:cs="Times New Roman"/>
                <w:color w:val="000000"/>
                <w:sz w:val="18"/>
                <w:szCs w:val="18"/>
                <w:lang w:eastAsia="en-AU"/>
              </w:rPr>
              <w:t>Pharand</w:t>
            </w:r>
            <w:proofErr w:type="spellEnd"/>
            <w:r w:rsidRPr="00800A49">
              <w:rPr>
                <w:rFonts w:ascii="Times New Roman" w:eastAsia="Times New Roman" w:hAnsi="Times New Roman" w:cs="Times New Roman"/>
                <w:color w:val="000000"/>
                <w:sz w:val="18"/>
                <w:szCs w:val="18"/>
                <w:lang w:eastAsia="en-AU"/>
              </w:rPr>
              <w:t>, 2020</w:t>
            </w:r>
          </w:p>
        </w:tc>
        <w:tc>
          <w:tcPr>
            <w:tcW w:w="283" w:type="dxa"/>
            <w:vAlign w:val="center"/>
          </w:tcPr>
          <w:p w14:paraId="145C9695"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I</w:t>
            </w:r>
          </w:p>
        </w:tc>
        <w:tc>
          <w:tcPr>
            <w:tcW w:w="709" w:type="dxa"/>
            <w:vAlign w:val="center"/>
          </w:tcPr>
          <w:p w14:paraId="3F098FCC"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Sel.</w:t>
            </w:r>
          </w:p>
        </w:tc>
        <w:tc>
          <w:tcPr>
            <w:tcW w:w="2409" w:type="dxa"/>
            <w:shd w:val="clear" w:color="auto" w:fill="auto"/>
            <w:noWrap/>
            <w:vAlign w:val="center"/>
            <w:hideMark/>
          </w:tcPr>
          <w:p w14:paraId="6CDE4B64"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 xml:space="preserve">Targeted 3-monthly fluoride varnish applied in early childhood </w:t>
            </w:r>
            <w:proofErr w:type="spellStart"/>
            <w:r w:rsidRPr="00800A49">
              <w:rPr>
                <w:rFonts w:ascii="Times New Roman" w:eastAsia="Times New Roman" w:hAnsi="Times New Roman" w:cs="Times New Roman"/>
                <w:color w:val="000000"/>
                <w:sz w:val="18"/>
                <w:szCs w:val="18"/>
                <w:lang w:eastAsia="en-AU"/>
              </w:rPr>
              <w:t>daycare</w:t>
            </w:r>
            <w:proofErr w:type="spellEnd"/>
            <w:r w:rsidRPr="00800A49">
              <w:rPr>
                <w:rFonts w:ascii="Times New Roman" w:eastAsia="Times New Roman" w:hAnsi="Times New Roman" w:cs="Times New Roman"/>
                <w:color w:val="000000"/>
                <w:sz w:val="18"/>
                <w:szCs w:val="18"/>
                <w:lang w:eastAsia="en-AU"/>
              </w:rPr>
              <w:t xml:space="preserve"> settings</w:t>
            </w:r>
          </w:p>
        </w:tc>
        <w:tc>
          <w:tcPr>
            <w:tcW w:w="1105" w:type="dxa"/>
            <w:vMerge w:val="restart"/>
            <w:vAlign w:val="center"/>
          </w:tcPr>
          <w:p w14:paraId="26FF23B5"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Societal</w:t>
            </w:r>
          </w:p>
        </w:tc>
        <w:tc>
          <w:tcPr>
            <w:tcW w:w="851" w:type="dxa"/>
            <w:vMerge w:val="restart"/>
            <w:vAlign w:val="center"/>
          </w:tcPr>
          <w:p w14:paraId="25098B48"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5 years</w:t>
            </w:r>
          </w:p>
        </w:tc>
        <w:tc>
          <w:tcPr>
            <w:tcW w:w="851" w:type="dxa"/>
            <w:vMerge w:val="restart"/>
            <w:shd w:val="clear" w:color="auto" w:fill="auto"/>
            <w:noWrap/>
            <w:vAlign w:val="center"/>
            <w:hideMark/>
          </w:tcPr>
          <w:p w14:paraId="7A31094B"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1</w:t>
            </w:r>
          </w:p>
        </w:tc>
        <w:tc>
          <w:tcPr>
            <w:tcW w:w="1190" w:type="dxa"/>
            <w:vMerge w:val="restart"/>
            <w:vAlign w:val="center"/>
          </w:tcPr>
          <w:p w14:paraId="463E6EAB"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Individual</w:t>
            </w:r>
          </w:p>
        </w:tc>
        <w:tc>
          <w:tcPr>
            <w:tcW w:w="2760" w:type="dxa"/>
            <w:vMerge w:val="restart"/>
            <w:shd w:val="clear" w:color="auto" w:fill="auto"/>
            <w:noWrap/>
            <w:hideMark/>
          </w:tcPr>
          <w:p w14:paraId="642869AA"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Interventions costs (labour and consumables)</w:t>
            </w:r>
          </w:p>
          <w:p w14:paraId="7D6A8CE6"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br/>
              <w:t>Dental treatment costs (dental visit, restorations, dental treatment under general anaesthesia)</w:t>
            </w:r>
          </w:p>
        </w:tc>
        <w:tc>
          <w:tcPr>
            <w:tcW w:w="634" w:type="dxa"/>
            <w:vMerge w:val="restart"/>
            <w:shd w:val="clear" w:color="auto" w:fill="auto"/>
            <w:noWrap/>
            <w:vAlign w:val="center"/>
            <w:hideMark/>
          </w:tcPr>
          <w:p w14:paraId="7BAC5434"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3%</w:t>
            </w:r>
          </w:p>
        </w:tc>
        <w:tc>
          <w:tcPr>
            <w:tcW w:w="556" w:type="dxa"/>
            <w:vMerge w:val="restart"/>
            <w:vAlign w:val="center"/>
          </w:tcPr>
          <w:p w14:paraId="1D274A73"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N/R</w:t>
            </w:r>
          </w:p>
        </w:tc>
        <w:tc>
          <w:tcPr>
            <w:tcW w:w="1978" w:type="dxa"/>
            <w:vMerge w:val="restart"/>
            <w:shd w:val="clear" w:color="auto" w:fill="auto"/>
            <w:noWrap/>
            <w:hideMark/>
          </w:tcPr>
          <w:p w14:paraId="075FE57D"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Costs (CA$) per cavities averted</w:t>
            </w:r>
            <w:r w:rsidRPr="00800A49">
              <w:rPr>
                <w:rFonts w:ascii="Times New Roman" w:eastAsia="Times New Roman" w:hAnsi="Times New Roman" w:cs="Times New Roman"/>
                <w:color w:val="000000"/>
                <w:sz w:val="18"/>
                <w:szCs w:val="18"/>
                <w:lang w:eastAsia="en-AU"/>
              </w:rPr>
              <w:br/>
              <w:t>ICER: -187.71 (dominant)</w:t>
            </w:r>
          </w:p>
          <w:p w14:paraId="04F3995F"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p>
          <w:p w14:paraId="104F8464"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Cost-effective = Yes</w:t>
            </w:r>
          </w:p>
        </w:tc>
        <w:tc>
          <w:tcPr>
            <w:tcW w:w="1134" w:type="dxa"/>
            <w:vMerge w:val="restart"/>
            <w:vAlign w:val="center"/>
          </w:tcPr>
          <w:p w14:paraId="5596B09E"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Good</w:t>
            </w:r>
          </w:p>
        </w:tc>
      </w:tr>
      <w:tr w:rsidR="008461EA" w:rsidRPr="00800A49" w14:paraId="4540B380" w14:textId="77777777" w:rsidTr="00720BDC">
        <w:trPr>
          <w:trHeight w:val="300"/>
        </w:trPr>
        <w:tc>
          <w:tcPr>
            <w:tcW w:w="1128" w:type="dxa"/>
            <w:vMerge/>
            <w:shd w:val="clear" w:color="auto" w:fill="auto"/>
            <w:noWrap/>
          </w:tcPr>
          <w:p w14:paraId="25C4FAEC"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p>
        </w:tc>
        <w:tc>
          <w:tcPr>
            <w:tcW w:w="283" w:type="dxa"/>
            <w:vAlign w:val="center"/>
          </w:tcPr>
          <w:p w14:paraId="10DAF14D"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C</w:t>
            </w:r>
          </w:p>
        </w:tc>
        <w:tc>
          <w:tcPr>
            <w:tcW w:w="709" w:type="dxa"/>
            <w:vAlign w:val="center"/>
          </w:tcPr>
          <w:p w14:paraId="3A67C7FA"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N/A</w:t>
            </w:r>
          </w:p>
        </w:tc>
        <w:tc>
          <w:tcPr>
            <w:tcW w:w="2409" w:type="dxa"/>
            <w:shd w:val="clear" w:color="auto" w:fill="auto"/>
            <w:noWrap/>
            <w:vAlign w:val="center"/>
          </w:tcPr>
          <w:p w14:paraId="3A6F93B8"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Dental treatment under general anaesthesia</w:t>
            </w:r>
          </w:p>
        </w:tc>
        <w:tc>
          <w:tcPr>
            <w:tcW w:w="1105" w:type="dxa"/>
            <w:vMerge/>
            <w:vAlign w:val="center"/>
          </w:tcPr>
          <w:p w14:paraId="6582C1C6"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851" w:type="dxa"/>
            <w:vMerge/>
            <w:vAlign w:val="center"/>
          </w:tcPr>
          <w:p w14:paraId="6450B127"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851" w:type="dxa"/>
            <w:vMerge/>
            <w:shd w:val="clear" w:color="auto" w:fill="auto"/>
            <w:noWrap/>
            <w:vAlign w:val="center"/>
          </w:tcPr>
          <w:p w14:paraId="06A91869"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1190" w:type="dxa"/>
            <w:vMerge/>
            <w:vAlign w:val="center"/>
          </w:tcPr>
          <w:p w14:paraId="201A358F"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2760" w:type="dxa"/>
            <w:vMerge/>
            <w:shd w:val="clear" w:color="auto" w:fill="auto"/>
            <w:noWrap/>
          </w:tcPr>
          <w:p w14:paraId="28857861"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p>
        </w:tc>
        <w:tc>
          <w:tcPr>
            <w:tcW w:w="634" w:type="dxa"/>
            <w:vMerge/>
            <w:shd w:val="clear" w:color="auto" w:fill="auto"/>
            <w:noWrap/>
            <w:vAlign w:val="center"/>
          </w:tcPr>
          <w:p w14:paraId="2367FB61"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556" w:type="dxa"/>
            <w:vMerge/>
            <w:vAlign w:val="center"/>
          </w:tcPr>
          <w:p w14:paraId="67237F6B"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1978" w:type="dxa"/>
            <w:vMerge/>
            <w:shd w:val="clear" w:color="auto" w:fill="auto"/>
            <w:noWrap/>
          </w:tcPr>
          <w:p w14:paraId="57DC1B23"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p>
        </w:tc>
        <w:tc>
          <w:tcPr>
            <w:tcW w:w="1134" w:type="dxa"/>
            <w:vMerge/>
            <w:vAlign w:val="center"/>
          </w:tcPr>
          <w:p w14:paraId="320A03CE"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r>
      <w:tr w:rsidR="008461EA" w:rsidRPr="00800A49" w14:paraId="0DA5DD75" w14:textId="77777777" w:rsidTr="00720BDC">
        <w:trPr>
          <w:trHeight w:val="850"/>
        </w:trPr>
        <w:tc>
          <w:tcPr>
            <w:tcW w:w="1128" w:type="dxa"/>
            <w:vMerge w:val="restart"/>
            <w:shd w:val="clear" w:color="auto" w:fill="auto"/>
            <w:noWrap/>
            <w:hideMark/>
          </w:tcPr>
          <w:p w14:paraId="5E332225"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O'Connell et al., 2005</w:t>
            </w:r>
          </w:p>
        </w:tc>
        <w:tc>
          <w:tcPr>
            <w:tcW w:w="283" w:type="dxa"/>
            <w:vAlign w:val="center"/>
          </w:tcPr>
          <w:p w14:paraId="6AB1CDD0"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I</w:t>
            </w:r>
          </w:p>
        </w:tc>
        <w:tc>
          <w:tcPr>
            <w:tcW w:w="709" w:type="dxa"/>
            <w:vAlign w:val="center"/>
          </w:tcPr>
          <w:p w14:paraId="4231A5BD"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Uni.</w:t>
            </w:r>
          </w:p>
        </w:tc>
        <w:tc>
          <w:tcPr>
            <w:tcW w:w="2409" w:type="dxa"/>
            <w:shd w:val="clear" w:color="auto" w:fill="auto"/>
            <w:noWrap/>
            <w:vAlign w:val="center"/>
            <w:hideMark/>
          </w:tcPr>
          <w:p w14:paraId="05B02333"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Water fluoridation</w:t>
            </w:r>
          </w:p>
        </w:tc>
        <w:tc>
          <w:tcPr>
            <w:tcW w:w="1105" w:type="dxa"/>
            <w:vMerge w:val="restart"/>
            <w:vAlign w:val="center"/>
          </w:tcPr>
          <w:p w14:paraId="5142FF58"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Societal</w:t>
            </w:r>
          </w:p>
        </w:tc>
        <w:tc>
          <w:tcPr>
            <w:tcW w:w="851" w:type="dxa"/>
            <w:vMerge w:val="restart"/>
            <w:vAlign w:val="center"/>
          </w:tcPr>
          <w:p w14:paraId="124AA611"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Lifetime</w:t>
            </w:r>
          </w:p>
        </w:tc>
        <w:tc>
          <w:tcPr>
            <w:tcW w:w="851" w:type="dxa"/>
            <w:vMerge w:val="restart"/>
            <w:shd w:val="clear" w:color="auto" w:fill="auto"/>
            <w:noWrap/>
            <w:vAlign w:val="center"/>
            <w:hideMark/>
          </w:tcPr>
          <w:p w14:paraId="54D19E82"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&gt;5</w:t>
            </w:r>
          </w:p>
        </w:tc>
        <w:tc>
          <w:tcPr>
            <w:tcW w:w="1190" w:type="dxa"/>
            <w:vMerge w:val="restart"/>
            <w:vAlign w:val="center"/>
          </w:tcPr>
          <w:p w14:paraId="08BAD43F"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769,287</w:t>
            </w:r>
          </w:p>
        </w:tc>
        <w:tc>
          <w:tcPr>
            <w:tcW w:w="2760" w:type="dxa"/>
            <w:vMerge w:val="restart"/>
            <w:shd w:val="clear" w:color="auto" w:fill="auto"/>
            <w:noWrap/>
            <w:hideMark/>
          </w:tcPr>
          <w:p w14:paraId="026D2166"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Intervention costs (capital and maintenance)</w:t>
            </w:r>
          </w:p>
          <w:p w14:paraId="2FA6F57C"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br/>
              <w:t>Dental treatment costs (restorations, repeat restorations, crown, extraction)</w:t>
            </w:r>
          </w:p>
          <w:p w14:paraId="33246F11"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br/>
              <w:t>Opportunity costs lost (travel and dental treatment time)</w:t>
            </w:r>
          </w:p>
        </w:tc>
        <w:tc>
          <w:tcPr>
            <w:tcW w:w="634" w:type="dxa"/>
            <w:vMerge w:val="restart"/>
            <w:shd w:val="clear" w:color="auto" w:fill="auto"/>
            <w:noWrap/>
            <w:vAlign w:val="center"/>
          </w:tcPr>
          <w:p w14:paraId="17C5A191"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3%</w:t>
            </w:r>
          </w:p>
        </w:tc>
        <w:tc>
          <w:tcPr>
            <w:tcW w:w="556" w:type="dxa"/>
            <w:vMerge w:val="restart"/>
            <w:vAlign w:val="center"/>
          </w:tcPr>
          <w:p w14:paraId="13D3E89B"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N/A</w:t>
            </w:r>
          </w:p>
        </w:tc>
        <w:tc>
          <w:tcPr>
            <w:tcW w:w="1978" w:type="dxa"/>
            <w:vMerge w:val="restart"/>
            <w:shd w:val="clear" w:color="auto" w:fill="auto"/>
            <w:noWrap/>
            <w:hideMark/>
          </w:tcPr>
          <w:p w14:paraId="438F4D3D"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Net benefits/costs:</w:t>
            </w:r>
          </w:p>
          <w:p w14:paraId="6B92E936"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-US$148.9 million (115.1; 187.2)</w:t>
            </w:r>
          </w:p>
          <w:p w14:paraId="7E09A477"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p>
          <w:p w14:paraId="52F76024"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Cost-saving = Yes</w:t>
            </w:r>
          </w:p>
        </w:tc>
        <w:tc>
          <w:tcPr>
            <w:tcW w:w="1134" w:type="dxa"/>
            <w:vMerge w:val="restart"/>
            <w:vAlign w:val="center"/>
          </w:tcPr>
          <w:p w14:paraId="7730291B"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Good</w:t>
            </w:r>
          </w:p>
        </w:tc>
      </w:tr>
      <w:tr w:rsidR="008461EA" w:rsidRPr="00800A49" w14:paraId="2033A43E" w14:textId="77777777" w:rsidTr="00720BDC">
        <w:trPr>
          <w:trHeight w:val="1239"/>
        </w:trPr>
        <w:tc>
          <w:tcPr>
            <w:tcW w:w="1128" w:type="dxa"/>
            <w:vMerge/>
            <w:shd w:val="clear" w:color="auto" w:fill="auto"/>
            <w:noWrap/>
          </w:tcPr>
          <w:p w14:paraId="2F2D93AB"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p>
        </w:tc>
        <w:tc>
          <w:tcPr>
            <w:tcW w:w="283" w:type="dxa"/>
            <w:vAlign w:val="center"/>
          </w:tcPr>
          <w:p w14:paraId="0286C983"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C</w:t>
            </w:r>
          </w:p>
        </w:tc>
        <w:tc>
          <w:tcPr>
            <w:tcW w:w="709" w:type="dxa"/>
            <w:vAlign w:val="center"/>
          </w:tcPr>
          <w:p w14:paraId="07ED5786"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N/A</w:t>
            </w:r>
          </w:p>
        </w:tc>
        <w:tc>
          <w:tcPr>
            <w:tcW w:w="2409" w:type="dxa"/>
            <w:shd w:val="clear" w:color="auto" w:fill="auto"/>
            <w:noWrap/>
            <w:vAlign w:val="center"/>
          </w:tcPr>
          <w:p w14:paraId="3743543F"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No intervention</w:t>
            </w:r>
          </w:p>
        </w:tc>
        <w:tc>
          <w:tcPr>
            <w:tcW w:w="1105" w:type="dxa"/>
            <w:vMerge/>
            <w:vAlign w:val="center"/>
          </w:tcPr>
          <w:p w14:paraId="2D03D7EF"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851" w:type="dxa"/>
            <w:vMerge/>
            <w:vAlign w:val="center"/>
          </w:tcPr>
          <w:p w14:paraId="077FBB54"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851" w:type="dxa"/>
            <w:vMerge/>
            <w:shd w:val="clear" w:color="auto" w:fill="auto"/>
            <w:noWrap/>
            <w:vAlign w:val="center"/>
          </w:tcPr>
          <w:p w14:paraId="4A422E47"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1190" w:type="dxa"/>
            <w:vMerge/>
            <w:vAlign w:val="center"/>
          </w:tcPr>
          <w:p w14:paraId="67F62C70"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2760" w:type="dxa"/>
            <w:vMerge/>
            <w:shd w:val="clear" w:color="auto" w:fill="auto"/>
            <w:noWrap/>
          </w:tcPr>
          <w:p w14:paraId="6A13ABF0"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p>
        </w:tc>
        <w:tc>
          <w:tcPr>
            <w:tcW w:w="634" w:type="dxa"/>
            <w:vMerge/>
            <w:shd w:val="clear" w:color="auto" w:fill="auto"/>
            <w:noWrap/>
            <w:vAlign w:val="center"/>
          </w:tcPr>
          <w:p w14:paraId="0FB7FB92"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556" w:type="dxa"/>
            <w:vMerge/>
            <w:vAlign w:val="center"/>
          </w:tcPr>
          <w:p w14:paraId="203ABA4D"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1978" w:type="dxa"/>
            <w:vMerge/>
            <w:shd w:val="clear" w:color="auto" w:fill="auto"/>
            <w:noWrap/>
          </w:tcPr>
          <w:p w14:paraId="0809E089"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p>
        </w:tc>
        <w:tc>
          <w:tcPr>
            <w:tcW w:w="1134" w:type="dxa"/>
            <w:vMerge/>
            <w:vAlign w:val="center"/>
          </w:tcPr>
          <w:p w14:paraId="7DF7A2F6"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r>
      <w:tr w:rsidR="008461EA" w:rsidRPr="00800A49" w14:paraId="45BF0C0E" w14:textId="77777777" w:rsidTr="00720BDC">
        <w:trPr>
          <w:trHeight w:val="722"/>
        </w:trPr>
        <w:tc>
          <w:tcPr>
            <w:tcW w:w="1128" w:type="dxa"/>
            <w:vMerge w:val="restart"/>
            <w:shd w:val="clear" w:color="auto" w:fill="auto"/>
            <w:noWrap/>
            <w:hideMark/>
          </w:tcPr>
          <w:p w14:paraId="78308F26"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lastRenderedPageBreak/>
              <w:t>O'Connell et al., 2016</w:t>
            </w:r>
          </w:p>
        </w:tc>
        <w:tc>
          <w:tcPr>
            <w:tcW w:w="283" w:type="dxa"/>
            <w:vAlign w:val="center"/>
          </w:tcPr>
          <w:p w14:paraId="79F0A095"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I</w:t>
            </w:r>
          </w:p>
        </w:tc>
        <w:tc>
          <w:tcPr>
            <w:tcW w:w="709" w:type="dxa"/>
            <w:vAlign w:val="center"/>
          </w:tcPr>
          <w:p w14:paraId="1F4D7708"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Uni.</w:t>
            </w:r>
          </w:p>
        </w:tc>
        <w:tc>
          <w:tcPr>
            <w:tcW w:w="2409" w:type="dxa"/>
            <w:shd w:val="clear" w:color="auto" w:fill="auto"/>
            <w:noWrap/>
            <w:vAlign w:val="center"/>
            <w:hideMark/>
          </w:tcPr>
          <w:p w14:paraId="79DC2DF7"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Water fluoridation</w:t>
            </w:r>
          </w:p>
        </w:tc>
        <w:tc>
          <w:tcPr>
            <w:tcW w:w="1105" w:type="dxa"/>
            <w:vMerge w:val="restart"/>
            <w:vAlign w:val="center"/>
          </w:tcPr>
          <w:p w14:paraId="0EDC688D"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Societal</w:t>
            </w:r>
          </w:p>
        </w:tc>
        <w:tc>
          <w:tcPr>
            <w:tcW w:w="851" w:type="dxa"/>
            <w:vMerge w:val="restart"/>
            <w:vAlign w:val="center"/>
          </w:tcPr>
          <w:p w14:paraId="38A39A9A"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Lifetime</w:t>
            </w:r>
          </w:p>
        </w:tc>
        <w:tc>
          <w:tcPr>
            <w:tcW w:w="851" w:type="dxa"/>
            <w:vMerge w:val="restart"/>
            <w:shd w:val="clear" w:color="auto" w:fill="auto"/>
            <w:noWrap/>
            <w:vAlign w:val="center"/>
            <w:hideMark/>
          </w:tcPr>
          <w:p w14:paraId="776ED451"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All ages</w:t>
            </w:r>
          </w:p>
        </w:tc>
        <w:tc>
          <w:tcPr>
            <w:tcW w:w="1190" w:type="dxa"/>
            <w:vMerge w:val="restart"/>
            <w:vAlign w:val="center"/>
          </w:tcPr>
          <w:p w14:paraId="71D4277A"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211 million</w:t>
            </w:r>
          </w:p>
        </w:tc>
        <w:tc>
          <w:tcPr>
            <w:tcW w:w="2760" w:type="dxa"/>
            <w:vMerge w:val="restart"/>
            <w:shd w:val="clear" w:color="auto" w:fill="auto"/>
            <w:noWrap/>
            <w:hideMark/>
          </w:tcPr>
          <w:p w14:paraId="72FB5D7E"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Intervention costs (capital, maintenance)</w:t>
            </w:r>
          </w:p>
          <w:p w14:paraId="303E9373"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br/>
              <w:t>Dental treatment costs (restorations, crown, extraction)</w:t>
            </w:r>
          </w:p>
        </w:tc>
        <w:tc>
          <w:tcPr>
            <w:tcW w:w="634" w:type="dxa"/>
            <w:vMerge w:val="restart"/>
            <w:shd w:val="clear" w:color="auto" w:fill="auto"/>
            <w:noWrap/>
            <w:vAlign w:val="center"/>
            <w:hideMark/>
          </w:tcPr>
          <w:p w14:paraId="6BAB732C"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3%</w:t>
            </w:r>
          </w:p>
        </w:tc>
        <w:tc>
          <w:tcPr>
            <w:tcW w:w="556" w:type="dxa"/>
            <w:vMerge w:val="restart"/>
            <w:vAlign w:val="center"/>
          </w:tcPr>
          <w:p w14:paraId="2B6E5B5E"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N/A</w:t>
            </w:r>
          </w:p>
        </w:tc>
        <w:tc>
          <w:tcPr>
            <w:tcW w:w="1978" w:type="dxa"/>
            <w:vMerge w:val="restart"/>
            <w:shd w:val="clear" w:color="auto" w:fill="auto"/>
            <w:noWrap/>
            <w:hideMark/>
          </w:tcPr>
          <w:p w14:paraId="43B3ECB4"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Net benefits/costs:</w:t>
            </w:r>
          </w:p>
          <w:p w14:paraId="688CA123"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-US$6,792 million (5472; 8606)</w:t>
            </w:r>
            <w:r w:rsidRPr="00800A49">
              <w:rPr>
                <w:rFonts w:ascii="Times New Roman" w:eastAsia="Times New Roman" w:hAnsi="Times New Roman" w:cs="Times New Roman"/>
                <w:color w:val="000000"/>
                <w:sz w:val="18"/>
                <w:szCs w:val="18"/>
                <w:lang w:eastAsia="en-AU"/>
              </w:rPr>
              <w:br/>
              <w:t>Return of investment: 20.0 (15.5-26.2)</w:t>
            </w:r>
          </w:p>
          <w:p w14:paraId="760E9D32"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p>
          <w:p w14:paraId="29B16D11"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Cost-saving = Yes</w:t>
            </w:r>
          </w:p>
        </w:tc>
        <w:tc>
          <w:tcPr>
            <w:tcW w:w="1134" w:type="dxa"/>
            <w:vMerge w:val="restart"/>
            <w:vAlign w:val="center"/>
          </w:tcPr>
          <w:p w14:paraId="16B20037"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Moderate</w:t>
            </w:r>
          </w:p>
        </w:tc>
      </w:tr>
      <w:tr w:rsidR="008461EA" w:rsidRPr="00800A49" w14:paraId="4F91DA6F" w14:textId="77777777" w:rsidTr="00720BDC">
        <w:trPr>
          <w:trHeight w:val="300"/>
        </w:trPr>
        <w:tc>
          <w:tcPr>
            <w:tcW w:w="1128" w:type="dxa"/>
            <w:vMerge/>
            <w:shd w:val="clear" w:color="auto" w:fill="auto"/>
            <w:noWrap/>
          </w:tcPr>
          <w:p w14:paraId="4D3E5944"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p>
        </w:tc>
        <w:tc>
          <w:tcPr>
            <w:tcW w:w="283" w:type="dxa"/>
            <w:vAlign w:val="center"/>
          </w:tcPr>
          <w:p w14:paraId="6BF359EC"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C</w:t>
            </w:r>
          </w:p>
        </w:tc>
        <w:tc>
          <w:tcPr>
            <w:tcW w:w="709" w:type="dxa"/>
            <w:vAlign w:val="center"/>
          </w:tcPr>
          <w:p w14:paraId="71CD92DD"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N/A</w:t>
            </w:r>
          </w:p>
        </w:tc>
        <w:tc>
          <w:tcPr>
            <w:tcW w:w="2409" w:type="dxa"/>
            <w:shd w:val="clear" w:color="auto" w:fill="auto"/>
            <w:noWrap/>
            <w:vAlign w:val="center"/>
          </w:tcPr>
          <w:p w14:paraId="76882A48"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No intervention</w:t>
            </w:r>
          </w:p>
        </w:tc>
        <w:tc>
          <w:tcPr>
            <w:tcW w:w="1105" w:type="dxa"/>
            <w:vMerge/>
            <w:vAlign w:val="center"/>
          </w:tcPr>
          <w:p w14:paraId="60CB120D"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851" w:type="dxa"/>
            <w:vMerge/>
            <w:vAlign w:val="center"/>
          </w:tcPr>
          <w:p w14:paraId="69806D56"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851" w:type="dxa"/>
            <w:vMerge/>
            <w:shd w:val="clear" w:color="auto" w:fill="auto"/>
            <w:noWrap/>
            <w:vAlign w:val="center"/>
          </w:tcPr>
          <w:p w14:paraId="7EEF7CAA"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1190" w:type="dxa"/>
            <w:vMerge/>
            <w:vAlign w:val="center"/>
          </w:tcPr>
          <w:p w14:paraId="448E92B3"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2760" w:type="dxa"/>
            <w:vMerge/>
            <w:shd w:val="clear" w:color="auto" w:fill="auto"/>
            <w:noWrap/>
          </w:tcPr>
          <w:p w14:paraId="2C9EAA21"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p>
        </w:tc>
        <w:tc>
          <w:tcPr>
            <w:tcW w:w="634" w:type="dxa"/>
            <w:vMerge/>
            <w:shd w:val="clear" w:color="auto" w:fill="auto"/>
            <w:noWrap/>
            <w:vAlign w:val="center"/>
          </w:tcPr>
          <w:p w14:paraId="5DF18A4E"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556" w:type="dxa"/>
            <w:vMerge/>
            <w:vAlign w:val="center"/>
          </w:tcPr>
          <w:p w14:paraId="1653B5C5"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1978" w:type="dxa"/>
            <w:vMerge/>
            <w:shd w:val="clear" w:color="auto" w:fill="auto"/>
            <w:noWrap/>
          </w:tcPr>
          <w:p w14:paraId="2470FB78"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p>
        </w:tc>
        <w:tc>
          <w:tcPr>
            <w:tcW w:w="1134" w:type="dxa"/>
            <w:vMerge/>
            <w:vAlign w:val="center"/>
          </w:tcPr>
          <w:p w14:paraId="1D6BE737"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r>
      <w:tr w:rsidR="008461EA" w:rsidRPr="00800A49" w14:paraId="384EDA8A" w14:textId="77777777" w:rsidTr="00720BDC">
        <w:trPr>
          <w:trHeight w:val="1093"/>
        </w:trPr>
        <w:tc>
          <w:tcPr>
            <w:tcW w:w="1128" w:type="dxa"/>
            <w:vMerge w:val="restart"/>
            <w:shd w:val="clear" w:color="auto" w:fill="auto"/>
            <w:noWrap/>
            <w:hideMark/>
          </w:tcPr>
          <w:p w14:paraId="2975A9AB"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Oscarson et al., 2003</w:t>
            </w:r>
          </w:p>
        </w:tc>
        <w:tc>
          <w:tcPr>
            <w:tcW w:w="283" w:type="dxa"/>
            <w:vAlign w:val="center"/>
          </w:tcPr>
          <w:p w14:paraId="21FADAB1"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I</w:t>
            </w:r>
          </w:p>
        </w:tc>
        <w:tc>
          <w:tcPr>
            <w:tcW w:w="709" w:type="dxa"/>
            <w:vAlign w:val="center"/>
          </w:tcPr>
          <w:p w14:paraId="2FA47C69"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Ind.</w:t>
            </w:r>
          </w:p>
        </w:tc>
        <w:tc>
          <w:tcPr>
            <w:tcW w:w="2409" w:type="dxa"/>
            <w:shd w:val="clear" w:color="auto" w:fill="auto"/>
            <w:noWrap/>
            <w:vAlign w:val="center"/>
            <w:hideMark/>
          </w:tcPr>
          <w:p w14:paraId="5445A641"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6-monthly scaling and fluoride varnish applied, 3x within 1 week</w:t>
            </w:r>
          </w:p>
        </w:tc>
        <w:tc>
          <w:tcPr>
            <w:tcW w:w="1105" w:type="dxa"/>
            <w:vMerge w:val="restart"/>
            <w:vAlign w:val="center"/>
          </w:tcPr>
          <w:p w14:paraId="0F07EADA"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Societal</w:t>
            </w:r>
          </w:p>
        </w:tc>
        <w:tc>
          <w:tcPr>
            <w:tcW w:w="851" w:type="dxa"/>
            <w:vMerge w:val="restart"/>
            <w:vAlign w:val="center"/>
          </w:tcPr>
          <w:p w14:paraId="3DC95B80"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5 years</w:t>
            </w:r>
          </w:p>
        </w:tc>
        <w:tc>
          <w:tcPr>
            <w:tcW w:w="851" w:type="dxa"/>
            <w:vMerge w:val="restart"/>
            <w:shd w:val="clear" w:color="auto" w:fill="auto"/>
            <w:noWrap/>
            <w:vAlign w:val="center"/>
          </w:tcPr>
          <w:p w14:paraId="70C82114"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12</w:t>
            </w:r>
          </w:p>
        </w:tc>
        <w:tc>
          <w:tcPr>
            <w:tcW w:w="1190" w:type="dxa"/>
            <w:vAlign w:val="center"/>
          </w:tcPr>
          <w:p w14:paraId="48A9E577"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247</w:t>
            </w:r>
          </w:p>
        </w:tc>
        <w:tc>
          <w:tcPr>
            <w:tcW w:w="2760" w:type="dxa"/>
            <w:vMerge w:val="restart"/>
            <w:shd w:val="clear" w:color="auto" w:fill="auto"/>
            <w:noWrap/>
            <w:hideMark/>
          </w:tcPr>
          <w:p w14:paraId="38D4E0F8"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Intervention costs (micro-costing, labour, overheads, consumables)</w:t>
            </w:r>
          </w:p>
          <w:p w14:paraId="59C762A8"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br/>
              <w:t>Dental treatment costs (restorations)</w:t>
            </w:r>
          </w:p>
          <w:p w14:paraId="5120BBB2"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br/>
              <w:t>Opportunity costs lost (travel and dental treatment time)</w:t>
            </w:r>
          </w:p>
          <w:p w14:paraId="6FCD6E62"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br/>
              <w:t>Travel costs</w:t>
            </w:r>
          </w:p>
        </w:tc>
        <w:tc>
          <w:tcPr>
            <w:tcW w:w="1190" w:type="dxa"/>
            <w:gridSpan w:val="2"/>
            <w:vMerge w:val="restart"/>
            <w:shd w:val="clear" w:color="auto" w:fill="auto"/>
            <w:noWrap/>
            <w:vAlign w:val="center"/>
          </w:tcPr>
          <w:p w14:paraId="371093D2"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3%</w:t>
            </w:r>
          </w:p>
        </w:tc>
        <w:tc>
          <w:tcPr>
            <w:tcW w:w="1978" w:type="dxa"/>
            <w:vMerge w:val="restart"/>
            <w:shd w:val="clear" w:color="auto" w:fill="auto"/>
            <w:noWrap/>
            <w:hideMark/>
          </w:tcPr>
          <w:p w14:paraId="1203C0A0"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 xml:space="preserve">Costs (SEK) per </w:t>
            </w:r>
            <w:proofErr w:type="spellStart"/>
            <w:r w:rsidRPr="00800A49">
              <w:rPr>
                <w:rFonts w:ascii="Times New Roman" w:eastAsia="Times New Roman" w:hAnsi="Times New Roman" w:cs="Times New Roman"/>
                <w:color w:val="000000"/>
                <w:sz w:val="18"/>
                <w:szCs w:val="18"/>
                <w:lang w:eastAsia="en-AU"/>
              </w:rPr>
              <w:t>DeMFS</w:t>
            </w:r>
            <w:proofErr w:type="spellEnd"/>
            <w:r w:rsidRPr="00800A49">
              <w:rPr>
                <w:rFonts w:ascii="Times New Roman" w:eastAsia="Times New Roman" w:hAnsi="Times New Roman" w:cs="Times New Roman"/>
                <w:color w:val="000000"/>
                <w:sz w:val="18"/>
                <w:szCs w:val="18"/>
                <w:lang w:eastAsia="en-AU"/>
              </w:rPr>
              <w:t xml:space="preserve"> averted</w:t>
            </w:r>
            <w:r w:rsidRPr="00800A49">
              <w:rPr>
                <w:rFonts w:ascii="Times New Roman" w:eastAsia="Times New Roman" w:hAnsi="Times New Roman" w:cs="Times New Roman"/>
                <w:color w:val="000000"/>
                <w:sz w:val="18"/>
                <w:szCs w:val="18"/>
                <w:lang w:eastAsia="en-AU"/>
              </w:rPr>
              <w:br/>
              <w:t>ICER: 2,043</w:t>
            </w:r>
          </w:p>
          <w:p w14:paraId="35016BBB"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p>
          <w:p w14:paraId="128EA1DA"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Cost-effective = N/S</w:t>
            </w:r>
          </w:p>
        </w:tc>
        <w:tc>
          <w:tcPr>
            <w:tcW w:w="1134" w:type="dxa"/>
            <w:vMerge w:val="restart"/>
            <w:vAlign w:val="center"/>
          </w:tcPr>
          <w:p w14:paraId="04E3F586"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Good</w:t>
            </w:r>
          </w:p>
        </w:tc>
      </w:tr>
      <w:tr w:rsidR="008461EA" w:rsidRPr="00800A49" w14:paraId="5E3DD8A8" w14:textId="77777777" w:rsidTr="00720BDC">
        <w:trPr>
          <w:trHeight w:val="300"/>
        </w:trPr>
        <w:tc>
          <w:tcPr>
            <w:tcW w:w="1128" w:type="dxa"/>
            <w:vMerge/>
            <w:shd w:val="clear" w:color="auto" w:fill="auto"/>
            <w:noWrap/>
          </w:tcPr>
          <w:p w14:paraId="4422B733"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p>
        </w:tc>
        <w:tc>
          <w:tcPr>
            <w:tcW w:w="283" w:type="dxa"/>
            <w:vAlign w:val="center"/>
          </w:tcPr>
          <w:p w14:paraId="02DAFBEB"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C</w:t>
            </w:r>
          </w:p>
        </w:tc>
        <w:tc>
          <w:tcPr>
            <w:tcW w:w="709" w:type="dxa"/>
            <w:vAlign w:val="center"/>
          </w:tcPr>
          <w:p w14:paraId="25FF186D"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Ind.</w:t>
            </w:r>
          </w:p>
        </w:tc>
        <w:tc>
          <w:tcPr>
            <w:tcW w:w="2409" w:type="dxa"/>
            <w:shd w:val="clear" w:color="auto" w:fill="auto"/>
            <w:noWrap/>
            <w:vAlign w:val="center"/>
          </w:tcPr>
          <w:p w14:paraId="4658CDF7"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Annual oral health education information letter</w:t>
            </w:r>
          </w:p>
        </w:tc>
        <w:tc>
          <w:tcPr>
            <w:tcW w:w="1105" w:type="dxa"/>
            <w:vMerge/>
            <w:vAlign w:val="center"/>
          </w:tcPr>
          <w:p w14:paraId="57E24855"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851" w:type="dxa"/>
            <w:vMerge/>
            <w:vAlign w:val="center"/>
          </w:tcPr>
          <w:p w14:paraId="1EFDC949"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851" w:type="dxa"/>
            <w:vMerge/>
            <w:shd w:val="clear" w:color="auto" w:fill="auto"/>
            <w:noWrap/>
            <w:vAlign w:val="center"/>
          </w:tcPr>
          <w:p w14:paraId="091FB849"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1190" w:type="dxa"/>
            <w:vAlign w:val="center"/>
          </w:tcPr>
          <w:p w14:paraId="20ED75EE"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248</w:t>
            </w:r>
          </w:p>
        </w:tc>
        <w:tc>
          <w:tcPr>
            <w:tcW w:w="2760" w:type="dxa"/>
            <w:vMerge/>
            <w:shd w:val="clear" w:color="auto" w:fill="auto"/>
            <w:noWrap/>
          </w:tcPr>
          <w:p w14:paraId="50D1E1C9"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p>
        </w:tc>
        <w:tc>
          <w:tcPr>
            <w:tcW w:w="1190" w:type="dxa"/>
            <w:gridSpan w:val="2"/>
            <w:vMerge/>
            <w:shd w:val="clear" w:color="auto" w:fill="auto"/>
            <w:noWrap/>
            <w:vAlign w:val="center"/>
          </w:tcPr>
          <w:p w14:paraId="1ECFA9F3"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1978" w:type="dxa"/>
            <w:vMerge/>
            <w:shd w:val="clear" w:color="auto" w:fill="auto"/>
            <w:noWrap/>
          </w:tcPr>
          <w:p w14:paraId="1FB77F29"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p>
        </w:tc>
        <w:tc>
          <w:tcPr>
            <w:tcW w:w="1134" w:type="dxa"/>
            <w:vMerge/>
            <w:vAlign w:val="center"/>
          </w:tcPr>
          <w:p w14:paraId="5D95FDFE"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r>
      <w:tr w:rsidR="008461EA" w:rsidRPr="00800A49" w14:paraId="702A2598" w14:textId="77777777" w:rsidTr="00720BDC">
        <w:trPr>
          <w:trHeight w:val="300"/>
        </w:trPr>
        <w:tc>
          <w:tcPr>
            <w:tcW w:w="1128" w:type="dxa"/>
            <w:vMerge w:val="restart"/>
            <w:shd w:val="clear" w:color="auto" w:fill="auto"/>
            <w:noWrap/>
            <w:hideMark/>
          </w:tcPr>
          <w:p w14:paraId="05AD87A4"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Ouyang, 2009</w:t>
            </w:r>
          </w:p>
        </w:tc>
        <w:tc>
          <w:tcPr>
            <w:tcW w:w="283" w:type="dxa"/>
            <w:vMerge w:val="restart"/>
            <w:vAlign w:val="center"/>
          </w:tcPr>
          <w:p w14:paraId="6D39538D"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I</w:t>
            </w:r>
          </w:p>
        </w:tc>
        <w:tc>
          <w:tcPr>
            <w:tcW w:w="709" w:type="dxa"/>
            <w:vAlign w:val="center"/>
          </w:tcPr>
          <w:p w14:paraId="4B47322C"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Ind.</w:t>
            </w:r>
          </w:p>
        </w:tc>
        <w:tc>
          <w:tcPr>
            <w:tcW w:w="2409" w:type="dxa"/>
            <w:shd w:val="clear" w:color="auto" w:fill="auto"/>
            <w:noWrap/>
            <w:vAlign w:val="center"/>
            <w:hideMark/>
          </w:tcPr>
          <w:p w14:paraId="055C95D5"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Fissure sealant all 1st permanent molars (S4)</w:t>
            </w:r>
          </w:p>
        </w:tc>
        <w:tc>
          <w:tcPr>
            <w:tcW w:w="1105" w:type="dxa"/>
            <w:vMerge w:val="restart"/>
            <w:vAlign w:val="center"/>
          </w:tcPr>
          <w:p w14:paraId="4BECC9AB"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Healthcare</w:t>
            </w:r>
          </w:p>
        </w:tc>
        <w:tc>
          <w:tcPr>
            <w:tcW w:w="851" w:type="dxa"/>
            <w:vMerge w:val="restart"/>
            <w:vAlign w:val="center"/>
          </w:tcPr>
          <w:p w14:paraId="5601954A"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5 years</w:t>
            </w:r>
          </w:p>
        </w:tc>
        <w:tc>
          <w:tcPr>
            <w:tcW w:w="851" w:type="dxa"/>
            <w:vMerge w:val="restart"/>
            <w:shd w:val="clear" w:color="auto" w:fill="auto"/>
            <w:noWrap/>
            <w:vAlign w:val="center"/>
            <w:hideMark/>
          </w:tcPr>
          <w:p w14:paraId="15C90E81"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6-17</w:t>
            </w:r>
          </w:p>
        </w:tc>
        <w:tc>
          <w:tcPr>
            <w:tcW w:w="1190" w:type="dxa"/>
            <w:vMerge w:val="restart"/>
            <w:vAlign w:val="center"/>
          </w:tcPr>
          <w:p w14:paraId="5D3E1D70"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Individual</w:t>
            </w:r>
          </w:p>
        </w:tc>
        <w:tc>
          <w:tcPr>
            <w:tcW w:w="2760" w:type="dxa"/>
            <w:vMerge w:val="restart"/>
            <w:shd w:val="clear" w:color="auto" w:fill="auto"/>
            <w:noWrap/>
            <w:hideMark/>
          </w:tcPr>
          <w:p w14:paraId="32FC42D5"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Intervention costs (macro-costing)</w:t>
            </w:r>
          </w:p>
          <w:p w14:paraId="129CA37F"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br/>
              <w:t>Dental treatment codes (restorations, root canal treatments, extractions)</w:t>
            </w:r>
          </w:p>
        </w:tc>
        <w:tc>
          <w:tcPr>
            <w:tcW w:w="1190" w:type="dxa"/>
            <w:gridSpan w:val="2"/>
            <w:vMerge w:val="restart"/>
            <w:shd w:val="clear" w:color="auto" w:fill="auto"/>
            <w:noWrap/>
            <w:vAlign w:val="center"/>
            <w:hideMark/>
          </w:tcPr>
          <w:p w14:paraId="1E3908DE"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3%</w:t>
            </w:r>
          </w:p>
        </w:tc>
        <w:tc>
          <w:tcPr>
            <w:tcW w:w="1978" w:type="dxa"/>
            <w:vMerge w:val="restart"/>
            <w:shd w:val="clear" w:color="auto" w:fill="auto"/>
            <w:noWrap/>
            <w:hideMark/>
          </w:tcPr>
          <w:p w14:paraId="0D15FC4D"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Costs (US$) per caries-free month</w:t>
            </w:r>
            <w:r w:rsidRPr="00800A49">
              <w:rPr>
                <w:rFonts w:ascii="Times New Roman" w:eastAsia="Times New Roman" w:hAnsi="Times New Roman" w:cs="Times New Roman"/>
                <w:color w:val="000000"/>
                <w:sz w:val="18"/>
                <w:szCs w:val="18"/>
                <w:lang w:eastAsia="en-AU"/>
              </w:rPr>
              <w:br/>
              <w:t>1) S4 vs N4 ICER: 42.2</w:t>
            </w:r>
          </w:p>
          <w:p w14:paraId="1F7CCCAC"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(22.6; 85.4)</w:t>
            </w:r>
            <w:r w:rsidRPr="00800A49">
              <w:rPr>
                <w:rFonts w:ascii="Times New Roman" w:eastAsia="Times New Roman" w:hAnsi="Times New Roman" w:cs="Times New Roman"/>
                <w:color w:val="000000"/>
                <w:sz w:val="18"/>
                <w:szCs w:val="18"/>
                <w:lang w:eastAsia="en-AU"/>
              </w:rPr>
              <w:br/>
              <w:t>2) S1 vs N4 ICER: 16.0</w:t>
            </w:r>
          </w:p>
          <w:p w14:paraId="11C4ACE4"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(10.1; 28.2)</w:t>
            </w:r>
          </w:p>
          <w:p w14:paraId="41296877"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p>
          <w:p w14:paraId="6C997B90"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Cost-effective = N/S</w:t>
            </w:r>
          </w:p>
        </w:tc>
        <w:tc>
          <w:tcPr>
            <w:tcW w:w="1134" w:type="dxa"/>
            <w:vMerge w:val="restart"/>
            <w:vAlign w:val="center"/>
          </w:tcPr>
          <w:p w14:paraId="57263773"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Good</w:t>
            </w:r>
          </w:p>
        </w:tc>
      </w:tr>
      <w:tr w:rsidR="008461EA" w:rsidRPr="00800A49" w14:paraId="1217FD94" w14:textId="77777777" w:rsidTr="00720BDC">
        <w:trPr>
          <w:trHeight w:val="300"/>
        </w:trPr>
        <w:tc>
          <w:tcPr>
            <w:tcW w:w="1128" w:type="dxa"/>
            <w:vMerge/>
            <w:shd w:val="clear" w:color="auto" w:fill="auto"/>
            <w:noWrap/>
          </w:tcPr>
          <w:p w14:paraId="1BF12ADD"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p>
        </w:tc>
        <w:tc>
          <w:tcPr>
            <w:tcW w:w="283" w:type="dxa"/>
            <w:vMerge/>
            <w:vAlign w:val="center"/>
          </w:tcPr>
          <w:p w14:paraId="0E061078"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709" w:type="dxa"/>
            <w:vAlign w:val="center"/>
          </w:tcPr>
          <w:p w14:paraId="19B27734"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Ind.</w:t>
            </w:r>
          </w:p>
        </w:tc>
        <w:tc>
          <w:tcPr>
            <w:tcW w:w="2409" w:type="dxa"/>
            <w:shd w:val="clear" w:color="auto" w:fill="auto"/>
            <w:noWrap/>
            <w:vAlign w:val="center"/>
          </w:tcPr>
          <w:p w14:paraId="6E93D4CA"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Fissure sealant of at least one 1st permanent molar (S1)</w:t>
            </w:r>
          </w:p>
        </w:tc>
        <w:tc>
          <w:tcPr>
            <w:tcW w:w="1105" w:type="dxa"/>
            <w:vMerge/>
            <w:vAlign w:val="center"/>
          </w:tcPr>
          <w:p w14:paraId="38572D7D"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851" w:type="dxa"/>
            <w:vMerge/>
            <w:vAlign w:val="center"/>
          </w:tcPr>
          <w:p w14:paraId="0378E1AA"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851" w:type="dxa"/>
            <w:vMerge/>
            <w:shd w:val="clear" w:color="auto" w:fill="auto"/>
            <w:noWrap/>
            <w:vAlign w:val="center"/>
          </w:tcPr>
          <w:p w14:paraId="4F75F4A6"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1190" w:type="dxa"/>
            <w:vMerge/>
            <w:vAlign w:val="center"/>
          </w:tcPr>
          <w:p w14:paraId="7B375F7D"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2760" w:type="dxa"/>
            <w:vMerge/>
            <w:shd w:val="clear" w:color="auto" w:fill="auto"/>
            <w:noWrap/>
          </w:tcPr>
          <w:p w14:paraId="165740CA"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p>
        </w:tc>
        <w:tc>
          <w:tcPr>
            <w:tcW w:w="1190" w:type="dxa"/>
            <w:gridSpan w:val="2"/>
            <w:vMerge/>
            <w:shd w:val="clear" w:color="auto" w:fill="auto"/>
            <w:noWrap/>
            <w:vAlign w:val="center"/>
          </w:tcPr>
          <w:p w14:paraId="2C5D3AF5"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1978" w:type="dxa"/>
            <w:vMerge/>
            <w:shd w:val="clear" w:color="auto" w:fill="auto"/>
            <w:noWrap/>
          </w:tcPr>
          <w:p w14:paraId="0FAB9DFA"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p>
        </w:tc>
        <w:tc>
          <w:tcPr>
            <w:tcW w:w="1134" w:type="dxa"/>
            <w:vMerge/>
            <w:vAlign w:val="center"/>
          </w:tcPr>
          <w:p w14:paraId="45D8328C"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r>
      <w:tr w:rsidR="008461EA" w:rsidRPr="00800A49" w14:paraId="739D466D" w14:textId="77777777" w:rsidTr="00720BDC">
        <w:trPr>
          <w:trHeight w:val="300"/>
        </w:trPr>
        <w:tc>
          <w:tcPr>
            <w:tcW w:w="1128" w:type="dxa"/>
            <w:vMerge/>
            <w:shd w:val="clear" w:color="auto" w:fill="auto"/>
            <w:noWrap/>
          </w:tcPr>
          <w:p w14:paraId="3D67CCA4"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p>
        </w:tc>
        <w:tc>
          <w:tcPr>
            <w:tcW w:w="283" w:type="dxa"/>
            <w:vAlign w:val="center"/>
          </w:tcPr>
          <w:p w14:paraId="52227A0E"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C</w:t>
            </w:r>
          </w:p>
        </w:tc>
        <w:tc>
          <w:tcPr>
            <w:tcW w:w="709" w:type="dxa"/>
            <w:vAlign w:val="center"/>
          </w:tcPr>
          <w:p w14:paraId="0FB15A0F"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N/A</w:t>
            </w:r>
          </w:p>
        </w:tc>
        <w:tc>
          <w:tcPr>
            <w:tcW w:w="2409" w:type="dxa"/>
            <w:shd w:val="clear" w:color="auto" w:fill="auto"/>
            <w:noWrap/>
            <w:vAlign w:val="center"/>
          </w:tcPr>
          <w:p w14:paraId="21D8A54D"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No intervention (N4)</w:t>
            </w:r>
          </w:p>
        </w:tc>
        <w:tc>
          <w:tcPr>
            <w:tcW w:w="1105" w:type="dxa"/>
            <w:vMerge/>
            <w:vAlign w:val="center"/>
          </w:tcPr>
          <w:p w14:paraId="0F4A4920"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851" w:type="dxa"/>
            <w:vMerge/>
            <w:vAlign w:val="center"/>
          </w:tcPr>
          <w:p w14:paraId="2FE41569"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851" w:type="dxa"/>
            <w:vMerge/>
            <w:shd w:val="clear" w:color="auto" w:fill="auto"/>
            <w:noWrap/>
            <w:vAlign w:val="center"/>
          </w:tcPr>
          <w:p w14:paraId="5C162D3E"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1190" w:type="dxa"/>
            <w:vMerge/>
            <w:vAlign w:val="center"/>
          </w:tcPr>
          <w:p w14:paraId="59D28408"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2760" w:type="dxa"/>
            <w:vMerge/>
            <w:shd w:val="clear" w:color="auto" w:fill="auto"/>
            <w:noWrap/>
          </w:tcPr>
          <w:p w14:paraId="7C1FFEF2"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p>
        </w:tc>
        <w:tc>
          <w:tcPr>
            <w:tcW w:w="1190" w:type="dxa"/>
            <w:gridSpan w:val="2"/>
            <w:vMerge/>
            <w:shd w:val="clear" w:color="auto" w:fill="auto"/>
            <w:noWrap/>
            <w:vAlign w:val="center"/>
          </w:tcPr>
          <w:p w14:paraId="72847429"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1978" w:type="dxa"/>
            <w:vMerge/>
            <w:shd w:val="clear" w:color="auto" w:fill="auto"/>
            <w:noWrap/>
          </w:tcPr>
          <w:p w14:paraId="5E69389C"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p>
        </w:tc>
        <w:tc>
          <w:tcPr>
            <w:tcW w:w="1134" w:type="dxa"/>
            <w:vMerge/>
            <w:vAlign w:val="center"/>
          </w:tcPr>
          <w:p w14:paraId="05ADB249"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r>
      <w:tr w:rsidR="008461EA" w:rsidRPr="00800A49" w14:paraId="50B3375E" w14:textId="77777777" w:rsidTr="00720BDC">
        <w:trPr>
          <w:trHeight w:val="300"/>
        </w:trPr>
        <w:tc>
          <w:tcPr>
            <w:tcW w:w="1128" w:type="dxa"/>
            <w:vMerge w:val="restart"/>
            <w:shd w:val="clear" w:color="auto" w:fill="auto"/>
            <w:noWrap/>
            <w:hideMark/>
          </w:tcPr>
          <w:p w14:paraId="73A3AE5E"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Palacio-Rodriguez, 2017</w:t>
            </w:r>
          </w:p>
        </w:tc>
        <w:tc>
          <w:tcPr>
            <w:tcW w:w="283" w:type="dxa"/>
            <w:vMerge w:val="restart"/>
            <w:vAlign w:val="center"/>
          </w:tcPr>
          <w:p w14:paraId="69654634"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I</w:t>
            </w:r>
          </w:p>
        </w:tc>
        <w:tc>
          <w:tcPr>
            <w:tcW w:w="709" w:type="dxa"/>
            <w:vAlign w:val="center"/>
          </w:tcPr>
          <w:p w14:paraId="6D43350B"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Sel.</w:t>
            </w:r>
          </w:p>
        </w:tc>
        <w:tc>
          <w:tcPr>
            <w:tcW w:w="2409" w:type="dxa"/>
            <w:shd w:val="clear" w:color="auto" w:fill="auto"/>
            <w:noWrap/>
            <w:vAlign w:val="center"/>
            <w:hideMark/>
          </w:tcPr>
          <w:p w14:paraId="4656E660"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6-monthly fluoride varnish in preschool setting without screening</w:t>
            </w:r>
          </w:p>
        </w:tc>
        <w:tc>
          <w:tcPr>
            <w:tcW w:w="1105" w:type="dxa"/>
            <w:vMerge w:val="restart"/>
            <w:vAlign w:val="center"/>
          </w:tcPr>
          <w:p w14:paraId="0ED0C2A0"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Societal</w:t>
            </w:r>
          </w:p>
        </w:tc>
        <w:tc>
          <w:tcPr>
            <w:tcW w:w="851" w:type="dxa"/>
            <w:vMerge w:val="restart"/>
            <w:vAlign w:val="center"/>
          </w:tcPr>
          <w:p w14:paraId="79C72E1E"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2 years</w:t>
            </w:r>
          </w:p>
        </w:tc>
        <w:tc>
          <w:tcPr>
            <w:tcW w:w="851" w:type="dxa"/>
            <w:vMerge w:val="restart"/>
            <w:shd w:val="clear" w:color="auto" w:fill="auto"/>
            <w:noWrap/>
            <w:vAlign w:val="center"/>
            <w:hideMark/>
          </w:tcPr>
          <w:p w14:paraId="6941255D"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4</w:t>
            </w:r>
          </w:p>
        </w:tc>
        <w:tc>
          <w:tcPr>
            <w:tcW w:w="1190" w:type="dxa"/>
            <w:vMerge w:val="restart"/>
            <w:vAlign w:val="center"/>
          </w:tcPr>
          <w:p w14:paraId="0343535B"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141,691</w:t>
            </w:r>
          </w:p>
        </w:tc>
        <w:tc>
          <w:tcPr>
            <w:tcW w:w="2760" w:type="dxa"/>
            <w:vMerge w:val="restart"/>
            <w:shd w:val="clear" w:color="auto" w:fill="auto"/>
            <w:noWrap/>
            <w:hideMark/>
          </w:tcPr>
          <w:p w14:paraId="48E1731E"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Intervention costs (micro-costing, labour, consumables, equipment, travel)</w:t>
            </w:r>
          </w:p>
          <w:p w14:paraId="0C0A346C"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br/>
              <w:t>Other direct costs from primary care perspective (on-cost for oral health examination)</w:t>
            </w:r>
          </w:p>
        </w:tc>
        <w:tc>
          <w:tcPr>
            <w:tcW w:w="1190" w:type="dxa"/>
            <w:gridSpan w:val="2"/>
            <w:vMerge w:val="restart"/>
            <w:shd w:val="clear" w:color="auto" w:fill="auto"/>
            <w:noWrap/>
            <w:vAlign w:val="center"/>
            <w:hideMark/>
          </w:tcPr>
          <w:p w14:paraId="7E89DAA3"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3%</w:t>
            </w:r>
          </w:p>
        </w:tc>
        <w:tc>
          <w:tcPr>
            <w:tcW w:w="1978" w:type="dxa"/>
            <w:vMerge w:val="restart"/>
            <w:shd w:val="clear" w:color="auto" w:fill="auto"/>
            <w:noWrap/>
            <w:hideMark/>
          </w:tcPr>
          <w:p w14:paraId="0995A364"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Costs (CLP) per 1% caries-free children</w:t>
            </w:r>
            <w:r w:rsidRPr="00800A49">
              <w:rPr>
                <w:rFonts w:ascii="Times New Roman" w:eastAsia="Times New Roman" w:hAnsi="Times New Roman" w:cs="Times New Roman"/>
                <w:color w:val="000000"/>
                <w:sz w:val="18"/>
                <w:szCs w:val="18"/>
                <w:lang w:eastAsia="en-AU"/>
              </w:rPr>
              <w:br/>
              <w:t>1) preschool setting without screening ICER:  -947,188 (dominated)</w:t>
            </w:r>
          </w:p>
          <w:p w14:paraId="4CA9F6B0"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Cost-effective = No</w:t>
            </w:r>
          </w:p>
          <w:p w14:paraId="2F69A318"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br/>
              <w:t>2) preschool setting with screening ICER:  -102,4417 (dominated)</w:t>
            </w:r>
          </w:p>
          <w:p w14:paraId="02A28B71"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Cost-effective = No</w:t>
            </w:r>
          </w:p>
          <w:p w14:paraId="30CC189C"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br/>
              <w:t>3) primary care setting without screening ICER: 130,849</w:t>
            </w:r>
          </w:p>
          <w:p w14:paraId="20D8F91C"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Cost-effective = N/S</w:t>
            </w:r>
          </w:p>
          <w:p w14:paraId="3ED968E2"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lastRenderedPageBreak/>
              <w:br/>
              <w:t>4) primary care setting with screening ICER: -268,558 (dominated)</w:t>
            </w:r>
          </w:p>
          <w:p w14:paraId="35998B68"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Cost-effective = No</w:t>
            </w:r>
          </w:p>
        </w:tc>
        <w:tc>
          <w:tcPr>
            <w:tcW w:w="1134" w:type="dxa"/>
            <w:vMerge w:val="restart"/>
            <w:vAlign w:val="center"/>
          </w:tcPr>
          <w:p w14:paraId="5E85DE6F"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lastRenderedPageBreak/>
              <w:t>Good</w:t>
            </w:r>
          </w:p>
        </w:tc>
      </w:tr>
      <w:tr w:rsidR="008461EA" w:rsidRPr="00800A49" w14:paraId="73C0CFFF" w14:textId="77777777" w:rsidTr="00720BDC">
        <w:trPr>
          <w:trHeight w:val="300"/>
        </w:trPr>
        <w:tc>
          <w:tcPr>
            <w:tcW w:w="1128" w:type="dxa"/>
            <w:vMerge/>
            <w:shd w:val="clear" w:color="auto" w:fill="auto"/>
            <w:noWrap/>
          </w:tcPr>
          <w:p w14:paraId="065FF256"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p>
        </w:tc>
        <w:tc>
          <w:tcPr>
            <w:tcW w:w="283" w:type="dxa"/>
            <w:vMerge/>
            <w:vAlign w:val="center"/>
          </w:tcPr>
          <w:p w14:paraId="29E070E9"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709" w:type="dxa"/>
            <w:vAlign w:val="center"/>
          </w:tcPr>
          <w:p w14:paraId="22585FCE"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Sel.</w:t>
            </w:r>
          </w:p>
        </w:tc>
        <w:tc>
          <w:tcPr>
            <w:tcW w:w="2409" w:type="dxa"/>
            <w:shd w:val="clear" w:color="auto" w:fill="auto"/>
            <w:noWrap/>
            <w:vAlign w:val="center"/>
          </w:tcPr>
          <w:p w14:paraId="33602E6A"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6-monthly fluoride varnish in preschool setting with screening</w:t>
            </w:r>
          </w:p>
        </w:tc>
        <w:tc>
          <w:tcPr>
            <w:tcW w:w="1105" w:type="dxa"/>
            <w:vMerge/>
            <w:vAlign w:val="center"/>
          </w:tcPr>
          <w:p w14:paraId="0BE1646A"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851" w:type="dxa"/>
            <w:vMerge/>
            <w:vAlign w:val="center"/>
          </w:tcPr>
          <w:p w14:paraId="60D5EA0F"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851" w:type="dxa"/>
            <w:vMerge/>
            <w:shd w:val="clear" w:color="auto" w:fill="auto"/>
            <w:noWrap/>
            <w:vAlign w:val="center"/>
          </w:tcPr>
          <w:p w14:paraId="09811A18"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1190" w:type="dxa"/>
            <w:vMerge/>
            <w:vAlign w:val="center"/>
          </w:tcPr>
          <w:p w14:paraId="38D2B9A0"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2760" w:type="dxa"/>
            <w:vMerge/>
            <w:shd w:val="clear" w:color="auto" w:fill="auto"/>
            <w:noWrap/>
          </w:tcPr>
          <w:p w14:paraId="0727FDBB"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p>
        </w:tc>
        <w:tc>
          <w:tcPr>
            <w:tcW w:w="1190" w:type="dxa"/>
            <w:gridSpan w:val="2"/>
            <w:vMerge/>
            <w:shd w:val="clear" w:color="auto" w:fill="auto"/>
            <w:noWrap/>
            <w:vAlign w:val="center"/>
          </w:tcPr>
          <w:p w14:paraId="243D90CE"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1978" w:type="dxa"/>
            <w:vMerge/>
            <w:shd w:val="clear" w:color="auto" w:fill="auto"/>
            <w:noWrap/>
          </w:tcPr>
          <w:p w14:paraId="68E8E635"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p>
        </w:tc>
        <w:tc>
          <w:tcPr>
            <w:tcW w:w="1134" w:type="dxa"/>
            <w:vMerge/>
            <w:vAlign w:val="center"/>
          </w:tcPr>
          <w:p w14:paraId="49D46202"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r>
      <w:tr w:rsidR="008461EA" w:rsidRPr="00800A49" w14:paraId="5D001A5E" w14:textId="77777777" w:rsidTr="00720BDC">
        <w:trPr>
          <w:trHeight w:val="300"/>
        </w:trPr>
        <w:tc>
          <w:tcPr>
            <w:tcW w:w="1128" w:type="dxa"/>
            <w:vMerge/>
            <w:shd w:val="clear" w:color="auto" w:fill="auto"/>
            <w:noWrap/>
          </w:tcPr>
          <w:p w14:paraId="46F871B5"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p>
        </w:tc>
        <w:tc>
          <w:tcPr>
            <w:tcW w:w="283" w:type="dxa"/>
            <w:vMerge/>
            <w:vAlign w:val="center"/>
          </w:tcPr>
          <w:p w14:paraId="442F0133"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709" w:type="dxa"/>
            <w:vAlign w:val="center"/>
          </w:tcPr>
          <w:p w14:paraId="5A4DD033"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Sel.</w:t>
            </w:r>
          </w:p>
        </w:tc>
        <w:tc>
          <w:tcPr>
            <w:tcW w:w="2409" w:type="dxa"/>
            <w:shd w:val="clear" w:color="auto" w:fill="auto"/>
            <w:noWrap/>
            <w:vAlign w:val="center"/>
          </w:tcPr>
          <w:p w14:paraId="76392A16"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6-monthly fluoride varnish in primary care setting without screening</w:t>
            </w:r>
          </w:p>
        </w:tc>
        <w:tc>
          <w:tcPr>
            <w:tcW w:w="1105" w:type="dxa"/>
            <w:vMerge/>
            <w:vAlign w:val="center"/>
          </w:tcPr>
          <w:p w14:paraId="0A108DF9"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851" w:type="dxa"/>
            <w:vMerge/>
            <w:vAlign w:val="center"/>
          </w:tcPr>
          <w:p w14:paraId="3823463A"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851" w:type="dxa"/>
            <w:vMerge/>
            <w:shd w:val="clear" w:color="auto" w:fill="auto"/>
            <w:noWrap/>
            <w:vAlign w:val="center"/>
          </w:tcPr>
          <w:p w14:paraId="3C49DE76"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1190" w:type="dxa"/>
            <w:vMerge w:val="restart"/>
            <w:vAlign w:val="center"/>
          </w:tcPr>
          <w:p w14:paraId="78E821F7"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211,011</w:t>
            </w:r>
          </w:p>
        </w:tc>
        <w:tc>
          <w:tcPr>
            <w:tcW w:w="2760" w:type="dxa"/>
            <w:vMerge/>
            <w:shd w:val="clear" w:color="auto" w:fill="auto"/>
            <w:noWrap/>
          </w:tcPr>
          <w:p w14:paraId="7C6BFD68"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p>
        </w:tc>
        <w:tc>
          <w:tcPr>
            <w:tcW w:w="1190" w:type="dxa"/>
            <w:gridSpan w:val="2"/>
            <w:vMerge/>
            <w:shd w:val="clear" w:color="auto" w:fill="auto"/>
            <w:noWrap/>
            <w:vAlign w:val="center"/>
          </w:tcPr>
          <w:p w14:paraId="55E58893"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1978" w:type="dxa"/>
            <w:vMerge/>
            <w:shd w:val="clear" w:color="auto" w:fill="auto"/>
            <w:noWrap/>
          </w:tcPr>
          <w:p w14:paraId="61B54ABD"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p>
        </w:tc>
        <w:tc>
          <w:tcPr>
            <w:tcW w:w="1134" w:type="dxa"/>
            <w:vMerge/>
            <w:vAlign w:val="center"/>
          </w:tcPr>
          <w:p w14:paraId="03011E9D"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r>
      <w:tr w:rsidR="008461EA" w:rsidRPr="00800A49" w14:paraId="2B423131" w14:textId="77777777" w:rsidTr="00720BDC">
        <w:trPr>
          <w:trHeight w:val="153"/>
        </w:trPr>
        <w:tc>
          <w:tcPr>
            <w:tcW w:w="1128" w:type="dxa"/>
            <w:vMerge/>
            <w:shd w:val="clear" w:color="auto" w:fill="auto"/>
            <w:noWrap/>
          </w:tcPr>
          <w:p w14:paraId="68005DDE"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p>
        </w:tc>
        <w:tc>
          <w:tcPr>
            <w:tcW w:w="283" w:type="dxa"/>
            <w:vMerge/>
            <w:vAlign w:val="center"/>
          </w:tcPr>
          <w:p w14:paraId="711DF6B2"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709" w:type="dxa"/>
            <w:vAlign w:val="center"/>
          </w:tcPr>
          <w:p w14:paraId="258DFDD5"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Sel.</w:t>
            </w:r>
          </w:p>
        </w:tc>
        <w:tc>
          <w:tcPr>
            <w:tcW w:w="2409" w:type="dxa"/>
            <w:shd w:val="clear" w:color="auto" w:fill="auto"/>
            <w:noWrap/>
            <w:vAlign w:val="center"/>
          </w:tcPr>
          <w:p w14:paraId="534F8EE6"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6-monthly fluoride varnish in primary care setting with screening</w:t>
            </w:r>
          </w:p>
        </w:tc>
        <w:tc>
          <w:tcPr>
            <w:tcW w:w="1105" w:type="dxa"/>
            <w:vMerge/>
            <w:vAlign w:val="center"/>
          </w:tcPr>
          <w:p w14:paraId="2E29E213"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851" w:type="dxa"/>
            <w:vMerge/>
            <w:vAlign w:val="center"/>
          </w:tcPr>
          <w:p w14:paraId="17D2C88C"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851" w:type="dxa"/>
            <w:vMerge/>
            <w:shd w:val="clear" w:color="auto" w:fill="auto"/>
            <w:noWrap/>
            <w:vAlign w:val="center"/>
          </w:tcPr>
          <w:p w14:paraId="0C646DF1"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1190" w:type="dxa"/>
            <w:vMerge/>
            <w:vAlign w:val="center"/>
          </w:tcPr>
          <w:p w14:paraId="03DA6A2E"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2760" w:type="dxa"/>
            <w:vMerge/>
            <w:shd w:val="clear" w:color="auto" w:fill="auto"/>
            <w:noWrap/>
          </w:tcPr>
          <w:p w14:paraId="6D281FF4"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p>
        </w:tc>
        <w:tc>
          <w:tcPr>
            <w:tcW w:w="1190" w:type="dxa"/>
            <w:gridSpan w:val="2"/>
            <w:vMerge/>
            <w:shd w:val="clear" w:color="auto" w:fill="auto"/>
            <w:noWrap/>
            <w:vAlign w:val="center"/>
          </w:tcPr>
          <w:p w14:paraId="375ECB27"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1978" w:type="dxa"/>
            <w:vMerge/>
            <w:shd w:val="clear" w:color="auto" w:fill="auto"/>
            <w:noWrap/>
          </w:tcPr>
          <w:p w14:paraId="4AA46638"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p>
        </w:tc>
        <w:tc>
          <w:tcPr>
            <w:tcW w:w="1134" w:type="dxa"/>
            <w:vMerge/>
            <w:vAlign w:val="center"/>
          </w:tcPr>
          <w:p w14:paraId="1FF23E06"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r>
      <w:tr w:rsidR="008461EA" w:rsidRPr="00800A49" w14:paraId="6B501D01" w14:textId="77777777" w:rsidTr="00720BDC">
        <w:trPr>
          <w:trHeight w:val="300"/>
        </w:trPr>
        <w:tc>
          <w:tcPr>
            <w:tcW w:w="1128" w:type="dxa"/>
            <w:vMerge/>
            <w:shd w:val="clear" w:color="auto" w:fill="auto"/>
            <w:noWrap/>
          </w:tcPr>
          <w:p w14:paraId="2565E371"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p>
        </w:tc>
        <w:tc>
          <w:tcPr>
            <w:tcW w:w="283" w:type="dxa"/>
            <w:vAlign w:val="center"/>
          </w:tcPr>
          <w:p w14:paraId="50D33A32"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C</w:t>
            </w:r>
          </w:p>
        </w:tc>
        <w:tc>
          <w:tcPr>
            <w:tcW w:w="709" w:type="dxa"/>
            <w:vAlign w:val="center"/>
          </w:tcPr>
          <w:p w14:paraId="526C6954"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Sel.</w:t>
            </w:r>
          </w:p>
        </w:tc>
        <w:tc>
          <w:tcPr>
            <w:tcW w:w="2409" w:type="dxa"/>
            <w:shd w:val="clear" w:color="auto" w:fill="auto"/>
            <w:noWrap/>
            <w:vAlign w:val="center"/>
          </w:tcPr>
          <w:p w14:paraId="24119B33"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Oral health education</w:t>
            </w:r>
          </w:p>
        </w:tc>
        <w:tc>
          <w:tcPr>
            <w:tcW w:w="1105" w:type="dxa"/>
            <w:vMerge/>
            <w:vAlign w:val="center"/>
          </w:tcPr>
          <w:p w14:paraId="527BCBA4"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851" w:type="dxa"/>
            <w:vMerge/>
            <w:vAlign w:val="center"/>
          </w:tcPr>
          <w:p w14:paraId="724043CB"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851" w:type="dxa"/>
            <w:vMerge/>
            <w:shd w:val="clear" w:color="auto" w:fill="auto"/>
            <w:noWrap/>
            <w:vAlign w:val="center"/>
          </w:tcPr>
          <w:p w14:paraId="2675AE32"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1190" w:type="dxa"/>
            <w:vAlign w:val="center"/>
          </w:tcPr>
          <w:p w14:paraId="0BA879ED"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141,691 / 211,011</w:t>
            </w:r>
          </w:p>
        </w:tc>
        <w:tc>
          <w:tcPr>
            <w:tcW w:w="2760" w:type="dxa"/>
            <w:vMerge/>
            <w:shd w:val="clear" w:color="auto" w:fill="auto"/>
            <w:noWrap/>
          </w:tcPr>
          <w:p w14:paraId="595A30B1"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p>
        </w:tc>
        <w:tc>
          <w:tcPr>
            <w:tcW w:w="1190" w:type="dxa"/>
            <w:gridSpan w:val="2"/>
            <w:vMerge/>
            <w:shd w:val="clear" w:color="auto" w:fill="auto"/>
            <w:noWrap/>
            <w:vAlign w:val="center"/>
          </w:tcPr>
          <w:p w14:paraId="740AEDF5"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1978" w:type="dxa"/>
            <w:vMerge/>
            <w:shd w:val="clear" w:color="auto" w:fill="auto"/>
            <w:noWrap/>
          </w:tcPr>
          <w:p w14:paraId="6257D347"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p>
        </w:tc>
        <w:tc>
          <w:tcPr>
            <w:tcW w:w="1134" w:type="dxa"/>
            <w:vMerge/>
            <w:vAlign w:val="center"/>
          </w:tcPr>
          <w:p w14:paraId="5E512D9F"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r>
      <w:tr w:rsidR="008461EA" w:rsidRPr="00800A49" w14:paraId="21AFB9A4" w14:textId="77777777" w:rsidTr="00720BDC">
        <w:trPr>
          <w:trHeight w:val="300"/>
        </w:trPr>
        <w:tc>
          <w:tcPr>
            <w:tcW w:w="1128" w:type="dxa"/>
            <w:vMerge w:val="restart"/>
            <w:shd w:val="clear" w:color="auto" w:fill="auto"/>
            <w:noWrap/>
            <w:hideMark/>
          </w:tcPr>
          <w:p w14:paraId="7B758CF2"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Pennington et al., 2011</w:t>
            </w:r>
          </w:p>
        </w:tc>
        <w:tc>
          <w:tcPr>
            <w:tcW w:w="283" w:type="dxa"/>
            <w:vMerge w:val="restart"/>
            <w:vAlign w:val="center"/>
          </w:tcPr>
          <w:p w14:paraId="67AD1B2B"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I</w:t>
            </w:r>
          </w:p>
        </w:tc>
        <w:tc>
          <w:tcPr>
            <w:tcW w:w="709" w:type="dxa"/>
            <w:vAlign w:val="center"/>
          </w:tcPr>
          <w:p w14:paraId="76F8392D"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Ind.</w:t>
            </w:r>
          </w:p>
        </w:tc>
        <w:tc>
          <w:tcPr>
            <w:tcW w:w="2409" w:type="dxa"/>
            <w:shd w:val="clear" w:color="auto" w:fill="auto"/>
            <w:noWrap/>
            <w:vAlign w:val="center"/>
            <w:hideMark/>
          </w:tcPr>
          <w:p w14:paraId="2BB67D84"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Supportive periodontal therapy - private practice</w:t>
            </w:r>
          </w:p>
          <w:p w14:paraId="12FA08B2"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w:t>
            </w:r>
            <w:proofErr w:type="spellStart"/>
            <w:r w:rsidRPr="00800A49">
              <w:rPr>
                <w:rFonts w:ascii="Times New Roman" w:eastAsia="Times New Roman" w:hAnsi="Times New Roman" w:cs="Times New Roman"/>
                <w:color w:val="000000"/>
                <w:sz w:val="18"/>
                <w:szCs w:val="18"/>
                <w:lang w:eastAsia="en-AU"/>
              </w:rPr>
              <w:t>Pr</w:t>
            </w:r>
            <w:proofErr w:type="spellEnd"/>
            <w:r w:rsidRPr="00800A49">
              <w:rPr>
                <w:rFonts w:ascii="Times New Roman" w:eastAsia="Times New Roman" w:hAnsi="Times New Roman" w:cs="Times New Roman"/>
                <w:color w:val="000000"/>
                <w:sz w:val="18"/>
                <w:szCs w:val="18"/>
                <w:lang w:eastAsia="en-AU"/>
              </w:rPr>
              <w:t>-SPT)</w:t>
            </w:r>
          </w:p>
        </w:tc>
        <w:tc>
          <w:tcPr>
            <w:tcW w:w="1105" w:type="dxa"/>
            <w:vMerge w:val="restart"/>
            <w:vAlign w:val="center"/>
          </w:tcPr>
          <w:p w14:paraId="1D2C630B"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Societal</w:t>
            </w:r>
          </w:p>
        </w:tc>
        <w:tc>
          <w:tcPr>
            <w:tcW w:w="851" w:type="dxa"/>
            <w:vMerge w:val="restart"/>
            <w:vAlign w:val="center"/>
          </w:tcPr>
          <w:p w14:paraId="4AE05052"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30 years</w:t>
            </w:r>
          </w:p>
        </w:tc>
        <w:tc>
          <w:tcPr>
            <w:tcW w:w="851" w:type="dxa"/>
            <w:vMerge w:val="restart"/>
            <w:shd w:val="clear" w:color="auto" w:fill="auto"/>
            <w:noWrap/>
            <w:vAlign w:val="center"/>
            <w:hideMark/>
          </w:tcPr>
          <w:p w14:paraId="1A7643E4"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45</w:t>
            </w:r>
          </w:p>
        </w:tc>
        <w:tc>
          <w:tcPr>
            <w:tcW w:w="1190" w:type="dxa"/>
            <w:vMerge w:val="restart"/>
            <w:vAlign w:val="center"/>
          </w:tcPr>
          <w:p w14:paraId="46173D19"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Individual</w:t>
            </w:r>
          </w:p>
        </w:tc>
        <w:tc>
          <w:tcPr>
            <w:tcW w:w="2760" w:type="dxa"/>
            <w:vMerge w:val="restart"/>
            <w:shd w:val="clear" w:color="auto" w:fill="auto"/>
            <w:noWrap/>
            <w:hideMark/>
          </w:tcPr>
          <w:p w14:paraId="048FB590"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Intervention costs (micro-costing)</w:t>
            </w:r>
          </w:p>
          <w:p w14:paraId="183501BF"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br/>
              <w:t>Dental treatment costs (extraction, bridge, denture, implant)</w:t>
            </w:r>
          </w:p>
          <w:p w14:paraId="4490CB36"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br/>
              <w:t>Opportunity costs lost (travel and dental treatment time)</w:t>
            </w:r>
          </w:p>
        </w:tc>
        <w:tc>
          <w:tcPr>
            <w:tcW w:w="1190" w:type="dxa"/>
            <w:gridSpan w:val="2"/>
            <w:vMerge w:val="restart"/>
            <w:shd w:val="clear" w:color="auto" w:fill="auto"/>
            <w:noWrap/>
            <w:vAlign w:val="center"/>
          </w:tcPr>
          <w:p w14:paraId="01D0B3C2"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4%</w:t>
            </w:r>
          </w:p>
        </w:tc>
        <w:tc>
          <w:tcPr>
            <w:tcW w:w="1978" w:type="dxa"/>
            <w:vMerge w:val="restart"/>
            <w:shd w:val="clear" w:color="auto" w:fill="auto"/>
            <w:noWrap/>
            <w:hideMark/>
          </w:tcPr>
          <w:p w14:paraId="3E8CC47C"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Costs (US$) per tooth loss averted per year; costs per 1mm clinical attachment loss averted per year</w:t>
            </w:r>
            <w:r w:rsidRPr="00800A49">
              <w:rPr>
                <w:rFonts w:ascii="Times New Roman" w:eastAsia="Times New Roman" w:hAnsi="Times New Roman" w:cs="Times New Roman"/>
                <w:color w:val="000000"/>
                <w:sz w:val="18"/>
                <w:szCs w:val="18"/>
                <w:lang w:eastAsia="en-AU"/>
              </w:rPr>
              <w:br/>
              <w:t xml:space="preserve">1) Pu-SPT versus </w:t>
            </w:r>
            <w:proofErr w:type="spellStart"/>
            <w:r w:rsidRPr="00800A49">
              <w:rPr>
                <w:rFonts w:ascii="Times New Roman" w:eastAsia="Times New Roman" w:hAnsi="Times New Roman" w:cs="Times New Roman"/>
                <w:color w:val="000000"/>
                <w:sz w:val="18"/>
                <w:szCs w:val="18"/>
                <w:lang w:eastAsia="en-AU"/>
              </w:rPr>
              <w:t>Pr</w:t>
            </w:r>
            <w:proofErr w:type="spellEnd"/>
            <w:r w:rsidRPr="00800A49">
              <w:rPr>
                <w:rFonts w:ascii="Times New Roman" w:eastAsia="Times New Roman" w:hAnsi="Times New Roman" w:cs="Times New Roman"/>
                <w:color w:val="000000"/>
                <w:sz w:val="18"/>
                <w:szCs w:val="18"/>
                <w:lang w:eastAsia="en-AU"/>
              </w:rPr>
              <w:t>-SPT</w:t>
            </w:r>
            <w:r w:rsidRPr="00800A49">
              <w:rPr>
                <w:rFonts w:ascii="Times New Roman" w:eastAsia="Times New Roman" w:hAnsi="Times New Roman" w:cs="Times New Roman"/>
                <w:color w:val="000000"/>
                <w:sz w:val="18"/>
                <w:szCs w:val="18"/>
                <w:lang w:eastAsia="en-AU"/>
              </w:rPr>
              <w:br/>
              <w:t>Sri Lanka ICER: 100; N/A</w:t>
            </w:r>
            <w:r w:rsidRPr="00800A49">
              <w:rPr>
                <w:rFonts w:ascii="Times New Roman" w:eastAsia="Times New Roman" w:hAnsi="Times New Roman" w:cs="Times New Roman"/>
                <w:color w:val="000000"/>
                <w:sz w:val="18"/>
                <w:szCs w:val="18"/>
                <w:lang w:eastAsia="en-AU"/>
              </w:rPr>
              <w:br/>
              <w:t>United States ICER: 590; 2,250</w:t>
            </w:r>
            <w:r w:rsidRPr="00800A49">
              <w:rPr>
                <w:rFonts w:ascii="Times New Roman" w:eastAsia="Times New Roman" w:hAnsi="Times New Roman" w:cs="Times New Roman"/>
                <w:color w:val="000000"/>
                <w:sz w:val="18"/>
                <w:szCs w:val="18"/>
                <w:lang w:eastAsia="en-AU"/>
              </w:rPr>
              <w:br/>
              <w:t>Japan ICER: 8,800; N/A</w:t>
            </w:r>
            <w:r w:rsidRPr="00800A49">
              <w:rPr>
                <w:rFonts w:ascii="Times New Roman" w:eastAsia="Times New Roman" w:hAnsi="Times New Roman" w:cs="Times New Roman"/>
                <w:color w:val="000000"/>
                <w:sz w:val="18"/>
                <w:szCs w:val="18"/>
                <w:lang w:eastAsia="en-AU"/>
              </w:rPr>
              <w:br/>
              <w:t>United Kingdom ICER: N/R (dominated); 200</w:t>
            </w:r>
            <w:r w:rsidRPr="00800A49">
              <w:rPr>
                <w:rFonts w:ascii="Times New Roman" w:eastAsia="Times New Roman" w:hAnsi="Times New Roman" w:cs="Times New Roman"/>
                <w:color w:val="000000"/>
                <w:sz w:val="18"/>
                <w:szCs w:val="18"/>
                <w:lang w:eastAsia="en-AU"/>
              </w:rPr>
              <w:br/>
              <w:t>Australia ICER: 450; 650</w:t>
            </w:r>
            <w:r w:rsidRPr="00800A49">
              <w:rPr>
                <w:rFonts w:ascii="Times New Roman" w:eastAsia="Times New Roman" w:hAnsi="Times New Roman" w:cs="Times New Roman"/>
                <w:color w:val="000000"/>
                <w:sz w:val="18"/>
                <w:szCs w:val="18"/>
                <w:lang w:eastAsia="en-AU"/>
              </w:rPr>
              <w:br/>
              <w:t xml:space="preserve">2) </w:t>
            </w:r>
            <w:proofErr w:type="spellStart"/>
            <w:r w:rsidRPr="00800A49">
              <w:rPr>
                <w:rFonts w:ascii="Times New Roman" w:eastAsia="Times New Roman" w:hAnsi="Times New Roman" w:cs="Times New Roman"/>
                <w:color w:val="000000"/>
                <w:sz w:val="18"/>
                <w:szCs w:val="18"/>
                <w:lang w:eastAsia="en-AU"/>
              </w:rPr>
              <w:t>Pr</w:t>
            </w:r>
            <w:proofErr w:type="spellEnd"/>
            <w:r w:rsidRPr="00800A49">
              <w:rPr>
                <w:rFonts w:ascii="Times New Roman" w:eastAsia="Times New Roman" w:hAnsi="Times New Roman" w:cs="Times New Roman"/>
                <w:color w:val="000000"/>
                <w:sz w:val="18"/>
                <w:szCs w:val="18"/>
                <w:lang w:eastAsia="en-AU"/>
              </w:rPr>
              <w:t xml:space="preserve">-SPT versus </w:t>
            </w:r>
            <w:proofErr w:type="spellStart"/>
            <w:r w:rsidRPr="00800A49">
              <w:rPr>
                <w:rFonts w:ascii="Times New Roman" w:eastAsia="Times New Roman" w:hAnsi="Times New Roman" w:cs="Times New Roman"/>
                <w:color w:val="000000"/>
                <w:sz w:val="18"/>
                <w:szCs w:val="18"/>
                <w:lang w:eastAsia="en-AU"/>
              </w:rPr>
              <w:t>Sp</w:t>
            </w:r>
            <w:proofErr w:type="spellEnd"/>
            <w:r w:rsidRPr="00800A49">
              <w:rPr>
                <w:rFonts w:ascii="Times New Roman" w:eastAsia="Times New Roman" w:hAnsi="Times New Roman" w:cs="Times New Roman"/>
                <w:color w:val="000000"/>
                <w:sz w:val="18"/>
                <w:szCs w:val="18"/>
                <w:lang w:eastAsia="en-AU"/>
              </w:rPr>
              <w:t>-SPT</w:t>
            </w:r>
            <w:r w:rsidRPr="00800A49">
              <w:rPr>
                <w:rFonts w:ascii="Times New Roman" w:eastAsia="Times New Roman" w:hAnsi="Times New Roman" w:cs="Times New Roman"/>
                <w:color w:val="000000"/>
                <w:sz w:val="18"/>
                <w:szCs w:val="18"/>
                <w:lang w:eastAsia="en-AU"/>
              </w:rPr>
              <w:br/>
              <w:t>United States ICER: 2,150; 4,700</w:t>
            </w:r>
            <w:r w:rsidRPr="00800A49">
              <w:rPr>
                <w:rFonts w:ascii="Times New Roman" w:eastAsia="Times New Roman" w:hAnsi="Times New Roman" w:cs="Times New Roman"/>
                <w:color w:val="000000"/>
                <w:sz w:val="18"/>
                <w:szCs w:val="18"/>
                <w:lang w:eastAsia="en-AU"/>
              </w:rPr>
              <w:br/>
              <w:t>Spain ICER: 400; 2,100</w:t>
            </w:r>
            <w:r w:rsidRPr="00800A49">
              <w:rPr>
                <w:rFonts w:ascii="Times New Roman" w:eastAsia="Times New Roman" w:hAnsi="Times New Roman" w:cs="Times New Roman"/>
                <w:color w:val="000000"/>
                <w:sz w:val="18"/>
                <w:szCs w:val="18"/>
                <w:lang w:eastAsia="en-AU"/>
              </w:rPr>
              <w:br/>
              <w:t>Ireland ICER: 1,650; 5,450</w:t>
            </w:r>
            <w:r w:rsidRPr="00800A49">
              <w:rPr>
                <w:rFonts w:ascii="Times New Roman" w:eastAsia="Times New Roman" w:hAnsi="Times New Roman" w:cs="Times New Roman"/>
                <w:color w:val="000000"/>
                <w:sz w:val="18"/>
                <w:szCs w:val="18"/>
                <w:lang w:eastAsia="en-AU"/>
              </w:rPr>
              <w:br/>
              <w:t>United Kingdom ICER: 200; 1,050</w:t>
            </w:r>
            <w:r w:rsidRPr="00800A49">
              <w:rPr>
                <w:rFonts w:ascii="Times New Roman" w:eastAsia="Times New Roman" w:hAnsi="Times New Roman" w:cs="Times New Roman"/>
                <w:color w:val="000000"/>
                <w:sz w:val="18"/>
                <w:szCs w:val="18"/>
                <w:lang w:eastAsia="en-AU"/>
              </w:rPr>
              <w:br/>
              <w:t>Germany ICER: 7,800; 13,200</w:t>
            </w:r>
            <w:r w:rsidRPr="00800A49">
              <w:rPr>
                <w:rFonts w:ascii="Times New Roman" w:eastAsia="Times New Roman" w:hAnsi="Times New Roman" w:cs="Times New Roman"/>
                <w:color w:val="000000"/>
                <w:sz w:val="18"/>
                <w:szCs w:val="18"/>
                <w:lang w:eastAsia="en-AU"/>
              </w:rPr>
              <w:br/>
              <w:t>Australia ICER: 350; 1,450</w:t>
            </w:r>
          </w:p>
          <w:p w14:paraId="395AACEE"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p>
          <w:p w14:paraId="66A8F5CF"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Cost-effective = N/S</w:t>
            </w:r>
          </w:p>
        </w:tc>
        <w:tc>
          <w:tcPr>
            <w:tcW w:w="1134" w:type="dxa"/>
            <w:vMerge w:val="restart"/>
            <w:vAlign w:val="center"/>
          </w:tcPr>
          <w:p w14:paraId="7AEAEDBF"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Good</w:t>
            </w:r>
          </w:p>
        </w:tc>
      </w:tr>
      <w:tr w:rsidR="008461EA" w:rsidRPr="00800A49" w14:paraId="2E660E4D" w14:textId="77777777" w:rsidTr="00720BDC">
        <w:trPr>
          <w:trHeight w:val="300"/>
        </w:trPr>
        <w:tc>
          <w:tcPr>
            <w:tcW w:w="1128" w:type="dxa"/>
            <w:vMerge/>
            <w:shd w:val="clear" w:color="auto" w:fill="auto"/>
            <w:noWrap/>
          </w:tcPr>
          <w:p w14:paraId="6D7188CA"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p>
        </w:tc>
        <w:tc>
          <w:tcPr>
            <w:tcW w:w="283" w:type="dxa"/>
            <w:vMerge/>
            <w:vAlign w:val="center"/>
          </w:tcPr>
          <w:p w14:paraId="3799A0C6"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709" w:type="dxa"/>
            <w:vAlign w:val="center"/>
          </w:tcPr>
          <w:p w14:paraId="1BB99B48"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Ind.</w:t>
            </w:r>
          </w:p>
        </w:tc>
        <w:tc>
          <w:tcPr>
            <w:tcW w:w="2409" w:type="dxa"/>
            <w:shd w:val="clear" w:color="auto" w:fill="auto"/>
            <w:noWrap/>
            <w:vAlign w:val="center"/>
          </w:tcPr>
          <w:p w14:paraId="3A86DA58"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Supportive periodontal therapy - specialist practice</w:t>
            </w:r>
          </w:p>
          <w:p w14:paraId="62733CDB"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w:t>
            </w:r>
            <w:proofErr w:type="spellStart"/>
            <w:r w:rsidRPr="00800A49">
              <w:rPr>
                <w:rFonts w:ascii="Times New Roman" w:eastAsia="Times New Roman" w:hAnsi="Times New Roman" w:cs="Times New Roman"/>
                <w:color w:val="000000"/>
                <w:sz w:val="18"/>
                <w:szCs w:val="18"/>
                <w:lang w:eastAsia="en-AU"/>
              </w:rPr>
              <w:t>Sp</w:t>
            </w:r>
            <w:proofErr w:type="spellEnd"/>
            <w:r w:rsidRPr="00800A49">
              <w:rPr>
                <w:rFonts w:ascii="Times New Roman" w:eastAsia="Times New Roman" w:hAnsi="Times New Roman" w:cs="Times New Roman"/>
                <w:color w:val="000000"/>
                <w:sz w:val="18"/>
                <w:szCs w:val="18"/>
                <w:lang w:eastAsia="en-AU"/>
              </w:rPr>
              <w:t>-SPT)</w:t>
            </w:r>
          </w:p>
        </w:tc>
        <w:tc>
          <w:tcPr>
            <w:tcW w:w="1105" w:type="dxa"/>
            <w:vMerge/>
            <w:vAlign w:val="center"/>
          </w:tcPr>
          <w:p w14:paraId="79F2840F"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851" w:type="dxa"/>
            <w:vMerge/>
            <w:vAlign w:val="center"/>
          </w:tcPr>
          <w:p w14:paraId="67C11FDE"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851" w:type="dxa"/>
            <w:vMerge/>
            <w:shd w:val="clear" w:color="auto" w:fill="auto"/>
            <w:noWrap/>
            <w:vAlign w:val="center"/>
          </w:tcPr>
          <w:p w14:paraId="76F0818E"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1190" w:type="dxa"/>
            <w:vMerge/>
            <w:vAlign w:val="center"/>
          </w:tcPr>
          <w:p w14:paraId="03A712BC"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2760" w:type="dxa"/>
            <w:vMerge/>
            <w:shd w:val="clear" w:color="auto" w:fill="auto"/>
            <w:noWrap/>
          </w:tcPr>
          <w:p w14:paraId="3B866A5F"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p>
        </w:tc>
        <w:tc>
          <w:tcPr>
            <w:tcW w:w="1190" w:type="dxa"/>
            <w:gridSpan w:val="2"/>
            <w:vMerge/>
            <w:shd w:val="clear" w:color="auto" w:fill="auto"/>
            <w:noWrap/>
            <w:vAlign w:val="center"/>
          </w:tcPr>
          <w:p w14:paraId="2EABA191"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1978" w:type="dxa"/>
            <w:vMerge/>
            <w:shd w:val="clear" w:color="auto" w:fill="auto"/>
            <w:noWrap/>
          </w:tcPr>
          <w:p w14:paraId="09621677"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p>
        </w:tc>
        <w:tc>
          <w:tcPr>
            <w:tcW w:w="1134" w:type="dxa"/>
            <w:vMerge/>
            <w:vAlign w:val="center"/>
          </w:tcPr>
          <w:p w14:paraId="13047E18"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r>
      <w:tr w:rsidR="008461EA" w:rsidRPr="00800A49" w14:paraId="4C396F74" w14:textId="77777777" w:rsidTr="00720BDC">
        <w:trPr>
          <w:trHeight w:val="300"/>
        </w:trPr>
        <w:tc>
          <w:tcPr>
            <w:tcW w:w="1128" w:type="dxa"/>
            <w:vMerge/>
            <w:shd w:val="clear" w:color="auto" w:fill="auto"/>
            <w:noWrap/>
          </w:tcPr>
          <w:p w14:paraId="1C3F6090"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p>
        </w:tc>
        <w:tc>
          <w:tcPr>
            <w:tcW w:w="283" w:type="dxa"/>
            <w:vAlign w:val="center"/>
          </w:tcPr>
          <w:p w14:paraId="46683DD1"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C</w:t>
            </w:r>
          </w:p>
        </w:tc>
        <w:tc>
          <w:tcPr>
            <w:tcW w:w="709" w:type="dxa"/>
            <w:vAlign w:val="center"/>
          </w:tcPr>
          <w:p w14:paraId="28185C09"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Ind.</w:t>
            </w:r>
          </w:p>
        </w:tc>
        <w:tc>
          <w:tcPr>
            <w:tcW w:w="2409" w:type="dxa"/>
            <w:shd w:val="clear" w:color="auto" w:fill="auto"/>
            <w:noWrap/>
            <w:vAlign w:val="center"/>
          </w:tcPr>
          <w:p w14:paraId="498F8855"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Supportive periodontal therapy - public practice</w:t>
            </w:r>
          </w:p>
          <w:p w14:paraId="226DEE29"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(Pu-SPT)</w:t>
            </w:r>
          </w:p>
        </w:tc>
        <w:tc>
          <w:tcPr>
            <w:tcW w:w="1105" w:type="dxa"/>
            <w:vMerge/>
            <w:vAlign w:val="center"/>
          </w:tcPr>
          <w:p w14:paraId="6E566718"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851" w:type="dxa"/>
            <w:vMerge/>
            <w:vAlign w:val="center"/>
          </w:tcPr>
          <w:p w14:paraId="03BDF983"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851" w:type="dxa"/>
            <w:vMerge/>
            <w:shd w:val="clear" w:color="auto" w:fill="auto"/>
            <w:noWrap/>
            <w:vAlign w:val="center"/>
          </w:tcPr>
          <w:p w14:paraId="2A19B862"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1190" w:type="dxa"/>
            <w:vMerge/>
            <w:vAlign w:val="center"/>
          </w:tcPr>
          <w:p w14:paraId="37C35E5F"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2760" w:type="dxa"/>
            <w:vMerge/>
            <w:shd w:val="clear" w:color="auto" w:fill="auto"/>
            <w:noWrap/>
          </w:tcPr>
          <w:p w14:paraId="5D082306"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p>
        </w:tc>
        <w:tc>
          <w:tcPr>
            <w:tcW w:w="1190" w:type="dxa"/>
            <w:gridSpan w:val="2"/>
            <w:vMerge/>
            <w:shd w:val="clear" w:color="auto" w:fill="auto"/>
            <w:noWrap/>
            <w:vAlign w:val="center"/>
          </w:tcPr>
          <w:p w14:paraId="1C348615"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1978" w:type="dxa"/>
            <w:vMerge/>
            <w:shd w:val="clear" w:color="auto" w:fill="auto"/>
            <w:noWrap/>
          </w:tcPr>
          <w:p w14:paraId="2608927F"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p>
        </w:tc>
        <w:tc>
          <w:tcPr>
            <w:tcW w:w="1134" w:type="dxa"/>
            <w:vMerge/>
            <w:vAlign w:val="center"/>
          </w:tcPr>
          <w:p w14:paraId="31E8D4D3"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r>
      <w:tr w:rsidR="008461EA" w:rsidRPr="00800A49" w14:paraId="01980D3B" w14:textId="77777777" w:rsidTr="00720BDC">
        <w:trPr>
          <w:trHeight w:val="300"/>
        </w:trPr>
        <w:tc>
          <w:tcPr>
            <w:tcW w:w="1128" w:type="dxa"/>
            <w:vMerge w:val="restart"/>
            <w:shd w:val="clear" w:color="auto" w:fill="auto"/>
            <w:noWrap/>
            <w:hideMark/>
          </w:tcPr>
          <w:p w14:paraId="527595F2"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proofErr w:type="spellStart"/>
            <w:r w:rsidRPr="00800A49">
              <w:rPr>
                <w:rFonts w:ascii="Times New Roman" w:eastAsia="Times New Roman" w:hAnsi="Times New Roman" w:cs="Times New Roman"/>
                <w:color w:val="000000"/>
                <w:sz w:val="18"/>
                <w:szCs w:val="18"/>
                <w:lang w:eastAsia="en-AU"/>
              </w:rPr>
              <w:t>Pukallus</w:t>
            </w:r>
            <w:proofErr w:type="spellEnd"/>
            <w:r w:rsidRPr="00800A49">
              <w:rPr>
                <w:rFonts w:ascii="Times New Roman" w:eastAsia="Times New Roman" w:hAnsi="Times New Roman" w:cs="Times New Roman"/>
                <w:color w:val="000000"/>
                <w:sz w:val="18"/>
                <w:szCs w:val="18"/>
                <w:lang w:eastAsia="en-AU"/>
              </w:rPr>
              <w:t xml:space="preserve"> et al., 2013</w:t>
            </w:r>
          </w:p>
        </w:tc>
        <w:tc>
          <w:tcPr>
            <w:tcW w:w="283" w:type="dxa"/>
            <w:vAlign w:val="center"/>
          </w:tcPr>
          <w:p w14:paraId="040658D5"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I</w:t>
            </w:r>
          </w:p>
        </w:tc>
        <w:tc>
          <w:tcPr>
            <w:tcW w:w="709" w:type="dxa"/>
            <w:vAlign w:val="center"/>
          </w:tcPr>
          <w:p w14:paraId="028A96C9"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Sel.</w:t>
            </w:r>
          </w:p>
        </w:tc>
        <w:tc>
          <w:tcPr>
            <w:tcW w:w="2409" w:type="dxa"/>
            <w:shd w:val="clear" w:color="auto" w:fill="auto"/>
            <w:noWrap/>
            <w:vAlign w:val="center"/>
            <w:hideMark/>
          </w:tcPr>
          <w:p w14:paraId="19C7415D"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Targeted oral health education via telephone consultations via maternal health institutions</w:t>
            </w:r>
          </w:p>
        </w:tc>
        <w:tc>
          <w:tcPr>
            <w:tcW w:w="1105" w:type="dxa"/>
            <w:vMerge w:val="restart"/>
            <w:vAlign w:val="center"/>
          </w:tcPr>
          <w:p w14:paraId="0C2343F0"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Societal</w:t>
            </w:r>
          </w:p>
        </w:tc>
        <w:tc>
          <w:tcPr>
            <w:tcW w:w="851" w:type="dxa"/>
            <w:vMerge w:val="restart"/>
            <w:vAlign w:val="center"/>
          </w:tcPr>
          <w:p w14:paraId="3FF20CAE"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5.5 years</w:t>
            </w:r>
          </w:p>
        </w:tc>
        <w:tc>
          <w:tcPr>
            <w:tcW w:w="851" w:type="dxa"/>
            <w:vMerge w:val="restart"/>
            <w:shd w:val="clear" w:color="auto" w:fill="auto"/>
            <w:noWrap/>
            <w:vAlign w:val="center"/>
            <w:hideMark/>
          </w:tcPr>
          <w:p w14:paraId="43DD356B"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&lt;1</w:t>
            </w:r>
          </w:p>
        </w:tc>
        <w:tc>
          <w:tcPr>
            <w:tcW w:w="1190" w:type="dxa"/>
            <w:vMerge w:val="restart"/>
            <w:vAlign w:val="center"/>
          </w:tcPr>
          <w:p w14:paraId="18572B48"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Individual</w:t>
            </w:r>
          </w:p>
        </w:tc>
        <w:tc>
          <w:tcPr>
            <w:tcW w:w="2760" w:type="dxa"/>
            <w:vMerge w:val="restart"/>
            <w:shd w:val="clear" w:color="auto" w:fill="auto"/>
            <w:noWrap/>
            <w:hideMark/>
          </w:tcPr>
          <w:p w14:paraId="632421BA"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Interventions costs (micro-costing, labour, consumables)</w:t>
            </w:r>
          </w:p>
          <w:p w14:paraId="7C2EBBBA"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br/>
              <w:t xml:space="preserve">Dental treatment costs (restorations, crowns, extractions, </w:t>
            </w:r>
            <w:r w:rsidRPr="00800A49">
              <w:rPr>
                <w:rFonts w:ascii="Times New Roman" w:eastAsia="Times New Roman" w:hAnsi="Times New Roman" w:cs="Times New Roman"/>
                <w:color w:val="000000"/>
                <w:sz w:val="18"/>
                <w:szCs w:val="18"/>
                <w:lang w:eastAsia="en-AU"/>
              </w:rPr>
              <w:lastRenderedPageBreak/>
              <w:t>dental treatment under general anaesthesia)</w:t>
            </w:r>
          </w:p>
          <w:p w14:paraId="27E4C2A3"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br/>
              <w:t>Medication costs for acute dental infections</w:t>
            </w:r>
          </w:p>
        </w:tc>
        <w:tc>
          <w:tcPr>
            <w:tcW w:w="1190" w:type="dxa"/>
            <w:gridSpan w:val="2"/>
            <w:vMerge w:val="restart"/>
            <w:shd w:val="clear" w:color="auto" w:fill="auto"/>
            <w:noWrap/>
            <w:vAlign w:val="center"/>
          </w:tcPr>
          <w:p w14:paraId="0E0BA8A1"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lastRenderedPageBreak/>
              <w:t>5%</w:t>
            </w:r>
          </w:p>
        </w:tc>
        <w:tc>
          <w:tcPr>
            <w:tcW w:w="1978" w:type="dxa"/>
            <w:vMerge w:val="restart"/>
            <w:shd w:val="clear" w:color="auto" w:fill="auto"/>
            <w:noWrap/>
            <w:hideMark/>
          </w:tcPr>
          <w:p w14:paraId="7050F1EA"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Costs (£) per caries averted per 100 children</w:t>
            </w:r>
            <w:r w:rsidRPr="00800A49">
              <w:rPr>
                <w:rFonts w:ascii="Times New Roman" w:eastAsia="Times New Roman" w:hAnsi="Times New Roman" w:cs="Times New Roman"/>
                <w:color w:val="000000"/>
                <w:sz w:val="18"/>
                <w:szCs w:val="18"/>
                <w:lang w:eastAsia="en-AU"/>
              </w:rPr>
              <w:br/>
              <w:t>ICER: N/R (dominant)</w:t>
            </w:r>
          </w:p>
          <w:p w14:paraId="6C5D9E82"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p>
          <w:p w14:paraId="5E96CED8"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Cost-effective = Yes</w:t>
            </w:r>
          </w:p>
        </w:tc>
        <w:tc>
          <w:tcPr>
            <w:tcW w:w="1134" w:type="dxa"/>
            <w:vMerge w:val="restart"/>
            <w:vAlign w:val="center"/>
          </w:tcPr>
          <w:p w14:paraId="5A8A2AC7"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Good</w:t>
            </w:r>
          </w:p>
        </w:tc>
      </w:tr>
      <w:tr w:rsidR="008461EA" w:rsidRPr="00800A49" w14:paraId="09576F67" w14:textId="77777777" w:rsidTr="00720BDC">
        <w:trPr>
          <w:trHeight w:val="300"/>
        </w:trPr>
        <w:tc>
          <w:tcPr>
            <w:tcW w:w="1128" w:type="dxa"/>
            <w:vMerge/>
            <w:shd w:val="clear" w:color="auto" w:fill="auto"/>
            <w:noWrap/>
          </w:tcPr>
          <w:p w14:paraId="41404A5A"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p>
        </w:tc>
        <w:tc>
          <w:tcPr>
            <w:tcW w:w="283" w:type="dxa"/>
            <w:vAlign w:val="center"/>
          </w:tcPr>
          <w:p w14:paraId="5A714832"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C</w:t>
            </w:r>
          </w:p>
        </w:tc>
        <w:tc>
          <w:tcPr>
            <w:tcW w:w="709" w:type="dxa"/>
            <w:vAlign w:val="center"/>
          </w:tcPr>
          <w:p w14:paraId="46EB81E0"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N/A</w:t>
            </w:r>
          </w:p>
        </w:tc>
        <w:tc>
          <w:tcPr>
            <w:tcW w:w="2409" w:type="dxa"/>
            <w:shd w:val="clear" w:color="auto" w:fill="auto"/>
            <w:noWrap/>
            <w:vAlign w:val="center"/>
          </w:tcPr>
          <w:p w14:paraId="53E254CD"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No intervention</w:t>
            </w:r>
          </w:p>
        </w:tc>
        <w:tc>
          <w:tcPr>
            <w:tcW w:w="1105" w:type="dxa"/>
            <w:vMerge/>
            <w:vAlign w:val="center"/>
          </w:tcPr>
          <w:p w14:paraId="2CDC21ED"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851" w:type="dxa"/>
            <w:vMerge/>
            <w:vAlign w:val="center"/>
          </w:tcPr>
          <w:p w14:paraId="140E58B1"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851" w:type="dxa"/>
            <w:vMerge/>
            <w:shd w:val="clear" w:color="auto" w:fill="auto"/>
            <w:noWrap/>
            <w:vAlign w:val="center"/>
          </w:tcPr>
          <w:p w14:paraId="056D3EBE"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1190" w:type="dxa"/>
            <w:vMerge/>
            <w:vAlign w:val="center"/>
          </w:tcPr>
          <w:p w14:paraId="4B0CBA97"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2760" w:type="dxa"/>
            <w:vMerge/>
            <w:shd w:val="clear" w:color="auto" w:fill="auto"/>
            <w:noWrap/>
          </w:tcPr>
          <w:p w14:paraId="425F1C34"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p>
        </w:tc>
        <w:tc>
          <w:tcPr>
            <w:tcW w:w="1190" w:type="dxa"/>
            <w:gridSpan w:val="2"/>
            <w:vMerge/>
            <w:shd w:val="clear" w:color="auto" w:fill="auto"/>
            <w:noWrap/>
            <w:vAlign w:val="center"/>
          </w:tcPr>
          <w:p w14:paraId="55C9DF90"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1978" w:type="dxa"/>
            <w:vMerge/>
            <w:shd w:val="clear" w:color="auto" w:fill="auto"/>
            <w:noWrap/>
          </w:tcPr>
          <w:p w14:paraId="3C928E00"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p>
        </w:tc>
        <w:tc>
          <w:tcPr>
            <w:tcW w:w="1134" w:type="dxa"/>
            <w:vMerge/>
            <w:vAlign w:val="center"/>
          </w:tcPr>
          <w:p w14:paraId="5D5E650C"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r>
      <w:tr w:rsidR="008461EA" w:rsidRPr="00800A49" w14:paraId="4FB26676" w14:textId="77777777" w:rsidTr="00720BDC">
        <w:trPr>
          <w:trHeight w:val="300"/>
        </w:trPr>
        <w:tc>
          <w:tcPr>
            <w:tcW w:w="1128" w:type="dxa"/>
            <w:vMerge w:val="restart"/>
            <w:shd w:val="clear" w:color="auto" w:fill="auto"/>
            <w:noWrap/>
            <w:hideMark/>
          </w:tcPr>
          <w:p w14:paraId="7A59876C"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proofErr w:type="spellStart"/>
            <w:r w:rsidRPr="00800A49">
              <w:rPr>
                <w:rFonts w:ascii="Times New Roman" w:eastAsia="Times New Roman" w:hAnsi="Times New Roman" w:cs="Times New Roman"/>
                <w:color w:val="000000"/>
                <w:sz w:val="18"/>
                <w:szCs w:val="18"/>
                <w:lang w:eastAsia="en-AU"/>
              </w:rPr>
              <w:t>Quiñonez</w:t>
            </w:r>
            <w:proofErr w:type="spellEnd"/>
            <w:r w:rsidRPr="00800A49">
              <w:rPr>
                <w:rFonts w:ascii="Times New Roman" w:eastAsia="Times New Roman" w:hAnsi="Times New Roman" w:cs="Times New Roman"/>
                <w:color w:val="000000"/>
                <w:sz w:val="18"/>
                <w:szCs w:val="18"/>
                <w:lang w:eastAsia="en-AU"/>
              </w:rPr>
              <w:t xml:space="preserve"> et al., 2005</w:t>
            </w:r>
          </w:p>
        </w:tc>
        <w:tc>
          <w:tcPr>
            <w:tcW w:w="283" w:type="dxa"/>
            <w:vMerge w:val="restart"/>
            <w:vAlign w:val="center"/>
          </w:tcPr>
          <w:p w14:paraId="57AD459A"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I</w:t>
            </w:r>
          </w:p>
        </w:tc>
        <w:tc>
          <w:tcPr>
            <w:tcW w:w="709" w:type="dxa"/>
            <w:vAlign w:val="center"/>
          </w:tcPr>
          <w:p w14:paraId="2D53F917"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N/A</w:t>
            </w:r>
          </w:p>
        </w:tc>
        <w:tc>
          <w:tcPr>
            <w:tcW w:w="2409" w:type="dxa"/>
            <w:shd w:val="clear" w:color="auto" w:fill="auto"/>
            <w:noWrap/>
            <w:vAlign w:val="center"/>
            <w:hideMark/>
          </w:tcPr>
          <w:p w14:paraId="0987C086"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1) No fissure sealant (NS)</w:t>
            </w:r>
          </w:p>
        </w:tc>
        <w:tc>
          <w:tcPr>
            <w:tcW w:w="1105" w:type="dxa"/>
            <w:vMerge w:val="restart"/>
            <w:vAlign w:val="center"/>
          </w:tcPr>
          <w:p w14:paraId="37F18E00"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Healthcare</w:t>
            </w:r>
          </w:p>
        </w:tc>
        <w:tc>
          <w:tcPr>
            <w:tcW w:w="851" w:type="dxa"/>
            <w:vMerge w:val="restart"/>
            <w:vAlign w:val="center"/>
          </w:tcPr>
          <w:p w14:paraId="48E16E1E"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10 years</w:t>
            </w:r>
          </w:p>
        </w:tc>
        <w:tc>
          <w:tcPr>
            <w:tcW w:w="851" w:type="dxa"/>
            <w:vMerge w:val="restart"/>
            <w:shd w:val="clear" w:color="auto" w:fill="auto"/>
            <w:noWrap/>
            <w:vAlign w:val="center"/>
            <w:hideMark/>
          </w:tcPr>
          <w:p w14:paraId="0B4A3FC1"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N/R</w:t>
            </w:r>
          </w:p>
        </w:tc>
        <w:tc>
          <w:tcPr>
            <w:tcW w:w="1190" w:type="dxa"/>
            <w:vMerge w:val="restart"/>
            <w:vAlign w:val="center"/>
          </w:tcPr>
          <w:p w14:paraId="3A7C9433"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Individual</w:t>
            </w:r>
          </w:p>
        </w:tc>
        <w:tc>
          <w:tcPr>
            <w:tcW w:w="2760" w:type="dxa"/>
            <w:vMerge w:val="restart"/>
            <w:shd w:val="clear" w:color="auto" w:fill="auto"/>
            <w:noWrap/>
            <w:hideMark/>
          </w:tcPr>
          <w:p w14:paraId="584E2E22"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Intervention costs (macro-costing)</w:t>
            </w:r>
          </w:p>
          <w:p w14:paraId="4A4CC4BD"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br/>
              <w:t>Dental treatment costs (restorations)</w:t>
            </w:r>
          </w:p>
        </w:tc>
        <w:tc>
          <w:tcPr>
            <w:tcW w:w="1190" w:type="dxa"/>
            <w:gridSpan w:val="2"/>
            <w:vMerge w:val="restart"/>
            <w:shd w:val="clear" w:color="auto" w:fill="auto"/>
            <w:noWrap/>
            <w:vAlign w:val="center"/>
          </w:tcPr>
          <w:p w14:paraId="7E246032"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3%</w:t>
            </w:r>
          </w:p>
        </w:tc>
        <w:tc>
          <w:tcPr>
            <w:tcW w:w="1978" w:type="dxa"/>
            <w:vMerge w:val="restart"/>
            <w:shd w:val="clear" w:color="auto" w:fill="auto"/>
            <w:noWrap/>
            <w:hideMark/>
          </w:tcPr>
          <w:p w14:paraId="548B60B0"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Costs (US$) per cavity-free months</w:t>
            </w:r>
            <w:r w:rsidRPr="00800A49">
              <w:rPr>
                <w:rFonts w:ascii="Times New Roman" w:eastAsia="Times New Roman" w:hAnsi="Times New Roman" w:cs="Times New Roman"/>
                <w:color w:val="000000"/>
                <w:sz w:val="18"/>
                <w:szCs w:val="18"/>
                <w:lang w:eastAsia="en-AU"/>
              </w:rPr>
              <w:br/>
              <w:t>1) TS vs NS ICER: N/R (dominated)</w:t>
            </w:r>
          </w:p>
          <w:p w14:paraId="020929F7"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Cost-effective = No</w:t>
            </w:r>
          </w:p>
          <w:p w14:paraId="349B9D08"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p>
          <w:p w14:paraId="50E40D81"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2) TS vs AS ICER: 0.08</w:t>
            </w:r>
          </w:p>
          <w:p w14:paraId="57E6F749"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Cost-effective = N/S</w:t>
            </w:r>
          </w:p>
        </w:tc>
        <w:tc>
          <w:tcPr>
            <w:tcW w:w="1134" w:type="dxa"/>
            <w:vMerge w:val="restart"/>
            <w:vAlign w:val="center"/>
          </w:tcPr>
          <w:p w14:paraId="52A99B29"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Good</w:t>
            </w:r>
          </w:p>
        </w:tc>
      </w:tr>
      <w:tr w:rsidR="008461EA" w:rsidRPr="00800A49" w14:paraId="06B100D0" w14:textId="77777777" w:rsidTr="00720BDC">
        <w:trPr>
          <w:trHeight w:val="300"/>
        </w:trPr>
        <w:tc>
          <w:tcPr>
            <w:tcW w:w="1128" w:type="dxa"/>
            <w:vMerge/>
            <w:shd w:val="clear" w:color="auto" w:fill="auto"/>
            <w:noWrap/>
          </w:tcPr>
          <w:p w14:paraId="0A118C4B"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p>
        </w:tc>
        <w:tc>
          <w:tcPr>
            <w:tcW w:w="283" w:type="dxa"/>
            <w:vMerge/>
            <w:vAlign w:val="center"/>
          </w:tcPr>
          <w:p w14:paraId="5E3FE167"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709" w:type="dxa"/>
            <w:vAlign w:val="center"/>
          </w:tcPr>
          <w:p w14:paraId="53B7032F"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Ind.</w:t>
            </w:r>
          </w:p>
        </w:tc>
        <w:tc>
          <w:tcPr>
            <w:tcW w:w="2409" w:type="dxa"/>
            <w:shd w:val="clear" w:color="auto" w:fill="auto"/>
            <w:noWrap/>
            <w:vAlign w:val="center"/>
          </w:tcPr>
          <w:p w14:paraId="2F0208F4"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All fissure sealant (AS)</w:t>
            </w:r>
          </w:p>
        </w:tc>
        <w:tc>
          <w:tcPr>
            <w:tcW w:w="1105" w:type="dxa"/>
            <w:vMerge/>
            <w:vAlign w:val="center"/>
          </w:tcPr>
          <w:p w14:paraId="7C1E3B2C"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851" w:type="dxa"/>
            <w:vMerge/>
            <w:vAlign w:val="center"/>
          </w:tcPr>
          <w:p w14:paraId="2ED11294"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851" w:type="dxa"/>
            <w:vMerge/>
            <w:shd w:val="clear" w:color="auto" w:fill="auto"/>
            <w:noWrap/>
            <w:vAlign w:val="center"/>
          </w:tcPr>
          <w:p w14:paraId="25C27A87"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1190" w:type="dxa"/>
            <w:vMerge/>
            <w:vAlign w:val="center"/>
          </w:tcPr>
          <w:p w14:paraId="30E360D0"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2760" w:type="dxa"/>
            <w:vMerge/>
            <w:shd w:val="clear" w:color="auto" w:fill="auto"/>
            <w:noWrap/>
          </w:tcPr>
          <w:p w14:paraId="1E05E840"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p>
        </w:tc>
        <w:tc>
          <w:tcPr>
            <w:tcW w:w="1190" w:type="dxa"/>
            <w:gridSpan w:val="2"/>
            <w:vMerge/>
            <w:shd w:val="clear" w:color="auto" w:fill="auto"/>
            <w:noWrap/>
            <w:vAlign w:val="center"/>
          </w:tcPr>
          <w:p w14:paraId="63ABAD2C"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1978" w:type="dxa"/>
            <w:vMerge/>
            <w:shd w:val="clear" w:color="auto" w:fill="auto"/>
            <w:noWrap/>
          </w:tcPr>
          <w:p w14:paraId="4C1F6D97"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p>
        </w:tc>
        <w:tc>
          <w:tcPr>
            <w:tcW w:w="1134" w:type="dxa"/>
            <w:vMerge/>
            <w:vAlign w:val="center"/>
          </w:tcPr>
          <w:p w14:paraId="6CBC1651"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r>
      <w:tr w:rsidR="008461EA" w:rsidRPr="00800A49" w14:paraId="10078212" w14:textId="77777777" w:rsidTr="00720BDC">
        <w:trPr>
          <w:trHeight w:val="300"/>
        </w:trPr>
        <w:tc>
          <w:tcPr>
            <w:tcW w:w="1128" w:type="dxa"/>
            <w:vMerge/>
            <w:shd w:val="clear" w:color="auto" w:fill="auto"/>
            <w:noWrap/>
          </w:tcPr>
          <w:p w14:paraId="4F78E7E1"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p>
        </w:tc>
        <w:tc>
          <w:tcPr>
            <w:tcW w:w="283" w:type="dxa"/>
            <w:vAlign w:val="center"/>
          </w:tcPr>
          <w:p w14:paraId="6C64850B"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C</w:t>
            </w:r>
          </w:p>
        </w:tc>
        <w:tc>
          <w:tcPr>
            <w:tcW w:w="709" w:type="dxa"/>
            <w:vAlign w:val="center"/>
          </w:tcPr>
          <w:p w14:paraId="6750DCD2"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Ind.</w:t>
            </w:r>
          </w:p>
        </w:tc>
        <w:tc>
          <w:tcPr>
            <w:tcW w:w="2409" w:type="dxa"/>
            <w:shd w:val="clear" w:color="auto" w:fill="auto"/>
            <w:noWrap/>
            <w:vAlign w:val="center"/>
          </w:tcPr>
          <w:p w14:paraId="24345ECD"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Targeted fissure sealant (TS)</w:t>
            </w:r>
          </w:p>
        </w:tc>
        <w:tc>
          <w:tcPr>
            <w:tcW w:w="1105" w:type="dxa"/>
            <w:vMerge/>
            <w:vAlign w:val="center"/>
          </w:tcPr>
          <w:p w14:paraId="08259147"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851" w:type="dxa"/>
            <w:vMerge/>
            <w:vAlign w:val="center"/>
          </w:tcPr>
          <w:p w14:paraId="24430A1D"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851" w:type="dxa"/>
            <w:vMerge/>
            <w:shd w:val="clear" w:color="auto" w:fill="auto"/>
            <w:noWrap/>
            <w:vAlign w:val="center"/>
          </w:tcPr>
          <w:p w14:paraId="3AE7D2A7"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1190" w:type="dxa"/>
            <w:vMerge/>
            <w:vAlign w:val="center"/>
          </w:tcPr>
          <w:p w14:paraId="6A891B85"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2760" w:type="dxa"/>
            <w:vMerge/>
            <w:shd w:val="clear" w:color="auto" w:fill="auto"/>
            <w:noWrap/>
          </w:tcPr>
          <w:p w14:paraId="28F1A8C4"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p>
        </w:tc>
        <w:tc>
          <w:tcPr>
            <w:tcW w:w="1190" w:type="dxa"/>
            <w:gridSpan w:val="2"/>
            <w:vMerge/>
            <w:shd w:val="clear" w:color="auto" w:fill="auto"/>
            <w:noWrap/>
            <w:vAlign w:val="center"/>
          </w:tcPr>
          <w:p w14:paraId="59E42CCF"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1978" w:type="dxa"/>
            <w:vMerge/>
            <w:shd w:val="clear" w:color="auto" w:fill="auto"/>
            <w:noWrap/>
          </w:tcPr>
          <w:p w14:paraId="2197F797"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p>
        </w:tc>
        <w:tc>
          <w:tcPr>
            <w:tcW w:w="1134" w:type="dxa"/>
            <w:vMerge/>
            <w:vAlign w:val="center"/>
          </w:tcPr>
          <w:p w14:paraId="5E020F08"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r>
      <w:tr w:rsidR="008461EA" w:rsidRPr="00800A49" w14:paraId="5B4C6F77" w14:textId="77777777" w:rsidTr="00720BDC">
        <w:trPr>
          <w:trHeight w:val="300"/>
        </w:trPr>
        <w:tc>
          <w:tcPr>
            <w:tcW w:w="1128" w:type="dxa"/>
            <w:vMerge w:val="restart"/>
            <w:shd w:val="clear" w:color="auto" w:fill="auto"/>
            <w:noWrap/>
            <w:hideMark/>
          </w:tcPr>
          <w:p w14:paraId="0B15B00E"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proofErr w:type="spellStart"/>
            <w:r w:rsidRPr="00800A49">
              <w:rPr>
                <w:rFonts w:ascii="Times New Roman" w:eastAsia="Times New Roman" w:hAnsi="Times New Roman" w:cs="Times New Roman"/>
                <w:color w:val="000000"/>
                <w:sz w:val="18"/>
                <w:szCs w:val="18"/>
                <w:lang w:eastAsia="en-AU"/>
              </w:rPr>
              <w:t>Quiñonez</w:t>
            </w:r>
            <w:proofErr w:type="spellEnd"/>
            <w:r w:rsidRPr="00800A49">
              <w:rPr>
                <w:rFonts w:ascii="Times New Roman" w:eastAsia="Times New Roman" w:hAnsi="Times New Roman" w:cs="Times New Roman"/>
                <w:color w:val="000000"/>
                <w:sz w:val="18"/>
                <w:szCs w:val="18"/>
                <w:lang w:eastAsia="en-AU"/>
              </w:rPr>
              <w:t xml:space="preserve"> et al., 2006</w:t>
            </w:r>
          </w:p>
        </w:tc>
        <w:tc>
          <w:tcPr>
            <w:tcW w:w="283" w:type="dxa"/>
            <w:vAlign w:val="center"/>
          </w:tcPr>
          <w:p w14:paraId="5A0FAF73"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I</w:t>
            </w:r>
          </w:p>
        </w:tc>
        <w:tc>
          <w:tcPr>
            <w:tcW w:w="709" w:type="dxa"/>
            <w:vAlign w:val="center"/>
          </w:tcPr>
          <w:p w14:paraId="26CAA89E"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Sel.</w:t>
            </w:r>
          </w:p>
        </w:tc>
        <w:tc>
          <w:tcPr>
            <w:tcW w:w="2409" w:type="dxa"/>
            <w:shd w:val="clear" w:color="auto" w:fill="auto"/>
            <w:noWrap/>
            <w:vAlign w:val="center"/>
            <w:hideMark/>
          </w:tcPr>
          <w:p w14:paraId="47B38712"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Targeted fluoride varnish applied by primary care providers</w:t>
            </w:r>
          </w:p>
        </w:tc>
        <w:tc>
          <w:tcPr>
            <w:tcW w:w="1105" w:type="dxa"/>
            <w:vMerge w:val="restart"/>
            <w:vAlign w:val="center"/>
          </w:tcPr>
          <w:p w14:paraId="4D5196EE"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Healthcare</w:t>
            </w:r>
          </w:p>
        </w:tc>
        <w:tc>
          <w:tcPr>
            <w:tcW w:w="851" w:type="dxa"/>
            <w:vMerge w:val="restart"/>
            <w:vAlign w:val="center"/>
          </w:tcPr>
          <w:p w14:paraId="4E17F6AF"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3.5 years</w:t>
            </w:r>
          </w:p>
        </w:tc>
        <w:tc>
          <w:tcPr>
            <w:tcW w:w="851" w:type="dxa"/>
            <w:vMerge w:val="restart"/>
            <w:shd w:val="clear" w:color="auto" w:fill="auto"/>
            <w:noWrap/>
            <w:vAlign w:val="center"/>
            <w:hideMark/>
          </w:tcPr>
          <w:p w14:paraId="085F89B2"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&lt;1</w:t>
            </w:r>
          </w:p>
        </w:tc>
        <w:tc>
          <w:tcPr>
            <w:tcW w:w="1190" w:type="dxa"/>
            <w:vMerge w:val="restart"/>
            <w:vAlign w:val="center"/>
          </w:tcPr>
          <w:p w14:paraId="54321747"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Individual</w:t>
            </w:r>
          </w:p>
        </w:tc>
        <w:tc>
          <w:tcPr>
            <w:tcW w:w="2760" w:type="dxa"/>
            <w:vMerge w:val="restart"/>
            <w:shd w:val="clear" w:color="auto" w:fill="auto"/>
            <w:noWrap/>
            <w:hideMark/>
          </w:tcPr>
          <w:p w14:paraId="20B3DFAD"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Intervention costs (macro-costing)</w:t>
            </w:r>
          </w:p>
          <w:p w14:paraId="2F98C45E"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br/>
              <w:t>Dental treatment costs (restorations, dental treatment under general anaesthesia)</w:t>
            </w:r>
          </w:p>
        </w:tc>
        <w:tc>
          <w:tcPr>
            <w:tcW w:w="1190" w:type="dxa"/>
            <w:gridSpan w:val="2"/>
            <w:vMerge w:val="restart"/>
            <w:shd w:val="clear" w:color="auto" w:fill="auto"/>
            <w:noWrap/>
            <w:vAlign w:val="center"/>
          </w:tcPr>
          <w:p w14:paraId="12B21FCB"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3%</w:t>
            </w:r>
          </w:p>
        </w:tc>
        <w:tc>
          <w:tcPr>
            <w:tcW w:w="1978" w:type="dxa"/>
            <w:vMerge w:val="restart"/>
            <w:shd w:val="clear" w:color="auto" w:fill="auto"/>
            <w:noWrap/>
            <w:hideMark/>
          </w:tcPr>
          <w:p w14:paraId="567A79D3"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Costs (US$) per cavity-free months; costs per treatment averted</w:t>
            </w:r>
            <w:r w:rsidRPr="00800A49">
              <w:rPr>
                <w:rFonts w:ascii="Times New Roman" w:eastAsia="Times New Roman" w:hAnsi="Times New Roman" w:cs="Times New Roman"/>
                <w:color w:val="000000"/>
                <w:sz w:val="18"/>
                <w:szCs w:val="18"/>
                <w:lang w:eastAsia="en-AU"/>
              </w:rPr>
              <w:br/>
              <w:t>ICER: 7.18; 203</w:t>
            </w:r>
          </w:p>
          <w:p w14:paraId="33A06DA4"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p>
          <w:p w14:paraId="2C9B0C30"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Cost-effective = N/S</w:t>
            </w:r>
          </w:p>
        </w:tc>
        <w:tc>
          <w:tcPr>
            <w:tcW w:w="1134" w:type="dxa"/>
            <w:vMerge w:val="restart"/>
            <w:vAlign w:val="center"/>
          </w:tcPr>
          <w:p w14:paraId="532F5E96"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Good</w:t>
            </w:r>
          </w:p>
        </w:tc>
      </w:tr>
      <w:tr w:rsidR="008461EA" w:rsidRPr="00800A49" w14:paraId="4D7D8CFC" w14:textId="77777777" w:rsidTr="00720BDC">
        <w:trPr>
          <w:trHeight w:val="300"/>
        </w:trPr>
        <w:tc>
          <w:tcPr>
            <w:tcW w:w="1128" w:type="dxa"/>
            <w:vMerge/>
            <w:shd w:val="clear" w:color="auto" w:fill="auto"/>
            <w:noWrap/>
          </w:tcPr>
          <w:p w14:paraId="1E5D134E"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p>
        </w:tc>
        <w:tc>
          <w:tcPr>
            <w:tcW w:w="283" w:type="dxa"/>
            <w:vAlign w:val="center"/>
          </w:tcPr>
          <w:p w14:paraId="73BA6077"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C</w:t>
            </w:r>
          </w:p>
        </w:tc>
        <w:tc>
          <w:tcPr>
            <w:tcW w:w="709" w:type="dxa"/>
            <w:vAlign w:val="center"/>
          </w:tcPr>
          <w:p w14:paraId="501399DC"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N/A</w:t>
            </w:r>
          </w:p>
        </w:tc>
        <w:tc>
          <w:tcPr>
            <w:tcW w:w="2409" w:type="dxa"/>
            <w:shd w:val="clear" w:color="auto" w:fill="auto"/>
            <w:noWrap/>
            <w:vAlign w:val="center"/>
          </w:tcPr>
          <w:p w14:paraId="1B0264AA"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No intervention</w:t>
            </w:r>
          </w:p>
        </w:tc>
        <w:tc>
          <w:tcPr>
            <w:tcW w:w="1105" w:type="dxa"/>
            <w:vMerge/>
            <w:vAlign w:val="center"/>
          </w:tcPr>
          <w:p w14:paraId="45DC9C22"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851" w:type="dxa"/>
            <w:vMerge/>
            <w:vAlign w:val="center"/>
          </w:tcPr>
          <w:p w14:paraId="3B5E9E0B"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851" w:type="dxa"/>
            <w:vMerge/>
            <w:shd w:val="clear" w:color="auto" w:fill="auto"/>
            <w:noWrap/>
            <w:vAlign w:val="center"/>
          </w:tcPr>
          <w:p w14:paraId="37E1CFBB"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1190" w:type="dxa"/>
            <w:vMerge/>
            <w:vAlign w:val="center"/>
          </w:tcPr>
          <w:p w14:paraId="6CEB1A90"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2760" w:type="dxa"/>
            <w:vMerge/>
            <w:shd w:val="clear" w:color="auto" w:fill="auto"/>
            <w:noWrap/>
          </w:tcPr>
          <w:p w14:paraId="1266FA28"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p>
        </w:tc>
        <w:tc>
          <w:tcPr>
            <w:tcW w:w="1190" w:type="dxa"/>
            <w:gridSpan w:val="2"/>
            <w:vMerge/>
            <w:shd w:val="clear" w:color="auto" w:fill="auto"/>
            <w:noWrap/>
            <w:vAlign w:val="center"/>
          </w:tcPr>
          <w:p w14:paraId="13977D1E"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1978" w:type="dxa"/>
            <w:vMerge/>
            <w:shd w:val="clear" w:color="auto" w:fill="auto"/>
            <w:noWrap/>
          </w:tcPr>
          <w:p w14:paraId="35A79E4C"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p>
        </w:tc>
        <w:tc>
          <w:tcPr>
            <w:tcW w:w="1134" w:type="dxa"/>
            <w:vMerge/>
            <w:vAlign w:val="center"/>
          </w:tcPr>
          <w:p w14:paraId="7A709E80"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r>
      <w:tr w:rsidR="008461EA" w:rsidRPr="00800A49" w14:paraId="385703DC" w14:textId="77777777" w:rsidTr="00720BDC">
        <w:trPr>
          <w:trHeight w:val="760"/>
        </w:trPr>
        <w:tc>
          <w:tcPr>
            <w:tcW w:w="1128" w:type="dxa"/>
            <w:vMerge w:val="restart"/>
            <w:shd w:val="clear" w:color="auto" w:fill="auto"/>
            <w:noWrap/>
            <w:hideMark/>
          </w:tcPr>
          <w:p w14:paraId="64967C62"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Ramsay et al., 2018</w:t>
            </w:r>
          </w:p>
        </w:tc>
        <w:tc>
          <w:tcPr>
            <w:tcW w:w="283" w:type="dxa"/>
            <w:vMerge w:val="restart"/>
            <w:vAlign w:val="center"/>
          </w:tcPr>
          <w:p w14:paraId="7C2E9776"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I</w:t>
            </w:r>
          </w:p>
        </w:tc>
        <w:tc>
          <w:tcPr>
            <w:tcW w:w="709" w:type="dxa"/>
            <w:vAlign w:val="center"/>
          </w:tcPr>
          <w:p w14:paraId="22757E3C"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Ind.</w:t>
            </w:r>
          </w:p>
        </w:tc>
        <w:tc>
          <w:tcPr>
            <w:tcW w:w="2409" w:type="dxa"/>
            <w:shd w:val="clear" w:color="auto" w:fill="auto"/>
            <w:noWrap/>
            <w:vAlign w:val="center"/>
            <w:hideMark/>
          </w:tcPr>
          <w:p w14:paraId="10787AB9"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No scaling and standard oral health education (SOHE)</w:t>
            </w:r>
          </w:p>
        </w:tc>
        <w:tc>
          <w:tcPr>
            <w:tcW w:w="1105" w:type="dxa"/>
            <w:vMerge w:val="restart"/>
            <w:vAlign w:val="center"/>
          </w:tcPr>
          <w:p w14:paraId="7908C426"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Healthcare</w:t>
            </w:r>
          </w:p>
          <w:p w14:paraId="6059E7CE"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and</w:t>
            </w:r>
          </w:p>
          <w:p w14:paraId="741EA95E"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Societal</w:t>
            </w:r>
          </w:p>
        </w:tc>
        <w:tc>
          <w:tcPr>
            <w:tcW w:w="851" w:type="dxa"/>
            <w:vMerge w:val="restart"/>
            <w:vAlign w:val="center"/>
          </w:tcPr>
          <w:p w14:paraId="57546BB1"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2.25 years</w:t>
            </w:r>
          </w:p>
        </w:tc>
        <w:tc>
          <w:tcPr>
            <w:tcW w:w="851" w:type="dxa"/>
            <w:vMerge w:val="restart"/>
            <w:shd w:val="clear" w:color="auto" w:fill="auto"/>
            <w:noWrap/>
            <w:vAlign w:val="center"/>
            <w:hideMark/>
          </w:tcPr>
          <w:p w14:paraId="5CB4388B"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Mean</w:t>
            </w:r>
          </w:p>
          <w:p w14:paraId="08EA2522"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48</w:t>
            </w:r>
          </w:p>
        </w:tc>
        <w:tc>
          <w:tcPr>
            <w:tcW w:w="1190" w:type="dxa"/>
            <w:vAlign w:val="center"/>
          </w:tcPr>
          <w:p w14:paraId="199F4DC4"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289</w:t>
            </w:r>
          </w:p>
        </w:tc>
        <w:tc>
          <w:tcPr>
            <w:tcW w:w="2760" w:type="dxa"/>
            <w:vMerge w:val="restart"/>
            <w:shd w:val="clear" w:color="auto" w:fill="auto"/>
            <w:noWrap/>
            <w:hideMark/>
          </w:tcPr>
          <w:p w14:paraId="0F770577"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Intervention costs (macro-costing)</w:t>
            </w:r>
          </w:p>
          <w:p w14:paraId="64194E9D"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br/>
              <w:t>Dental treatment costs (all services and hospital-admissions)</w:t>
            </w:r>
          </w:p>
          <w:p w14:paraId="39E9D991"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br/>
              <w:t>Patient co-payment costs</w:t>
            </w:r>
          </w:p>
          <w:p w14:paraId="5B4C652B"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br/>
              <w:t>Opportunity costs lost (travel and treatment time)</w:t>
            </w:r>
          </w:p>
          <w:p w14:paraId="1CD20621"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br/>
              <w:t>Dental-related medical costs</w:t>
            </w:r>
            <w:r w:rsidRPr="00800A49">
              <w:rPr>
                <w:rFonts w:ascii="Times New Roman" w:eastAsia="Times New Roman" w:hAnsi="Times New Roman" w:cs="Times New Roman"/>
                <w:color w:val="000000"/>
                <w:sz w:val="18"/>
                <w:szCs w:val="18"/>
                <w:lang w:eastAsia="en-AU"/>
              </w:rPr>
              <w:br/>
              <w:t>Personal oral hygiene product costs</w:t>
            </w:r>
          </w:p>
        </w:tc>
        <w:tc>
          <w:tcPr>
            <w:tcW w:w="634" w:type="dxa"/>
            <w:vMerge w:val="restart"/>
            <w:shd w:val="clear" w:color="auto" w:fill="auto"/>
            <w:noWrap/>
            <w:vAlign w:val="center"/>
            <w:hideMark/>
          </w:tcPr>
          <w:p w14:paraId="4041DBDB"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4%</w:t>
            </w:r>
          </w:p>
        </w:tc>
        <w:tc>
          <w:tcPr>
            <w:tcW w:w="556" w:type="dxa"/>
            <w:vMerge w:val="restart"/>
            <w:vAlign w:val="center"/>
          </w:tcPr>
          <w:p w14:paraId="399C3F6B"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N/R</w:t>
            </w:r>
          </w:p>
        </w:tc>
        <w:tc>
          <w:tcPr>
            <w:tcW w:w="1978" w:type="dxa"/>
            <w:vMerge w:val="restart"/>
            <w:shd w:val="clear" w:color="auto" w:fill="auto"/>
            <w:noWrap/>
            <w:hideMark/>
          </w:tcPr>
          <w:p w14:paraId="3A39C410"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Net benefits/costs:</w:t>
            </w:r>
          </w:p>
          <w:p w14:paraId="55236BA2"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Societal perspective</w:t>
            </w:r>
            <w:r w:rsidRPr="00800A49">
              <w:rPr>
                <w:rFonts w:ascii="Times New Roman" w:eastAsia="Times New Roman" w:hAnsi="Times New Roman" w:cs="Times New Roman"/>
                <w:color w:val="000000"/>
                <w:sz w:val="18"/>
                <w:szCs w:val="18"/>
                <w:lang w:eastAsia="en-AU"/>
              </w:rPr>
              <w:br/>
              <w:t>1) SOHE: -£26 (-81; 28)</w:t>
            </w:r>
          </w:p>
          <w:p w14:paraId="4AE50D2D"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Cost-saving = Yes</w:t>
            </w:r>
          </w:p>
          <w:p w14:paraId="503763B1"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br/>
              <w:t>2) 12-monthly SOHE: -£14</w:t>
            </w:r>
          </w:p>
          <w:p w14:paraId="77F8702A"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(-70; 42)</w:t>
            </w:r>
          </w:p>
          <w:p w14:paraId="10F3E68F"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Cost-effective = Yes</w:t>
            </w:r>
          </w:p>
          <w:p w14:paraId="77E0B39E"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br/>
              <w:t>3) POHE: £58 (7; 110)</w:t>
            </w:r>
          </w:p>
          <w:p w14:paraId="0257B308"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Cost-effective = N/S</w:t>
            </w:r>
          </w:p>
          <w:p w14:paraId="797BEC7B"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br/>
              <w:t>4) 6-monthly POHE: £41</w:t>
            </w:r>
          </w:p>
          <w:p w14:paraId="222C1BD4"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(-11; 94)</w:t>
            </w:r>
          </w:p>
          <w:p w14:paraId="11346936"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Cost-saving = No</w:t>
            </w:r>
          </w:p>
          <w:p w14:paraId="22B50440"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br/>
              <w:t>5) 12-monthly POHE: £68</w:t>
            </w:r>
          </w:p>
          <w:p w14:paraId="1570D79B"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(15; 120)</w:t>
            </w:r>
          </w:p>
          <w:p w14:paraId="250C0C4F"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Cost-saving = No</w:t>
            </w:r>
            <w:r w:rsidRPr="00800A49">
              <w:rPr>
                <w:rFonts w:ascii="Times New Roman" w:eastAsia="Times New Roman" w:hAnsi="Times New Roman" w:cs="Times New Roman"/>
                <w:color w:val="000000"/>
                <w:sz w:val="18"/>
                <w:szCs w:val="18"/>
                <w:lang w:eastAsia="en-AU"/>
              </w:rPr>
              <w:br/>
            </w:r>
            <w:r w:rsidRPr="00800A49">
              <w:rPr>
                <w:rFonts w:ascii="Times New Roman" w:eastAsia="Times New Roman" w:hAnsi="Times New Roman" w:cs="Times New Roman"/>
                <w:color w:val="000000"/>
                <w:sz w:val="18"/>
                <w:szCs w:val="18"/>
                <w:lang w:eastAsia="en-AU"/>
              </w:rPr>
              <w:br/>
            </w:r>
            <w:r w:rsidRPr="00800A49">
              <w:rPr>
                <w:rFonts w:ascii="Times New Roman" w:eastAsia="Times New Roman" w:hAnsi="Times New Roman" w:cs="Times New Roman"/>
                <w:color w:val="000000"/>
                <w:sz w:val="18"/>
                <w:szCs w:val="18"/>
                <w:lang w:eastAsia="en-AU"/>
              </w:rPr>
              <w:lastRenderedPageBreak/>
              <w:t>Healthcare perspective</w:t>
            </w:r>
            <w:r w:rsidRPr="00800A49">
              <w:rPr>
                <w:rFonts w:ascii="Times New Roman" w:eastAsia="Times New Roman" w:hAnsi="Times New Roman" w:cs="Times New Roman"/>
                <w:color w:val="000000"/>
                <w:sz w:val="18"/>
                <w:szCs w:val="18"/>
                <w:lang w:eastAsia="en-AU"/>
              </w:rPr>
              <w:br/>
              <w:t>1) SOHE: -£69 (-97; -41)</w:t>
            </w:r>
          </w:p>
          <w:p w14:paraId="5A40F29D"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Cost-saving = Yes</w:t>
            </w:r>
          </w:p>
          <w:p w14:paraId="08A8488E"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br/>
              <w:t>2) 12-monthly SOHE: -£38</w:t>
            </w:r>
          </w:p>
          <w:p w14:paraId="3AF4290E"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(-65; -12)</w:t>
            </w:r>
          </w:p>
          <w:p w14:paraId="43D7E423"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Cost-saving = Yes</w:t>
            </w:r>
          </w:p>
          <w:p w14:paraId="4C57FBB0"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br/>
              <w:t>3) POHE: -£11 (-37; 15)</w:t>
            </w:r>
          </w:p>
          <w:p w14:paraId="665F7B22"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Cost-saving = No</w:t>
            </w:r>
          </w:p>
          <w:p w14:paraId="7803AC47"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br/>
              <w:t>4) 6-monthly POHE: £3</w:t>
            </w:r>
          </w:p>
          <w:p w14:paraId="3FF51355"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(-23; 29</w:t>
            </w:r>
          </w:p>
          <w:p w14:paraId="37F38151"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Cost-saving = No</w:t>
            </w:r>
          </w:p>
          <w:p w14:paraId="13B4C750"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br/>
              <w:t>5) 12-monthly POHE: £48</w:t>
            </w:r>
          </w:p>
          <w:p w14:paraId="194EF519"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(22; 74)</w:t>
            </w:r>
          </w:p>
          <w:p w14:paraId="051D79EE"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Cost-saving = No</w:t>
            </w:r>
          </w:p>
        </w:tc>
        <w:tc>
          <w:tcPr>
            <w:tcW w:w="1134" w:type="dxa"/>
            <w:vMerge w:val="restart"/>
            <w:vAlign w:val="center"/>
          </w:tcPr>
          <w:p w14:paraId="56DB5BA1"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lastRenderedPageBreak/>
              <w:t>Good</w:t>
            </w:r>
          </w:p>
        </w:tc>
      </w:tr>
      <w:tr w:rsidR="008461EA" w:rsidRPr="00800A49" w14:paraId="03872244" w14:textId="77777777" w:rsidTr="00720BDC">
        <w:trPr>
          <w:trHeight w:val="842"/>
        </w:trPr>
        <w:tc>
          <w:tcPr>
            <w:tcW w:w="1128" w:type="dxa"/>
            <w:vMerge/>
            <w:shd w:val="clear" w:color="auto" w:fill="auto"/>
            <w:noWrap/>
          </w:tcPr>
          <w:p w14:paraId="7D3BD6A0"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p>
        </w:tc>
        <w:tc>
          <w:tcPr>
            <w:tcW w:w="283" w:type="dxa"/>
            <w:vMerge/>
            <w:vAlign w:val="center"/>
          </w:tcPr>
          <w:p w14:paraId="7BA5B1CE"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709" w:type="dxa"/>
            <w:vAlign w:val="center"/>
          </w:tcPr>
          <w:p w14:paraId="1EA32B71"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Ind.</w:t>
            </w:r>
          </w:p>
        </w:tc>
        <w:tc>
          <w:tcPr>
            <w:tcW w:w="2409" w:type="dxa"/>
            <w:shd w:val="clear" w:color="auto" w:fill="auto"/>
            <w:noWrap/>
            <w:vAlign w:val="center"/>
          </w:tcPr>
          <w:p w14:paraId="74C64E69"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12-monthly scaling and SOHE</w:t>
            </w:r>
          </w:p>
        </w:tc>
        <w:tc>
          <w:tcPr>
            <w:tcW w:w="1105" w:type="dxa"/>
            <w:vMerge/>
            <w:vAlign w:val="center"/>
          </w:tcPr>
          <w:p w14:paraId="76BB1378"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851" w:type="dxa"/>
            <w:vMerge/>
            <w:vAlign w:val="center"/>
          </w:tcPr>
          <w:p w14:paraId="01E6D038"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851" w:type="dxa"/>
            <w:vMerge/>
            <w:shd w:val="clear" w:color="auto" w:fill="auto"/>
            <w:noWrap/>
            <w:vAlign w:val="center"/>
          </w:tcPr>
          <w:p w14:paraId="0ECE9DEF"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1190" w:type="dxa"/>
            <w:vAlign w:val="center"/>
          </w:tcPr>
          <w:p w14:paraId="278D8609"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288</w:t>
            </w:r>
          </w:p>
        </w:tc>
        <w:tc>
          <w:tcPr>
            <w:tcW w:w="2760" w:type="dxa"/>
            <w:vMerge/>
            <w:shd w:val="clear" w:color="auto" w:fill="auto"/>
            <w:noWrap/>
          </w:tcPr>
          <w:p w14:paraId="7B5BD830"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p>
        </w:tc>
        <w:tc>
          <w:tcPr>
            <w:tcW w:w="634" w:type="dxa"/>
            <w:vMerge/>
            <w:shd w:val="clear" w:color="auto" w:fill="auto"/>
            <w:noWrap/>
            <w:vAlign w:val="center"/>
          </w:tcPr>
          <w:p w14:paraId="0D81B03D"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556" w:type="dxa"/>
            <w:vMerge/>
            <w:vAlign w:val="center"/>
          </w:tcPr>
          <w:p w14:paraId="4352BEF2"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1978" w:type="dxa"/>
            <w:vMerge/>
            <w:shd w:val="clear" w:color="auto" w:fill="auto"/>
            <w:noWrap/>
          </w:tcPr>
          <w:p w14:paraId="587418E3"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p>
        </w:tc>
        <w:tc>
          <w:tcPr>
            <w:tcW w:w="1134" w:type="dxa"/>
            <w:vMerge/>
            <w:vAlign w:val="center"/>
          </w:tcPr>
          <w:p w14:paraId="78EBA789"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r>
      <w:tr w:rsidR="008461EA" w:rsidRPr="00800A49" w14:paraId="5E67FF74" w14:textId="77777777" w:rsidTr="00720BDC">
        <w:trPr>
          <w:trHeight w:val="699"/>
        </w:trPr>
        <w:tc>
          <w:tcPr>
            <w:tcW w:w="1128" w:type="dxa"/>
            <w:vMerge/>
            <w:shd w:val="clear" w:color="auto" w:fill="auto"/>
            <w:noWrap/>
          </w:tcPr>
          <w:p w14:paraId="723A48F7"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p>
        </w:tc>
        <w:tc>
          <w:tcPr>
            <w:tcW w:w="283" w:type="dxa"/>
            <w:vMerge/>
            <w:vAlign w:val="center"/>
          </w:tcPr>
          <w:p w14:paraId="410E29C3"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709" w:type="dxa"/>
            <w:vAlign w:val="center"/>
          </w:tcPr>
          <w:p w14:paraId="5764E565"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Ind.</w:t>
            </w:r>
          </w:p>
        </w:tc>
        <w:tc>
          <w:tcPr>
            <w:tcW w:w="2409" w:type="dxa"/>
            <w:shd w:val="clear" w:color="auto" w:fill="auto"/>
            <w:noWrap/>
            <w:vAlign w:val="center"/>
          </w:tcPr>
          <w:p w14:paraId="54C13F70"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No scaling and personalised oral health education (POHE)</w:t>
            </w:r>
          </w:p>
        </w:tc>
        <w:tc>
          <w:tcPr>
            <w:tcW w:w="1105" w:type="dxa"/>
            <w:vMerge/>
            <w:vAlign w:val="center"/>
          </w:tcPr>
          <w:p w14:paraId="14AB8D2C"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851" w:type="dxa"/>
            <w:vMerge/>
            <w:vAlign w:val="center"/>
          </w:tcPr>
          <w:p w14:paraId="14539087"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851" w:type="dxa"/>
            <w:vMerge/>
            <w:shd w:val="clear" w:color="auto" w:fill="auto"/>
            <w:noWrap/>
            <w:vAlign w:val="center"/>
          </w:tcPr>
          <w:p w14:paraId="64DC3FB7"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1190" w:type="dxa"/>
            <w:vAlign w:val="center"/>
          </w:tcPr>
          <w:p w14:paraId="708543EB"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334</w:t>
            </w:r>
          </w:p>
        </w:tc>
        <w:tc>
          <w:tcPr>
            <w:tcW w:w="2760" w:type="dxa"/>
            <w:vMerge/>
            <w:shd w:val="clear" w:color="auto" w:fill="auto"/>
            <w:noWrap/>
          </w:tcPr>
          <w:p w14:paraId="438B728D"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p>
        </w:tc>
        <w:tc>
          <w:tcPr>
            <w:tcW w:w="634" w:type="dxa"/>
            <w:vMerge/>
            <w:shd w:val="clear" w:color="auto" w:fill="auto"/>
            <w:noWrap/>
            <w:vAlign w:val="center"/>
          </w:tcPr>
          <w:p w14:paraId="57B65F84"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556" w:type="dxa"/>
            <w:vMerge/>
            <w:vAlign w:val="center"/>
          </w:tcPr>
          <w:p w14:paraId="0A7B320F"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1978" w:type="dxa"/>
            <w:vMerge/>
            <w:shd w:val="clear" w:color="auto" w:fill="auto"/>
            <w:noWrap/>
          </w:tcPr>
          <w:p w14:paraId="333C1A87"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p>
        </w:tc>
        <w:tc>
          <w:tcPr>
            <w:tcW w:w="1134" w:type="dxa"/>
            <w:vMerge/>
            <w:vAlign w:val="center"/>
          </w:tcPr>
          <w:p w14:paraId="23D285E9"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r>
      <w:tr w:rsidR="008461EA" w:rsidRPr="00800A49" w14:paraId="22480702" w14:textId="77777777" w:rsidTr="00720BDC">
        <w:trPr>
          <w:trHeight w:val="655"/>
        </w:trPr>
        <w:tc>
          <w:tcPr>
            <w:tcW w:w="1128" w:type="dxa"/>
            <w:vMerge/>
            <w:shd w:val="clear" w:color="auto" w:fill="auto"/>
            <w:noWrap/>
          </w:tcPr>
          <w:p w14:paraId="56BFEDBD"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p>
        </w:tc>
        <w:tc>
          <w:tcPr>
            <w:tcW w:w="283" w:type="dxa"/>
            <w:vMerge/>
            <w:vAlign w:val="center"/>
          </w:tcPr>
          <w:p w14:paraId="1C105B61"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709" w:type="dxa"/>
            <w:vAlign w:val="center"/>
          </w:tcPr>
          <w:p w14:paraId="3A8E6B69"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Ind.</w:t>
            </w:r>
          </w:p>
        </w:tc>
        <w:tc>
          <w:tcPr>
            <w:tcW w:w="2409" w:type="dxa"/>
            <w:shd w:val="clear" w:color="auto" w:fill="auto"/>
            <w:noWrap/>
            <w:vAlign w:val="center"/>
          </w:tcPr>
          <w:p w14:paraId="04BB6674"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6-monthly scaling and POHE</w:t>
            </w:r>
          </w:p>
        </w:tc>
        <w:tc>
          <w:tcPr>
            <w:tcW w:w="1105" w:type="dxa"/>
            <w:vMerge/>
            <w:vAlign w:val="center"/>
          </w:tcPr>
          <w:p w14:paraId="2456124F"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851" w:type="dxa"/>
            <w:vMerge/>
            <w:vAlign w:val="center"/>
          </w:tcPr>
          <w:p w14:paraId="150933F3"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851" w:type="dxa"/>
            <w:vMerge/>
            <w:shd w:val="clear" w:color="auto" w:fill="auto"/>
            <w:noWrap/>
            <w:vAlign w:val="center"/>
          </w:tcPr>
          <w:p w14:paraId="1D1A9D30"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1190" w:type="dxa"/>
            <w:vAlign w:val="center"/>
          </w:tcPr>
          <w:p w14:paraId="210CFED9"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337</w:t>
            </w:r>
          </w:p>
        </w:tc>
        <w:tc>
          <w:tcPr>
            <w:tcW w:w="2760" w:type="dxa"/>
            <w:vMerge/>
            <w:shd w:val="clear" w:color="auto" w:fill="auto"/>
            <w:noWrap/>
          </w:tcPr>
          <w:p w14:paraId="0A999E75"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p>
        </w:tc>
        <w:tc>
          <w:tcPr>
            <w:tcW w:w="634" w:type="dxa"/>
            <w:vMerge/>
            <w:shd w:val="clear" w:color="auto" w:fill="auto"/>
            <w:noWrap/>
            <w:vAlign w:val="center"/>
          </w:tcPr>
          <w:p w14:paraId="426096E4"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556" w:type="dxa"/>
            <w:vMerge/>
            <w:vAlign w:val="center"/>
          </w:tcPr>
          <w:p w14:paraId="0E897F00"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1978" w:type="dxa"/>
            <w:vMerge/>
            <w:shd w:val="clear" w:color="auto" w:fill="auto"/>
            <w:noWrap/>
          </w:tcPr>
          <w:p w14:paraId="4BD9D221"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p>
        </w:tc>
        <w:tc>
          <w:tcPr>
            <w:tcW w:w="1134" w:type="dxa"/>
            <w:vMerge/>
            <w:vAlign w:val="center"/>
          </w:tcPr>
          <w:p w14:paraId="7E5F1F7D"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r>
      <w:tr w:rsidR="008461EA" w:rsidRPr="00800A49" w14:paraId="3CF6BBE0" w14:textId="77777777" w:rsidTr="00720BDC">
        <w:trPr>
          <w:trHeight w:val="746"/>
        </w:trPr>
        <w:tc>
          <w:tcPr>
            <w:tcW w:w="1128" w:type="dxa"/>
            <w:vMerge/>
            <w:shd w:val="clear" w:color="auto" w:fill="auto"/>
            <w:noWrap/>
          </w:tcPr>
          <w:p w14:paraId="4041904C"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p>
        </w:tc>
        <w:tc>
          <w:tcPr>
            <w:tcW w:w="283" w:type="dxa"/>
            <w:vMerge/>
            <w:vAlign w:val="center"/>
          </w:tcPr>
          <w:p w14:paraId="2E4992C5"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709" w:type="dxa"/>
            <w:vAlign w:val="center"/>
          </w:tcPr>
          <w:p w14:paraId="57905D44"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Ind.</w:t>
            </w:r>
          </w:p>
        </w:tc>
        <w:tc>
          <w:tcPr>
            <w:tcW w:w="2409" w:type="dxa"/>
            <w:shd w:val="clear" w:color="auto" w:fill="auto"/>
            <w:noWrap/>
            <w:vAlign w:val="center"/>
          </w:tcPr>
          <w:p w14:paraId="5856E167"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12-monthly scaling and POHE</w:t>
            </w:r>
          </w:p>
        </w:tc>
        <w:tc>
          <w:tcPr>
            <w:tcW w:w="1105" w:type="dxa"/>
            <w:vMerge/>
            <w:vAlign w:val="center"/>
          </w:tcPr>
          <w:p w14:paraId="1812153F"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851" w:type="dxa"/>
            <w:vMerge/>
            <w:vAlign w:val="center"/>
          </w:tcPr>
          <w:p w14:paraId="08C5C9C9"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851" w:type="dxa"/>
            <w:vMerge/>
            <w:shd w:val="clear" w:color="auto" w:fill="auto"/>
            <w:noWrap/>
            <w:vAlign w:val="center"/>
          </w:tcPr>
          <w:p w14:paraId="26DAEAD4"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1190" w:type="dxa"/>
            <w:vAlign w:val="center"/>
          </w:tcPr>
          <w:p w14:paraId="376F9371"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339</w:t>
            </w:r>
          </w:p>
        </w:tc>
        <w:tc>
          <w:tcPr>
            <w:tcW w:w="2760" w:type="dxa"/>
            <w:vMerge/>
            <w:shd w:val="clear" w:color="auto" w:fill="auto"/>
            <w:noWrap/>
          </w:tcPr>
          <w:p w14:paraId="4E783A61"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p>
        </w:tc>
        <w:tc>
          <w:tcPr>
            <w:tcW w:w="634" w:type="dxa"/>
            <w:vMerge/>
            <w:shd w:val="clear" w:color="auto" w:fill="auto"/>
            <w:noWrap/>
            <w:vAlign w:val="center"/>
          </w:tcPr>
          <w:p w14:paraId="75647D64"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556" w:type="dxa"/>
            <w:vMerge/>
            <w:vAlign w:val="center"/>
          </w:tcPr>
          <w:p w14:paraId="2B2B6395"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1978" w:type="dxa"/>
            <w:vMerge/>
            <w:shd w:val="clear" w:color="auto" w:fill="auto"/>
            <w:noWrap/>
          </w:tcPr>
          <w:p w14:paraId="3A982784"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p>
        </w:tc>
        <w:tc>
          <w:tcPr>
            <w:tcW w:w="1134" w:type="dxa"/>
            <w:vMerge/>
            <w:vAlign w:val="center"/>
          </w:tcPr>
          <w:p w14:paraId="7A30CB5E"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r>
      <w:tr w:rsidR="008461EA" w:rsidRPr="00800A49" w14:paraId="65E604FA" w14:textId="77777777" w:rsidTr="00720BDC">
        <w:trPr>
          <w:trHeight w:val="300"/>
        </w:trPr>
        <w:tc>
          <w:tcPr>
            <w:tcW w:w="1128" w:type="dxa"/>
            <w:vMerge/>
            <w:shd w:val="clear" w:color="auto" w:fill="auto"/>
            <w:noWrap/>
          </w:tcPr>
          <w:p w14:paraId="60925B69"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p>
        </w:tc>
        <w:tc>
          <w:tcPr>
            <w:tcW w:w="283" w:type="dxa"/>
            <w:vAlign w:val="center"/>
          </w:tcPr>
          <w:p w14:paraId="69C9BF95"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C</w:t>
            </w:r>
          </w:p>
        </w:tc>
        <w:tc>
          <w:tcPr>
            <w:tcW w:w="709" w:type="dxa"/>
            <w:vAlign w:val="center"/>
          </w:tcPr>
          <w:p w14:paraId="7BC79B4E"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Ind.</w:t>
            </w:r>
          </w:p>
        </w:tc>
        <w:tc>
          <w:tcPr>
            <w:tcW w:w="2409" w:type="dxa"/>
            <w:shd w:val="clear" w:color="auto" w:fill="auto"/>
            <w:noWrap/>
            <w:vAlign w:val="center"/>
          </w:tcPr>
          <w:p w14:paraId="339DF9EB"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6-monthly scaling and SOHE</w:t>
            </w:r>
          </w:p>
        </w:tc>
        <w:tc>
          <w:tcPr>
            <w:tcW w:w="1105" w:type="dxa"/>
            <w:vMerge/>
            <w:vAlign w:val="center"/>
          </w:tcPr>
          <w:p w14:paraId="4E898C81"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851" w:type="dxa"/>
            <w:vMerge/>
            <w:vAlign w:val="center"/>
          </w:tcPr>
          <w:p w14:paraId="0DE00C6E"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851" w:type="dxa"/>
            <w:vMerge/>
            <w:shd w:val="clear" w:color="auto" w:fill="auto"/>
            <w:noWrap/>
            <w:vAlign w:val="center"/>
          </w:tcPr>
          <w:p w14:paraId="67498A16"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1190" w:type="dxa"/>
            <w:vAlign w:val="center"/>
          </w:tcPr>
          <w:p w14:paraId="0B435BB1"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290</w:t>
            </w:r>
          </w:p>
        </w:tc>
        <w:tc>
          <w:tcPr>
            <w:tcW w:w="2760" w:type="dxa"/>
            <w:vMerge/>
            <w:shd w:val="clear" w:color="auto" w:fill="auto"/>
            <w:noWrap/>
          </w:tcPr>
          <w:p w14:paraId="322145C8"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p>
        </w:tc>
        <w:tc>
          <w:tcPr>
            <w:tcW w:w="634" w:type="dxa"/>
            <w:vMerge/>
            <w:shd w:val="clear" w:color="auto" w:fill="auto"/>
            <w:noWrap/>
            <w:vAlign w:val="center"/>
          </w:tcPr>
          <w:p w14:paraId="417ED123"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556" w:type="dxa"/>
            <w:vMerge/>
            <w:vAlign w:val="center"/>
          </w:tcPr>
          <w:p w14:paraId="392A107E"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1978" w:type="dxa"/>
            <w:vMerge/>
            <w:shd w:val="clear" w:color="auto" w:fill="auto"/>
            <w:noWrap/>
          </w:tcPr>
          <w:p w14:paraId="1DC79761"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p>
        </w:tc>
        <w:tc>
          <w:tcPr>
            <w:tcW w:w="1134" w:type="dxa"/>
            <w:vMerge/>
            <w:vAlign w:val="center"/>
          </w:tcPr>
          <w:p w14:paraId="0D072368"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r>
      <w:tr w:rsidR="008461EA" w:rsidRPr="00800A49" w14:paraId="7983F974" w14:textId="77777777" w:rsidTr="00720BDC">
        <w:trPr>
          <w:trHeight w:val="952"/>
        </w:trPr>
        <w:tc>
          <w:tcPr>
            <w:tcW w:w="1128" w:type="dxa"/>
            <w:vMerge w:val="restart"/>
            <w:shd w:val="clear" w:color="auto" w:fill="auto"/>
            <w:noWrap/>
            <w:hideMark/>
          </w:tcPr>
          <w:p w14:paraId="4459CD80"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Sakuma et al., 2010</w:t>
            </w:r>
          </w:p>
        </w:tc>
        <w:tc>
          <w:tcPr>
            <w:tcW w:w="283" w:type="dxa"/>
            <w:vAlign w:val="center"/>
          </w:tcPr>
          <w:p w14:paraId="442D89CE"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I</w:t>
            </w:r>
          </w:p>
        </w:tc>
        <w:tc>
          <w:tcPr>
            <w:tcW w:w="709" w:type="dxa"/>
            <w:vAlign w:val="center"/>
          </w:tcPr>
          <w:p w14:paraId="220C89AA"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Sel.</w:t>
            </w:r>
          </w:p>
        </w:tc>
        <w:tc>
          <w:tcPr>
            <w:tcW w:w="2409" w:type="dxa"/>
            <w:shd w:val="clear" w:color="auto" w:fill="auto"/>
            <w:noWrap/>
            <w:vAlign w:val="center"/>
            <w:hideMark/>
          </w:tcPr>
          <w:p w14:paraId="560A12D4"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 xml:space="preserve">Targeted school-based fissure sealant and fluoride </w:t>
            </w:r>
            <w:proofErr w:type="spellStart"/>
            <w:r w:rsidRPr="00800A49">
              <w:rPr>
                <w:rFonts w:ascii="Times New Roman" w:eastAsia="Times New Roman" w:hAnsi="Times New Roman" w:cs="Times New Roman"/>
                <w:color w:val="000000"/>
                <w:sz w:val="18"/>
                <w:szCs w:val="18"/>
                <w:lang w:eastAsia="en-AU"/>
              </w:rPr>
              <w:t>mouthrinse</w:t>
            </w:r>
            <w:proofErr w:type="spellEnd"/>
            <w:r w:rsidRPr="00800A49">
              <w:rPr>
                <w:rFonts w:ascii="Times New Roman" w:eastAsia="Times New Roman" w:hAnsi="Times New Roman" w:cs="Times New Roman"/>
                <w:color w:val="000000"/>
                <w:sz w:val="18"/>
                <w:szCs w:val="18"/>
                <w:lang w:eastAsia="en-AU"/>
              </w:rPr>
              <w:t xml:space="preserve"> program</w:t>
            </w:r>
          </w:p>
        </w:tc>
        <w:tc>
          <w:tcPr>
            <w:tcW w:w="1105" w:type="dxa"/>
            <w:vMerge w:val="restart"/>
            <w:vAlign w:val="center"/>
          </w:tcPr>
          <w:p w14:paraId="5B812136"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Societal</w:t>
            </w:r>
          </w:p>
        </w:tc>
        <w:tc>
          <w:tcPr>
            <w:tcW w:w="851" w:type="dxa"/>
            <w:vMerge w:val="restart"/>
            <w:vAlign w:val="center"/>
          </w:tcPr>
          <w:p w14:paraId="03E3F86D"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4 years and</w:t>
            </w:r>
          </w:p>
          <w:p w14:paraId="5BBE1EF9"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7 years</w:t>
            </w:r>
          </w:p>
        </w:tc>
        <w:tc>
          <w:tcPr>
            <w:tcW w:w="851" w:type="dxa"/>
            <w:vMerge w:val="restart"/>
            <w:shd w:val="clear" w:color="auto" w:fill="auto"/>
            <w:noWrap/>
            <w:vAlign w:val="center"/>
            <w:hideMark/>
          </w:tcPr>
          <w:p w14:paraId="27B72B32"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8</w:t>
            </w:r>
          </w:p>
          <w:p w14:paraId="3900F6DB"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and</w:t>
            </w:r>
          </w:p>
          <w:p w14:paraId="750AF34A"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11</w:t>
            </w:r>
          </w:p>
        </w:tc>
        <w:tc>
          <w:tcPr>
            <w:tcW w:w="1190" w:type="dxa"/>
            <w:vAlign w:val="center"/>
          </w:tcPr>
          <w:p w14:paraId="402465E1"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66</w:t>
            </w:r>
          </w:p>
        </w:tc>
        <w:tc>
          <w:tcPr>
            <w:tcW w:w="2760" w:type="dxa"/>
            <w:vMerge w:val="restart"/>
            <w:shd w:val="clear" w:color="auto" w:fill="auto"/>
            <w:noWrap/>
            <w:hideMark/>
          </w:tcPr>
          <w:p w14:paraId="4F65364A"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 xml:space="preserve">Intervention costs (micro-costing for fluoride </w:t>
            </w:r>
            <w:proofErr w:type="spellStart"/>
            <w:r w:rsidRPr="00800A49">
              <w:rPr>
                <w:rFonts w:ascii="Times New Roman" w:eastAsia="Times New Roman" w:hAnsi="Times New Roman" w:cs="Times New Roman"/>
                <w:color w:val="000000"/>
                <w:sz w:val="18"/>
                <w:szCs w:val="18"/>
                <w:lang w:eastAsia="en-AU"/>
              </w:rPr>
              <w:t>mouthrinse</w:t>
            </w:r>
            <w:proofErr w:type="spellEnd"/>
            <w:r w:rsidRPr="00800A49">
              <w:rPr>
                <w:rFonts w:ascii="Times New Roman" w:eastAsia="Times New Roman" w:hAnsi="Times New Roman" w:cs="Times New Roman"/>
                <w:color w:val="000000"/>
                <w:sz w:val="18"/>
                <w:szCs w:val="18"/>
                <w:lang w:eastAsia="en-AU"/>
              </w:rPr>
              <w:t xml:space="preserve"> program, macro-costing for fissure sealants)</w:t>
            </w:r>
          </w:p>
          <w:p w14:paraId="78E08EA5"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br/>
              <w:t>Dental treatment costs (restorations, root canal treatment, crown)</w:t>
            </w:r>
          </w:p>
        </w:tc>
        <w:tc>
          <w:tcPr>
            <w:tcW w:w="1190" w:type="dxa"/>
            <w:gridSpan w:val="2"/>
            <w:vMerge w:val="restart"/>
            <w:shd w:val="clear" w:color="auto" w:fill="auto"/>
            <w:noWrap/>
            <w:vAlign w:val="center"/>
            <w:hideMark/>
          </w:tcPr>
          <w:p w14:paraId="59CD4102"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N/R</w:t>
            </w:r>
          </w:p>
        </w:tc>
        <w:tc>
          <w:tcPr>
            <w:tcW w:w="1978" w:type="dxa"/>
            <w:vMerge w:val="restart"/>
            <w:shd w:val="clear" w:color="auto" w:fill="auto"/>
            <w:noWrap/>
            <w:hideMark/>
          </w:tcPr>
          <w:p w14:paraId="3243C750"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Cost-benefit ratio</w:t>
            </w:r>
            <w:r w:rsidRPr="00800A49">
              <w:rPr>
                <w:rFonts w:ascii="Times New Roman" w:eastAsia="Times New Roman" w:hAnsi="Times New Roman" w:cs="Times New Roman"/>
                <w:color w:val="000000"/>
                <w:sz w:val="18"/>
                <w:szCs w:val="18"/>
                <w:lang w:eastAsia="en-AU"/>
              </w:rPr>
              <w:br/>
              <w:t xml:space="preserve">1) </w:t>
            </w:r>
            <w:proofErr w:type="gramStart"/>
            <w:r w:rsidRPr="00800A49">
              <w:rPr>
                <w:rFonts w:ascii="Times New Roman" w:eastAsia="Times New Roman" w:hAnsi="Times New Roman" w:cs="Times New Roman"/>
                <w:color w:val="000000"/>
                <w:sz w:val="18"/>
                <w:szCs w:val="18"/>
                <w:lang w:eastAsia="en-AU"/>
              </w:rPr>
              <w:t>8 year olds</w:t>
            </w:r>
            <w:proofErr w:type="gramEnd"/>
            <w:r w:rsidRPr="00800A49">
              <w:rPr>
                <w:rFonts w:ascii="Times New Roman" w:eastAsia="Times New Roman" w:hAnsi="Times New Roman" w:cs="Times New Roman"/>
                <w:color w:val="000000"/>
                <w:sz w:val="18"/>
                <w:szCs w:val="18"/>
                <w:lang w:eastAsia="en-AU"/>
              </w:rPr>
              <w:t>: 1:1.84</w:t>
            </w:r>
            <w:r w:rsidRPr="00800A49">
              <w:rPr>
                <w:rFonts w:ascii="Times New Roman" w:eastAsia="Times New Roman" w:hAnsi="Times New Roman" w:cs="Times New Roman"/>
                <w:color w:val="000000"/>
                <w:sz w:val="18"/>
                <w:szCs w:val="18"/>
                <w:lang w:eastAsia="en-AU"/>
              </w:rPr>
              <w:br/>
              <w:t>2) 11 year olds: 1:2.42</w:t>
            </w:r>
          </w:p>
          <w:p w14:paraId="6D421CE1"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Cost-saving = Yes</w:t>
            </w:r>
          </w:p>
          <w:p w14:paraId="1C5AD542"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p>
          <w:p w14:paraId="63B3FFA5"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Costs (¥) per DFT averted per year</w:t>
            </w:r>
            <w:r w:rsidRPr="00800A49">
              <w:rPr>
                <w:rFonts w:ascii="Times New Roman" w:eastAsia="Times New Roman" w:hAnsi="Times New Roman" w:cs="Times New Roman"/>
                <w:color w:val="000000"/>
                <w:sz w:val="18"/>
                <w:szCs w:val="18"/>
                <w:lang w:eastAsia="en-AU"/>
              </w:rPr>
              <w:br/>
              <w:t xml:space="preserve">1) </w:t>
            </w:r>
            <w:proofErr w:type="gramStart"/>
            <w:r w:rsidRPr="00800A49">
              <w:rPr>
                <w:rFonts w:ascii="Times New Roman" w:eastAsia="Times New Roman" w:hAnsi="Times New Roman" w:cs="Times New Roman"/>
                <w:color w:val="000000"/>
                <w:sz w:val="18"/>
                <w:szCs w:val="18"/>
                <w:lang w:eastAsia="en-AU"/>
              </w:rPr>
              <w:t>8 year olds</w:t>
            </w:r>
            <w:proofErr w:type="gramEnd"/>
            <w:r w:rsidRPr="00800A49">
              <w:rPr>
                <w:rFonts w:ascii="Times New Roman" w:eastAsia="Times New Roman" w:hAnsi="Times New Roman" w:cs="Times New Roman"/>
                <w:color w:val="000000"/>
                <w:sz w:val="18"/>
                <w:szCs w:val="18"/>
                <w:lang w:eastAsia="en-AU"/>
              </w:rPr>
              <w:t xml:space="preserve"> ICER: 493</w:t>
            </w:r>
            <w:r w:rsidRPr="00800A49">
              <w:rPr>
                <w:rFonts w:ascii="Times New Roman" w:eastAsia="Times New Roman" w:hAnsi="Times New Roman" w:cs="Times New Roman"/>
                <w:color w:val="000000"/>
                <w:sz w:val="18"/>
                <w:szCs w:val="18"/>
                <w:lang w:eastAsia="en-AU"/>
              </w:rPr>
              <w:br/>
              <w:t>2) 11 year olds ICER: 202</w:t>
            </w:r>
            <w:r w:rsidRPr="00800A49">
              <w:rPr>
                <w:rFonts w:ascii="Times New Roman" w:eastAsia="Times New Roman" w:hAnsi="Times New Roman" w:cs="Times New Roman"/>
                <w:color w:val="000000"/>
                <w:sz w:val="18"/>
                <w:szCs w:val="18"/>
                <w:lang w:eastAsia="en-AU"/>
              </w:rPr>
              <w:br/>
              <w:t>Cost-effective = N/S</w:t>
            </w:r>
          </w:p>
        </w:tc>
        <w:tc>
          <w:tcPr>
            <w:tcW w:w="1134" w:type="dxa"/>
            <w:vMerge w:val="restart"/>
            <w:vAlign w:val="center"/>
          </w:tcPr>
          <w:p w14:paraId="0B633F67"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Moderate</w:t>
            </w:r>
          </w:p>
        </w:tc>
      </w:tr>
      <w:tr w:rsidR="008461EA" w:rsidRPr="00800A49" w14:paraId="2C857202" w14:textId="77777777" w:rsidTr="00720BDC">
        <w:trPr>
          <w:trHeight w:val="300"/>
        </w:trPr>
        <w:tc>
          <w:tcPr>
            <w:tcW w:w="1128" w:type="dxa"/>
            <w:vMerge/>
            <w:shd w:val="clear" w:color="auto" w:fill="auto"/>
            <w:noWrap/>
          </w:tcPr>
          <w:p w14:paraId="5705C955"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p>
        </w:tc>
        <w:tc>
          <w:tcPr>
            <w:tcW w:w="283" w:type="dxa"/>
            <w:vAlign w:val="center"/>
          </w:tcPr>
          <w:p w14:paraId="140994D4"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C</w:t>
            </w:r>
          </w:p>
        </w:tc>
        <w:tc>
          <w:tcPr>
            <w:tcW w:w="709" w:type="dxa"/>
            <w:vAlign w:val="center"/>
          </w:tcPr>
          <w:p w14:paraId="4E9F3F6A"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N/A</w:t>
            </w:r>
          </w:p>
        </w:tc>
        <w:tc>
          <w:tcPr>
            <w:tcW w:w="2409" w:type="dxa"/>
            <w:shd w:val="clear" w:color="auto" w:fill="auto"/>
            <w:noWrap/>
            <w:vAlign w:val="center"/>
          </w:tcPr>
          <w:p w14:paraId="4E509A67"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No intervention</w:t>
            </w:r>
          </w:p>
        </w:tc>
        <w:tc>
          <w:tcPr>
            <w:tcW w:w="1105" w:type="dxa"/>
            <w:vMerge/>
            <w:vAlign w:val="center"/>
          </w:tcPr>
          <w:p w14:paraId="0540338B"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851" w:type="dxa"/>
            <w:vMerge/>
            <w:vAlign w:val="center"/>
          </w:tcPr>
          <w:p w14:paraId="0B0611F9"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851" w:type="dxa"/>
            <w:vMerge/>
            <w:shd w:val="clear" w:color="auto" w:fill="auto"/>
            <w:noWrap/>
            <w:vAlign w:val="center"/>
          </w:tcPr>
          <w:p w14:paraId="02EC32F6"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1190" w:type="dxa"/>
            <w:vAlign w:val="center"/>
          </w:tcPr>
          <w:p w14:paraId="3A6BAF01"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43</w:t>
            </w:r>
          </w:p>
        </w:tc>
        <w:tc>
          <w:tcPr>
            <w:tcW w:w="2760" w:type="dxa"/>
            <w:vMerge/>
            <w:shd w:val="clear" w:color="auto" w:fill="auto"/>
            <w:noWrap/>
          </w:tcPr>
          <w:p w14:paraId="50259693"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p>
        </w:tc>
        <w:tc>
          <w:tcPr>
            <w:tcW w:w="1190" w:type="dxa"/>
            <w:gridSpan w:val="2"/>
            <w:vMerge/>
            <w:shd w:val="clear" w:color="auto" w:fill="auto"/>
            <w:noWrap/>
            <w:vAlign w:val="center"/>
          </w:tcPr>
          <w:p w14:paraId="4D0E74BF"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1978" w:type="dxa"/>
            <w:vMerge/>
            <w:shd w:val="clear" w:color="auto" w:fill="auto"/>
            <w:noWrap/>
          </w:tcPr>
          <w:p w14:paraId="3EA19A14"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p>
        </w:tc>
        <w:tc>
          <w:tcPr>
            <w:tcW w:w="1134" w:type="dxa"/>
            <w:vMerge/>
            <w:vAlign w:val="center"/>
          </w:tcPr>
          <w:p w14:paraId="58A0D12C"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r>
      <w:tr w:rsidR="008461EA" w:rsidRPr="00800A49" w14:paraId="60DBB99E" w14:textId="77777777" w:rsidTr="00720BDC">
        <w:trPr>
          <w:trHeight w:val="870"/>
        </w:trPr>
        <w:tc>
          <w:tcPr>
            <w:tcW w:w="1128" w:type="dxa"/>
            <w:vMerge w:val="restart"/>
            <w:shd w:val="clear" w:color="auto" w:fill="auto"/>
            <w:noWrap/>
            <w:hideMark/>
          </w:tcPr>
          <w:p w14:paraId="16737538"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 xml:space="preserve">Scherrer and </w:t>
            </w:r>
            <w:proofErr w:type="spellStart"/>
            <w:r w:rsidRPr="00800A49">
              <w:rPr>
                <w:rFonts w:ascii="Times New Roman" w:eastAsia="Times New Roman" w:hAnsi="Times New Roman" w:cs="Times New Roman"/>
                <w:color w:val="000000"/>
                <w:sz w:val="18"/>
                <w:szCs w:val="18"/>
                <w:lang w:eastAsia="en-AU"/>
              </w:rPr>
              <w:t>Naavaal</w:t>
            </w:r>
            <w:proofErr w:type="spellEnd"/>
            <w:r w:rsidRPr="00800A49">
              <w:rPr>
                <w:rFonts w:ascii="Times New Roman" w:eastAsia="Times New Roman" w:hAnsi="Times New Roman" w:cs="Times New Roman"/>
                <w:color w:val="000000"/>
                <w:sz w:val="18"/>
                <w:szCs w:val="18"/>
                <w:lang w:eastAsia="en-AU"/>
              </w:rPr>
              <w:t>, 2019</w:t>
            </w:r>
          </w:p>
        </w:tc>
        <w:tc>
          <w:tcPr>
            <w:tcW w:w="283" w:type="dxa"/>
            <w:vAlign w:val="center"/>
          </w:tcPr>
          <w:p w14:paraId="6664AB8D"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I</w:t>
            </w:r>
          </w:p>
        </w:tc>
        <w:tc>
          <w:tcPr>
            <w:tcW w:w="709" w:type="dxa"/>
            <w:vAlign w:val="center"/>
          </w:tcPr>
          <w:p w14:paraId="3F1621A1"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Sel.</w:t>
            </w:r>
          </w:p>
        </w:tc>
        <w:tc>
          <w:tcPr>
            <w:tcW w:w="2409" w:type="dxa"/>
            <w:shd w:val="clear" w:color="auto" w:fill="auto"/>
            <w:noWrap/>
            <w:vAlign w:val="center"/>
            <w:hideMark/>
          </w:tcPr>
          <w:p w14:paraId="4F14FC6C"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Targeted fluoride varnish applied by primary care providers</w:t>
            </w:r>
          </w:p>
        </w:tc>
        <w:tc>
          <w:tcPr>
            <w:tcW w:w="1105" w:type="dxa"/>
            <w:vMerge w:val="restart"/>
            <w:vAlign w:val="center"/>
          </w:tcPr>
          <w:p w14:paraId="73249A64"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Healthcare</w:t>
            </w:r>
          </w:p>
        </w:tc>
        <w:tc>
          <w:tcPr>
            <w:tcW w:w="851" w:type="dxa"/>
            <w:vMerge w:val="restart"/>
            <w:vAlign w:val="center"/>
          </w:tcPr>
          <w:p w14:paraId="5E43E264"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4 years</w:t>
            </w:r>
          </w:p>
          <w:p w14:paraId="6D50FE1A"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and</w:t>
            </w:r>
          </w:p>
          <w:p w14:paraId="57311B3D"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6.75 years</w:t>
            </w:r>
          </w:p>
        </w:tc>
        <w:tc>
          <w:tcPr>
            <w:tcW w:w="851" w:type="dxa"/>
            <w:vMerge w:val="restart"/>
            <w:shd w:val="clear" w:color="auto" w:fill="auto"/>
            <w:noWrap/>
            <w:vAlign w:val="center"/>
            <w:hideMark/>
          </w:tcPr>
          <w:p w14:paraId="11EECD4D"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&lt;3</w:t>
            </w:r>
          </w:p>
        </w:tc>
        <w:tc>
          <w:tcPr>
            <w:tcW w:w="1190" w:type="dxa"/>
            <w:vMerge w:val="restart"/>
            <w:vAlign w:val="center"/>
          </w:tcPr>
          <w:p w14:paraId="1146CA28"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75,996</w:t>
            </w:r>
          </w:p>
        </w:tc>
        <w:tc>
          <w:tcPr>
            <w:tcW w:w="2760" w:type="dxa"/>
            <w:vMerge w:val="restart"/>
            <w:shd w:val="clear" w:color="auto" w:fill="auto"/>
            <w:noWrap/>
            <w:hideMark/>
          </w:tcPr>
          <w:p w14:paraId="63C6296F"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Intervention costs (micro-costing, labour, consumables)</w:t>
            </w:r>
          </w:p>
          <w:p w14:paraId="44307D69"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br/>
              <w:t>Dental treatment costs (restorations, treatment under general anaesthesia)</w:t>
            </w:r>
          </w:p>
        </w:tc>
        <w:tc>
          <w:tcPr>
            <w:tcW w:w="634" w:type="dxa"/>
            <w:vMerge w:val="restart"/>
            <w:shd w:val="clear" w:color="auto" w:fill="auto"/>
            <w:noWrap/>
            <w:vAlign w:val="center"/>
            <w:hideMark/>
          </w:tcPr>
          <w:p w14:paraId="1348092D"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3%</w:t>
            </w:r>
          </w:p>
        </w:tc>
        <w:tc>
          <w:tcPr>
            <w:tcW w:w="556" w:type="dxa"/>
            <w:vMerge w:val="restart"/>
            <w:vAlign w:val="center"/>
          </w:tcPr>
          <w:p w14:paraId="4D94C9A1"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N/A</w:t>
            </w:r>
          </w:p>
        </w:tc>
        <w:tc>
          <w:tcPr>
            <w:tcW w:w="1978" w:type="dxa"/>
            <w:vMerge w:val="restart"/>
            <w:shd w:val="clear" w:color="auto" w:fill="auto"/>
            <w:noWrap/>
            <w:hideMark/>
          </w:tcPr>
          <w:p w14:paraId="60080DDD"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Net benefits/costs:</w:t>
            </w:r>
          </w:p>
          <w:p w14:paraId="3008B219"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-US$5.7 million</w:t>
            </w:r>
          </w:p>
          <w:p w14:paraId="58A5489D"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p>
          <w:p w14:paraId="57DF9F94"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Cost-saving = Yes</w:t>
            </w:r>
          </w:p>
        </w:tc>
        <w:tc>
          <w:tcPr>
            <w:tcW w:w="1134" w:type="dxa"/>
            <w:vMerge w:val="restart"/>
            <w:vAlign w:val="center"/>
          </w:tcPr>
          <w:p w14:paraId="38F9C3DD"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Good</w:t>
            </w:r>
          </w:p>
        </w:tc>
      </w:tr>
      <w:tr w:rsidR="008461EA" w:rsidRPr="00800A49" w14:paraId="33BE702F" w14:textId="77777777" w:rsidTr="00720BDC">
        <w:trPr>
          <w:trHeight w:val="300"/>
        </w:trPr>
        <w:tc>
          <w:tcPr>
            <w:tcW w:w="1128" w:type="dxa"/>
            <w:vMerge/>
            <w:shd w:val="clear" w:color="auto" w:fill="auto"/>
            <w:noWrap/>
          </w:tcPr>
          <w:p w14:paraId="686CD569"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p>
        </w:tc>
        <w:tc>
          <w:tcPr>
            <w:tcW w:w="283" w:type="dxa"/>
            <w:vAlign w:val="center"/>
          </w:tcPr>
          <w:p w14:paraId="32441661"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C</w:t>
            </w:r>
          </w:p>
        </w:tc>
        <w:tc>
          <w:tcPr>
            <w:tcW w:w="709" w:type="dxa"/>
            <w:vAlign w:val="center"/>
          </w:tcPr>
          <w:p w14:paraId="791B5D07"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N/A</w:t>
            </w:r>
          </w:p>
        </w:tc>
        <w:tc>
          <w:tcPr>
            <w:tcW w:w="2409" w:type="dxa"/>
            <w:shd w:val="clear" w:color="auto" w:fill="auto"/>
            <w:noWrap/>
            <w:vAlign w:val="center"/>
          </w:tcPr>
          <w:p w14:paraId="29CCD4EC"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No intervention</w:t>
            </w:r>
          </w:p>
        </w:tc>
        <w:tc>
          <w:tcPr>
            <w:tcW w:w="1105" w:type="dxa"/>
            <w:vMerge/>
            <w:vAlign w:val="center"/>
          </w:tcPr>
          <w:p w14:paraId="3211337B"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851" w:type="dxa"/>
            <w:vMerge/>
            <w:vAlign w:val="center"/>
          </w:tcPr>
          <w:p w14:paraId="58F0D60A"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851" w:type="dxa"/>
            <w:vMerge/>
            <w:shd w:val="clear" w:color="auto" w:fill="auto"/>
            <w:noWrap/>
            <w:vAlign w:val="center"/>
          </w:tcPr>
          <w:p w14:paraId="2A502E1A"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1190" w:type="dxa"/>
            <w:vMerge/>
            <w:vAlign w:val="center"/>
          </w:tcPr>
          <w:p w14:paraId="61056792"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2760" w:type="dxa"/>
            <w:vMerge/>
            <w:shd w:val="clear" w:color="auto" w:fill="auto"/>
            <w:noWrap/>
          </w:tcPr>
          <w:p w14:paraId="27633ADC"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p>
        </w:tc>
        <w:tc>
          <w:tcPr>
            <w:tcW w:w="634" w:type="dxa"/>
            <w:vMerge/>
            <w:shd w:val="clear" w:color="auto" w:fill="auto"/>
            <w:noWrap/>
            <w:vAlign w:val="center"/>
          </w:tcPr>
          <w:p w14:paraId="24D5D633"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556" w:type="dxa"/>
            <w:vMerge/>
            <w:vAlign w:val="center"/>
          </w:tcPr>
          <w:p w14:paraId="3A8738EC"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1978" w:type="dxa"/>
            <w:vMerge/>
            <w:shd w:val="clear" w:color="auto" w:fill="auto"/>
            <w:noWrap/>
          </w:tcPr>
          <w:p w14:paraId="709F79C4"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p>
        </w:tc>
        <w:tc>
          <w:tcPr>
            <w:tcW w:w="1134" w:type="dxa"/>
            <w:vMerge/>
            <w:vAlign w:val="center"/>
          </w:tcPr>
          <w:p w14:paraId="310F51B6"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r>
      <w:tr w:rsidR="008461EA" w:rsidRPr="00800A49" w14:paraId="46B67BEF" w14:textId="77777777" w:rsidTr="00720BDC">
        <w:trPr>
          <w:trHeight w:val="1027"/>
        </w:trPr>
        <w:tc>
          <w:tcPr>
            <w:tcW w:w="1128" w:type="dxa"/>
            <w:vMerge w:val="restart"/>
            <w:shd w:val="clear" w:color="auto" w:fill="auto"/>
            <w:noWrap/>
            <w:hideMark/>
          </w:tcPr>
          <w:p w14:paraId="2BE29657"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proofErr w:type="spellStart"/>
            <w:r w:rsidRPr="00800A49">
              <w:rPr>
                <w:rFonts w:ascii="Times New Roman" w:eastAsia="Times New Roman" w:hAnsi="Times New Roman" w:cs="Times New Roman"/>
                <w:color w:val="000000"/>
                <w:sz w:val="18"/>
                <w:szCs w:val="18"/>
                <w:lang w:eastAsia="en-AU"/>
              </w:rPr>
              <w:lastRenderedPageBreak/>
              <w:t>Schwendicke</w:t>
            </w:r>
            <w:proofErr w:type="spellEnd"/>
            <w:r w:rsidRPr="00800A49">
              <w:rPr>
                <w:rFonts w:ascii="Times New Roman" w:eastAsia="Times New Roman" w:hAnsi="Times New Roman" w:cs="Times New Roman"/>
                <w:color w:val="000000"/>
                <w:sz w:val="18"/>
                <w:szCs w:val="18"/>
                <w:lang w:eastAsia="en-AU"/>
              </w:rPr>
              <w:t xml:space="preserve"> et al., 2014</w:t>
            </w:r>
          </w:p>
        </w:tc>
        <w:tc>
          <w:tcPr>
            <w:tcW w:w="283" w:type="dxa"/>
            <w:vMerge w:val="restart"/>
            <w:vAlign w:val="center"/>
          </w:tcPr>
          <w:p w14:paraId="2EAE4439"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I</w:t>
            </w:r>
          </w:p>
        </w:tc>
        <w:tc>
          <w:tcPr>
            <w:tcW w:w="709" w:type="dxa"/>
            <w:vAlign w:val="center"/>
          </w:tcPr>
          <w:p w14:paraId="6E7C1685"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Ind.</w:t>
            </w:r>
          </w:p>
        </w:tc>
        <w:tc>
          <w:tcPr>
            <w:tcW w:w="2409" w:type="dxa"/>
            <w:shd w:val="clear" w:color="auto" w:fill="auto"/>
            <w:noWrap/>
            <w:vAlign w:val="center"/>
            <w:hideMark/>
          </w:tcPr>
          <w:p w14:paraId="2978E806"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Resin infiltration</w:t>
            </w:r>
          </w:p>
        </w:tc>
        <w:tc>
          <w:tcPr>
            <w:tcW w:w="1105" w:type="dxa"/>
            <w:vMerge w:val="restart"/>
            <w:vAlign w:val="center"/>
          </w:tcPr>
          <w:p w14:paraId="1E6A03D3"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Healthcare</w:t>
            </w:r>
          </w:p>
        </w:tc>
        <w:tc>
          <w:tcPr>
            <w:tcW w:w="851" w:type="dxa"/>
            <w:vMerge w:val="restart"/>
            <w:vAlign w:val="center"/>
          </w:tcPr>
          <w:p w14:paraId="642180BB"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58.25 years</w:t>
            </w:r>
          </w:p>
        </w:tc>
        <w:tc>
          <w:tcPr>
            <w:tcW w:w="851" w:type="dxa"/>
            <w:vMerge w:val="restart"/>
            <w:shd w:val="clear" w:color="auto" w:fill="auto"/>
            <w:noWrap/>
            <w:vAlign w:val="center"/>
            <w:hideMark/>
          </w:tcPr>
          <w:p w14:paraId="74545FEB"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20</w:t>
            </w:r>
          </w:p>
        </w:tc>
        <w:tc>
          <w:tcPr>
            <w:tcW w:w="1190" w:type="dxa"/>
            <w:vMerge w:val="restart"/>
            <w:vAlign w:val="center"/>
          </w:tcPr>
          <w:p w14:paraId="63F0C057"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Individual</w:t>
            </w:r>
          </w:p>
        </w:tc>
        <w:tc>
          <w:tcPr>
            <w:tcW w:w="2760" w:type="dxa"/>
            <w:vMerge w:val="restart"/>
            <w:shd w:val="clear" w:color="auto" w:fill="auto"/>
            <w:noWrap/>
            <w:hideMark/>
          </w:tcPr>
          <w:p w14:paraId="260FC11E"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Intervention costs (Macro-costing)</w:t>
            </w:r>
          </w:p>
          <w:p w14:paraId="45706ADF"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br/>
              <w:t>Dental treatment costs (restorations, root canal treatment, crown, extraction, implant)</w:t>
            </w:r>
          </w:p>
        </w:tc>
        <w:tc>
          <w:tcPr>
            <w:tcW w:w="634" w:type="dxa"/>
            <w:vMerge w:val="restart"/>
            <w:shd w:val="clear" w:color="auto" w:fill="auto"/>
            <w:noWrap/>
            <w:vAlign w:val="center"/>
          </w:tcPr>
          <w:p w14:paraId="04C0D817"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3%</w:t>
            </w:r>
          </w:p>
        </w:tc>
        <w:tc>
          <w:tcPr>
            <w:tcW w:w="556" w:type="dxa"/>
            <w:vMerge w:val="restart"/>
            <w:vAlign w:val="center"/>
          </w:tcPr>
          <w:p w14:paraId="752E8D1F"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0%</w:t>
            </w:r>
          </w:p>
        </w:tc>
        <w:tc>
          <w:tcPr>
            <w:tcW w:w="1978" w:type="dxa"/>
            <w:vMerge w:val="restart"/>
            <w:shd w:val="clear" w:color="auto" w:fill="auto"/>
            <w:noWrap/>
            <w:hideMark/>
          </w:tcPr>
          <w:p w14:paraId="15E8C2E5"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Cost-benefit analysis</w:t>
            </w:r>
            <w:r w:rsidRPr="00800A49">
              <w:rPr>
                <w:rFonts w:ascii="Times New Roman" w:eastAsia="Times New Roman" w:hAnsi="Times New Roman" w:cs="Times New Roman"/>
                <w:color w:val="000000"/>
                <w:sz w:val="18"/>
                <w:szCs w:val="18"/>
                <w:lang w:eastAsia="en-AU"/>
              </w:rPr>
              <w:br/>
              <w:t>Restoration is the most expensive strategy for both E2 (enamel proximal caries) or D1 (dentine proximal caries) outcomes</w:t>
            </w:r>
          </w:p>
          <w:p w14:paraId="1D897C92"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p>
          <w:p w14:paraId="3E7CBB6A"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Costs (€) per E2 averted; costs per D1 averted</w:t>
            </w:r>
            <w:r w:rsidRPr="00800A49">
              <w:rPr>
                <w:rFonts w:ascii="Times New Roman" w:eastAsia="Times New Roman" w:hAnsi="Times New Roman" w:cs="Times New Roman"/>
                <w:color w:val="000000"/>
                <w:sz w:val="18"/>
                <w:szCs w:val="18"/>
                <w:lang w:eastAsia="en-AU"/>
              </w:rPr>
              <w:br/>
              <w:t>1) E2 outcomes</w:t>
            </w:r>
            <w:r w:rsidRPr="00800A49">
              <w:rPr>
                <w:rFonts w:ascii="Times New Roman" w:eastAsia="Times New Roman" w:hAnsi="Times New Roman" w:cs="Times New Roman"/>
                <w:color w:val="000000"/>
                <w:sz w:val="18"/>
                <w:szCs w:val="18"/>
                <w:lang w:eastAsia="en-AU"/>
              </w:rPr>
              <w:br/>
              <w:t>Non-invasive vs micro-invasive ICER: 16.73</w:t>
            </w:r>
            <w:r w:rsidRPr="00800A49">
              <w:rPr>
                <w:rFonts w:ascii="Times New Roman" w:eastAsia="Times New Roman" w:hAnsi="Times New Roman" w:cs="Times New Roman"/>
                <w:color w:val="000000"/>
                <w:sz w:val="18"/>
                <w:szCs w:val="18"/>
                <w:lang w:eastAsia="en-AU"/>
              </w:rPr>
              <w:br/>
              <w:t>2) D1 outcomes</w:t>
            </w:r>
            <w:r w:rsidRPr="00800A49">
              <w:rPr>
                <w:rFonts w:ascii="Times New Roman" w:eastAsia="Times New Roman" w:hAnsi="Times New Roman" w:cs="Times New Roman"/>
                <w:color w:val="000000"/>
                <w:sz w:val="18"/>
                <w:szCs w:val="18"/>
                <w:lang w:eastAsia="en-AU"/>
              </w:rPr>
              <w:br/>
              <w:t>Non-invasive vs micro-invasive ICER: 1.57</w:t>
            </w:r>
          </w:p>
          <w:p w14:paraId="522EAB32"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p>
          <w:p w14:paraId="636A8743"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Cost-effective = N/S</w:t>
            </w:r>
          </w:p>
        </w:tc>
        <w:tc>
          <w:tcPr>
            <w:tcW w:w="1134" w:type="dxa"/>
            <w:vMerge w:val="restart"/>
            <w:vAlign w:val="center"/>
          </w:tcPr>
          <w:p w14:paraId="08D3F6FA"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Moderate</w:t>
            </w:r>
          </w:p>
        </w:tc>
      </w:tr>
      <w:tr w:rsidR="008461EA" w:rsidRPr="00800A49" w14:paraId="128A0BCE" w14:textId="77777777" w:rsidTr="00720BDC">
        <w:trPr>
          <w:trHeight w:val="972"/>
        </w:trPr>
        <w:tc>
          <w:tcPr>
            <w:tcW w:w="1128" w:type="dxa"/>
            <w:vMerge/>
            <w:shd w:val="clear" w:color="auto" w:fill="auto"/>
            <w:noWrap/>
          </w:tcPr>
          <w:p w14:paraId="61BD529E"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p>
        </w:tc>
        <w:tc>
          <w:tcPr>
            <w:tcW w:w="283" w:type="dxa"/>
            <w:vMerge/>
            <w:vAlign w:val="center"/>
          </w:tcPr>
          <w:p w14:paraId="37176C96"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709" w:type="dxa"/>
            <w:vAlign w:val="center"/>
          </w:tcPr>
          <w:p w14:paraId="18AD93A1"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N/A</w:t>
            </w:r>
          </w:p>
        </w:tc>
        <w:tc>
          <w:tcPr>
            <w:tcW w:w="2409" w:type="dxa"/>
            <w:shd w:val="clear" w:color="auto" w:fill="auto"/>
            <w:noWrap/>
            <w:vAlign w:val="center"/>
          </w:tcPr>
          <w:p w14:paraId="560558DC"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Restoration</w:t>
            </w:r>
          </w:p>
        </w:tc>
        <w:tc>
          <w:tcPr>
            <w:tcW w:w="1105" w:type="dxa"/>
            <w:vMerge/>
            <w:vAlign w:val="center"/>
          </w:tcPr>
          <w:p w14:paraId="262ED3CE"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851" w:type="dxa"/>
            <w:vMerge/>
            <w:vAlign w:val="center"/>
          </w:tcPr>
          <w:p w14:paraId="6D803E2E"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851" w:type="dxa"/>
            <w:vMerge/>
            <w:shd w:val="clear" w:color="auto" w:fill="auto"/>
            <w:noWrap/>
            <w:vAlign w:val="center"/>
          </w:tcPr>
          <w:p w14:paraId="6BDE5B53"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1190" w:type="dxa"/>
            <w:vMerge/>
            <w:vAlign w:val="center"/>
          </w:tcPr>
          <w:p w14:paraId="4C627FA7"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2760" w:type="dxa"/>
            <w:vMerge/>
            <w:shd w:val="clear" w:color="auto" w:fill="auto"/>
            <w:noWrap/>
          </w:tcPr>
          <w:p w14:paraId="79C81749"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p>
        </w:tc>
        <w:tc>
          <w:tcPr>
            <w:tcW w:w="634" w:type="dxa"/>
            <w:vMerge/>
            <w:shd w:val="clear" w:color="auto" w:fill="auto"/>
            <w:noWrap/>
            <w:vAlign w:val="center"/>
          </w:tcPr>
          <w:p w14:paraId="0C3241C3"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556" w:type="dxa"/>
            <w:vMerge/>
            <w:vAlign w:val="center"/>
          </w:tcPr>
          <w:p w14:paraId="7F117B3A"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1978" w:type="dxa"/>
            <w:vMerge/>
            <w:shd w:val="clear" w:color="auto" w:fill="auto"/>
            <w:noWrap/>
          </w:tcPr>
          <w:p w14:paraId="5CB15269"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p>
        </w:tc>
        <w:tc>
          <w:tcPr>
            <w:tcW w:w="1134" w:type="dxa"/>
            <w:vMerge/>
            <w:vAlign w:val="center"/>
          </w:tcPr>
          <w:p w14:paraId="19B3672E"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r>
      <w:tr w:rsidR="008461EA" w:rsidRPr="00800A49" w14:paraId="782743BB" w14:textId="77777777" w:rsidTr="00720BDC">
        <w:trPr>
          <w:trHeight w:val="300"/>
        </w:trPr>
        <w:tc>
          <w:tcPr>
            <w:tcW w:w="1128" w:type="dxa"/>
            <w:vMerge/>
            <w:shd w:val="clear" w:color="auto" w:fill="auto"/>
            <w:noWrap/>
          </w:tcPr>
          <w:p w14:paraId="54F3AB3C"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p>
        </w:tc>
        <w:tc>
          <w:tcPr>
            <w:tcW w:w="283" w:type="dxa"/>
            <w:vAlign w:val="center"/>
          </w:tcPr>
          <w:p w14:paraId="22FD0EFD"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C</w:t>
            </w:r>
          </w:p>
        </w:tc>
        <w:tc>
          <w:tcPr>
            <w:tcW w:w="709" w:type="dxa"/>
            <w:vAlign w:val="center"/>
          </w:tcPr>
          <w:p w14:paraId="6134D2DB"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Ind.</w:t>
            </w:r>
          </w:p>
        </w:tc>
        <w:tc>
          <w:tcPr>
            <w:tcW w:w="2409" w:type="dxa"/>
            <w:shd w:val="clear" w:color="auto" w:fill="auto"/>
            <w:noWrap/>
            <w:vAlign w:val="center"/>
          </w:tcPr>
          <w:p w14:paraId="4289F852"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Oral health education and topical fluoride</w:t>
            </w:r>
          </w:p>
        </w:tc>
        <w:tc>
          <w:tcPr>
            <w:tcW w:w="1105" w:type="dxa"/>
            <w:vMerge/>
            <w:vAlign w:val="center"/>
          </w:tcPr>
          <w:p w14:paraId="420836AF"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851" w:type="dxa"/>
            <w:vMerge/>
            <w:vAlign w:val="center"/>
          </w:tcPr>
          <w:p w14:paraId="5026A9B2"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851" w:type="dxa"/>
            <w:vMerge/>
            <w:shd w:val="clear" w:color="auto" w:fill="auto"/>
            <w:noWrap/>
            <w:vAlign w:val="center"/>
          </w:tcPr>
          <w:p w14:paraId="7648EE7F"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1190" w:type="dxa"/>
            <w:vMerge/>
            <w:vAlign w:val="center"/>
          </w:tcPr>
          <w:p w14:paraId="66F2805C"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2760" w:type="dxa"/>
            <w:vMerge/>
            <w:shd w:val="clear" w:color="auto" w:fill="auto"/>
            <w:noWrap/>
          </w:tcPr>
          <w:p w14:paraId="00333DF1"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p>
        </w:tc>
        <w:tc>
          <w:tcPr>
            <w:tcW w:w="634" w:type="dxa"/>
            <w:vMerge/>
            <w:shd w:val="clear" w:color="auto" w:fill="auto"/>
            <w:noWrap/>
            <w:vAlign w:val="center"/>
          </w:tcPr>
          <w:p w14:paraId="48DBE4F9"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556" w:type="dxa"/>
            <w:vMerge/>
            <w:vAlign w:val="center"/>
          </w:tcPr>
          <w:p w14:paraId="36EBF48F"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1978" w:type="dxa"/>
            <w:vMerge/>
            <w:shd w:val="clear" w:color="auto" w:fill="auto"/>
            <w:noWrap/>
          </w:tcPr>
          <w:p w14:paraId="1511DA7C"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p>
        </w:tc>
        <w:tc>
          <w:tcPr>
            <w:tcW w:w="1134" w:type="dxa"/>
            <w:vMerge/>
            <w:vAlign w:val="center"/>
          </w:tcPr>
          <w:p w14:paraId="68F773ED"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r>
      <w:tr w:rsidR="008461EA" w:rsidRPr="00800A49" w14:paraId="017236C2" w14:textId="77777777" w:rsidTr="00720BDC">
        <w:trPr>
          <w:trHeight w:val="300"/>
        </w:trPr>
        <w:tc>
          <w:tcPr>
            <w:tcW w:w="1128" w:type="dxa"/>
            <w:vMerge w:val="restart"/>
            <w:shd w:val="clear" w:color="auto" w:fill="auto"/>
            <w:noWrap/>
            <w:hideMark/>
          </w:tcPr>
          <w:p w14:paraId="155E47B6"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proofErr w:type="spellStart"/>
            <w:r w:rsidRPr="00800A49">
              <w:rPr>
                <w:rFonts w:ascii="Times New Roman" w:eastAsia="Times New Roman" w:hAnsi="Times New Roman" w:cs="Times New Roman"/>
                <w:color w:val="000000"/>
                <w:sz w:val="18"/>
                <w:szCs w:val="18"/>
                <w:lang w:eastAsia="en-AU"/>
              </w:rPr>
              <w:t>Schwendicke</w:t>
            </w:r>
            <w:proofErr w:type="spellEnd"/>
            <w:r w:rsidRPr="00800A49">
              <w:rPr>
                <w:rFonts w:ascii="Times New Roman" w:eastAsia="Times New Roman" w:hAnsi="Times New Roman" w:cs="Times New Roman"/>
                <w:color w:val="000000"/>
                <w:sz w:val="18"/>
                <w:szCs w:val="18"/>
                <w:lang w:eastAsia="en-AU"/>
              </w:rPr>
              <w:t xml:space="preserve"> et al., 2016</w:t>
            </w:r>
          </w:p>
        </w:tc>
        <w:tc>
          <w:tcPr>
            <w:tcW w:w="283" w:type="dxa"/>
            <w:vMerge w:val="restart"/>
            <w:vAlign w:val="center"/>
          </w:tcPr>
          <w:p w14:paraId="5CF1BE73"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I</w:t>
            </w:r>
          </w:p>
        </w:tc>
        <w:tc>
          <w:tcPr>
            <w:tcW w:w="709" w:type="dxa"/>
            <w:vAlign w:val="center"/>
          </w:tcPr>
          <w:p w14:paraId="4124177F"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Ind.</w:t>
            </w:r>
          </w:p>
        </w:tc>
        <w:tc>
          <w:tcPr>
            <w:tcW w:w="2409" w:type="dxa"/>
            <w:shd w:val="clear" w:color="auto" w:fill="auto"/>
            <w:noWrap/>
            <w:vAlign w:val="center"/>
            <w:hideMark/>
          </w:tcPr>
          <w:p w14:paraId="20A6352F"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Irregular supportive periodontal therapy (attended &lt;70% of recommended maintenance visits)</w:t>
            </w:r>
          </w:p>
        </w:tc>
        <w:tc>
          <w:tcPr>
            <w:tcW w:w="1105" w:type="dxa"/>
            <w:vMerge w:val="restart"/>
            <w:vAlign w:val="center"/>
          </w:tcPr>
          <w:p w14:paraId="235321F2"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Healthcare</w:t>
            </w:r>
          </w:p>
        </w:tc>
        <w:tc>
          <w:tcPr>
            <w:tcW w:w="851" w:type="dxa"/>
            <w:vMerge w:val="restart"/>
            <w:vAlign w:val="center"/>
          </w:tcPr>
          <w:p w14:paraId="4749FA89"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32.5 years</w:t>
            </w:r>
          </w:p>
        </w:tc>
        <w:tc>
          <w:tcPr>
            <w:tcW w:w="851" w:type="dxa"/>
            <w:vMerge w:val="restart"/>
            <w:shd w:val="clear" w:color="auto" w:fill="auto"/>
            <w:noWrap/>
            <w:vAlign w:val="center"/>
            <w:hideMark/>
          </w:tcPr>
          <w:p w14:paraId="7C1D2764"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47</w:t>
            </w:r>
          </w:p>
          <w:p w14:paraId="057D2E6E"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(male)</w:t>
            </w:r>
          </w:p>
        </w:tc>
        <w:tc>
          <w:tcPr>
            <w:tcW w:w="1190" w:type="dxa"/>
            <w:vMerge w:val="restart"/>
            <w:vAlign w:val="center"/>
          </w:tcPr>
          <w:p w14:paraId="2E6AD242"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Individual</w:t>
            </w:r>
          </w:p>
        </w:tc>
        <w:tc>
          <w:tcPr>
            <w:tcW w:w="2760" w:type="dxa"/>
            <w:vMerge w:val="restart"/>
            <w:shd w:val="clear" w:color="auto" w:fill="auto"/>
            <w:noWrap/>
            <w:hideMark/>
          </w:tcPr>
          <w:p w14:paraId="5310EC77"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Intervention costs (macro-costing)</w:t>
            </w:r>
          </w:p>
          <w:p w14:paraId="4B4C7DCD"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br/>
              <w:t>Dental treatment costs (restorations, root canal treatment, crown, extraction, implant, denture)</w:t>
            </w:r>
          </w:p>
        </w:tc>
        <w:tc>
          <w:tcPr>
            <w:tcW w:w="1190" w:type="dxa"/>
            <w:gridSpan w:val="2"/>
            <w:vMerge w:val="restart"/>
            <w:shd w:val="clear" w:color="auto" w:fill="auto"/>
            <w:noWrap/>
            <w:vAlign w:val="center"/>
            <w:hideMark/>
          </w:tcPr>
          <w:p w14:paraId="508302E1"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3%</w:t>
            </w:r>
          </w:p>
        </w:tc>
        <w:tc>
          <w:tcPr>
            <w:tcW w:w="1978" w:type="dxa"/>
            <w:vMerge w:val="restart"/>
            <w:shd w:val="clear" w:color="auto" w:fill="auto"/>
            <w:noWrap/>
            <w:hideMark/>
          </w:tcPr>
          <w:p w14:paraId="4D1250AC"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 xml:space="preserve">Costs (€) per </w:t>
            </w:r>
            <w:proofErr w:type="gramStart"/>
            <w:r w:rsidRPr="00800A49">
              <w:rPr>
                <w:rFonts w:ascii="Times New Roman" w:eastAsia="Times New Roman" w:hAnsi="Times New Roman" w:cs="Times New Roman"/>
                <w:color w:val="000000"/>
                <w:sz w:val="18"/>
                <w:szCs w:val="18"/>
                <w:lang w:eastAsia="en-AU"/>
              </w:rPr>
              <w:t>retained-tooth</w:t>
            </w:r>
            <w:proofErr w:type="gramEnd"/>
            <w:r w:rsidRPr="00800A49">
              <w:rPr>
                <w:rFonts w:ascii="Times New Roman" w:eastAsia="Times New Roman" w:hAnsi="Times New Roman" w:cs="Times New Roman"/>
                <w:color w:val="000000"/>
                <w:sz w:val="18"/>
                <w:szCs w:val="18"/>
                <w:lang w:eastAsia="en-AU"/>
              </w:rPr>
              <w:t xml:space="preserve"> per year</w:t>
            </w:r>
          </w:p>
          <w:p w14:paraId="52ADB5A4"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ICER: N/R; Refer to Figure 2 of the manuscript.</w:t>
            </w:r>
          </w:p>
          <w:p w14:paraId="6D1E48A4"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p>
          <w:p w14:paraId="3DD5A348"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Regular supportive therapy vs irregular supportive therapy or tooth removal and implant supported crown</w:t>
            </w:r>
          </w:p>
          <w:p w14:paraId="47E5C39E"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p>
          <w:p w14:paraId="548E62A8"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Cost-effective = N/S</w:t>
            </w:r>
          </w:p>
          <w:p w14:paraId="756BB433"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p>
        </w:tc>
        <w:tc>
          <w:tcPr>
            <w:tcW w:w="1134" w:type="dxa"/>
            <w:vMerge w:val="restart"/>
            <w:vAlign w:val="center"/>
          </w:tcPr>
          <w:p w14:paraId="3FECFB51"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Good</w:t>
            </w:r>
          </w:p>
        </w:tc>
      </w:tr>
      <w:tr w:rsidR="008461EA" w:rsidRPr="00800A49" w14:paraId="481D0146" w14:textId="77777777" w:rsidTr="00720BDC">
        <w:trPr>
          <w:trHeight w:val="300"/>
        </w:trPr>
        <w:tc>
          <w:tcPr>
            <w:tcW w:w="1128" w:type="dxa"/>
            <w:vMerge/>
            <w:shd w:val="clear" w:color="auto" w:fill="auto"/>
            <w:noWrap/>
          </w:tcPr>
          <w:p w14:paraId="15AB6C46"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p>
        </w:tc>
        <w:tc>
          <w:tcPr>
            <w:tcW w:w="283" w:type="dxa"/>
            <w:vMerge/>
            <w:vAlign w:val="center"/>
          </w:tcPr>
          <w:p w14:paraId="6C656AF5"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709" w:type="dxa"/>
            <w:vAlign w:val="center"/>
          </w:tcPr>
          <w:p w14:paraId="09C520D2"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Ind.</w:t>
            </w:r>
          </w:p>
        </w:tc>
        <w:tc>
          <w:tcPr>
            <w:tcW w:w="2409" w:type="dxa"/>
            <w:shd w:val="clear" w:color="auto" w:fill="auto"/>
            <w:noWrap/>
            <w:vAlign w:val="center"/>
          </w:tcPr>
          <w:p w14:paraId="6A88D20E"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Tooth removal and implant supported crown</w:t>
            </w:r>
          </w:p>
        </w:tc>
        <w:tc>
          <w:tcPr>
            <w:tcW w:w="1105" w:type="dxa"/>
            <w:vMerge/>
            <w:vAlign w:val="center"/>
          </w:tcPr>
          <w:p w14:paraId="1DEF6504"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851" w:type="dxa"/>
            <w:vMerge/>
            <w:vAlign w:val="center"/>
          </w:tcPr>
          <w:p w14:paraId="0402FC96"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851" w:type="dxa"/>
            <w:vMerge/>
            <w:shd w:val="clear" w:color="auto" w:fill="auto"/>
            <w:noWrap/>
            <w:vAlign w:val="center"/>
          </w:tcPr>
          <w:p w14:paraId="01A0A777"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1190" w:type="dxa"/>
            <w:vMerge/>
            <w:vAlign w:val="center"/>
          </w:tcPr>
          <w:p w14:paraId="0B4530B6"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2760" w:type="dxa"/>
            <w:vMerge/>
            <w:shd w:val="clear" w:color="auto" w:fill="auto"/>
            <w:noWrap/>
          </w:tcPr>
          <w:p w14:paraId="786A7D99"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p>
        </w:tc>
        <w:tc>
          <w:tcPr>
            <w:tcW w:w="1190" w:type="dxa"/>
            <w:gridSpan w:val="2"/>
            <w:vMerge/>
            <w:shd w:val="clear" w:color="auto" w:fill="auto"/>
            <w:noWrap/>
            <w:vAlign w:val="center"/>
          </w:tcPr>
          <w:p w14:paraId="286146DD"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1978" w:type="dxa"/>
            <w:vMerge/>
            <w:shd w:val="clear" w:color="auto" w:fill="auto"/>
            <w:noWrap/>
          </w:tcPr>
          <w:p w14:paraId="36E85A49"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p>
        </w:tc>
        <w:tc>
          <w:tcPr>
            <w:tcW w:w="1134" w:type="dxa"/>
            <w:vMerge/>
            <w:vAlign w:val="center"/>
          </w:tcPr>
          <w:p w14:paraId="0ADC7FBC"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r>
      <w:tr w:rsidR="008461EA" w:rsidRPr="00800A49" w14:paraId="0257E890" w14:textId="77777777" w:rsidTr="00720BDC">
        <w:trPr>
          <w:trHeight w:val="300"/>
        </w:trPr>
        <w:tc>
          <w:tcPr>
            <w:tcW w:w="1128" w:type="dxa"/>
            <w:vMerge/>
            <w:shd w:val="clear" w:color="auto" w:fill="auto"/>
            <w:noWrap/>
          </w:tcPr>
          <w:p w14:paraId="1BC6BA31"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p>
        </w:tc>
        <w:tc>
          <w:tcPr>
            <w:tcW w:w="283" w:type="dxa"/>
            <w:vAlign w:val="center"/>
          </w:tcPr>
          <w:p w14:paraId="31E1A286"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C</w:t>
            </w:r>
          </w:p>
        </w:tc>
        <w:tc>
          <w:tcPr>
            <w:tcW w:w="709" w:type="dxa"/>
            <w:vAlign w:val="center"/>
          </w:tcPr>
          <w:p w14:paraId="3824B56A"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Ind.</w:t>
            </w:r>
          </w:p>
        </w:tc>
        <w:tc>
          <w:tcPr>
            <w:tcW w:w="2409" w:type="dxa"/>
            <w:shd w:val="clear" w:color="auto" w:fill="auto"/>
            <w:noWrap/>
            <w:vAlign w:val="center"/>
          </w:tcPr>
          <w:p w14:paraId="735068F7"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Regular supportive periodontal therapy (attended &gt;70% of maintenance visit)</w:t>
            </w:r>
          </w:p>
        </w:tc>
        <w:tc>
          <w:tcPr>
            <w:tcW w:w="1105" w:type="dxa"/>
            <w:vMerge/>
            <w:vAlign w:val="center"/>
          </w:tcPr>
          <w:p w14:paraId="6ED7B42E"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851" w:type="dxa"/>
            <w:vMerge/>
            <w:vAlign w:val="center"/>
          </w:tcPr>
          <w:p w14:paraId="64282AA4"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851" w:type="dxa"/>
            <w:vMerge/>
            <w:shd w:val="clear" w:color="auto" w:fill="auto"/>
            <w:noWrap/>
            <w:vAlign w:val="center"/>
          </w:tcPr>
          <w:p w14:paraId="73F8BF00"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1190" w:type="dxa"/>
            <w:vMerge/>
            <w:vAlign w:val="center"/>
          </w:tcPr>
          <w:p w14:paraId="28C452A5"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2760" w:type="dxa"/>
            <w:vMerge/>
            <w:shd w:val="clear" w:color="auto" w:fill="auto"/>
            <w:noWrap/>
          </w:tcPr>
          <w:p w14:paraId="0EA3504C"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p>
        </w:tc>
        <w:tc>
          <w:tcPr>
            <w:tcW w:w="1190" w:type="dxa"/>
            <w:gridSpan w:val="2"/>
            <w:vMerge/>
            <w:shd w:val="clear" w:color="auto" w:fill="auto"/>
            <w:noWrap/>
            <w:vAlign w:val="center"/>
          </w:tcPr>
          <w:p w14:paraId="2A4C2A9C"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1978" w:type="dxa"/>
            <w:vMerge/>
            <w:shd w:val="clear" w:color="auto" w:fill="auto"/>
            <w:noWrap/>
          </w:tcPr>
          <w:p w14:paraId="470B6296"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p>
        </w:tc>
        <w:tc>
          <w:tcPr>
            <w:tcW w:w="1134" w:type="dxa"/>
            <w:vMerge/>
            <w:vAlign w:val="center"/>
          </w:tcPr>
          <w:p w14:paraId="1AD1EC03"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r>
      <w:tr w:rsidR="008461EA" w:rsidRPr="00800A49" w14:paraId="3E8B3A48" w14:textId="77777777" w:rsidTr="00720BDC">
        <w:trPr>
          <w:trHeight w:val="671"/>
        </w:trPr>
        <w:tc>
          <w:tcPr>
            <w:tcW w:w="1128" w:type="dxa"/>
            <w:vMerge w:val="restart"/>
            <w:shd w:val="clear" w:color="auto" w:fill="auto"/>
            <w:noWrap/>
            <w:hideMark/>
          </w:tcPr>
          <w:p w14:paraId="01819C01"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proofErr w:type="spellStart"/>
            <w:r w:rsidRPr="00800A49">
              <w:rPr>
                <w:rFonts w:ascii="Times New Roman" w:eastAsia="Times New Roman" w:hAnsi="Times New Roman" w:cs="Times New Roman"/>
                <w:color w:val="000000"/>
                <w:sz w:val="18"/>
                <w:szCs w:val="18"/>
                <w:lang w:eastAsia="en-AU"/>
              </w:rPr>
              <w:t>Schwendicke</w:t>
            </w:r>
            <w:proofErr w:type="spellEnd"/>
            <w:r w:rsidRPr="00800A49">
              <w:rPr>
                <w:rFonts w:ascii="Times New Roman" w:eastAsia="Times New Roman" w:hAnsi="Times New Roman" w:cs="Times New Roman"/>
                <w:color w:val="000000"/>
                <w:sz w:val="18"/>
                <w:szCs w:val="18"/>
                <w:lang w:eastAsia="en-AU"/>
              </w:rPr>
              <w:t xml:space="preserve"> et al., 2018</w:t>
            </w:r>
          </w:p>
        </w:tc>
        <w:tc>
          <w:tcPr>
            <w:tcW w:w="283" w:type="dxa"/>
            <w:vAlign w:val="center"/>
          </w:tcPr>
          <w:p w14:paraId="644A94FA"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I</w:t>
            </w:r>
          </w:p>
        </w:tc>
        <w:tc>
          <w:tcPr>
            <w:tcW w:w="709" w:type="dxa"/>
            <w:vAlign w:val="center"/>
          </w:tcPr>
          <w:p w14:paraId="1C4217A7"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Ind.</w:t>
            </w:r>
          </w:p>
        </w:tc>
        <w:tc>
          <w:tcPr>
            <w:tcW w:w="2409" w:type="dxa"/>
            <w:shd w:val="clear" w:color="auto" w:fill="auto"/>
            <w:noWrap/>
            <w:vAlign w:val="center"/>
            <w:hideMark/>
          </w:tcPr>
          <w:p w14:paraId="2E922A6D"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Practice-based 6-monthly fluoride varnish</w:t>
            </w:r>
          </w:p>
        </w:tc>
        <w:tc>
          <w:tcPr>
            <w:tcW w:w="1105" w:type="dxa"/>
            <w:vMerge w:val="restart"/>
            <w:vAlign w:val="center"/>
          </w:tcPr>
          <w:p w14:paraId="38725963"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Healthcare</w:t>
            </w:r>
          </w:p>
        </w:tc>
        <w:tc>
          <w:tcPr>
            <w:tcW w:w="851" w:type="dxa"/>
            <w:vMerge w:val="restart"/>
            <w:vAlign w:val="center"/>
          </w:tcPr>
          <w:p w14:paraId="15DBF0E0"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Lifetime</w:t>
            </w:r>
          </w:p>
        </w:tc>
        <w:tc>
          <w:tcPr>
            <w:tcW w:w="851" w:type="dxa"/>
            <w:vMerge w:val="restart"/>
            <w:shd w:val="clear" w:color="auto" w:fill="auto"/>
            <w:noWrap/>
            <w:vAlign w:val="center"/>
            <w:hideMark/>
          </w:tcPr>
          <w:p w14:paraId="31B486E9"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6</w:t>
            </w:r>
          </w:p>
        </w:tc>
        <w:tc>
          <w:tcPr>
            <w:tcW w:w="1190" w:type="dxa"/>
            <w:vMerge w:val="restart"/>
            <w:vAlign w:val="center"/>
          </w:tcPr>
          <w:p w14:paraId="75A861B2"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Individual</w:t>
            </w:r>
          </w:p>
        </w:tc>
        <w:tc>
          <w:tcPr>
            <w:tcW w:w="2760" w:type="dxa"/>
            <w:vMerge w:val="restart"/>
            <w:shd w:val="clear" w:color="auto" w:fill="auto"/>
            <w:noWrap/>
            <w:hideMark/>
          </w:tcPr>
          <w:p w14:paraId="57B8EDB0"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Intervention costs (macro-costing)</w:t>
            </w:r>
          </w:p>
          <w:p w14:paraId="6C8354DF"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br/>
              <w:t>Dental treatment costs (restorations, root canal treatment, crown, extraction, implant, implant failure and loss)</w:t>
            </w:r>
          </w:p>
        </w:tc>
        <w:tc>
          <w:tcPr>
            <w:tcW w:w="1190" w:type="dxa"/>
            <w:gridSpan w:val="2"/>
            <w:vMerge w:val="restart"/>
            <w:shd w:val="clear" w:color="auto" w:fill="auto"/>
            <w:noWrap/>
            <w:vAlign w:val="center"/>
          </w:tcPr>
          <w:p w14:paraId="055BEA59"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3%</w:t>
            </w:r>
          </w:p>
        </w:tc>
        <w:tc>
          <w:tcPr>
            <w:tcW w:w="1978" w:type="dxa"/>
            <w:vMerge w:val="restart"/>
            <w:shd w:val="clear" w:color="auto" w:fill="auto"/>
            <w:noWrap/>
            <w:hideMark/>
          </w:tcPr>
          <w:p w14:paraId="323A0B36"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 xml:space="preserve">Costs (€) per DMFT averted; costs per </w:t>
            </w:r>
            <w:proofErr w:type="gramStart"/>
            <w:r w:rsidRPr="00800A49">
              <w:rPr>
                <w:rFonts w:ascii="Times New Roman" w:eastAsia="Times New Roman" w:hAnsi="Times New Roman" w:cs="Times New Roman"/>
                <w:color w:val="000000"/>
                <w:sz w:val="18"/>
                <w:szCs w:val="18"/>
                <w:lang w:eastAsia="en-AU"/>
              </w:rPr>
              <w:t>retained-tooth</w:t>
            </w:r>
            <w:proofErr w:type="gramEnd"/>
            <w:r w:rsidRPr="00800A49">
              <w:rPr>
                <w:rFonts w:ascii="Times New Roman" w:eastAsia="Times New Roman" w:hAnsi="Times New Roman" w:cs="Times New Roman"/>
                <w:color w:val="000000"/>
                <w:sz w:val="18"/>
                <w:szCs w:val="18"/>
                <w:lang w:eastAsia="en-AU"/>
              </w:rPr>
              <w:t xml:space="preserve"> per year</w:t>
            </w:r>
          </w:p>
          <w:p w14:paraId="77CCD6E7"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Subgroup analysis</w:t>
            </w:r>
            <w:r w:rsidRPr="00800A49">
              <w:rPr>
                <w:rFonts w:ascii="Times New Roman" w:eastAsia="Times New Roman" w:hAnsi="Times New Roman" w:cs="Times New Roman"/>
                <w:color w:val="000000"/>
                <w:sz w:val="18"/>
                <w:szCs w:val="18"/>
                <w:lang w:eastAsia="en-AU"/>
              </w:rPr>
              <w:br/>
              <w:t>1) Low-risk ICER: 343; 840</w:t>
            </w:r>
            <w:r w:rsidRPr="00800A49">
              <w:rPr>
                <w:rFonts w:ascii="Times New Roman" w:eastAsia="Times New Roman" w:hAnsi="Times New Roman" w:cs="Times New Roman"/>
                <w:color w:val="000000"/>
                <w:sz w:val="18"/>
                <w:szCs w:val="18"/>
                <w:lang w:eastAsia="en-AU"/>
              </w:rPr>
              <w:br/>
              <w:t>2) Moderate-risk ICER: 93; 184</w:t>
            </w:r>
            <w:r w:rsidRPr="00800A49">
              <w:rPr>
                <w:rFonts w:ascii="Times New Roman" w:eastAsia="Times New Roman" w:hAnsi="Times New Roman" w:cs="Times New Roman"/>
                <w:color w:val="000000"/>
                <w:sz w:val="18"/>
                <w:szCs w:val="18"/>
                <w:lang w:eastAsia="en-AU"/>
              </w:rPr>
              <w:br/>
              <w:t>3) High-risk ICER: 8; 9</w:t>
            </w:r>
          </w:p>
          <w:p w14:paraId="085D5648"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p>
          <w:p w14:paraId="7FC3AD18"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lastRenderedPageBreak/>
              <w:t>Cost-effective = N/S</w:t>
            </w:r>
          </w:p>
        </w:tc>
        <w:tc>
          <w:tcPr>
            <w:tcW w:w="1134" w:type="dxa"/>
            <w:vMerge w:val="restart"/>
            <w:vAlign w:val="center"/>
          </w:tcPr>
          <w:p w14:paraId="10D4609E"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lastRenderedPageBreak/>
              <w:t>Good</w:t>
            </w:r>
          </w:p>
        </w:tc>
      </w:tr>
      <w:tr w:rsidR="008461EA" w:rsidRPr="00800A49" w14:paraId="085EF38B" w14:textId="77777777" w:rsidTr="00720BDC">
        <w:trPr>
          <w:trHeight w:val="300"/>
        </w:trPr>
        <w:tc>
          <w:tcPr>
            <w:tcW w:w="1128" w:type="dxa"/>
            <w:vMerge/>
            <w:shd w:val="clear" w:color="auto" w:fill="auto"/>
            <w:noWrap/>
          </w:tcPr>
          <w:p w14:paraId="7E47AE6D"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p>
        </w:tc>
        <w:tc>
          <w:tcPr>
            <w:tcW w:w="283" w:type="dxa"/>
            <w:vAlign w:val="center"/>
          </w:tcPr>
          <w:p w14:paraId="1EFB765F"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C</w:t>
            </w:r>
          </w:p>
        </w:tc>
        <w:tc>
          <w:tcPr>
            <w:tcW w:w="709" w:type="dxa"/>
            <w:vAlign w:val="center"/>
          </w:tcPr>
          <w:p w14:paraId="2FF8EE35"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N/A</w:t>
            </w:r>
          </w:p>
        </w:tc>
        <w:tc>
          <w:tcPr>
            <w:tcW w:w="2409" w:type="dxa"/>
            <w:shd w:val="clear" w:color="auto" w:fill="auto"/>
            <w:noWrap/>
            <w:vAlign w:val="center"/>
          </w:tcPr>
          <w:p w14:paraId="7BD73CF8"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No intervention</w:t>
            </w:r>
          </w:p>
        </w:tc>
        <w:tc>
          <w:tcPr>
            <w:tcW w:w="1105" w:type="dxa"/>
            <w:vMerge/>
            <w:vAlign w:val="center"/>
          </w:tcPr>
          <w:p w14:paraId="0B4AEE82"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851" w:type="dxa"/>
            <w:vMerge/>
            <w:vAlign w:val="center"/>
          </w:tcPr>
          <w:p w14:paraId="54ACA0CE"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851" w:type="dxa"/>
            <w:vMerge/>
            <w:shd w:val="clear" w:color="auto" w:fill="auto"/>
            <w:noWrap/>
            <w:vAlign w:val="center"/>
          </w:tcPr>
          <w:p w14:paraId="7DA1E5C9"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1190" w:type="dxa"/>
            <w:vMerge/>
            <w:vAlign w:val="center"/>
          </w:tcPr>
          <w:p w14:paraId="46F93FE3"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2760" w:type="dxa"/>
            <w:vMerge/>
            <w:shd w:val="clear" w:color="auto" w:fill="auto"/>
            <w:noWrap/>
          </w:tcPr>
          <w:p w14:paraId="6314C8A5"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p>
        </w:tc>
        <w:tc>
          <w:tcPr>
            <w:tcW w:w="1190" w:type="dxa"/>
            <w:gridSpan w:val="2"/>
            <w:vMerge/>
            <w:shd w:val="clear" w:color="auto" w:fill="auto"/>
            <w:noWrap/>
            <w:vAlign w:val="center"/>
          </w:tcPr>
          <w:p w14:paraId="2F625256"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1978" w:type="dxa"/>
            <w:vMerge/>
            <w:shd w:val="clear" w:color="auto" w:fill="auto"/>
            <w:noWrap/>
          </w:tcPr>
          <w:p w14:paraId="69FD7266"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p>
        </w:tc>
        <w:tc>
          <w:tcPr>
            <w:tcW w:w="1134" w:type="dxa"/>
            <w:vMerge/>
            <w:vAlign w:val="center"/>
          </w:tcPr>
          <w:p w14:paraId="3B1AA5FF"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r>
      <w:tr w:rsidR="008461EA" w:rsidRPr="00800A49" w14:paraId="7A4E7B8C" w14:textId="77777777" w:rsidTr="00720BDC">
        <w:trPr>
          <w:trHeight w:val="300"/>
        </w:trPr>
        <w:tc>
          <w:tcPr>
            <w:tcW w:w="1128" w:type="dxa"/>
            <w:vMerge w:val="restart"/>
            <w:shd w:val="clear" w:color="auto" w:fill="auto"/>
            <w:noWrap/>
            <w:hideMark/>
          </w:tcPr>
          <w:p w14:paraId="3DB1CF0C"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proofErr w:type="spellStart"/>
            <w:r w:rsidRPr="00800A49">
              <w:rPr>
                <w:rFonts w:ascii="Times New Roman" w:eastAsia="Times New Roman" w:hAnsi="Times New Roman" w:cs="Times New Roman"/>
                <w:color w:val="000000"/>
                <w:sz w:val="18"/>
                <w:szCs w:val="18"/>
                <w:lang w:eastAsia="en-AU"/>
              </w:rPr>
              <w:t>Schwendicke</w:t>
            </w:r>
            <w:proofErr w:type="spellEnd"/>
            <w:r w:rsidRPr="00800A49">
              <w:rPr>
                <w:rFonts w:ascii="Times New Roman" w:eastAsia="Times New Roman" w:hAnsi="Times New Roman" w:cs="Times New Roman"/>
                <w:color w:val="000000"/>
                <w:sz w:val="18"/>
                <w:szCs w:val="18"/>
                <w:lang w:eastAsia="en-AU"/>
              </w:rPr>
              <w:t xml:space="preserve"> et al., 2021</w:t>
            </w:r>
          </w:p>
        </w:tc>
        <w:tc>
          <w:tcPr>
            <w:tcW w:w="283" w:type="dxa"/>
            <w:vAlign w:val="center"/>
          </w:tcPr>
          <w:p w14:paraId="6960D7FF"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I</w:t>
            </w:r>
          </w:p>
        </w:tc>
        <w:tc>
          <w:tcPr>
            <w:tcW w:w="709" w:type="dxa"/>
            <w:vAlign w:val="center"/>
          </w:tcPr>
          <w:p w14:paraId="434B4D45"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Ind.</w:t>
            </w:r>
          </w:p>
        </w:tc>
        <w:tc>
          <w:tcPr>
            <w:tcW w:w="2409" w:type="dxa"/>
            <w:shd w:val="clear" w:color="auto" w:fill="auto"/>
            <w:noWrap/>
            <w:vAlign w:val="center"/>
            <w:hideMark/>
          </w:tcPr>
          <w:p w14:paraId="3AE01EAB"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Artificial intelligence detection of radiographic proximal carious lesions</w:t>
            </w:r>
          </w:p>
        </w:tc>
        <w:tc>
          <w:tcPr>
            <w:tcW w:w="1105" w:type="dxa"/>
            <w:vMerge w:val="restart"/>
            <w:vAlign w:val="center"/>
          </w:tcPr>
          <w:p w14:paraId="43054E5A"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Healthcare</w:t>
            </w:r>
          </w:p>
        </w:tc>
        <w:tc>
          <w:tcPr>
            <w:tcW w:w="851" w:type="dxa"/>
            <w:vMerge w:val="restart"/>
            <w:vAlign w:val="center"/>
          </w:tcPr>
          <w:p w14:paraId="3D9BB06E"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66 years</w:t>
            </w:r>
          </w:p>
        </w:tc>
        <w:tc>
          <w:tcPr>
            <w:tcW w:w="851" w:type="dxa"/>
            <w:vMerge w:val="restart"/>
            <w:shd w:val="clear" w:color="auto" w:fill="auto"/>
            <w:noWrap/>
            <w:vAlign w:val="center"/>
            <w:hideMark/>
          </w:tcPr>
          <w:p w14:paraId="18CC4EB8"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12</w:t>
            </w:r>
          </w:p>
        </w:tc>
        <w:tc>
          <w:tcPr>
            <w:tcW w:w="1190" w:type="dxa"/>
            <w:vMerge w:val="restart"/>
            <w:vAlign w:val="center"/>
          </w:tcPr>
          <w:p w14:paraId="70F4ABC1"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Individual</w:t>
            </w:r>
          </w:p>
        </w:tc>
        <w:tc>
          <w:tcPr>
            <w:tcW w:w="2760" w:type="dxa"/>
            <w:vMerge w:val="restart"/>
            <w:shd w:val="clear" w:color="auto" w:fill="auto"/>
            <w:noWrap/>
            <w:hideMark/>
          </w:tcPr>
          <w:p w14:paraId="756DECD1"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Intervention costs (artificial intelligence technology)</w:t>
            </w:r>
          </w:p>
          <w:p w14:paraId="152308BC"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br/>
              <w:t>Dental treatment costs (restorations, repeat restorations, root canal treatment, crowns, extractions, bridge, implants)</w:t>
            </w:r>
          </w:p>
        </w:tc>
        <w:tc>
          <w:tcPr>
            <w:tcW w:w="1190" w:type="dxa"/>
            <w:gridSpan w:val="2"/>
            <w:vMerge w:val="restart"/>
            <w:shd w:val="clear" w:color="auto" w:fill="auto"/>
            <w:noWrap/>
            <w:vAlign w:val="center"/>
            <w:hideMark/>
          </w:tcPr>
          <w:p w14:paraId="7C12E30B"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3%</w:t>
            </w:r>
          </w:p>
        </w:tc>
        <w:tc>
          <w:tcPr>
            <w:tcW w:w="1978" w:type="dxa"/>
            <w:vMerge w:val="restart"/>
            <w:shd w:val="clear" w:color="auto" w:fill="auto"/>
            <w:noWrap/>
            <w:hideMark/>
          </w:tcPr>
          <w:p w14:paraId="7B9D1986"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 xml:space="preserve">Outcome: costs (€) per </w:t>
            </w:r>
            <w:proofErr w:type="gramStart"/>
            <w:r w:rsidRPr="00800A49">
              <w:rPr>
                <w:rFonts w:ascii="Times New Roman" w:eastAsia="Times New Roman" w:hAnsi="Times New Roman" w:cs="Times New Roman"/>
                <w:color w:val="000000"/>
                <w:sz w:val="18"/>
                <w:szCs w:val="18"/>
                <w:lang w:eastAsia="en-AU"/>
              </w:rPr>
              <w:t>retained-tooth</w:t>
            </w:r>
            <w:proofErr w:type="gramEnd"/>
            <w:r w:rsidRPr="00800A49">
              <w:rPr>
                <w:rFonts w:ascii="Times New Roman" w:eastAsia="Times New Roman" w:hAnsi="Times New Roman" w:cs="Times New Roman"/>
                <w:color w:val="000000"/>
                <w:sz w:val="18"/>
                <w:szCs w:val="18"/>
                <w:lang w:eastAsia="en-AU"/>
              </w:rPr>
              <w:t xml:space="preserve"> per year</w:t>
            </w:r>
            <w:r w:rsidRPr="00800A49">
              <w:rPr>
                <w:rFonts w:ascii="Times New Roman" w:eastAsia="Times New Roman" w:hAnsi="Times New Roman" w:cs="Times New Roman"/>
                <w:color w:val="000000"/>
                <w:sz w:val="18"/>
                <w:szCs w:val="18"/>
                <w:lang w:eastAsia="en-AU"/>
              </w:rPr>
              <w:br/>
              <w:t>ICER: -13.9</w:t>
            </w:r>
          </w:p>
          <w:p w14:paraId="54E925AF"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p>
          <w:p w14:paraId="0F579C18"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Cost-effective = Yes</w:t>
            </w:r>
          </w:p>
        </w:tc>
        <w:tc>
          <w:tcPr>
            <w:tcW w:w="1134" w:type="dxa"/>
            <w:vMerge w:val="restart"/>
            <w:vAlign w:val="center"/>
          </w:tcPr>
          <w:p w14:paraId="2F0BFF50"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Good</w:t>
            </w:r>
          </w:p>
        </w:tc>
      </w:tr>
      <w:tr w:rsidR="008461EA" w:rsidRPr="00800A49" w14:paraId="68828624" w14:textId="77777777" w:rsidTr="00720BDC">
        <w:trPr>
          <w:trHeight w:val="300"/>
        </w:trPr>
        <w:tc>
          <w:tcPr>
            <w:tcW w:w="1128" w:type="dxa"/>
            <w:vMerge/>
            <w:shd w:val="clear" w:color="auto" w:fill="auto"/>
            <w:noWrap/>
          </w:tcPr>
          <w:p w14:paraId="2FE6A1BF"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p>
        </w:tc>
        <w:tc>
          <w:tcPr>
            <w:tcW w:w="283" w:type="dxa"/>
            <w:vAlign w:val="center"/>
          </w:tcPr>
          <w:p w14:paraId="3DD7E7D7"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C</w:t>
            </w:r>
          </w:p>
        </w:tc>
        <w:tc>
          <w:tcPr>
            <w:tcW w:w="709" w:type="dxa"/>
            <w:vAlign w:val="center"/>
          </w:tcPr>
          <w:p w14:paraId="1EE5F993"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N/A</w:t>
            </w:r>
          </w:p>
        </w:tc>
        <w:tc>
          <w:tcPr>
            <w:tcW w:w="2409" w:type="dxa"/>
            <w:shd w:val="clear" w:color="auto" w:fill="auto"/>
            <w:noWrap/>
            <w:vAlign w:val="center"/>
          </w:tcPr>
          <w:p w14:paraId="77A44767"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Standard care</w:t>
            </w:r>
          </w:p>
        </w:tc>
        <w:tc>
          <w:tcPr>
            <w:tcW w:w="1105" w:type="dxa"/>
            <w:vMerge/>
            <w:vAlign w:val="center"/>
          </w:tcPr>
          <w:p w14:paraId="745433CD"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851" w:type="dxa"/>
            <w:vMerge/>
            <w:vAlign w:val="center"/>
          </w:tcPr>
          <w:p w14:paraId="5D542333"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851" w:type="dxa"/>
            <w:vMerge/>
            <w:shd w:val="clear" w:color="auto" w:fill="auto"/>
            <w:noWrap/>
            <w:vAlign w:val="center"/>
          </w:tcPr>
          <w:p w14:paraId="7FD752BC"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1190" w:type="dxa"/>
            <w:vMerge/>
            <w:vAlign w:val="center"/>
          </w:tcPr>
          <w:p w14:paraId="028DF621"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2760" w:type="dxa"/>
            <w:vMerge/>
            <w:shd w:val="clear" w:color="auto" w:fill="auto"/>
            <w:noWrap/>
          </w:tcPr>
          <w:p w14:paraId="1B27FEF9"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p>
        </w:tc>
        <w:tc>
          <w:tcPr>
            <w:tcW w:w="1190" w:type="dxa"/>
            <w:gridSpan w:val="2"/>
            <w:vMerge/>
            <w:shd w:val="clear" w:color="auto" w:fill="auto"/>
            <w:noWrap/>
            <w:vAlign w:val="center"/>
          </w:tcPr>
          <w:p w14:paraId="686D45A9"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1978" w:type="dxa"/>
            <w:vMerge/>
            <w:shd w:val="clear" w:color="auto" w:fill="auto"/>
            <w:noWrap/>
          </w:tcPr>
          <w:p w14:paraId="431665DF"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p>
        </w:tc>
        <w:tc>
          <w:tcPr>
            <w:tcW w:w="1134" w:type="dxa"/>
            <w:vMerge/>
            <w:vAlign w:val="center"/>
          </w:tcPr>
          <w:p w14:paraId="4D4EF10E"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r>
      <w:tr w:rsidR="008461EA" w:rsidRPr="00800A49" w14:paraId="39BD016E" w14:textId="77777777" w:rsidTr="00720BDC">
        <w:trPr>
          <w:trHeight w:val="677"/>
        </w:trPr>
        <w:tc>
          <w:tcPr>
            <w:tcW w:w="1128" w:type="dxa"/>
            <w:vMerge w:val="restart"/>
            <w:shd w:val="clear" w:color="auto" w:fill="auto"/>
            <w:noWrap/>
            <w:hideMark/>
          </w:tcPr>
          <w:p w14:paraId="72610E08"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Sowa et al., 2018</w:t>
            </w:r>
          </w:p>
        </w:tc>
        <w:tc>
          <w:tcPr>
            <w:tcW w:w="283" w:type="dxa"/>
            <w:vAlign w:val="center"/>
          </w:tcPr>
          <w:p w14:paraId="10644BE2"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C</w:t>
            </w:r>
          </w:p>
        </w:tc>
        <w:tc>
          <w:tcPr>
            <w:tcW w:w="709" w:type="dxa"/>
            <w:vAlign w:val="center"/>
          </w:tcPr>
          <w:p w14:paraId="72BFE40E"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Uni.</w:t>
            </w:r>
          </w:p>
        </w:tc>
        <w:tc>
          <w:tcPr>
            <w:tcW w:w="2409" w:type="dxa"/>
            <w:shd w:val="clear" w:color="auto" w:fill="auto"/>
            <w:noWrap/>
            <w:vAlign w:val="center"/>
            <w:hideMark/>
          </w:tcPr>
          <w:p w14:paraId="469CEDD0"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20% sugar-sweetened beverages tax</w:t>
            </w:r>
          </w:p>
        </w:tc>
        <w:tc>
          <w:tcPr>
            <w:tcW w:w="1105" w:type="dxa"/>
            <w:vMerge w:val="restart"/>
            <w:vAlign w:val="center"/>
          </w:tcPr>
          <w:p w14:paraId="0D5C20CD"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Healthcare</w:t>
            </w:r>
          </w:p>
        </w:tc>
        <w:tc>
          <w:tcPr>
            <w:tcW w:w="851" w:type="dxa"/>
            <w:vMerge w:val="restart"/>
            <w:vAlign w:val="center"/>
          </w:tcPr>
          <w:p w14:paraId="226322F4"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10 years</w:t>
            </w:r>
          </w:p>
        </w:tc>
        <w:tc>
          <w:tcPr>
            <w:tcW w:w="851" w:type="dxa"/>
            <w:vMerge w:val="restart"/>
            <w:shd w:val="clear" w:color="auto" w:fill="auto"/>
            <w:noWrap/>
            <w:vAlign w:val="center"/>
            <w:hideMark/>
          </w:tcPr>
          <w:p w14:paraId="5040B33F"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&gt;18</w:t>
            </w:r>
          </w:p>
        </w:tc>
        <w:tc>
          <w:tcPr>
            <w:tcW w:w="1190" w:type="dxa"/>
            <w:vMerge w:val="restart"/>
            <w:vAlign w:val="center"/>
          </w:tcPr>
          <w:p w14:paraId="5D295219"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18.7 million</w:t>
            </w:r>
          </w:p>
        </w:tc>
        <w:tc>
          <w:tcPr>
            <w:tcW w:w="2760" w:type="dxa"/>
            <w:vMerge w:val="restart"/>
            <w:shd w:val="clear" w:color="auto" w:fill="auto"/>
            <w:noWrap/>
            <w:hideMark/>
          </w:tcPr>
          <w:p w14:paraId="153F7D99"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Dental treatment costs (restorations)</w:t>
            </w:r>
          </w:p>
        </w:tc>
        <w:tc>
          <w:tcPr>
            <w:tcW w:w="1190" w:type="dxa"/>
            <w:gridSpan w:val="2"/>
            <w:vMerge w:val="restart"/>
            <w:shd w:val="clear" w:color="auto" w:fill="auto"/>
            <w:noWrap/>
            <w:vAlign w:val="center"/>
            <w:hideMark/>
          </w:tcPr>
          <w:p w14:paraId="3FC21B5E"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5%</w:t>
            </w:r>
          </w:p>
        </w:tc>
        <w:tc>
          <w:tcPr>
            <w:tcW w:w="1978" w:type="dxa"/>
            <w:vMerge w:val="restart"/>
            <w:shd w:val="clear" w:color="auto" w:fill="auto"/>
            <w:noWrap/>
            <w:hideMark/>
          </w:tcPr>
          <w:p w14:paraId="14A0B540"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Net benefits/costs:</w:t>
            </w:r>
          </w:p>
          <w:p w14:paraId="74561264"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 xml:space="preserve">1) -AU$666 million, or </w:t>
            </w:r>
            <w:r w:rsidRPr="00800A49">
              <w:rPr>
                <w:rFonts w:ascii="Times New Roman" w:eastAsia="Times New Roman" w:hAnsi="Times New Roman" w:cs="Times New Roman"/>
                <w:color w:val="000000"/>
                <w:sz w:val="18"/>
                <w:szCs w:val="18"/>
                <w:lang w:eastAsia="en-AU"/>
              </w:rPr>
              <w:br/>
              <w:t>2) -AU$35.61 per person</w:t>
            </w:r>
          </w:p>
          <w:p w14:paraId="250C84BC"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p>
          <w:p w14:paraId="6C4CE441"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Cost-saving = Yes</w:t>
            </w:r>
          </w:p>
        </w:tc>
        <w:tc>
          <w:tcPr>
            <w:tcW w:w="1134" w:type="dxa"/>
            <w:vMerge w:val="restart"/>
            <w:vAlign w:val="center"/>
          </w:tcPr>
          <w:p w14:paraId="5CDD8826"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Good</w:t>
            </w:r>
          </w:p>
        </w:tc>
      </w:tr>
      <w:tr w:rsidR="008461EA" w:rsidRPr="00800A49" w14:paraId="1AE39C16" w14:textId="77777777" w:rsidTr="00720BDC">
        <w:trPr>
          <w:trHeight w:val="300"/>
        </w:trPr>
        <w:tc>
          <w:tcPr>
            <w:tcW w:w="1128" w:type="dxa"/>
            <w:vMerge/>
            <w:shd w:val="clear" w:color="auto" w:fill="auto"/>
            <w:noWrap/>
          </w:tcPr>
          <w:p w14:paraId="22ECBAD2"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p>
        </w:tc>
        <w:tc>
          <w:tcPr>
            <w:tcW w:w="283" w:type="dxa"/>
            <w:vAlign w:val="center"/>
          </w:tcPr>
          <w:p w14:paraId="6EC7C64E"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I</w:t>
            </w:r>
          </w:p>
        </w:tc>
        <w:tc>
          <w:tcPr>
            <w:tcW w:w="709" w:type="dxa"/>
            <w:vAlign w:val="center"/>
          </w:tcPr>
          <w:p w14:paraId="010F8B23"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N/A</w:t>
            </w:r>
          </w:p>
        </w:tc>
        <w:tc>
          <w:tcPr>
            <w:tcW w:w="2409" w:type="dxa"/>
            <w:shd w:val="clear" w:color="auto" w:fill="auto"/>
            <w:noWrap/>
            <w:vAlign w:val="center"/>
          </w:tcPr>
          <w:p w14:paraId="4C59674D"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No intervention</w:t>
            </w:r>
          </w:p>
        </w:tc>
        <w:tc>
          <w:tcPr>
            <w:tcW w:w="1105" w:type="dxa"/>
            <w:vMerge/>
            <w:vAlign w:val="center"/>
          </w:tcPr>
          <w:p w14:paraId="1CDCC78C"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851" w:type="dxa"/>
            <w:vMerge/>
            <w:vAlign w:val="center"/>
          </w:tcPr>
          <w:p w14:paraId="5CE00B3E"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851" w:type="dxa"/>
            <w:vMerge/>
            <w:shd w:val="clear" w:color="auto" w:fill="auto"/>
            <w:noWrap/>
            <w:vAlign w:val="center"/>
          </w:tcPr>
          <w:p w14:paraId="1A1C2B02"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1190" w:type="dxa"/>
            <w:vMerge/>
            <w:vAlign w:val="center"/>
          </w:tcPr>
          <w:p w14:paraId="45AAAB44"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2760" w:type="dxa"/>
            <w:vMerge/>
            <w:shd w:val="clear" w:color="auto" w:fill="auto"/>
            <w:noWrap/>
          </w:tcPr>
          <w:p w14:paraId="3F792ABE"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p>
        </w:tc>
        <w:tc>
          <w:tcPr>
            <w:tcW w:w="1190" w:type="dxa"/>
            <w:gridSpan w:val="2"/>
            <w:vMerge/>
            <w:shd w:val="clear" w:color="auto" w:fill="auto"/>
            <w:noWrap/>
            <w:vAlign w:val="center"/>
          </w:tcPr>
          <w:p w14:paraId="2669891A"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1978" w:type="dxa"/>
            <w:vMerge/>
            <w:shd w:val="clear" w:color="auto" w:fill="auto"/>
            <w:noWrap/>
          </w:tcPr>
          <w:p w14:paraId="39BD6843"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p>
        </w:tc>
        <w:tc>
          <w:tcPr>
            <w:tcW w:w="1134" w:type="dxa"/>
            <w:vMerge/>
            <w:vAlign w:val="center"/>
          </w:tcPr>
          <w:p w14:paraId="3255A68F"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r>
      <w:tr w:rsidR="008461EA" w:rsidRPr="00800A49" w14:paraId="45AC4F4B" w14:textId="77777777" w:rsidTr="00720BDC">
        <w:trPr>
          <w:trHeight w:val="300"/>
        </w:trPr>
        <w:tc>
          <w:tcPr>
            <w:tcW w:w="1128" w:type="dxa"/>
            <w:vMerge w:val="restart"/>
            <w:shd w:val="clear" w:color="auto" w:fill="auto"/>
            <w:noWrap/>
            <w:hideMark/>
          </w:tcPr>
          <w:p w14:paraId="28E7AD31"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Stearns et al., 2012</w:t>
            </w:r>
          </w:p>
        </w:tc>
        <w:tc>
          <w:tcPr>
            <w:tcW w:w="283" w:type="dxa"/>
            <w:vAlign w:val="center"/>
          </w:tcPr>
          <w:p w14:paraId="5AEC094A"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I</w:t>
            </w:r>
          </w:p>
        </w:tc>
        <w:tc>
          <w:tcPr>
            <w:tcW w:w="709" w:type="dxa"/>
            <w:vAlign w:val="center"/>
          </w:tcPr>
          <w:p w14:paraId="2C2D4994"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Sel.</w:t>
            </w:r>
          </w:p>
        </w:tc>
        <w:tc>
          <w:tcPr>
            <w:tcW w:w="2409" w:type="dxa"/>
            <w:shd w:val="clear" w:color="auto" w:fill="auto"/>
            <w:noWrap/>
            <w:vAlign w:val="center"/>
            <w:hideMark/>
          </w:tcPr>
          <w:p w14:paraId="606C899B"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Targeted dental screening and fluoride varnish applied by primary care providers</w:t>
            </w:r>
          </w:p>
        </w:tc>
        <w:tc>
          <w:tcPr>
            <w:tcW w:w="1105" w:type="dxa"/>
            <w:vMerge w:val="restart"/>
            <w:vAlign w:val="center"/>
          </w:tcPr>
          <w:p w14:paraId="3EE7ED27"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Healthcare</w:t>
            </w:r>
          </w:p>
        </w:tc>
        <w:tc>
          <w:tcPr>
            <w:tcW w:w="851" w:type="dxa"/>
            <w:vMerge w:val="restart"/>
            <w:vAlign w:val="center"/>
          </w:tcPr>
          <w:p w14:paraId="6281D5F2"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5.5 years</w:t>
            </w:r>
          </w:p>
        </w:tc>
        <w:tc>
          <w:tcPr>
            <w:tcW w:w="851" w:type="dxa"/>
            <w:vMerge w:val="restart"/>
            <w:shd w:val="clear" w:color="auto" w:fill="auto"/>
            <w:noWrap/>
            <w:vAlign w:val="center"/>
            <w:hideMark/>
          </w:tcPr>
          <w:p w14:paraId="29F98A85"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&lt;1</w:t>
            </w:r>
          </w:p>
        </w:tc>
        <w:tc>
          <w:tcPr>
            <w:tcW w:w="1190" w:type="dxa"/>
            <w:vAlign w:val="center"/>
          </w:tcPr>
          <w:p w14:paraId="6543CF7B"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12,984</w:t>
            </w:r>
          </w:p>
        </w:tc>
        <w:tc>
          <w:tcPr>
            <w:tcW w:w="2760" w:type="dxa"/>
            <w:vMerge w:val="restart"/>
            <w:shd w:val="clear" w:color="auto" w:fill="auto"/>
            <w:noWrap/>
            <w:hideMark/>
          </w:tcPr>
          <w:p w14:paraId="757B803D"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Intervention costs (macro-costing)</w:t>
            </w:r>
          </w:p>
          <w:p w14:paraId="1DF3AD35"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br/>
              <w:t>Dental treatment costs (preventive services, caries-related treatments, treatment under general anaesthesia)</w:t>
            </w:r>
          </w:p>
        </w:tc>
        <w:tc>
          <w:tcPr>
            <w:tcW w:w="634" w:type="dxa"/>
            <w:vMerge w:val="restart"/>
            <w:shd w:val="clear" w:color="auto" w:fill="auto"/>
            <w:noWrap/>
            <w:vAlign w:val="center"/>
            <w:hideMark/>
          </w:tcPr>
          <w:p w14:paraId="28488646"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3%</w:t>
            </w:r>
          </w:p>
        </w:tc>
        <w:tc>
          <w:tcPr>
            <w:tcW w:w="556" w:type="dxa"/>
            <w:vMerge w:val="restart"/>
            <w:vAlign w:val="center"/>
          </w:tcPr>
          <w:p w14:paraId="0153F1DE"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N/R</w:t>
            </w:r>
          </w:p>
        </w:tc>
        <w:tc>
          <w:tcPr>
            <w:tcW w:w="1978" w:type="dxa"/>
            <w:vMerge w:val="restart"/>
            <w:shd w:val="clear" w:color="auto" w:fill="auto"/>
            <w:noWrap/>
            <w:hideMark/>
          </w:tcPr>
          <w:p w14:paraId="0C727B3D"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Net benefits/costs: -US$231</w:t>
            </w:r>
          </w:p>
          <w:p w14:paraId="1EEE7F5F"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p>
          <w:p w14:paraId="3E9924EF"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Cost-saving = Yes</w:t>
            </w:r>
          </w:p>
        </w:tc>
        <w:tc>
          <w:tcPr>
            <w:tcW w:w="1134" w:type="dxa"/>
            <w:vMerge w:val="restart"/>
            <w:vAlign w:val="center"/>
          </w:tcPr>
          <w:p w14:paraId="142AB69D"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Good</w:t>
            </w:r>
          </w:p>
        </w:tc>
      </w:tr>
      <w:tr w:rsidR="008461EA" w:rsidRPr="00800A49" w14:paraId="628A6536" w14:textId="77777777" w:rsidTr="00720BDC">
        <w:trPr>
          <w:trHeight w:val="300"/>
        </w:trPr>
        <w:tc>
          <w:tcPr>
            <w:tcW w:w="1128" w:type="dxa"/>
            <w:vMerge/>
            <w:shd w:val="clear" w:color="auto" w:fill="auto"/>
            <w:noWrap/>
          </w:tcPr>
          <w:p w14:paraId="7E6ADB2A"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p>
        </w:tc>
        <w:tc>
          <w:tcPr>
            <w:tcW w:w="283" w:type="dxa"/>
            <w:vAlign w:val="center"/>
          </w:tcPr>
          <w:p w14:paraId="6466E22D"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C</w:t>
            </w:r>
          </w:p>
        </w:tc>
        <w:tc>
          <w:tcPr>
            <w:tcW w:w="709" w:type="dxa"/>
            <w:vAlign w:val="center"/>
          </w:tcPr>
          <w:p w14:paraId="59FFC55E"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N/A</w:t>
            </w:r>
          </w:p>
        </w:tc>
        <w:tc>
          <w:tcPr>
            <w:tcW w:w="2409" w:type="dxa"/>
            <w:shd w:val="clear" w:color="auto" w:fill="auto"/>
            <w:noWrap/>
            <w:vAlign w:val="center"/>
          </w:tcPr>
          <w:p w14:paraId="44438C01"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No intervention</w:t>
            </w:r>
          </w:p>
        </w:tc>
        <w:tc>
          <w:tcPr>
            <w:tcW w:w="1105" w:type="dxa"/>
            <w:vMerge/>
            <w:vAlign w:val="center"/>
          </w:tcPr>
          <w:p w14:paraId="6E5EC892"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851" w:type="dxa"/>
            <w:vMerge/>
            <w:vAlign w:val="center"/>
          </w:tcPr>
          <w:p w14:paraId="45416A72"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851" w:type="dxa"/>
            <w:vMerge/>
            <w:shd w:val="clear" w:color="auto" w:fill="auto"/>
            <w:noWrap/>
            <w:vAlign w:val="center"/>
          </w:tcPr>
          <w:p w14:paraId="799D7658"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1190" w:type="dxa"/>
            <w:vAlign w:val="center"/>
          </w:tcPr>
          <w:p w14:paraId="28D2137E"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19,6301</w:t>
            </w:r>
          </w:p>
        </w:tc>
        <w:tc>
          <w:tcPr>
            <w:tcW w:w="2760" w:type="dxa"/>
            <w:vMerge/>
            <w:shd w:val="clear" w:color="auto" w:fill="auto"/>
            <w:noWrap/>
          </w:tcPr>
          <w:p w14:paraId="1E4296A0"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p>
        </w:tc>
        <w:tc>
          <w:tcPr>
            <w:tcW w:w="634" w:type="dxa"/>
            <w:vMerge/>
            <w:shd w:val="clear" w:color="auto" w:fill="auto"/>
            <w:noWrap/>
            <w:vAlign w:val="center"/>
          </w:tcPr>
          <w:p w14:paraId="7B994765"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556" w:type="dxa"/>
            <w:vMerge/>
            <w:vAlign w:val="center"/>
          </w:tcPr>
          <w:p w14:paraId="4254F4A3"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1978" w:type="dxa"/>
            <w:vMerge/>
            <w:shd w:val="clear" w:color="auto" w:fill="auto"/>
            <w:noWrap/>
          </w:tcPr>
          <w:p w14:paraId="5039F04C"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p>
        </w:tc>
        <w:tc>
          <w:tcPr>
            <w:tcW w:w="1134" w:type="dxa"/>
            <w:vMerge/>
            <w:vAlign w:val="center"/>
          </w:tcPr>
          <w:p w14:paraId="59C480B4"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r>
      <w:tr w:rsidR="008461EA" w:rsidRPr="00800A49" w14:paraId="4D3384A8" w14:textId="77777777" w:rsidTr="00720BDC">
        <w:trPr>
          <w:trHeight w:val="300"/>
        </w:trPr>
        <w:tc>
          <w:tcPr>
            <w:tcW w:w="1128" w:type="dxa"/>
            <w:vMerge w:val="restart"/>
            <w:shd w:val="clear" w:color="auto" w:fill="auto"/>
            <w:noWrap/>
            <w:hideMark/>
          </w:tcPr>
          <w:p w14:paraId="7259B111"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Tickle et al., 2016</w:t>
            </w:r>
          </w:p>
        </w:tc>
        <w:tc>
          <w:tcPr>
            <w:tcW w:w="283" w:type="dxa"/>
            <w:vAlign w:val="center"/>
          </w:tcPr>
          <w:p w14:paraId="75EABAF4"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I</w:t>
            </w:r>
          </w:p>
        </w:tc>
        <w:tc>
          <w:tcPr>
            <w:tcW w:w="709" w:type="dxa"/>
            <w:vAlign w:val="center"/>
          </w:tcPr>
          <w:p w14:paraId="4913247E"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Ind.</w:t>
            </w:r>
          </w:p>
        </w:tc>
        <w:tc>
          <w:tcPr>
            <w:tcW w:w="2409" w:type="dxa"/>
            <w:shd w:val="clear" w:color="auto" w:fill="auto"/>
            <w:noWrap/>
            <w:vAlign w:val="center"/>
            <w:hideMark/>
          </w:tcPr>
          <w:p w14:paraId="7E6BC75E"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6-monthly fluoride varnish, provision of fluoride toothpaste, and standard care with oral health education</w:t>
            </w:r>
          </w:p>
        </w:tc>
        <w:tc>
          <w:tcPr>
            <w:tcW w:w="1105" w:type="dxa"/>
            <w:vMerge w:val="restart"/>
            <w:vAlign w:val="center"/>
          </w:tcPr>
          <w:p w14:paraId="07CC59F0"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Healthcare</w:t>
            </w:r>
          </w:p>
          <w:p w14:paraId="45A2F82C"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and</w:t>
            </w:r>
          </w:p>
          <w:p w14:paraId="18177B5D"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Societal</w:t>
            </w:r>
          </w:p>
        </w:tc>
        <w:tc>
          <w:tcPr>
            <w:tcW w:w="851" w:type="dxa"/>
            <w:vMerge w:val="restart"/>
            <w:vAlign w:val="center"/>
          </w:tcPr>
          <w:p w14:paraId="57E46E48"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3 years</w:t>
            </w:r>
          </w:p>
        </w:tc>
        <w:tc>
          <w:tcPr>
            <w:tcW w:w="851" w:type="dxa"/>
            <w:vMerge w:val="restart"/>
            <w:shd w:val="clear" w:color="auto" w:fill="auto"/>
            <w:noWrap/>
            <w:vAlign w:val="center"/>
            <w:hideMark/>
          </w:tcPr>
          <w:p w14:paraId="7167B5A4"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2-3</w:t>
            </w:r>
          </w:p>
        </w:tc>
        <w:tc>
          <w:tcPr>
            <w:tcW w:w="1190" w:type="dxa"/>
            <w:vAlign w:val="center"/>
          </w:tcPr>
          <w:p w14:paraId="32B04D97"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549</w:t>
            </w:r>
          </w:p>
        </w:tc>
        <w:tc>
          <w:tcPr>
            <w:tcW w:w="2760" w:type="dxa"/>
            <w:vMerge w:val="restart"/>
            <w:shd w:val="clear" w:color="auto" w:fill="auto"/>
            <w:noWrap/>
            <w:hideMark/>
          </w:tcPr>
          <w:p w14:paraId="309D5AD2"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Intervention costs (micro-costing)</w:t>
            </w:r>
          </w:p>
          <w:p w14:paraId="1FB1F046"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br/>
              <w:t>Dental treatment costs (check-up, pulpotomies, extraction etc.)</w:t>
            </w:r>
          </w:p>
          <w:p w14:paraId="085B79EF"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br/>
              <w:t>Opportunity costs lost (travel and dental treatment time)</w:t>
            </w:r>
          </w:p>
          <w:p w14:paraId="38618AC2"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br/>
              <w:t>Medical and hospital visits</w:t>
            </w:r>
            <w:r w:rsidRPr="00800A49">
              <w:rPr>
                <w:rFonts w:ascii="Times New Roman" w:eastAsia="Times New Roman" w:hAnsi="Times New Roman" w:cs="Times New Roman"/>
                <w:color w:val="000000"/>
                <w:sz w:val="18"/>
                <w:szCs w:val="18"/>
                <w:lang w:eastAsia="en-AU"/>
              </w:rPr>
              <w:br/>
              <w:t>Travel costs</w:t>
            </w:r>
          </w:p>
        </w:tc>
        <w:tc>
          <w:tcPr>
            <w:tcW w:w="1190" w:type="dxa"/>
            <w:gridSpan w:val="2"/>
            <w:vMerge w:val="restart"/>
            <w:shd w:val="clear" w:color="auto" w:fill="auto"/>
            <w:noWrap/>
            <w:vAlign w:val="center"/>
            <w:hideMark/>
          </w:tcPr>
          <w:p w14:paraId="11151284"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0%</w:t>
            </w:r>
          </w:p>
        </w:tc>
        <w:tc>
          <w:tcPr>
            <w:tcW w:w="1978" w:type="dxa"/>
            <w:vMerge w:val="restart"/>
            <w:shd w:val="clear" w:color="auto" w:fill="auto"/>
            <w:noWrap/>
            <w:hideMark/>
          </w:tcPr>
          <w:p w14:paraId="707403DA"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Costs (£) per caries-free person; costs per decayed surface averted; costs per episode of pain averted</w:t>
            </w:r>
          </w:p>
          <w:p w14:paraId="2DC4C15A"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1) Societal perspective</w:t>
            </w:r>
            <w:r w:rsidRPr="00800A49">
              <w:rPr>
                <w:rFonts w:ascii="Times New Roman" w:eastAsia="Times New Roman" w:hAnsi="Times New Roman" w:cs="Times New Roman"/>
                <w:color w:val="000000"/>
                <w:sz w:val="18"/>
                <w:szCs w:val="18"/>
                <w:lang w:eastAsia="en-AU"/>
              </w:rPr>
              <w:br/>
              <w:t>ICER: -2,070.51</w:t>
            </w:r>
          </w:p>
          <w:p w14:paraId="703A569C"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(-29477.20; 27876.60</w:t>
            </w:r>
            <w:proofErr w:type="gramStart"/>
            <w:r w:rsidRPr="00800A49">
              <w:rPr>
                <w:rFonts w:ascii="Times New Roman" w:eastAsia="Times New Roman" w:hAnsi="Times New Roman" w:cs="Times New Roman"/>
                <w:color w:val="000000"/>
                <w:sz w:val="18"/>
                <w:szCs w:val="18"/>
                <w:lang w:eastAsia="en-AU"/>
              </w:rPr>
              <w:t>);</w:t>
            </w:r>
            <w:proofErr w:type="gramEnd"/>
          </w:p>
          <w:p w14:paraId="0919925D"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-248.80 (-456.69; -78.70</w:t>
            </w:r>
            <w:proofErr w:type="gramStart"/>
            <w:r w:rsidRPr="00800A49">
              <w:rPr>
                <w:rFonts w:ascii="Times New Roman" w:eastAsia="Times New Roman" w:hAnsi="Times New Roman" w:cs="Times New Roman"/>
                <w:color w:val="000000"/>
                <w:sz w:val="18"/>
                <w:szCs w:val="18"/>
                <w:lang w:eastAsia="en-AU"/>
              </w:rPr>
              <w:t>);</w:t>
            </w:r>
            <w:proofErr w:type="gramEnd"/>
          </w:p>
          <w:p w14:paraId="3510BEA5"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-263.96 (-14529.80; 14560.70)</w:t>
            </w:r>
            <w:r w:rsidRPr="00800A49">
              <w:rPr>
                <w:rFonts w:ascii="Times New Roman" w:eastAsia="Times New Roman" w:hAnsi="Times New Roman" w:cs="Times New Roman"/>
                <w:color w:val="000000"/>
                <w:sz w:val="18"/>
                <w:szCs w:val="18"/>
                <w:lang w:eastAsia="en-AU"/>
              </w:rPr>
              <w:br/>
              <w:t>2) Healthcare perspective</w:t>
            </w:r>
          </w:p>
          <w:p w14:paraId="5E6E9702"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ICER: -2,092.59</w:t>
            </w:r>
          </w:p>
          <w:p w14:paraId="53A4041D"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(-30100.40; 27921.80</w:t>
            </w:r>
            <w:proofErr w:type="gramStart"/>
            <w:r w:rsidRPr="00800A49">
              <w:rPr>
                <w:rFonts w:ascii="Times New Roman" w:eastAsia="Times New Roman" w:hAnsi="Times New Roman" w:cs="Times New Roman"/>
                <w:color w:val="000000"/>
                <w:sz w:val="18"/>
                <w:szCs w:val="18"/>
                <w:lang w:eastAsia="en-AU"/>
              </w:rPr>
              <w:t>);</w:t>
            </w:r>
            <w:proofErr w:type="gramEnd"/>
          </w:p>
          <w:p w14:paraId="563EA4F3"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-250.58 (-454.39; -79.52</w:t>
            </w:r>
            <w:proofErr w:type="gramStart"/>
            <w:r w:rsidRPr="00800A49">
              <w:rPr>
                <w:rFonts w:ascii="Times New Roman" w:eastAsia="Times New Roman" w:hAnsi="Times New Roman" w:cs="Times New Roman"/>
                <w:color w:val="000000"/>
                <w:sz w:val="18"/>
                <w:szCs w:val="18"/>
                <w:lang w:eastAsia="en-AU"/>
              </w:rPr>
              <w:t>);</w:t>
            </w:r>
            <w:proofErr w:type="gramEnd"/>
          </w:p>
          <w:p w14:paraId="3C4AE501"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-259.07 (-14664.00; 14941.60)</w:t>
            </w:r>
          </w:p>
          <w:p w14:paraId="20403254"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p>
          <w:p w14:paraId="59D7879F"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Cost-effective = N/S</w:t>
            </w:r>
          </w:p>
        </w:tc>
        <w:tc>
          <w:tcPr>
            <w:tcW w:w="1134" w:type="dxa"/>
            <w:vMerge w:val="restart"/>
            <w:vAlign w:val="center"/>
          </w:tcPr>
          <w:p w14:paraId="3C7AC710"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Good</w:t>
            </w:r>
          </w:p>
        </w:tc>
      </w:tr>
      <w:tr w:rsidR="008461EA" w:rsidRPr="00800A49" w14:paraId="0B28CC38" w14:textId="77777777" w:rsidTr="00720BDC">
        <w:trPr>
          <w:trHeight w:val="300"/>
        </w:trPr>
        <w:tc>
          <w:tcPr>
            <w:tcW w:w="1128" w:type="dxa"/>
            <w:vMerge/>
            <w:shd w:val="clear" w:color="auto" w:fill="auto"/>
            <w:noWrap/>
          </w:tcPr>
          <w:p w14:paraId="4C7504AF"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p>
        </w:tc>
        <w:tc>
          <w:tcPr>
            <w:tcW w:w="283" w:type="dxa"/>
            <w:vAlign w:val="center"/>
          </w:tcPr>
          <w:p w14:paraId="40419DBE"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C</w:t>
            </w:r>
          </w:p>
        </w:tc>
        <w:tc>
          <w:tcPr>
            <w:tcW w:w="709" w:type="dxa"/>
            <w:vAlign w:val="center"/>
          </w:tcPr>
          <w:p w14:paraId="304D58A4"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Ind.</w:t>
            </w:r>
          </w:p>
        </w:tc>
        <w:tc>
          <w:tcPr>
            <w:tcW w:w="2409" w:type="dxa"/>
            <w:shd w:val="clear" w:color="auto" w:fill="auto"/>
            <w:noWrap/>
            <w:vAlign w:val="center"/>
          </w:tcPr>
          <w:p w14:paraId="224E6485"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6-monthly standard care with oral health education</w:t>
            </w:r>
          </w:p>
        </w:tc>
        <w:tc>
          <w:tcPr>
            <w:tcW w:w="1105" w:type="dxa"/>
            <w:vMerge/>
            <w:vAlign w:val="center"/>
          </w:tcPr>
          <w:p w14:paraId="34730D19"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851" w:type="dxa"/>
            <w:vMerge/>
            <w:vAlign w:val="center"/>
          </w:tcPr>
          <w:p w14:paraId="3CCA3633"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851" w:type="dxa"/>
            <w:vMerge/>
            <w:shd w:val="clear" w:color="auto" w:fill="auto"/>
            <w:noWrap/>
            <w:vAlign w:val="center"/>
          </w:tcPr>
          <w:p w14:paraId="348E0C42"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1190" w:type="dxa"/>
            <w:vAlign w:val="center"/>
          </w:tcPr>
          <w:p w14:paraId="48790FA0"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547</w:t>
            </w:r>
          </w:p>
        </w:tc>
        <w:tc>
          <w:tcPr>
            <w:tcW w:w="2760" w:type="dxa"/>
            <w:vMerge/>
            <w:shd w:val="clear" w:color="auto" w:fill="auto"/>
            <w:noWrap/>
          </w:tcPr>
          <w:p w14:paraId="67594A2F"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p>
        </w:tc>
        <w:tc>
          <w:tcPr>
            <w:tcW w:w="1190" w:type="dxa"/>
            <w:gridSpan w:val="2"/>
            <w:vMerge/>
            <w:shd w:val="clear" w:color="auto" w:fill="auto"/>
            <w:noWrap/>
            <w:vAlign w:val="center"/>
          </w:tcPr>
          <w:p w14:paraId="677FDDD7"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1978" w:type="dxa"/>
            <w:vMerge/>
            <w:shd w:val="clear" w:color="auto" w:fill="auto"/>
            <w:noWrap/>
          </w:tcPr>
          <w:p w14:paraId="2F6E691B"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p>
        </w:tc>
        <w:tc>
          <w:tcPr>
            <w:tcW w:w="1134" w:type="dxa"/>
            <w:vMerge/>
            <w:vAlign w:val="center"/>
          </w:tcPr>
          <w:p w14:paraId="39C30F25"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r>
      <w:tr w:rsidR="008461EA" w:rsidRPr="00800A49" w14:paraId="0409C97F" w14:textId="77777777" w:rsidTr="00720BDC">
        <w:trPr>
          <w:trHeight w:val="300"/>
        </w:trPr>
        <w:tc>
          <w:tcPr>
            <w:tcW w:w="1128" w:type="dxa"/>
            <w:vMerge w:val="restart"/>
            <w:shd w:val="clear" w:color="auto" w:fill="auto"/>
            <w:noWrap/>
            <w:hideMark/>
          </w:tcPr>
          <w:p w14:paraId="372F48A7"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lastRenderedPageBreak/>
              <w:t xml:space="preserve">van </w:t>
            </w:r>
            <w:proofErr w:type="spellStart"/>
            <w:r w:rsidRPr="00800A49">
              <w:rPr>
                <w:rFonts w:ascii="Times New Roman" w:eastAsia="Times New Roman" w:hAnsi="Times New Roman" w:cs="Times New Roman"/>
                <w:color w:val="000000"/>
                <w:sz w:val="18"/>
                <w:szCs w:val="18"/>
                <w:lang w:eastAsia="en-AU"/>
              </w:rPr>
              <w:t>Wyk</w:t>
            </w:r>
            <w:proofErr w:type="spellEnd"/>
            <w:r w:rsidRPr="00800A49">
              <w:rPr>
                <w:rFonts w:ascii="Times New Roman" w:eastAsia="Times New Roman" w:hAnsi="Times New Roman" w:cs="Times New Roman"/>
                <w:color w:val="000000"/>
                <w:sz w:val="18"/>
                <w:szCs w:val="18"/>
                <w:lang w:eastAsia="en-AU"/>
              </w:rPr>
              <w:t xml:space="preserve"> et al., 2001</w:t>
            </w:r>
          </w:p>
        </w:tc>
        <w:tc>
          <w:tcPr>
            <w:tcW w:w="283" w:type="dxa"/>
            <w:vAlign w:val="center"/>
          </w:tcPr>
          <w:p w14:paraId="2C02ED03"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I</w:t>
            </w:r>
          </w:p>
        </w:tc>
        <w:tc>
          <w:tcPr>
            <w:tcW w:w="709" w:type="dxa"/>
            <w:vAlign w:val="center"/>
          </w:tcPr>
          <w:p w14:paraId="074B445D"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Uni.</w:t>
            </w:r>
          </w:p>
        </w:tc>
        <w:tc>
          <w:tcPr>
            <w:tcW w:w="2409" w:type="dxa"/>
            <w:shd w:val="clear" w:color="auto" w:fill="auto"/>
            <w:noWrap/>
            <w:vAlign w:val="center"/>
            <w:hideMark/>
          </w:tcPr>
          <w:p w14:paraId="6D8A6711"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Water fluoridation</w:t>
            </w:r>
          </w:p>
        </w:tc>
        <w:tc>
          <w:tcPr>
            <w:tcW w:w="1105" w:type="dxa"/>
            <w:vMerge w:val="restart"/>
            <w:vAlign w:val="center"/>
          </w:tcPr>
          <w:p w14:paraId="71A0FBB9"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Societal</w:t>
            </w:r>
          </w:p>
        </w:tc>
        <w:tc>
          <w:tcPr>
            <w:tcW w:w="851" w:type="dxa"/>
            <w:vMerge w:val="restart"/>
            <w:vAlign w:val="center"/>
          </w:tcPr>
          <w:p w14:paraId="47E5CE7C"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1 year</w:t>
            </w:r>
          </w:p>
        </w:tc>
        <w:tc>
          <w:tcPr>
            <w:tcW w:w="851" w:type="dxa"/>
            <w:vMerge w:val="restart"/>
            <w:shd w:val="clear" w:color="auto" w:fill="auto"/>
            <w:noWrap/>
            <w:vAlign w:val="center"/>
            <w:hideMark/>
          </w:tcPr>
          <w:p w14:paraId="562F42A3"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All ages</w:t>
            </w:r>
          </w:p>
        </w:tc>
        <w:tc>
          <w:tcPr>
            <w:tcW w:w="1190" w:type="dxa"/>
            <w:vMerge w:val="restart"/>
            <w:vAlign w:val="center"/>
          </w:tcPr>
          <w:p w14:paraId="6E1C4E04"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9.0 million</w:t>
            </w:r>
          </w:p>
        </w:tc>
        <w:tc>
          <w:tcPr>
            <w:tcW w:w="2760" w:type="dxa"/>
            <w:vMerge w:val="restart"/>
            <w:shd w:val="clear" w:color="auto" w:fill="auto"/>
            <w:noWrap/>
            <w:hideMark/>
          </w:tcPr>
          <w:p w14:paraId="4EE9D162"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Intervention costs (capital, labour, maintenance)</w:t>
            </w:r>
          </w:p>
          <w:p w14:paraId="7B128606"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br/>
              <w:t>Dental treatment costs (restorations)</w:t>
            </w:r>
          </w:p>
        </w:tc>
        <w:tc>
          <w:tcPr>
            <w:tcW w:w="1190" w:type="dxa"/>
            <w:gridSpan w:val="2"/>
            <w:vMerge w:val="restart"/>
            <w:shd w:val="clear" w:color="auto" w:fill="auto"/>
            <w:noWrap/>
            <w:vAlign w:val="center"/>
            <w:hideMark/>
          </w:tcPr>
          <w:p w14:paraId="10AC83D3"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N/A</w:t>
            </w:r>
          </w:p>
        </w:tc>
        <w:tc>
          <w:tcPr>
            <w:tcW w:w="1978" w:type="dxa"/>
            <w:vMerge w:val="restart"/>
            <w:shd w:val="clear" w:color="auto" w:fill="auto"/>
            <w:noWrap/>
            <w:hideMark/>
          </w:tcPr>
          <w:p w14:paraId="454A0201"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Cost-benefit ratio</w:t>
            </w:r>
          </w:p>
          <w:p w14:paraId="433BBDB9"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1) 50% efficacy: 0.04</w:t>
            </w:r>
            <w:r w:rsidRPr="00800A49">
              <w:rPr>
                <w:rFonts w:ascii="Times New Roman" w:eastAsia="Times New Roman" w:hAnsi="Times New Roman" w:cs="Times New Roman"/>
                <w:color w:val="000000"/>
                <w:sz w:val="18"/>
                <w:szCs w:val="18"/>
                <w:lang w:eastAsia="en-AU"/>
              </w:rPr>
              <w:br/>
              <w:t>2) 50% efficacy: 0.07</w:t>
            </w:r>
            <w:r w:rsidRPr="00800A49">
              <w:rPr>
                <w:rFonts w:ascii="Times New Roman" w:eastAsia="Times New Roman" w:hAnsi="Times New Roman" w:cs="Times New Roman"/>
                <w:color w:val="000000"/>
                <w:sz w:val="18"/>
                <w:szCs w:val="18"/>
                <w:lang w:eastAsia="en-AU"/>
              </w:rPr>
              <w:br/>
              <w:t>3) 10% efficacy: 0.22</w:t>
            </w:r>
          </w:p>
          <w:p w14:paraId="65EA487B"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p>
          <w:p w14:paraId="67EB9490"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Cost-saving = Yes</w:t>
            </w:r>
          </w:p>
        </w:tc>
        <w:tc>
          <w:tcPr>
            <w:tcW w:w="1134" w:type="dxa"/>
            <w:vMerge w:val="restart"/>
            <w:vAlign w:val="center"/>
          </w:tcPr>
          <w:p w14:paraId="53AF3825"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Moderate</w:t>
            </w:r>
          </w:p>
        </w:tc>
      </w:tr>
      <w:tr w:rsidR="008461EA" w:rsidRPr="00800A49" w14:paraId="7A3DD7EE" w14:textId="77777777" w:rsidTr="00720BDC">
        <w:trPr>
          <w:trHeight w:val="300"/>
        </w:trPr>
        <w:tc>
          <w:tcPr>
            <w:tcW w:w="1128" w:type="dxa"/>
            <w:vMerge/>
            <w:shd w:val="clear" w:color="auto" w:fill="auto"/>
            <w:noWrap/>
          </w:tcPr>
          <w:p w14:paraId="0683CFC0"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p>
        </w:tc>
        <w:tc>
          <w:tcPr>
            <w:tcW w:w="283" w:type="dxa"/>
            <w:vAlign w:val="center"/>
          </w:tcPr>
          <w:p w14:paraId="09C5BE96"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C</w:t>
            </w:r>
          </w:p>
        </w:tc>
        <w:tc>
          <w:tcPr>
            <w:tcW w:w="709" w:type="dxa"/>
            <w:vAlign w:val="center"/>
          </w:tcPr>
          <w:p w14:paraId="022D3F10"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N/A</w:t>
            </w:r>
          </w:p>
        </w:tc>
        <w:tc>
          <w:tcPr>
            <w:tcW w:w="2409" w:type="dxa"/>
            <w:shd w:val="clear" w:color="auto" w:fill="auto"/>
            <w:noWrap/>
            <w:vAlign w:val="center"/>
          </w:tcPr>
          <w:p w14:paraId="1CD8EFA1"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No intervention</w:t>
            </w:r>
          </w:p>
        </w:tc>
        <w:tc>
          <w:tcPr>
            <w:tcW w:w="1105" w:type="dxa"/>
            <w:vMerge/>
            <w:vAlign w:val="center"/>
          </w:tcPr>
          <w:p w14:paraId="496DAA6A"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851" w:type="dxa"/>
            <w:vMerge/>
            <w:vAlign w:val="center"/>
          </w:tcPr>
          <w:p w14:paraId="0F2F7476"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851" w:type="dxa"/>
            <w:vMerge/>
            <w:shd w:val="clear" w:color="auto" w:fill="auto"/>
            <w:noWrap/>
            <w:vAlign w:val="center"/>
          </w:tcPr>
          <w:p w14:paraId="2A937F14"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1190" w:type="dxa"/>
            <w:vMerge/>
            <w:vAlign w:val="center"/>
          </w:tcPr>
          <w:p w14:paraId="777EDC2F"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2760" w:type="dxa"/>
            <w:vMerge/>
            <w:shd w:val="clear" w:color="auto" w:fill="auto"/>
            <w:noWrap/>
          </w:tcPr>
          <w:p w14:paraId="58D1E092"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p>
        </w:tc>
        <w:tc>
          <w:tcPr>
            <w:tcW w:w="1190" w:type="dxa"/>
            <w:gridSpan w:val="2"/>
            <w:vMerge/>
            <w:shd w:val="clear" w:color="auto" w:fill="auto"/>
            <w:noWrap/>
            <w:vAlign w:val="center"/>
          </w:tcPr>
          <w:p w14:paraId="06A137A8"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1978" w:type="dxa"/>
            <w:vMerge/>
            <w:shd w:val="clear" w:color="auto" w:fill="auto"/>
            <w:noWrap/>
          </w:tcPr>
          <w:p w14:paraId="71E0C9BF"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p>
        </w:tc>
        <w:tc>
          <w:tcPr>
            <w:tcW w:w="1134" w:type="dxa"/>
            <w:vMerge/>
            <w:vAlign w:val="center"/>
          </w:tcPr>
          <w:p w14:paraId="57A89A8C"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r>
      <w:tr w:rsidR="008461EA" w:rsidRPr="00800A49" w14:paraId="515B4A76" w14:textId="77777777" w:rsidTr="00720BDC">
        <w:trPr>
          <w:trHeight w:val="300"/>
        </w:trPr>
        <w:tc>
          <w:tcPr>
            <w:tcW w:w="1128" w:type="dxa"/>
            <w:vMerge w:val="restart"/>
            <w:shd w:val="clear" w:color="auto" w:fill="auto"/>
            <w:noWrap/>
            <w:hideMark/>
          </w:tcPr>
          <w:p w14:paraId="3191B4F5"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proofErr w:type="spellStart"/>
            <w:r w:rsidRPr="00800A49">
              <w:rPr>
                <w:rFonts w:ascii="Times New Roman" w:eastAsia="Times New Roman" w:hAnsi="Times New Roman" w:cs="Times New Roman"/>
                <w:color w:val="000000"/>
                <w:sz w:val="18"/>
                <w:szCs w:val="18"/>
                <w:lang w:eastAsia="en-AU"/>
              </w:rPr>
              <w:t>Vermaire</w:t>
            </w:r>
            <w:proofErr w:type="spellEnd"/>
            <w:r w:rsidRPr="00800A49">
              <w:rPr>
                <w:rFonts w:ascii="Times New Roman" w:eastAsia="Times New Roman" w:hAnsi="Times New Roman" w:cs="Times New Roman"/>
                <w:color w:val="000000"/>
                <w:sz w:val="18"/>
                <w:szCs w:val="18"/>
                <w:lang w:eastAsia="en-AU"/>
              </w:rPr>
              <w:t xml:space="preserve"> et al., 2014</w:t>
            </w:r>
          </w:p>
        </w:tc>
        <w:tc>
          <w:tcPr>
            <w:tcW w:w="283" w:type="dxa"/>
            <w:vMerge w:val="restart"/>
            <w:vAlign w:val="center"/>
          </w:tcPr>
          <w:p w14:paraId="3DD7D945"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I</w:t>
            </w:r>
          </w:p>
        </w:tc>
        <w:tc>
          <w:tcPr>
            <w:tcW w:w="709" w:type="dxa"/>
            <w:vAlign w:val="center"/>
          </w:tcPr>
          <w:p w14:paraId="1CB703BC"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Ind.</w:t>
            </w:r>
          </w:p>
        </w:tc>
        <w:tc>
          <w:tcPr>
            <w:tcW w:w="2409" w:type="dxa"/>
            <w:shd w:val="clear" w:color="auto" w:fill="auto"/>
            <w:noWrap/>
            <w:vAlign w:val="center"/>
            <w:hideMark/>
          </w:tcPr>
          <w:p w14:paraId="34170AB4"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Increased professional fluoride application (IFPA), 3-monthly check-up and fluoride gel</w:t>
            </w:r>
          </w:p>
        </w:tc>
        <w:tc>
          <w:tcPr>
            <w:tcW w:w="1105" w:type="dxa"/>
            <w:vMerge w:val="restart"/>
            <w:vAlign w:val="center"/>
          </w:tcPr>
          <w:p w14:paraId="73027933"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Healthcare</w:t>
            </w:r>
          </w:p>
          <w:p w14:paraId="40F08340"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and</w:t>
            </w:r>
          </w:p>
          <w:p w14:paraId="65E8137A"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Societal</w:t>
            </w:r>
          </w:p>
        </w:tc>
        <w:tc>
          <w:tcPr>
            <w:tcW w:w="851" w:type="dxa"/>
            <w:vMerge w:val="restart"/>
            <w:vAlign w:val="center"/>
          </w:tcPr>
          <w:p w14:paraId="1340185F"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3 years</w:t>
            </w:r>
          </w:p>
        </w:tc>
        <w:tc>
          <w:tcPr>
            <w:tcW w:w="851" w:type="dxa"/>
            <w:vMerge w:val="restart"/>
            <w:shd w:val="clear" w:color="auto" w:fill="auto"/>
            <w:noWrap/>
            <w:vAlign w:val="center"/>
            <w:hideMark/>
          </w:tcPr>
          <w:p w14:paraId="1CF3C151"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6</w:t>
            </w:r>
          </w:p>
        </w:tc>
        <w:tc>
          <w:tcPr>
            <w:tcW w:w="1190" w:type="dxa"/>
            <w:vAlign w:val="center"/>
          </w:tcPr>
          <w:p w14:paraId="4E4BFADF"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62</w:t>
            </w:r>
          </w:p>
        </w:tc>
        <w:tc>
          <w:tcPr>
            <w:tcW w:w="2760" w:type="dxa"/>
            <w:vMerge w:val="restart"/>
            <w:shd w:val="clear" w:color="auto" w:fill="auto"/>
            <w:noWrap/>
            <w:hideMark/>
          </w:tcPr>
          <w:p w14:paraId="53E40A90"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Intervention costs (micro-costing, labour, consumables)</w:t>
            </w:r>
          </w:p>
          <w:p w14:paraId="6E761013"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br/>
              <w:t>Dental treatment costs (micro-costing, labour, consumables)</w:t>
            </w:r>
          </w:p>
          <w:p w14:paraId="425399F8"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br/>
              <w:t>Opportunity costs lost (travel, waiting and dental treatment time)</w:t>
            </w:r>
          </w:p>
          <w:p w14:paraId="1C469CAF"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br/>
              <w:t>Travel costs</w:t>
            </w:r>
          </w:p>
        </w:tc>
        <w:tc>
          <w:tcPr>
            <w:tcW w:w="634" w:type="dxa"/>
            <w:vMerge w:val="restart"/>
            <w:shd w:val="clear" w:color="auto" w:fill="auto"/>
            <w:noWrap/>
            <w:vAlign w:val="center"/>
            <w:hideMark/>
          </w:tcPr>
          <w:p w14:paraId="5BF59407"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4%</w:t>
            </w:r>
          </w:p>
        </w:tc>
        <w:tc>
          <w:tcPr>
            <w:tcW w:w="556" w:type="dxa"/>
            <w:vMerge w:val="restart"/>
            <w:vAlign w:val="center"/>
          </w:tcPr>
          <w:p w14:paraId="773CC20E"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2%</w:t>
            </w:r>
          </w:p>
        </w:tc>
        <w:tc>
          <w:tcPr>
            <w:tcW w:w="1978" w:type="dxa"/>
            <w:vMerge w:val="restart"/>
            <w:shd w:val="clear" w:color="auto" w:fill="auto"/>
            <w:noWrap/>
            <w:hideMark/>
          </w:tcPr>
          <w:p w14:paraId="70ED9A67"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Costs (€) per DMFS averted</w:t>
            </w:r>
            <w:r w:rsidRPr="00800A49">
              <w:rPr>
                <w:rFonts w:ascii="Times New Roman" w:eastAsia="Times New Roman" w:hAnsi="Times New Roman" w:cs="Times New Roman"/>
                <w:color w:val="000000"/>
                <w:sz w:val="18"/>
                <w:szCs w:val="18"/>
                <w:lang w:eastAsia="en-AU"/>
              </w:rPr>
              <w:br/>
              <w:t>Societal perspective</w:t>
            </w:r>
            <w:r w:rsidRPr="00800A49">
              <w:rPr>
                <w:rFonts w:ascii="Times New Roman" w:eastAsia="Times New Roman" w:hAnsi="Times New Roman" w:cs="Times New Roman"/>
                <w:color w:val="000000"/>
                <w:sz w:val="18"/>
                <w:szCs w:val="18"/>
                <w:lang w:eastAsia="en-AU"/>
              </w:rPr>
              <w:br/>
              <w:t>1) IFPA ICER: 1,369</w:t>
            </w:r>
            <w:r w:rsidRPr="00800A49">
              <w:rPr>
                <w:rFonts w:ascii="Times New Roman" w:eastAsia="Times New Roman" w:hAnsi="Times New Roman" w:cs="Times New Roman"/>
                <w:color w:val="000000"/>
                <w:sz w:val="18"/>
                <w:szCs w:val="18"/>
                <w:lang w:eastAsia="en-AU"/>
              </w:rPr>
              <w:br/>
              <w:t>2) NOCTP ICER:  100</w:t>
            </w:r>
            <w:r w:rsidRPr="00800A49">
              <w:rPr>
                <w:rFonts w:ascii="Times New Roman" w:eastAsia="Times New Roman" w:hAnsi="Times New Roman" w:cs="Times New Roman"/>
                <w:color w:val="000000"/>
                <w:sz w:val="18"/>
                <w:szCs w:val="18"/>
                <w:lang w:eastAsia="en-AU"/>
              </w:rPr>
              <w:br/>
              <w:t>Healthcare perspective</w:t>
            </w:r>
            <w:r w:rsidRPr="00800A49">
              <w:rPr>
                <w:rFonts w:ascii="Times New Roman" w:eastAsia="Times New Roman" w:hAnsi="Times New Roman" w:cs="Times New Roman"/>
                <w:color w:val="000000"/>
                <w:sz w:val="18"/>
                <w:szCs w:val="18"/>
                <w:lang w:eastAsia="en-AU"/>
              </w:rPr>
              <w:br/>
              <w:t>1) IFPA ICER: 30</w:t>
            </w:r>
            <w:r w:rsidRPr="00800A49">
              <w:rPr>
                <w:rFonts w:ascii="Times New Roman" w:eastAsia="Times New Roman" w:hAnsi="Times New Roman" w:cs="Times New Roman"/>
                <w:color w:val="000000"/>
                <w:sz w:val="18"/>
                <w:szCs w:val="18"/>
                <w:lang w:eastAsia="en-AU"/>
              </w:rPr>
              <w:br/>
              <w:t>2) NOCTP ICER: 269</w:t>
            </w:r>
          </w:p>
          <w:p w14:paraId="6649636B"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p>
          <w:p w14:paraId="2877DF68"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Cost-effective = N/S</w:t>
            </w:r>
          </w:p>
        </w:tc>
        <w:tc>
          <w:tcPr>
            <w:tcW w:w="1134" w:type="dxa"/>
            <w:vMerge w:val="restart"/>
            <w:vAlign w:val="center"/>
          </w:tcPr>
          <w:p w14:paraId="19C262F7"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Good</w:t>
            </w:r>
          </w:p>
        </w:tc>
      </w:tr>
      <w:tr w:rsidR="008461EA" w:rsidRPr="00800A49" w14:paraId="47708BEF" w14:textId="77777777" w:rsidTr="00720BDC">
        <w:trPr>
          <w:trHeight w:val="300"/>
        </w:trPr>
        <w:tc>
          <w:tcPr>
            <w:tcW w:w="1128" w:type="dxa"/>
            <w:vMerge/>
            <w:shd w:val="clear" w:color="auto" w:fill="auto"/>
            <w:noWrap/>
          </w:tcPr>
          <w:p w14:paraId="36447B91"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p>
        </w:tc>
        <w:tc>
          <w:tcPr>
            <w:tcW w:w="283" w:type="dxa"/>
            <w:vMerge/>
            <w:vAlign w:val="center"/>
          </w:tcPr>
          <w:p w14:paraId="7C453653"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709" w:type="dxa"/>
            <w:vAlign w:val="center"/>
          </w:tcPr>
          <w:p w14:paraId="06420764"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Ind.</w:t>
            </w:r>
          </w:p>
        </w:tc>
        <w:tc>
          <w:tcPr>
            <w:tcW w:w="2409" w:type="dxa"/>
            <w:shd w:val="clear" w:color="auto" w:fill="auto"/>
            <w:noWrap/>
            <w:vAlign w:val="center"/>
          </w:tcPr>
          <w:p w14:paraId="2E2236E9"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Non-operative caries treatment and prevention (NOCTP), caries risk assessment, oral prophylaxis, oral health education, fluoride varnish, risk-based maintenance</w:t>
            </w:r>
          </w:p>
        </w:tc>
        <w:tc>
          <w:tcPr>
            <w:tcW w:w="1105" w:type="dxa"/>
            <w:vMerge/>
            <w:vAlign w:val="center"/>
          </w:tcPr>
          <w:p w14:paraId="71A1493B"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851" w:type="dxa"/>
            <w:vMerge/>
            <w:vAlign w:val="center"/>
          </w:tcPr>
          <w:p w14:paraId="53834C4D"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851" w:type="dxa"/>
            <w:vMerge/>
            <w:shd w:val="clear" w:color="auto" w:fill="auto"/>
            <w:noWrap/>
            <w:vAlign w:val="center"/>
          </w:tcPr>
          <w:p w14:paraId="6F130727"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1190" w:type="dxa"/>
            <w:vAlign w:val="center"/>
          </w:tcPr>
          <w:p w14:paraId="4806538F"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54</w:t>
            </w:r>
          </w:p>
        </w:tc>
        <w:tc>
          <w:tcPr>
            <w:tcW w:w="2760" w:type="dxa"/>
            <w:vMerge/>
            <w:shd w:val="clear" w:color="auto" w:fill="auto"/>
            <w:noWrap/>
          </w:tcPr>
          <w:p w14:paraId="35C08079"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p>
        </w:tc>
        <w:tc>
          <w:tcPr>
            <w:tcW w:w="634" w:type="dxa"/>
            <w:vMerge/>
            <w:shd w:val="clear" w:color="auto" w:fill="auto"/>
            <w:noWrap/>
            <w:vAlign w:val="center"/>
          </w:tcPr>
          <w:p w14:paraId="350D6E89"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556" w:type="dxa"/>
            <w:vMerge/>
            <w:vAlign w:val="center"/>
          </w:tcPr>
          <w:p w14:paraId="5F5649AC"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1978" w:type="dxa"/>
            <w:vMerge/>
            <w:shd w:val="clear" w:color="auto" w:fill="auto"/>
            <w:noWrap/>
          </w:tcPr>
          <w:p w14:paraId="0C552567"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p>
        </w:tc>
        <w:tc>
          <w:tcPr>
            <w:tcW w:w="1134" w:type="dxa"/>
            <w:vMerge/>
            <w:vAlign w:val="center"/>
          </w:tcPr>
          <w:p w14:paraId="398892B2"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r>
      <w:tr w:rsidR="008461EA" w:rsidRPr="00800A49" w14:paraId="37D2B751" w14:textId="77777777" w:rsidTr="00720BDC">
        <w:trPr>
          <w:trHeight w:val="300"/>
        </w:trPr>
        <w:tc>
          <w:tcPr>
            <w:tcW w:w="1128" w:type="dxa"/>
            <w:vMerge/>
            <w:shd w:val="clear" w:color="auto" w:fill="auto"/>
            <w:noWrap/>
          </w:tcPr>
          <w:p w14:paraId="43B51E6D"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p>
        </w:tc>
        <w:tc>
          <w:tcPr>
            <w:tcW w:w="283" w:type="dxa"/>
            <w:vAlign w:val="center"/>
          </w:tcPr>
          <w:p w14:paraId="165D03D5"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C</w:t>
            </w:r>
          </w:p>
        </w:tc>
        <w:tc>
          <w:tcPr>
            <w:tcW w:w="709" w:type="dxa"/>
            <w:vAlign w:val="center"/>
          </w:tcPr>
          <w:p w14:paraId="0968B9C1"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Ind.</w:t>
            </w:r>
          </w:p>
        </w:tc>
        <w:tc>
          <w:tcPr>
            <w:tcW w:w="2409" w:type="dxa"/>
            <w:shd w:val="clear" w:color="auto" w:fill="auto"/>
            <w:noWrap/>
            <w:vAlign w:val="center"/>
          </w:tcPr>
          <w:p w14:paraId="11AADD82"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6-monthly check-up and fluoride gel</w:t>
            </w:r>
          </w:p>
        </w:tc>
        <w:tc>
          <w:tcPr>
            <w:tcW w:w="1105" w:type="dxa"/>
            <w:vMerge/>
            <w:vAlign w:val="center"/>
          </w:tcPr>
          <w:p w14:paraId="63008723"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851" w:type="dxa"/>
            <w:vMerge/>
            <w:vAlign w:val="center"/>
          </w:tcPr>
          <w:p w14:paraId="264D2B6C"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851" w:type="dxa"/>
            <w:vMerge/>
            <w:shd w:val="clear" w:color="auto" w:fill="auto"/>
            <w:noWrap/>
            <w:vAlign w:val="center"/>
          </w:tcPr>
          <w:p w14:paraId="7987A2AD"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1190" w:type="dxa"/>
            <w:vAlign w:val="center"/>
          </w:tcPr>
          <w:p w14:paraId="6378BBE2"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63</w:t>
            </w:r>
          </w:p>
        </w:tc>
        <w:tc>
          <w:tcPr>
            <w:tcW w:w="2760" w:type="dxa"/>
            <w:vMerge/>
            <w:shd w:val="clear" w:color="auto" w:fill="auto"/>
            <w:noWrap/>
          </w:tcPr>
          <w:p w14:paraId="29CCC2D1"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p>
        </w:tc>
        <w:tc>
          <w:tcPr>
            <w:tcW w:w="634" w:type="dxa"/>
            <w:vMerge/>
            <w:shd w:val="clear" w:color="auto" w:fill="auto"/>
            <w:noWrap/>
            <w:vAlign w:val="center"/>
          </w:tcPr>
          <w:p w14:paraId="2F5A8D1D"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556" w:type="dxa"/>
            <w:vMerge/>
            <w:vAlign w:val="center"/>
          </w:tcPr>
          <w:p w14:paraId="3FE46C6C"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1978" w:type="dxa"/>
            <w:vMerge/>
            <w:shd w:val="clear" w:color="auto" w:fill="auto"/>
            <w:noWrap/>
          </w:tcPr>
          <w:p w14:paraId="392051BD"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p>
        </w:tc>
        <w:tc>
          <w:tcPr>
            <w:tcW w:w="1134" w:type="dxa"/>
            <w:vMerge/>
            <w:vAlign w:val="center"/>
          </w:tcPr>
          <w:p w14:paraId="27EC85B8"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r>
      <w:tr w:rsidR="008461EA" w:rsidRPr="00800A49" w14:paraId="34855C7B" w14:textId="77777777" w:rsidTr="00720BDC">
        <w:trPr>
          <w:trHeight w:val="300"/>
        </w:trPr>
        <w:tc>
          <w:tcPr>
            <w:tcW w:w="1128" w:type="dxa"/>
            <w:vMerge w:val="restart"/>
            <w:shd w:val="clear" w:color="auto" w:fill="auto"/>
            <w:noWrap/>
            <w:hideMark/>
          </w:tcPr>
          <w:p w14:paraId="29CF5F3E"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Warren et al., 2010</w:t>
            </w:r>
          </w:p>
        </w:tc>
        <w:tc>
          <w:tcPr>
            <w:tcW w:w="283" w:type="dxa"/>
            <w:vAlign w:val="center"/>
          </w:tcPr>
          <w:p w14:paraId="13858593"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I</w:t>
            </w:r>
          </w:p>
        </w:tc>
        <w:tc>
          <w:tcPr>
            <w:tcW w:w="709" w:type="dxa"/>
            <w:vAlign w:val="center"/>
          </w:tcPr>
          <w:p w14:paraId="046206C9"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Ind.</w:t>
            </w:r>
          </w:p>
        </w:tc>
        <w:tc>
          <w:tcPr>
            <w:tcW w:w="2409" w:type="dxa"/>
            <w:shd w:val="clear" w:color="auto" w:fill="auto"/>
            <w:noWrap/>
            <w:vAlign w:val="center"/>
            <w:hideMark/>
          </w:tcPr>
          <w:p w14:paraId="3FAB1134"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Diet and plaque assessment, bitewing radiographs, caries risk assessment, oral health education, topical fluoride, risk-based check-up</w:t>
            </w:r>
          </w:p>
        </w:tc>
        <w:tc>
          <w:tcPr>
            <w:tcW w:w="1105" w:type="dxa"/>
            <w:vMerge w:val="restart"/>
            <w:vAlign w:val="center"/>
          </w:tcPr>
          <w:p w14:paraId="20BFDCF9"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p w14:paraId="7B8CF134"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Healthcare</w:t>
            </w:r>
          </w:p>
        </w:tc>
        <w:tc>
          <w:tcPr>
            <w:tcW w:w="851" w:type="dxa"/>
            <w:vMerge w:val="restart"/>
            <w:vAlign w:val="center"/>
          </w:tcPr>
          <w:p w14:paraId="690E534C"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Trial-based</w:t>
            </w:r>
            <w:r w:rsidRPr="00800A49">
              <w:rPr>
                <w:rFonts w:ascii="Times New Roman" w:eastAsia="Times New Roman" w:hAnsi="Times New Roman" w:cs="Times New Roman"/>
                <w:color w:val="000000"/>
                <w:sz w:val="18"/>
                <w:szCs w:val="18"/>
                <w:lang w:eastAsia="en-AU"/>
              </w:rPr>
              <w:br/>
              <w:t>2-years</w:t>
            </w:r>
          </w:p>
          <w:p w14:paraId="659E6ABE"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and</w:t>
            </w:r>
            <w:r w:rsidRPr="00800A49">
              <w:rPr>
                <w:rFonts w:ascii="Times New Roman" w:eastAsia="Times New Roman" w:hAnsi="Times New Roman" w:cs="Times New Roman"/>
                <w:color w:val="000000"/>
                <w:sz w:val="18"/>
                <w:szCs w:val="18"/>
                <w:lang w:eastAsia="en-AU"/>
              </w:rPr>
              <w:br/>
              <w:t>3-years</w:t>
            </w:r>
            <w:r w:rsidRPr="00800A49">
              <w:rPr>
                <w:rFonts w:ascii="Times New Roman" w:eastAsia="Times New Roman" w:hAnsi="Times New Roman" w:cs="Times New Roman"/>
                <w:color w:val="000000"/>
                <w:sz w:val="18"/>
                <w:szCs w:val="18"/>
                <w:lang w:eastAsia="en-AU"/>
              </w:rPr>
              <w:br/>
            </w:r>
          </w:p>
          <w:p w14:paraId="0971D697"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Model-based</w:t>
            </w:r>
            <w:r w:rsidRPr="00800A49">
              <w:rPr>
                <w:rFonts w:ascii="Times New Roman" w:eastAsia="Times New Roman" w:hAnsi="Times New Roman" w:cs="Times New Roman"/>
                <w:color w:val="000000"/>
                <w:sz w:val="18"/>
                <w:szCs w:val="18"/>
                <w:lang w:eastAsia="en-AU"/>
              </w:rPr>
              <w:br/>
              <w:t>2-years</w:t>
            </w:r>
            <w:r w:rsidRPr="00800A49">
              <w:rPr>
                <w:rFonts w:ascii="Times New Roman" w:eastAsia="Times New Roman" w:hAnsi="Times New Roman" w:cs="Times New Roman"/>
                <w:color w:val="000000"/>
                <w:sz w:val="18"/>
                <w:szCs w:val="18"/>
                <w:lang w:eastAsia="en-AU"/>
              </w:rPr>
              <w:br/>
              <w:t>and</w:t>
            </w:r>
          </w:p>
          <w:p w14:paraId="6F4210FB"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3-years</w:t>
            </w:r>
          </w:p>
          <w:p w14:paraId="54925AE1"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and Lifetime</w:t>
            </w:r>
          </w:p>
        </w:tc>
        <w:tc>
          <w:tcPr>
            <w:tcW w:w="851" w:type="dxa"/>
            <w:vMerge w:val="restart"/>
            <w:shd w:val="clear" w:color="auto" w:fill="auto"/>
            <w:noWrap/>
            <w:vAlign w:val="center"/>
            <w:hideMark/>
          </w:tcPr>
          <w:p w14:paraId="0DB54095"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All ages</w:t>
            </w:r>
          </w:p>
        </w:tc>
        <w:tc>
          <w:tcPr>
            <w:tcW w:w="1190" w:type="dxa"/>
            <w:vMerge w:val="restart"/>
            <w:vAlign w:val="center"/>
          </w:tcPr>
          <w:p w14:paraId="7D7B5B9B"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10,000</w:t>
            </w:r>
          </w:p>
        </w:tc>
        <w:tc>
          <w:tcPr>
            <w:tcW w:w="2760" w:type="dxa"/>
            <w:vMerge w:val="restart"/>
            <w:shd w:val="clear" w:color="auto" w:fill="auto"/>
            <w:noWrap/>
            <w:hideMark/>
          </w:tcPr>
          <w:p w14:paraId="00765474"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Intervention costs (macro-costing)</w:t>
            </w:r>
          </w:p>
          <w:p w14:paraId="5692A574"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br/>
              <w:t>Dental treatment costs (restorations, root canal treatment, crown, extraction, bridge, implant)</w:t>
            </w:r>
          </w:p>
        </w:tc>
        <w:tc>
          <w:tcPr>
            <w:tcW w:w="1190" w:type="dxa"/>
            <w:gridSpan w:val="2"/>
            <w:vMerge w:val="restart"/>
            <w:shd w:val="clear" w:color="auto" w:fill="auto"/>
            <w:noWrap/>
            <w:vAlign w:val="center"/>
            <w:hideMark/>
          </w:tcPr>
          <w:p w14:paraId="52E23FA3"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5%</w:t>
            </w:r>
          </w:p>
        </w:tc>
        <w:tc>
          <w:tcPr>
            <w:tcW w:w="1978" w:type="dxa"/>
            <w:vMerge w:val="restart"/>
            <w:shd w:val="clear" w:color="auto" w:fill="auto"/>
            <w:noWrap/>
            <w:hideMark/>
          </w:tcPr>
          <w:p w14:paraId="4CB0361E"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Costs (AU$) per DMFT averted</w:t>
            </w:r>
          </w:p>
          <w:p w14:paraId="1F18F7F0"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1)Trial-based</w:t>
            </w:r>
            <w:r w:rsidRPr="00800A49">
              <w:rPr>
                <w:rFonts w:ascii="Times New Roman" w:eastAsia="Times New Roman" w:hAnsi="Times New Roman" w:cs="Times New Roman"/>
                <w:color w:val="000000"/>
                <w:sz w:val="18"/>
                <w:szCs w:val="18"/>
                <w:lang w:eastAsia="en-AU"/>
              </w:rPr>
              <w:br/>
              <w:t>a) 2-years ICER: 539.17</w:t>
            </w:r>
            <w:r w:rsidRPr="00800A49">
              <w:rPr>
                <w:rFonts w:ascii="Times New Roman" w:eastAsia="Times New Roman" w:hAnsi="Times New Roman" w:cs="Times New Roman"/>
                <w:color w:val="000000"/>
                <w:sz w:val="18"/>
                <w:szCs w:val="18"/>
                <w:lang w:eastAsia="en-AU"/>
              </w:rPr>
              <w:br/>
              <w:t>b) 3-years ICER: 649.47</w:t>
            </w:r>
          </w:p>
          <w:p w14:paraId="1BEC8044"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2) Model-based</w:t>
            </w:r>
            <w:r w:rsidRPr="00800A49">
              <w:rPr>
                <w:rFonts w:ascii="Times New Roman" w:eastAsia="Times New Roman" w:hAnsi="Times New Roman" w:cs="Times New Roman"/>
                <w:color w:val="000000"/>
                <w:sz w:val="18"/>
                <w:szCs w:val="18"/>
                <w:lang w:eastAsia="en-AU"/>
              </w:rPr>
              <w:br/>
              <w:t>a) 2-years ICER: 1,287.07</w:t>
            </w:r>
            <w:r w:rsidRPr="00800A49">
              <w:rPr>
                <w:rFonts w:ascii="Times New Roman" w:eastAsia="Times New Roman" w:hAnsi="Times New Roman" w:cs="Times New Roman"/>
                <w:color w:val="000000"/>
                <w:sz w:val="18"/>
                <w:szCs w:val="18"/>
                <w:lang w:eastAsia="en-AU"/>
              </w:rPr>
              <w:br/>
              <w:t>b) 3-years ICER: 1,148.91</w:t>
            </w:r>
            <w:r w:rsidRPr="00800A49">
              <w:rPr>
                <w:rFonts w:ascii="Times New Roman" w:eastAsia="Times New Roman" w:hAnsi="Times New Roman" w:cs="Times New Roman"/>
                <w:color w:val="000000"/>
                <w:sz w:val="18"/>
                <w:szCs w:val="18"/>
                <w:lang w:eastAsia="en-AU"/>
              </w:rPr>
              <w:br/>
              <w:t>c) Lifetime ICER: 1,795.06</w:t>
            </w:r>
          </w:p>
          <w:p w14:paraId="5B016E85"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p>
          <w:p w14:paraId="60F9B889"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Cost-effective = Yes; Arbitrary WTP AU$3,300 per restoration averted</w:t>
            </w:r>
          </w:p>
        </w:tc>
        <w:tc>
          <w:tcPr>
            <w:tcW w:w="1134" w:type="dxa"/>
            <w:vMerge w:val="restart"/>
            <w:vAlign w:val="center"/>
          </w:tcPr>
          <w:p w14:paraId="67293FE7"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Good</w:t>
            </w:r>
          </w:p>
        </w:tc>
      </w:tr>
      <w:tr w:rsidR="008461EA" w:rsidRPr="00800A49" w14:paraId="4D4AFC66" w14:textId="77777777" w:rsidTr="00720BDC">
        <w:trPr>
          <w:trHeight w:val="300"/>
        </w:trPr>
        <w:tc>
          <w:tcPr>
            <w:tcW w:w="1128" w:type="dxa"/>
            <w:vMerge/>
            <w:shd w:val="clear" w:color="auto" w:fill="auto"/>
            <w:noWrap/>
          </w:tcPr>
          <w:p w14:paraId="7B39B32C"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p>
        </w:tc>
        <w:tc>
          <w:tcPr>
            <w:tcW w:w="283" w:type="dxa"/>
            <w:vAlign w:val="center"/>
          </w:tcPr>
          <w:p w14:paraId="6F9B8CAD"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C</w:t>
            </w:r>
          </w:p>
        </w:tc>
        <w:tc>
          <w:tcPr>
            <w:tcW w:w="709" w:type="dxa"/>
            <w:vAlign w:val="center"/>
          </w:tcPr>
          <w:p w14:paraId="3D70C60E"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N/A</w:t>
            </w:r>
          </w:p>
        </w:tc>
        <w:tc>
          <w:tcPr>
            <w:tcW w:w="2409" w:type="dxa"/>
            <w:shd w:val="clear" w:color="auto" w:fill="auto"/>
            <w:noWrap/>
            <w:vAlign w:val="center"/>
          </w:tcPr>
          <w:p w14:paraId="2A6ACEA5"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Standard care</w:t>
            </w:r>
          </w:p>
        </w:tc>
        <w:tc>
          <w:tcPr>
            <w:tcW w:w="1105" w:type="dxa"/>
            <w:vMerge/>
            <w:vAlign w:val="center"/>
          </w:tcPr>
          <w:p w14:paraId="5E865553"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851" w:type="dxa"/>
            <w:vMerge/>
            <w:vAlign w:val="center"/>
          </w:tcPr>
          <w:p w14:paraId="628432A2"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851" w:type="dxa"/>
            <w:vMerge/>
            <w:shd w:val="clear" w:color="auto" w:fill="auto"/>
            <w:noWrap/>
            <w:vAlign w:val="center"/>
          </w:tcPr>
          <w:p w14:paraId="049756C2"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1190" w:type="dxa"/>
            <w:vMerge/>
            <w:vAlign w:val="center"/>
          </w:tcPr>
          <w:p w14:paraId="3CE80527"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2760" w:type="dxa"/>
            <w:vMerge/>
            <w:shd w:val="clear" w:color="auto" w:fill="auto"/>
            <w:noWrap/>
          </w:tcPr>
          <w:p w14:paraId="2C1A773F"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p>
        </w:tc>
        <w:tc>
          <w:tcPr>
            <w:tcW w:w="1190" w:type="dxa"/>
            <w:gridSpan w:val="2"/>
            <w:vMerge/>
            <w:shd w:val="clear" w:color="auto" w:fill="auto"/>
            <w:noWrap/>
            <w:vAlign w:val="center"/>
          </w:tcPr>
          <w:p w14:paraId="0E5D69B5"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1978" w:type="dxa"/>
            <w:vMerge/>
            <w:shd w:val="clear" w:color="auto" w:fill="auto"/>
            <w:noWrap/>
          </w:tcPr>
          <w:p w14:paraId="30ACF29C"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p>
        </w:tc>
        <w:tc>
          <w:tcPr>
            <w:tcW w:w="1134" w:type="dxa"/>
            <w:vMerge/>
            <w:vAlign w:val="center"/>
          </w:tcPr>
          <w:p w14:paraId="75E42ACD"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r>
      <w:tr w:rsidR="008461EA" w:rsidRPr="00800A49" w14:paraId="41A90A35" w14:textId="77777777" w:rsidTr="00720BDC">
        <w:trPr>
          <w:trHeight w:val="300"/>
        </w:trPr>
        <w:tc>
          <w:tcPr>
            <w:tcW w:w="1128" w:type="dxa"/>
            <w:vMerge w:val="restart"/>
            <w:shd w:val="clear" w:color="auto" w:fill="auto"/>
            <w:noWrap/>
            <w:hideMark/>
          </w:tcPr>
          <w:p w14:paraId="50C1ADB2"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Warren et al., 2016</w:t>
            </w:r>
          </w:p>
        </w:tc>
        <w:tc>
          <w:tcPr>
            <w:tcW w:w="283" w:type="dxa"/>
            <w:vAlign w:val="center"/>
          </w:tcPr>
          <w:p w14:paraId="31315AEF"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I</w:t>
            </w:r>
          </w:p>
        </w:tc>
        <w:tc>
          <w:tcPr>
            <w:tcW w:w="709" w:type="dxa"/>
            <w:vAlign w:val="center"/>
          </w:tcPr>
          <w:p w14:paraId="4D7A516C"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Ind.</w:t>
            </w:r>
          </w:p>
        </w:tc>
        <w:tc>
          <w:tcPr>
            <w:tcW w:w="2409" w:type="dxa"/>
            <w:shd w:val="clear" w:color="auto" w:fill="auto"/>
            <w:noWrap/>
            <w:vAlign w:val="center"/>
            <w:hideMark/>
          </w:tcPr>
          <w:p w14:paraId="68928AD4"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 xml:space="preserve">Minimal invasive dentistry including, caries risk assessment, bitewing radiography, quarterly fluoride varnish for caries &lt;1/3 dentine until caries risk </w:t>
            </w:r>
            <w:r w:rsidRPr="00800A49">
              <w:rPr>
                <w:rFonts w:ascii="Times New Roman" w:eastAsia="Times New Roman" w:hAnsi="Times New Roman" w:cs="Times New Roman"/>
                <w:color w:val="000000"/>
                <w:sz w:val="18"/>
                <w:szCs w:val="18"/>
                <w:lang w:eastAsia="en-AU"/>
              </w:rPr>
              <w:lastRenderedPageBreak/>
              <w:t>has improved, and restorations</w:t>
            </w:r>
          </w:p>
        </w:tc>
        <w:tc>
          <w:tcPr>
            <w:tcW w:w="1105" w:type="dxa"/>
            <w:vMerge w:val="restart"/>
            <w:vAlign w:val="center"/>
          </w:tcPr>
          <w:p w14:paraId="58E4C4C0"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lastRenderedPageBreak/>
              <w:t>Healthcare</w:t>
            </w:r>
          </w:p>
        </w:tc>
        <w:tc>
          <w:tcPr>
            <w:tcW w:w="851" w:type="dxa"/>
            <w:vMerge w:val="restart"/>
            <w:vAlign w:val="center"/>
          </w:tcPr>
          <w:p w14:paraId="5B5CDC81"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7 years</w:t>
            </w:r>
          </w:p>
        </w:tc>
        <w:tc>
          <w:tcPr>
            <w:tcW w:w="851" w:type="dxa"/>
            <w:vMerge w:val="restart"/>
            <w:shd w:val="clear" w:color="auto" w:fill="auto"/>
            <w:noWrap/>
            <w:vAlign w:val="center"/>
            <w:hideMark/>
          </w:tcPr>
          <w:p w14:paraId="14842A24"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All ages</w:t>
            </w:r>
          </w:p>
        </w:tc>
        <w:tc>
          <w:tcPr>
            <w:tcW w:w="1190" w:type="dxa"/>
            <w:vMerge w:val="restart"/>
            <w:vAlign w:val="center"/>
          </w:tcPr>
          <w:p w14:paraId="2D51626C"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10,000</w:t>
            </w:r>
          </w:p>
        </w:tc>
        <w:tc>
          <w:tcPr>
            <w:tcW w:w="2760" w:type="dxa"/>
            <w:vMerge w:val="restart"/>
            <w:shd w:val="clear" w:color="auto" w:fill="auto"/>
            <w:noWrap/>
            <w:hideMark/>
          </w:tcPr>
          <w:p w14:paraId="26399DAE"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Intervention costs (macro-costing)</w:t>
            </w:r>
          </w:p>
          <w:p w14:paraId="0B62EAE4"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br/>
              <w:t>Dental treatment costs (restorations, root canal treatment, crown, extraction, bridge, implant)</w:t>
            </w:r>
          </w:p>
        </w:tc>
        <w:tc>
          <w:tcPr>
            <w:tcW w:w="1190" w:type="dxa"/>
            <w:gridSpan w:val="2"/>
            <w:vMerge w:val="restart"/>
            <w:shd w:val="clear" w:color="auto" w:fill="auto"/>
            <w:noWrap/>
            <w:vAlign w:val="center"/>
            <w:hideMark/>
          </w:tcPr>
          <w:p w14:paraId="6CD9D5A9"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5%</w:t>
            </w:r>
          </w:p>
          <w:p w14:paraId="7BE6B45E"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1978" w:type="dxa"/>
            <w:vMerge w:val="restart"/>
            <w:shd w:val="clear" w:color="auto" w:fill="auto"/>
            <w:noWrap/>
            <w:hideMark/>
          </w:tcPr>
          <w:p w14:paraId="5CA283A4"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Costs (AU$) per restorative event averted</w:t>
            </w:r>
            <w:r w:rsidRPr="00800A49">
              <w:rPr>
                <w:rFonts w:ascii="Times New Roman" w:eastAsia="Times New Roman" w:hAnsi="Times New Roman" w:cs="Times New Roman"/>
                <w:color w:val="000000"/>
                <w:sz w:val="18"/>
                <w:szCs w:val="18"/>
                <w:lang w:eastAsia="en-AU"/>
              </w:rPr>
              <w:br/>
              <w:t>ICER: 1,980.07</w:t>
            </w:r>
          </w:p>
          <w:p w14:paraId="61A11067"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p>
          <w:p w14:paraId="7AFF39D9"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lastRenderedPageBreak/>
              <w:t>Cost-effective = Yes; Arbitrary WTP AU$3,300 per restoration averted</w:t>
            </w:r>
          </w:p>
        </w:tc>
        <w:tc>
          <w:tcPr>
            <w:tcW w:w="1134" w:type="dxa"/>
            <w:vMerge w:val="restart"/>
            <w:vAlign w:val="center"/>
          </w:tcPr>
          <w:p w14:paraId="2C5B3265"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lastRenderedPageBreak/>
              <w:t>Moderate</w:t>
            </w:r>
          </w:p>
        </w:tc>
      </w:tr>
      <w:tr w:rsidR="008461EA" w:rsidRPr="00800A49" w14:paraId="60635E75" w14:textId="77777777" w:rsidTr="00720BDC">
        <w:trPr>
          <w:trHeight w:val="300"/>
        </w:trPr>
        <w:tc>
          <w:tcPr>
            <w:tcW w:w="1128" w:type="dxa"/>
            <w:vMerge/>
            <w:shd w:val="clear" w:color="auto" w:fill="auto"/>
            <w:noWrap/>
          </w:tcPr>
          <w:p w14:paraId="0CF971F7"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p>
        </w:tc>
        <w:tc>
          <w:tcPr>
            <w:tcW w:w="283" w:type="dxa"/>
            <w:vAlign w:val="center"/>
          </w:tcPr>
          <w:p w14:paraId="5895DAFC"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C</w:t>
            </w:r>
          </w:p>
        </w:tc>
        <w:tc>
          <w:tcPr>
            <w:tcW w:w="709" w:type="dxa"/>
            <w:vAlign w:val="center"/>
          </w:tcPr>
          <w:p w14:paraId="07FECF9D"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N/A</w:t>
            </w:r>
          </w:p>
        </w:tc>
        <w:tc>
          <w:tcPr>
            <w:tcW w:w="2409" w:type="dxa"/>
            <w:shd w:val="clear" w:color="auto" w:fill="auto"/>
            <w:noWrap/>
            <w:vAlign w:val="center"/>
          </w:tcPr>
          <w:p w14:paraId="556F7A3F"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Standard care</w:t>
            </w:r>
          </w:p>
        </w:tc>
        <w:tc>
          <w:tcPr>
            <w:tcW w:w="1105" w:type="dxa"/>
            <w:vMerge/>
            <w:vAlign w:val="center"/>
          </w:tcPr>
          <w:p w14:paraId="30B1B647"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851" w:type="dxa"/>
            <w:vMerge/>
            <w:vAlign w:val="center"/>
          </w:tcPr>
          <w:p w14:paraId="2CAA9125"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851" w:type="dxa"/>
            <w:vMerge/>
            <w:shd w:val="clear" w:color="auto" w:fill="auto"/>
            <w:noWrap/>
            <w:vAlign w:val="center"/>
          </w:tcPr>
          <w:p w14:paraId="268EF9A2"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1190" w:type="dxa"/>
            <w:vMerge/>
            <w:vAlign w:val="center"/>
          </w:tcPr>
          <w:p w14:paraId="560B7060"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2760" w:type="dxa"/>
            <w:vMerge/>
            <w:shd w:val="clear" w:color="auto" w:fill="auto"/>
            <w:noWrap/>
          </w:tcPr>
          <w:p w14:paraId="0FE2F961"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p>
        </w:tc>
        <w:tc>
          <w:tcPr>
            <w:tcW w:w="1190" w:type="dxa"/>
            <w:gridSpan w:val="2"/>
            <w:vMerge/>
            <w:shd w:val="clear" w:color="auto" w:fill="auto"/>
            <w:noWrap/>
            <w:vAlign w:val="center"/>
          </w:tcPr>
          <w:p w14:paraId="1185C44D"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1978" w:type="dxa"/>
            <w:vMerge/>
            <w:shd w:val="clear" w:color="auto" w:fill="auto"/>
            <w:noWrap/>
          </w:tcPr>
          <w:p w14:paraId="53C86B14"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p>
        </w:tc>
        <w:tc>
          <w:tcPr>
            <w:tcW w:w="1134" w:type="dxa"/>
            <w:vMerge/>
            <w:vAlign w:val="center"/>
          </w:tcPr>
          <w:p w14:paraId="4AC0C571"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r>
      <w:tr w:rsidR="008461EA" w:rsidRPr="00800A49" w14:paraId="7D403004" w14:textId="77777777" w:rsidTr="00720BDC">
        <w:trPr>
          <w:trHeight w:val="300"/>
        </w:trPr>
        <w:tc>
          <w:tcPr>
            <w:tcW w:w="1128" w:type="dxa"/>
            <w:vMerge w:val="restart"/>
            <w:shd w:val="clear" w:color="auto" w:fill="auto"/>
            <w:noWrap/>
            <w:hideMark/>
          </w:tcPr>
          <w:p w14:paraId="5F2BA99C"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Wright et al., 2001</w:t>
            </w:r>
          </w:p>
        </w:tc>
        <w:tc>
          <w:tcPr>
            <w:tcW w:w="283" w:type="dxa"/>
            <w:vAlign w:val="center"/>
          </w:tcPr>
          <w:p w14:paraId="2916B039"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I</w:t>
            </w:r>
          </w:p>
        </w:tc>
        <w:tc>
          <w:tcPr>
            <w:tcW w:w="709" w:type="dxa"/>
            <w:vAlign w:val="center"/>
          </w:tcPr>
          <w:p w14:paraId="6673396C"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Uni.</w:t>
            </w:r>
          </w:p>
        </w:tc>
        <w:tc>
          <w:tcPr>
            <w:tcW w:w="2409" w:type="dxa"/>
            <w:shd w:val="clear" w:color="auto" w:fill="auto"/>
            <w:noWrap/>
            <w:vAlign w:val="center"/>
            <w:hideMark/>
          </w:tcPr>
          <w:p w14:paraId="6D6EBF58"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Water fluoridation</w:t>
            </w:r>
          </w:p>
        </w:tc>
        <w:tc>
          <w:tcPr>
            <w:tcW w:w="1105" w:type="dxa"/>
            <w:vMerge w:val="restart"/>
            <w:vAlign w:val="center"/>
          </w:tcPr>
          <w:p w14:paraId="4CAF8E60"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Societal</w:t>
            </w:r>
          </w:p>
        </w:tc>
        <w:tc>
          <w:tcPr>
            <w:tcW w:w="851" w:type="dxa"/>
            <w:vMerge w:val="restart"/>
            <w:vAlign w:val="center"/>
          </w:tcPr>
          <w:p w14:paraId="05F5D903"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30 years</w:t>
            </w:r>
          </w:p>
        </w:tc>
        <w:tc>
          <w:tcPr>
            <w:tcW w:w="851" w:type="dxa"/>
            <w:vMerge w:val="restart"/>
            <w:shd w:val="clear" w:color="auto" w:fill="auto"/>
            <w:noWrap/>
            <w:vAlign w:val="center"/>
            <w:hideMark/>
          </w:tcPr>
          <w:p w14:paraId="4392FD4A"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4-34</w:t>
            </w:r>
          </w:p>
        </w:tc>
        <w:tc>
          <w:tcPr>
            <w:tcW w:w="1190" w:type="dxa"/>
            <w:vMerge w:val="restart"/>
            <w:vAlign w:val="center"/>
          </w:tcPr>
          <w:p w14:paraId="790BD85F"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N/R</w:t>
            </w:r>
          </w:p>
        </w:tc>
        <w:tc>
          <w:tcPr>
            <w:tcW w:w="2760" w:type="dxa"/>
            <w:vMerge w:val="restart"/>
            <w:shd w:val="clear" w:color="auto" w:fill="auto"/>
            <w:noWrap/>
            <w:hideMark/>
          </w:tcPr>
          <w:p w14:paraId="5678A235"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Intervention costs (capital, labour, maintenance)</w:t>
            </w:r>
          </w:p>
          <w:p w14:paraId="6CF3A218"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br/>
              <w:t>Dental treatment costs (restorations)</w:t>
            </w:r>
          </w:p>
        </w:tc>
        <w:tc>
          <w:tcPr>
            <w:tcW w:w="1190" w:type="dxa"/>
            <w:gridSpan w:val="2"/>
            <w:vMerge w:val="restart"/>
            <w:shd w:val="clear" w:color="auto" w:fill="auto"/>
            <w:noWrap/>
            <w:vAlign w:val="center"/>
          </w:tcPr>
          <w:p w14:paraId="599E6090"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5%</w:t>
            </w:r>
          </w:p>
        </w:tc>
        <w:tc>
          <w:tcPr>
            <w:tcW w:w="1978" w:type="dxa"/>
            <w:vMerge w:val="restart"/>
            <w:shd w:val="clear" w:color="auto" w:fill="auto"/>
            <w:noWrap/>
            <w:hideMark/>
          </w:tcPr>
          <w:p w14:paraId="2BEB593E"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Costs (NZ$) per decayed surface averted</w:t>
            </w:r>
            <w:r w:rsidRPr="00800A49">
              <w:rPr>
                <w:rFonts w:ascii="Times New Roman" w:eastAsia="Times New Roman" w:hAnsi="Times New Roman" w:cs="Times New Roman"/>
                <w:color w:val="000000"/>
                <w:sz w:val="18"/>
                <w:szCs w:val="18"/>
                <w:lang w:eastAsia="en-AU"/>
              </w:rPr>
              <w:br/>
              <w:t>ICER: N/R (dominant)</w:t>
            </w:r>
          </w:p>
          <w:p w14:paraId="7ECB6CB2"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p>
          <w:p w14:paraId="5D15EC50"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Cost-effective = Yes</w:t>
            </w:r>
          </w:p>
        </w:tc>
        <w:tc>
          <w:tcPr>
            <w:tcW w:w="1134" w:type="dxa"/>
            <w:vMerge w:val="restart"/>
            <w:vAlign w:val="center"/>
          </w:tcPr>
          <w:p w14:paraId="2D179873"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Good</w:t>
            </w:r>
          </w:p>
        </w:tc>
      </w:tr>
      <w:tr w:rsidR="008461EA" w:rsidRPr="00800A49" w14:paraId="6A5CA41E" w14:textId="77777777" w:rsidTr="00720BDC">
        <w:trPr>
          <w:trHeight w:val="300"/>
        </w:trPr>
        <w:tc>
          <w:tcPr>
            <w:tcW w:w="1128" w:type="dxa"/>
            <w:vMerge/>
            <w:shd w:val="clear" w:color="auto" w:fill="auto"/>
            <w:noWrap/>
          </w:tcPr>
          <w:p w14:paraId="227F0B28"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p>
        </w:tc>
        <w:tc>
          <w:tcPr>
            <w:tcW w:w="283" w:type="dxa"/>
            <w:vAlign w:val="center"/>
          </w:tcPr>
          <w:p w14:paraId="7EDBC130"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C</w:t>
            </w:r>
          </w:p>
        </w:tc>
        <w:tc>
          <w:tcPr>
            <w:tcW w:w="709" w:type="dxa"/>
            <w:vAlign w:val="center"/>
          </w:tcPr>
          <w:p w14:paraId="4F8F4F77"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N/A</w:t>
            </w:r>
          </w:p>
        </w:tc>
        <w:tc>
          <w:tcPr>
            <w:tcW w:w="2409" w:type="dxa"/>
            <w:shd w:val="clear" w:color="auto" w:fill="auto"/>
            <w:noWrap/>
            <w:vAlign w:val="center"/>
          </w:tcPr>
          <w:p w14:paraId="47E859FA"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No intervention</w:t>
            </w:r>
          </w:p>
        </w:tc>
        <w:tc>
          <w:tcPr>
            <w:tcW w:w="1105" w:type="dxa"/>
            <w:vMerge/>
            <w:vAlign w:val="center"/>
          </w:tcPr>
          <w:p w14:paraId="37D0AC2E"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851" w:type="dxa"/>
            <w:vMerge/>
            <w:vAlign w:val="center"/>
          </w:tcPr>
          <w:p w14:paraId="5B6A2AD0"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851" w:type="dxa"/>
            <w:vMerge/>
            <w:shd w:val="clear" w:color="auto" w:fill="auto"/>
            <w:noWrap/>
            <w:vAlign w:val="center"/>
          </w:tcPr>
          <w:p w14:paraId="12F9600E"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1190" w:type="dxa"/>
            <w:vMerge/>
            <w:vAlign w:val="center"/>
          </w:tcPr>
          <w:p w14:paraId="03E6C18C"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2760" w:type="dxa"/>
            <w:vMerge/>
            <w:shd w:val="clear" w:color="auto" w:fill="auto"/>
            <w:noWrap/>
          </w:tcPr>
          <w:p w14:paraId="469BBDC6"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p>
        </w:tc>
        <w:tc>
          <w:tcPr>
            <w:tcW w:w="1190" w:type="dxa"/>
            <w:gridSpan w:val="2"/>
            <w:vMerge/>
            <w:shd w:val="clear" w:color="auto" w:fill="auto"/>
            <w:noWrap/>
            <w:vAlign w:val="center"/>
          </w:tcPr>
          <w:p w14:paraId="5FCC2B52"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1978" w:type="dxa"/>
            <w:vMerge/>
            <w:shd w:val="clear" w:color="auto" w:fill="auto"/>
            <w:noWrap/>
          </w:tcPr>
          <w:p w14:paraId="36A6D330"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p>
        </w:tc>
        <w:tc>
          <w:tcPr>
            <w:tcW w:w="1134" w:type="dxa"/>
            <w:vMerge/>
            <w:vAlign w:val="center"/>
          </w:tcPr>
          <w:p w14:paraId="3900AF94"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r>
      <w:tr w:rsidR="008461EA" w:rsidRPr="00800A49" w14:paraId="179247C8" w14:textId="77777777" w:rsidTr="00720BDC">
        <w:trPr>
          <w:trHeight w:val="300"/>
        </w:trPr>
        <w:tc>
          <w:tcPr>
            <w:tcW w:w="1128" w:type="dxa"/>
            <w:vMerge w:val="restart"/>
            <w:shd w:val="clear" w:color="auto" w:fill="auto"/>
            <w:noWrap/>
            <w:hideMark/>
          </w:tcPr>
          <w:p w14:paraId="7F110D8D"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Yee et al., 2004</w:t>
            </w:r>
          </w:p>
        </w:tc>
        <w:tc>
          <w:tcPr>
            <w:tcW w:w="283" w:type="dxa"/>
            <w:vAlign w:val="center"/>
          </w:tcPr>
          <w:p w14:paraId="4C41E7B0"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I</w:t>
            </w:r>
          </w:p>
        </w:tc>
        <w:tc>
          <w:tcPr>
            <w:tcW w:w="709" w:type="dxa"/>
            <w:vAlign w:val="center"/>
          </w:tcPr>
          <w:p w14:paraId="17622262"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Uni.</w:t>
            </w:r>
          </w:p>
        </w:tc>
        <w:tc>
          <w:tcPr>
            <w:tcW w:w="2409" w:type="dxa"/>
            <w:shd w:val="clear" w:color="auto" w:fill="auto"/>
            <w:noWrap/>
            <w:vAlign w:val="center"/>
            <w:hideMark/>
          </w:tcPr>
          <w:p w14:paraId="2ACDBC1B"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Oral health advocacy to fluoridate toothpastes by industry and increase uptake by consumers</w:t>
            </w:r>
          </w:p>
        </w:tc>
        <w:tc>
          <w:tcPr>
            <w:tcW w:w="1105" w:type="dxa"/>
            <w:vMerge w:val="restart"/>
            <w:vAlign w:val="center"/>
          </w:tcPr>
          <w:p w14:paraId="31B61B9F"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Societal</w:t>
            </w:r>
          </w:p>
        </w:tc>
        <w:tc>
          <w:tcPr>
            <w:tcW w:w="851" w:type="dxa"/>
            <w:vMerge w:val="restart"/>
            <w:vAlign w:val="center"/>
          </w:tcPr>
          <w:p w14:paraId="324E6500"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6 years</w:t>
            </w:r>
          </w:p>
        </w:tc>
        <w:tc>
          <w:tcPr>
            <w:tcW w:w="851" w:type="dxa"/>
            <w:vMerge w:val="restart"/>
            <w:shd w:val="clear" w:color="auto" w:fill="auto"/>
            <w:noWrap/>
            <w:vAlign w:val="center"/>
            <w:hideMark/>
          </w:tcPr>
          <w:p w14:paraId="04857A5C"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6-18</w:t>
            </w:r>
          </w:p>
        </w:tc>
        <w:tc>
          <w:tcPr>
            <w:tcW w:w="1190" w:type="dxa"/>
            <w:vMerge w:val="restart"/>
            <w:vAlign w:val="center"/>
          </w:tcPr>
          <w:p w14:paraId="0FB3C83B"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1,000</w:t>
            </w:r>
          </w:p>
        </w:tc>
        <w:tc>
          <w:tcPr>
            <w:tcW w:w="2760" w:type="dxa"/>
            <w:vMerge w:val="restart"/>
            <w:shd w:val="clear" w:color="auto" w:fill="auto"/>
            <w:noWrap/>
            <w:hideMark/>
          </w:tcPr>
          <w:p w14:paraId="7F154ABC"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Intervention costs (macro-costing)</w:t>
            </w:r>
            <w:r w:rsidRPr="00800A49">
              <w:rPr>
                <w:rFonts w:ascii="Times New Roman" w:eastAsia="Times New Roman" w:hAnsi="Times New Roman" w:cs="Times New Roman"/>
                <w:color w:val="000000"/>
                <w:sz w:val="18"/>
                <w:szCs w:val="18"/>
                <w:lang w:eastAsia="en-AU"/>
              </w:rPr>
              <w:br/>
            </w:r>
          </w:p>
          <w:p w14:paraId="6EE0FD30"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Dental treatment costs (restorations)</w:t>
            </w:r>
          </w:p>
        </w:tc>
        <w:tc>
          <w:tcPr>
            <w:tcW w:w="634" w:type="dxa"/>
            <w:vMerge w:val="restart"/>
            <w:shd w:val="clear" w:color="auto" w:fill="auto"/>
            <w:noWrap/>
            <w:vAlign w:val="center"/>
          </w:tcPr>
          <w:p w14:paraId="485E140C"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5%</w:t>
            </w:r>
          </w:p>
        </w:tc>
        <w:tc>
          <w:tcPr>
            <w:tcW w:w="556" w:type="dxa"/>
            <w:vMerge w:val="restart"/>
            <w:vAlign w:val="center"/>
          </w:tcPr>
          <w:p w14:paraId="5C33E2B4"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N/A</w:t>
            </w:r>
          </w:p>
        </w:tc>
        <w:tc>
          <w:tcPr>
            <w:tcW w:w="1978" w:type="dxa"/>
            <w:vMerge w:val="restart"/>
            <w:shd w:val="clear" w:color="auto" w:fill="auto"/>
            <w:noWrap/>
            <w:hideMark/>
          </w:tcPr>
          <w:p w14:paraId="4D8D0522"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Cost-benefit ratio</w:t>
            </w:r>
          </w:p>
          <w:p w14:paraId="360AB8DA"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1) 10% efficacy: 87</w:t>
            </w:r>
            <w:r w:rsidRPr="00800A49">
              <w:rPr>
                <w:rFonts w:ascii="Times New Roman" w:eastAsia="Times New Roman" w:hAnsi="Times New Roman" w:cs="Times New Roman"/>
                <w:color w:val="000000"/>
                <w:sz w:val="18"/>
                <w:szCs w:val="18"/>
                <w:lang w:eastAsia="en-AU"/>
              </w:rPr>
              <w:br/>
              <w:t>2) 20% efficacy: 151</w:t>
            </w:r>
            <w:r w:rsidRPr="00800A49">
              <w:rPr>
                <w:rFonts w:ascii="Times New Roman" w:eastAsia="Times New Roman" w:hAnsi="Times New Roman" w:cs="Times New Roman"/>
                <w:color w:val="000000"/>
                <w:sz w:val="18"/>
                <w:szCs w:val="18"/>
                <w:lang w:eastAsia="en-AU"/>
              </w:rPr>
              <w:br/>
              <w:t>3) 40% efficacy: 356</w:t>
            </w:r>
          </w:p>
          <w:p w14:paraId="54625252"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p>
          <w:p w14:paraId="5AFCE66F"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Cost-saving = Yes</w:t>
            </w:r>
          </w:p>
        </w:tc>
        <w:tc>
          <w:tcPr>
            <w:tcW w:w="1134" w:type="dxa"/>
            <w:vMerge w:val="restart"/>
            <w:vAlign w:val="center"/>
          </w:tcPr>
          <w:p w14:paraId="33211794"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Moderate</w:t>
            </w:r>
          </w:p>
        </w:tc>
      </w:tr>
      <w:tr w:rsidR="008461EA" w:rsidRPr="00800A49" w14:paraId="6831152D" w14:textId="77777777" w:rsidTr="00720BDC">
        <w:trPr>
          <w:trHeight w:val="300"/>
        </w:trPr>
        <w:tc>
          <w:tcPr>
            <w:tcW w:w="1128" w:type="dxa"/>
            <w:vMerge/>
            <w:shd w:val="clear" w:color="auto" w:fill="auto"/>
            <w:noWrap/>
          </w:tcPr>
          <w:p w14:paraId="61D89447"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p>
        </w:tc>
        <w:tc>
          <w:tcPr>
            <w:tcW w:w="283" w:type="dxa"/>
            <w:vAlign w:val="center"/>
          </w:tcPr>
          <w:p w14:paraId="4CBD52B7"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C</w:t>
            </w:r>
          </w:p>
        </w:tc>
        <w:tc>
          <w:tcPr>
            <w:tcW w:w="709" w:type="dxa"/>
            <w:vAlign w:val="center"/>
          </w:tcPr>
          <w:p w14:paraId="161B180A"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N/A</w:t>
            </w:r>
          </w:p>
        </w:tc>
        <w:tc>
          <w:tcPr>
            <w:tcW w:w="2409" w:type="dxa"/>
            <w:shd w:val="clear" w:color="auto" w:fill="auto"/>
            <w:noWrap/>
            <w:vAlign w:val="center"/>
          </w:tcPr>
          <w:p w14:paraId="2875FE24"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No intervention</w:t>
            </w:r>
          </w:p>
        </w:tc>
        <w:tc>
          <w:tcPr>
            <w:tcW w:w="1105" w:type="dxa"/>
            <w:vMerge/>
            <w:vAlign w:val="center"/>
          </w:tcPr>
          <w:p w14:paraId="51A381FF"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851" w:type="dxa"/>
            <w:vMerge/>
            <w:vAlign w:val="center"/>
          </w:tcPr>
          <w:p w14:paraId="08BEE217"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851" w:type="dxa"/>
            <w:vMerge/>
            <w:shd w:val="clear" w:color="auto" w:fill="auto"/>
            <w:noWrap/>
            <w:vAlign w:val="center"/>
          </w:tcPr>
          <w:p w14:paraId="1DF446A7"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1190" w:type="dxa"/>
            <w:vMerge/>
            <w:vAlign w:val="center"/>
          </w:tcPr>
          <w:p w14:paraId="3F473448"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2760" w:type="dxa"/>
            <w:vMerge/>
            <w:shd w:val="clear" w:color="auto" w:fill="auto"/>
            <w:noWrap/>
          </w:tcPr>
          <w:p w14:paraId="29AD902A"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p>
        </w:tc>
        <w:tc>
          <w:tcPr>
            <w:tcW w:w="634" w:type="dxa"/>
            <w:vMerge/>
            <w:shd w:val="clear" w:color="auto" w:fill="auto"/>
            <w:noWrap/>
            <w:vAlign w:val="center"/>
          </w:tcPr>
          <w:p w14:paraId="02806537"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556" w:type="dxa"/>
            <w:vMerge/>
            <w:vAlign w:val="center"/>
          </w:tcPr>
          <w:p w14:paraId="12B7AD2D"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1978" w:type="dxa"/>
            <w:vMerge/>
            <w:shd w:val="clear" w:color="auto" w:fill="auto"/>
            <w:noWrap/>
          </w:tcPr>
          <w:p w14:paraId="2B7B41B0"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p>
        </w:tc>
        <w:tc>
          <w:tcPr>
            <w:tcW w:w="1134" w:type="dxa"/>
            <w:vMerge/>
            <w:vAlign w:val="center"/>
          </w:tcPr>
          <w:p w14:paraId="3293B91B"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r>
      <w:tr w:rsidR="008461EA" w:rsidRPr="00800A49" w14:paraId="0384785A" w14:textId="77777777" w:rsidTr="00720BDC">
        <w:trPr>
          <w:trHeight w:val="300"/>
        </w:trPr>
        <w:tc>
          <w:tcPr>
            <w:tcW w:w="1128" w:type="dxa"/>
            <w:vMerge w:val="restart"/>
            <w:shd w:val="clear" w:color="auto" w:fill="auto"/>
            <w:noWrap/>
            <w:hideMark/>
          </w:tcPr>
          <w:p w14:paraId="3E064D6B"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proofErr w:type="spellStart"/>
            <w:r w:rsidRPr="00800A49">
              <w:rPr>
                <w:rFonts w:ascii="Times New Roman" w:eastAsia="Times New Roman" w:hAnsi="Times New Roman" w:cs="Times New Roman"/>
                <w:color w:val="000000"/>
                <w:sz w:val="18"/>
                <w:szCs w:val="18"/>
                <w:lang w:eastAsia="en-AU"/>
              </w:rPr>
              <w:t>Zaror</w:t>
            </w:r>
            <w:proofErr w:type="spellEnd"/>
            <w:r w:rsidRPr="00800A49">
              <w:rPr>
                <w:rFonts w:ascii="Times New Roman" w:eastAsia="Times New Roman" w:hAnsi="Times New Roman" w:cs="Times New Roman"/>
                <w:color w:val="000000"/>
                <w:sz w:val="18"/>
                <w:szCs w:val="18"/>
                <w:lang w:eastAsia="en-AU"/>
              </w:rPr>
              <w:t xml:space="preserve"> et al., 2020</w:t>
            </w:r>
          </w:p>
        </w:tc>
        <w:tc>
          <w:tcPr>
            <w:tcW w:w="283" w:type="dxa"/>
            <w:vAlign w:val="center"/>
          </w:tcPr>
          <w:p w14:paraId="12D4D532"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I</w:t>
            </w:r>
          </w:p>
        </w:tc>
        <w:tc>
          <w:tcPr>
            <w:tcW w:w="709" w:type="dxa"/>
            <w:vAlign w:val="center"/>
          </w:tcPr>
          <w:p w14:paraId="0A03920B"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Sel.</w:t>
            </w:r>
          </w:p>
        </w:tc>
        <w:tc>
          <w:tcPr>
            <w:tcW w:w="2409" w:type="dxa"/>
            <w:shd w:val="clear" w:color="auto" w:fill="auto"/>
            <w:noWrap/>
            <w:vAlign w:val="center"/>
            <w:hideMark/>
          </w:tcPr>
          <w:p w14:paraId="46067049"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Targeted 6-monthly check-ups, fluoride varnish, and oral health education</w:t>
            </w:r>
          </w:p>
        </w:tc>
        <w:tc>
          <w:tcPr>
            <w:tcW w:w="1105" w:type="dxa"/>
            <w:vMerge w:val="restart"/>
            <w:vAlign w:val="center"/>
          </w:tcPr>
          <w:p w14:paraId="000E7485"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Healthcare</w:t>
            </w:r>
          </w:p>
        </w:tc>
        <w:tc>
          <w:tcPr>
            <w:tcW w:w="851" w:type="dxa"/>
            <w:vMerge w:val="restart"/>
            <w:vAlign w:val="center"/>
          </w:tcPr>
          <w:p w14:paraId="4598B72E"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2 years</w:t>
            </w:r>
          </w:p>
        </w:tc>
        <w:tc>
          <w:tcPr>
            <w:tcW w:w="851" w:type="dxa"/>
            <w:vMerge w:val="restart"/>
            <w:shd w:val="clear" w:color="auto" w:fill="auto"/>
            <w:noWrap/>
            <w:vAlign w:val="center"/>
            <w:hideMark/>
          </w:tcPr>
          <w:p w14:paraId="0EB847A4"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2-3</w:t>
            </w:r>
          </w:p>
          <w:p w14:paraId="4EA11D38"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1190" w:type="dxa"/>
            <w:vAlign w:val="center"/>
          </w:tcPr>
          <w:p w14:paraId="15EAC17E"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89</w:t>
            </w:r>
          </w:p>
        </w:tc>
        <w:tc>
          <w:tcPr>
            <w:tcW w:w="2760" w:type="dxa"/>
            <w:vMerge w:val="restart"/>
            <w:shd w:val="clear" w:color="auto" w:fill="auto"/>
            <w:noWrap/>
            <w:hideMark/>
          </w:tcPr>
          <w:p w14:paraId="6A0DB193"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Intervention costs (capital, labour, consumables)</w:t>
            </w:r>
          </w:p>
          <w:p w14:paraId="2A623416"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br/>
              <w:t>Dental treatment costs (restorations)</w:t>
            </w:r>
          </w:p>
        </w:tc>
        <w:tc>
          <w:tcPr>
            <w:tcW w:w="1190" w:type="dxa"/>
            <w:gridSpan w:val="2"/>
            <w:vMerge w:val="restart"/>
            <w:shd w:val="clear" w:color="auto" w:fill="auto"/>
            <w:noWrap/>
            <w:vAlign w:val="center"/>
            <w:hideMark/>
          </w:tcPr>
          <w:p w14:paraId="1475081C"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3%</w:t>
            </w:r>
          </w:p>
        </w:tc>
        <w:tc>
          <w:tcPr>
            <w:tcW w:w="1978" w:type="dxa"/>
            <w:vMerge w:val="restart"/>
            <w:shd w:val="clear" w:color="auto" w:fill="auto"/>
            <w:noWrap/>
            <w:hideMark/>
          </w:tcPr>
          <w:p w14:paraId="68C4E506"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Costs (CLP) per caries-free person</w:t>
            </w:r>
            <w:r w:rsidRPr="00800A49">
              <w:rPr>
                <w:rFonts w:ascii="Times New Roman" w:eastAsia="Times New Roman" w:hAnsi="Times New Roman" w:cs="Times New Roman"/>
                <w:color w:val="000000"/>
                <w:sz w:val="18"/>
                <w:szCs w:val="18"/>
                <w:lang w:eastAsia="en-AU"/>
              </w:rPr>
              <w:br/>
              <w:t>ICER: 173.82</w:t>
            </w:r>
          </w:p>
          <w:p w14:paraId="649302A0"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p>
          <w:p w14:paraId="76D8A018"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Cost-effective = Yes; Arbitrary WTP of CLP 20,000 per caries-free person</w:t>
            </w:r>
          </w:p>
        </w:tc>
        <w:tc>
          <w:tcPr>
            <w:tcW w:w="1134" w:type="dxa"/>
            <w:vMerge w:val="restart"/>
            <w:vAlign w:val="center"/>
          </w:tcPr>
          <w:p w14:paraId="6F82AF1A"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Good</w:t>
            </w:r>
          </w:p>
        </w:tc>
      </w:tr>
      <w:tr w:rsidR="008461EA" w:rsidRPr="00800A49" w14:paraId="1F13F71B" w14:textId="77777777" w:rsidTr="00720BDC">
        <w:trPr>
          <w:trHeight w:val="300"/>
        </w:trPr>
        <w:tc>
          <w:tcPr>
            <w:tcW w:w="1128" w:type="dxa"/>
            <w:vMerge/>
            <w:shd w:val="clear" w:color="auto" w:fill="auto"/>
            <w:noWrap/>
          </w:tcPr>
          <w:p w14:paraId="0C09CA92"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p>
        </w:tc>
        <w:tc>
          <w:tcPr>
            <w:tcW w:w="283" w:type="dxa"/>
            <w:vAlign w:val="center"/>
          </w:tcPr>
          <w:p w14:paraId="6EAD0D84"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C</w:t>
            </w:r>
          </w:p>
        </w:tc>
        <w:tc>
          <w:tcPr>
            <w:tcW w:w="709" w:type="dxa"/>
            <w:vAlign w:val="center"/>
          </w:tcPr>
          <w:p w14:paraId="7FEC6FEB"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N/A</w:t>
            </w:r>
          </w:p>
        </w:tc>
        <w:tc>
          <w:tcPr>
            <w:tcW w:w="2409" w:type="dxa"/>
            <w:shd w:val="clear" w:color="auto" w:fill="auto"/>
            <w:noWrap/>
            <w:vAlign w:val="center"/>
          </w:tcPr>
          <w:p w14:paraId="2C8E8B06"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No intervention</w:t>
            </w:r>
          </w:p>
        </w:tc>
        <w:tc>
          <w:tcPr>
            <w:tcW w:w="1105" w:type="dxa"/>
            <w:vMerge/>
            <w:vAlign w:val="center"/>
          </w:tcPr>
          <w:p w14:paraId="73783A5F"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851" w:type="dxa"/>
            <w:vMerge/>
            <w:vAlign w:val="center"/>
          </w:tcPr>
          <w:p w14:paraId="66643C81"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851" w:type="dxa"/>
            <w:vMerge/>
            <w:shd w:val="clear" w:color="auto" w:fill="auto"/>
            <w:noWrap/>
            <w:vAlign w:val="center"/>
          </w:tcPr>
          <w:p w14:paraId="2E721394"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1190" w:type="dxa"/>
            <w:vAlign w:val="center"/>
          </w:tcPr>
          <w:p w14:paraId="6965F220"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100</w:t>
            </w:r>
          </w:p>
        </w:tc>
        <w:tc>
          <w:tcPr>
            <w:tcW w:w="2760" w:type="dxa"/>
            <w:vMerge/>
            <w:shd w:val="clear" w:color="auto" w:fill="auto"/>
            <w:noWrap/>
          </w:tcPr>
          <w:p w14:paraId="07069BE8"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p>
        </w:tc>
        <w:tc>
          <w:tcPr>
            <w:tcW w:w="1190" w:type="dxa"/>
            <w:gridSpan w:val="2"/>
            <w:vMerge/>
            <w:shd w:val="clear" w:color="auto" w:fill="auto"/>
            <w:noWrap/>
            <w:vAlign w:val="center"/>
          </w:tcPr>
          <w:p w14:paraId="2397C470"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1978" w:type="dxa"/>
            <w:vMerge/>
            <w:shd w:val="clear" w:color="auto" w:fill="auto"/>
            <w:noWrap/>
          </w:tcPr>
          <w:p w14:paraId="1057B629"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p>
        </w:tc>
        <w:tc>
          <w:tcPr>
            <w:tcW w:w="1134" w:type="dxa"/>
            <w:vMerge/>
            <w:vAlign w:val="center"/>
          </w:tcPr>
          <w:p w14:paraId="0FF40296"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r>
      <w:tr w:rsidR="008461EA" w:rsidRPr="00800A49" w14:paraId="5897C0E3" w14:textId="77777777" w:rsidTr="00720BDC">
        <w:trPr>
          <w:trHeight w:val="300"/>
        </w:trPr>
        <w:tc>
          <w:tcPr>
            <w:tcW w:w="1128" w:type="dxa"/>
            <w:vMerge w:val="restart"/>
            <w:shd w:val="clear" w:color="auto" w:fill="auto"/>
            <w:noWrap/>
            <w:hideMark/>
          </w:tcPr>
          <w:p w14:paraId="5BFB8CA4"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proofErr w:type="spellStart"/>
            <w:r w:rsidRPr="00800A49">
              <w:rPr>
                <w:rFonts w:ascii="Times New Roman" w:eastAsia="Times New Roman" w:hAnsi="Times New Roman" w:cs="Times New Roman"/>
                <w:color w:val="000000"/>
                <w:sz w:val="18"/>
                <w:szCs w:val="18"/>
                <w:lang w:eastAsia="en-AU"/>
              </w:rPr>
              <w:t>Zavras</w:t>
            </w:r>
            <w:proofErr w:type="spellEnd"/>
            <w:r w:rsidRPr="00800A49">
              <w:rPr>
                <w:rFonts w:ascii="Times New Roman" w:eastAsia="Times New Roman" w:hAnsi="Times New Roman" w:cs="Times New Roman"/>
                <w:color w:val="000000"/>
                <w:sz w:val="18"/>
                <w:szCs w:val="18"/>
                <w:lang w:eastAsia="en-AU"/>
              </w:rPr>
              <w:t xml:space="preserve"> et al., 2000</w:t>
            </w:r>
          </w:p>
        </w:tc>
        <w:tc>
          <w:tcPr>
            <w:tcW w:w="283" w:type="dxa"/>
            <w:vAlign w:val="center"/>
          </w:tcPr>
          <w:p w14:paraId="5C4F5481"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I</w:t>
            </w:r>
          </w:p>
        </w:tc>
        <w:tc>
          <w:tcPr>
            <w:tcW w:w="709" w:type="dxa"/>
            <w:vAlign w:val="center"/>
          </w:tcPr>
          <w:p w14:paraId="6A69CC67"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Uni.</w:t>
            </w:r>
          </w:p>
        </w:tc>
        <w:tc>
          <w:tcPr>
            <w:tcW w:w="2409" w:type="dxa"/>
            <w:shd w:val="clear" w:color="auto" w:fill="auto"/>
            <w:noWrap/>
            <w:vAlign w:val="center"/>
            <w:hideMark/>
          </w:tcPr>
          <w:p w14:paraId="77D368B3"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Bacterial screening (mutans streptococci) saliva testing</w:t>
            </w:r>
          </w:p>
        </w:tc>
        <w:tc>
          <w:tcPr>
            <w:tcW w:w="1105" w:type="dxa"/>
            <w:vMerge w:val="restart"/>
            <w:vAlign w:val="center"/>
          </w:tcPr>
          <w:p w14:paraId="0464A0B4"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Healthcare</w:t>
            </w:r>
          </w:p>
        </w:tc>
        <w:tc>
          <w:tcPr>
            <w:tcW w:w="851" w:type="dxa"/>
            <w:vMerge w:val="restart"/>
            <w:vAlign w:val="center"/>
          </w:tcPr>
          <w:p w14:paraId="2375CEAB"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3 years</w:t>
            </w:r>
          </w:p>
        </w:tc>
        <w:tc>
          <w:tcPr>
            <w:tcW w:w="851" w:type="dxa"/>
            <w:vMerge w:val="restart"/>
            <w:shd w:val="clear" w:color="auto" w:fill="auto"/>
            <w:noWrap/>
            <w:vAlign w:val="center"/>
            <w:hideMark/>
          </w:tcPr>
          <w:p w14:paraId="79862F37"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&lt;1</w:t>
            </w:r>
          </w:p>
        </w:tc>
        <w:tc>
          <w:tcPr>
            <w:tcW w:w="1190" w:type="dxa"/>
            <w:vMerge w:val="restart"/>
            <w:vAlign w:val="center"/>
          </w:tcPr>
          <w:p w14:paraId="2BCE3A8E"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Individual</w:t>
            </w:r>
          </w:p>
        </w:tc>
        <w:tc>
          <w:tcPr>
            <w:tcW w:w="2760" w:type="dxa"/>
            <w:vMerge w:val="restart"/>
            <w:shd w:val="clear" w:color="auto" w:fill="auto"/>
            <w:noWrap/>
          </w:tcPr>
          <w:p w14:paraId="21A930E1"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Intervention costs (macro-costing)</w:t>
            </w:r>
          </w:p>
          <w:p w14:paraId="72C4F2AA"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p>
          <w:p w14:paraId="089E562D"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Dental treatment costs (restorations, in-office dental treatment, dental treatment under general anaesthesia)</w:t>
            </w:r>
          </w:p>
        </w:tc>
        <w:tc>
          <w:tcPr>
            <w:tcW w:w="634" w:type="dxa"/>
            <w:vMerge w:val="restart"/>
            <w:shd w:val="clear" w:color="auto" w:fill="auto"/>
            <w:noWrap/>
            <w:vAlign w:val="center"/>
          </w:tcPr>
          <w:p w14:paraId="3D5CBDE9"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0%</w:t>
            </w:r>
          </w:p>
        </w:tc>
        <w:tc>
          <w:tcPr>
            <w:tcW w:w="556" w:type="dxa"/>
            <w:vMerge w:val="restart"/>
            <w:vAlign w:val="center"/>
          </w:tcPr>
          <w:p w14:paraId="29EE6B03"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N/A</w:t>
            </w:r>
          </w:p>
        </w:tc>
        <w:tc>
          <w:tcPr>
            <w:tcW w:w="1978" w:type="dxa"/>
            <w:vMerge w:val="restart"/>
            <w:shd w:val="clear" w:color="auto" w:fill="auto"/>
            <w:noWrap/>
            <w:hideMark/>
          </w:tcPr>
          <w:p w14:paraId="3A8C23FD"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Net benefit (US$): -7.0%</w:t>
            </w:r>
          </w:p>
          <w:p w14:paraId="2D4D68D8"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p>
          <w:p w14:paraId="0DBBE856"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Cost-saving = Yes</w:t>
            </w:r>
          </w:p>
        </w:tc>
        <w:tc>
          <w:tcPr>
            <w:tcW w:w="1134" w:type="dxa"/>
            <w:vMerge w:val="restart"/>
            <w:vAlign w:val="center"/>
          </w:tcPr>
          <w:p w14:paraId="7CCCD1C0"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Moderate</w:t>
            </w:r>
          </w:p>
        </w:tc>
      </w:tr>
      <w:tr w:rsidR="008461EA" w:rsidRPr="00800A49" w14:paraId="7928F61B" w14:textId="77777777" w:rsidTr="00720BDC">
        <w:trPr>
          <w:trHeight w:val="300"/>
        </w:trPr>
        <w:tc>
          <w:tcPr>
            <w:tcW w:w="1128" w:type="dxa"/>
            <w:vMerge/>
            <w:shd w:val="clear" w:color="auto" w:fill="auto"/>
            <w:noWrap/>
          </w:tcPr>
          <w:p w14:paraId="50CFB455"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p>
        </w:tc>
        <w:tc>
          <w:tcPr>
            <w:tcW w:w="283" w:type="dxa"/>
            <w:vAlign w:val="center"/>
          </w:tcPr>
          <w:p w14:paraId="4B4601FC"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C</w:t>
            </w:r>
          </w:p>
        </w:tc>
        <w:tc>
          <w:tcPr>
            <w:tcW w:w="709" w:type="dxa"/>
            <w:vAlign w:val="center"/>
          </w:tcPr>
          <w:p w14:paraId="57C709F8"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N/A</w:t>
            </w:r>
          </w:p>
        </w:tc>
        <w:tc>
          <w:tcPr>
            <w:tcW w:w="2409" w:type="dxa"/>
            <w:shd w:val="clear" w:color="auto" w:fill="auto"/>
            <w:noWrap/>
            <w:vAlign w:val="center"/>
          </w:tcPr>
          <w:p w14:paraId="09D65EBE"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No intervention</w:t>
            </w:r>
          </w:p>
        </w:tc>
        <w:tc>
          <w:tcPr>
            <w:tcW w:w="1105" w:type="dxa"/>
            <w:vMerge/>
            <w:vAlign w:val="center"/>
          </w:tcPr>
          <w:p w14:paraId="7FFD44DC"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851" w:type="dxa"/>
            <w:vMerge/>
            <w:vAlign w:val="center"/>
          </w:tcPr>
          <w:p w14:paraId="3247A1B6"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851" w:type="dxa"/>
            <w:vMerge/>
            <w:shd w:val="clear" w:color="auto" w:fill="auto"/>
            <w:noWrap/>
            <w:vAlign w:val="center"/>
          </w:tcPr>
          <w:p w14:paraId="01138B47"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1190" w:type="dxa"/>
            <w:vMerge/>
            <w:vAlign w:val="center"/>
          </w:tcPr>
          <w:p w14:paraId="65D2D332"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2760" w:type="dxa"/>
            <w:vMerge/>
            <w:shd w:val="clear" w:color="auto" w:fill="auto"/>
            <w:noWrap/>
          </w:tcPr>
          <w:p w14:paraId="63FD0C0A"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p>
        </w:tc>
        <w:tc>
          <w:tcPr>
            <w:tcW w:w="634" w:type="dxa"/>
            <w:vMerge/>
            <w:shd w:val="clear" w:color="auto" w:fill="auto"/>
            <w:noWrap/>
            <w:vAlign w:val="center"/>
          </w:tcPr>
          <w:p w14:paraId="7DC3CFFE"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556" w:type="dxa"/>
            <w:vMerge/>
            <w:vAlign w:val="center"/>
          </w:tcPr>
          <w:p w14:paraId="5C0F46D9"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1978" w:type="dxa"/>
            <w:vMerge/>
            <w:shd w:val="clear" w:color="auto" w:fill="auto"/>
            <w:noWrap/>
          </w:tcPr>
          <w:p w14:paraId="511DCB2C"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p>
        </w:tc>
        <w:tc>
          <w:tcPr>
            <w:tcW w:w="1134" w:type="dxa"/>
            <w:vMerge/>
            <w:vAlign w:val="center"/>
          </w:tcPr>
          <w:p w14:paraId="7F0836BD"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r>
      <w:tr w:rsidR="008461EA" w:rsidRPr="00800A49" w14:paraId="5C30AA71" w14:textId="77777777" w:rsidTr="00720BDC">
        <w:trPr>
          <w:trHeight w:val="300"/>
        </w:trPr>
        <w:tc>
          <w:tcPr>
            <w:tcW w:w="1128" w:type="dxa"/>
            <w:vMerge w:val="restart"/>
            <w:shd w:val="clear" w:color="auto" w:fill="auto"/>
            <w:noWrap/>
            <w:hideMark/>
          </w:tcPr>
          <w:p w14:paraId="337656FB"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Zimmer et al., 2018</w:t>
            </w:r>
          </w:p>
        </w:tc>
        <w:tc>
          <w:tcPr>
            <w:tcW w:w="283" w:type="dxa"/>
            <w:vAlign w:val="center"/>
          </w:tcPr>
          <w:p w14:paraId="5DF3A7AF"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I</w:t>
            </w:r>
          </w:p>
        </w:tc>
        <w:tc>
          <w:tcPr>
            <w:tcW w:w="709" w:type="dxa"/>
            <w:vAlign w:val="center"/>
          </w:tcPr>
          <w:p w14:paraId="6774CFDF"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Uni.</w:t>
            </w:r>
          </w:p>
        </w:tc>
        <w:tc>
          <w:tcPr>
            <w:tcW w:w="2409" w:type="dxa"/>
            <w:shd w:val="clear" w:color="auto" w:fill="auto"/>
            <w:noWrap/>
            <w:vAlign w:val="center"/>
            <w:hideMark/>
          </w:tcPr>
          <w:p w14:paraId="07577C0D"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Increased chewing gum levels in Finland</w:t>
            </w:r>
          </w:p>
        </w:tc>
        <w:tc>
          <w:tcPr>
            <w:tcW w:w="1105" w:type="dxa"/>
            <w:vMerge w:val="restart"/>
            <w:vAlign w:val="center"/>
          </w:tcPr>
          <w:p w14:paraId="423EB0A0"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Healthcare</w:t>
            </w:r>
          </w:p>
        </w:tc>
        <w:tc>
          <w:tcPr>
            <w:tcW w:w="851" w:type="dxa"/>
            <w:vMerge w:val="restart"/>
            <w:vAlign w:val="center"/>
          </w:tcPr>
          <w:p w14:paraId="7A0AC2E9"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62 years</w:t>
            </w:r>
          </w:p>
        </w:tc>
        <w:tc>
          <w:tcPr>
            <w:tcW w:w="851" w:type="dxa"/>
            <w:vMerge w:val="restart"/>
            <w:shd w:val="clear" w:color="auto" w:fill="auto"/>
            <w:noWrap/>
            <w:vAlign w:val="center"/>
            <w:hideMark/>
          </w:tcPr>
          <w:p w14:paraId="09E46E37"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12</w:t>
            </w:r>
          </w:p>
        </w:tc>
        <w:tc>
          <w:tcPr>
            <w:tcW w:w="1190" w:type="dxa"/>
            <w:vMerge w:val="restart"/>
            <w:vAlign w:val="center"/>
          </w:tcPr>
          <w:p w14:paraId="1B64FA57"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Individual</w:t>
            </w:r>
          </w:p>
        </w:tc>
        <w:tc>
          <w:tcPr>
            <w:tcW w:w="2760" w:type="dxa"/>
            <w:vMerge w:val="restart"/>
            <w:shd w:val="clear" w:color="auto" w:fill="auto"/>
            <w:noWrap/>
            <w:hideMark/>
          </w:tcPr>
          <w:p w14:paraId="0BE4A497"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Intervention costs (N/R)</w:t>
            </w:r>
          </w:p>
          <w:p w14:paraId="5D8AE52F"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p>
          <w:p w14:paraId="34871BFC"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Dental treatment costs (restorations, root canal treatment, crown, bridge, removal prosthesis, implant)</w:t>
            </w:r>
          </w:p>
        </w:tc>
        <w:tc>
          <w:tcPr>
            <w:tcW w:w="634" w:type="dxa"/>
            <w:vMerge w:val="restart"/>
            <w:shd w:val="clear" w:color="auto" w:fill="auto"/>
            <w:noWrap/>
            <w:vAlign w:val="center"/>
          </w:tcPr>
          <w:p w14:paraId="3E495934"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3%</w:t>
            </w:r>
          </w:p>
        </w:tc>
        <w:tc>
          <w:tcPr>
            <w:tcW w:w="556" w:type="dxa"/>
            <w:vMerge w:val="restart"/>
            <w:vAlign w:val="center"/>
          </w:tcPr>
          <w:p w14:paraId="1EF004BF"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N/A</w:t>
            </w:r>
          </w:p>
        </w:tc>
        <w:tc>
          <w:tcPr>
            <w:tcW w:w="1978" w:type="dxa"/>
            <w:vMerge w:val="restart"/>
            <w:shd w:val="clear" w:color="auto" w:fill="auto"/>
            <w:noWrap/>
            <w:hideMark/>
          </w:tcPr>
          <w:p w14:paraId="78F2D997"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Net benefits/costs:</w:t>
            </w:r>
          </w:p>
          <w:p w14:paraId="17927DA1"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1) Lifetime: -€5,011.02 per capita, or</w:t>
            </w:r>
          </w:p>
          <w:p w14:paraId="69EA420F"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2) -€80.82 per year</w:t>
            </w:r>
          </w:p>
          <w:p w14:paraId="5AF5189B"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p>
          <w:p w14:paraId="07BDE660"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Cost-saving = Yes</w:t>
            </w:r>
          </w:p>
        </w:tc>
        <w:tc>
          <w:tcPr>
            <w:tcW w:w="1134" w:type="dxa"/>
            <w:vMerge w:val="restart"/>
            <w:vAlign w:val="center"/>
          </w:tcPr>
          <w:p w14:paraId="1B3BB237"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Good</w:t>
            </w:r>
          </w:p>
        </w:tc>
      </w:tr>
      <w:tr w:rsidR="008461EA" w:rsidRPr="00800A49" w14:paraId="449E0F11" w14:textId="77777777" w:rsidTr="00720BDC">
        <w:trPr>
          <w:trHeight w:val="300"/>
        </w:trPr>
        <w:tc>
          <w:tcPr>
            <w:tcW w:w="1128" w:type="dxa"/>
            <w:vMerge/>
            <w:shd w:val="clear" w:color="auto" w:fill="auto"/>
            <w:noWrap/>
          </w:tcPr>
          <w:p w14:paraId="52078F4F"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p>
        </w:tc>
        <w:tc>
          <w:tcPr>
            <w:tcW w:w="283" w:type="dxa"/>
            <w:vAlign w:val="center"/>
          </w:tcPr>
          <w:p w14:paraId="0711B6E0"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C</w:t>
            </w:r>
          </w:p>
        </w:tc>
        <w:tc>
          <w:tcPr>
            <w:tcW w:w="709" w:type="dxa"/>
            <w:vAlign w:val="center"/>
          </w:tcPr>
          <w:p w14:paraId="4DA15570"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N/A</w:t>
            </w:r>
          </w:p>
        </w:tc>
        <w:tc>
          <w:tcPr>
            <w:tcW w:w="2409" w:type="dxa"/>
            <w:shd w:val="clear" w:color="auto" w:fill="auto"/>
            <w:noWrap/>
            <w:vAlign w:val="center"/>
          </w:tcPr>
          <w:p w14:paraId="41578E04"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r w:rsidRPr="00800A49">
              <w:rPr>
                <w:rFonts w:ascii="Times New Roman" w:eastAsia="Times New Roman" w:hAnsi="Times New Roman" w:cs="Times New Roman"/>
                <w:color w:val="000000"/>
                <w:sz w:val="18"/>
                <w:szCs w:val="18"/>
                <w:lang w:eastAsia="en-AU"/>
              </w:rPr>
              <w:t>Current chewing gum levels in Germany</w:t>
            </w:r>
          </w:p>
        </w:tc>
        <w:tc>
          <w:tcPr>
            <w:tcW w:w="1105" w:type="dxa"/>
            <w:vMerge/>
            <w:vAlign w:val="center"/>
          </w:tcPr>
          <w:p w14:paraId="56F0119C"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851" w:type="dxa"/>
            <w:vMerge/>
            <w:vAlign w:val="center"/>
          </w:tcPr>
          <w:p w14:paraId="52E06590"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851" w:type="dxa"/>
            <w:vMerge/>
            <w:shd w:val="clear" w:color="auto" w:fill="auto"/>
            <w:noWrap/>
            <w:vAlign w:val="center"/>
          </w:tcPr>
          <w:p w14:paraId="05A521A1"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1190" w:type="dxa"/>
            <w:vMerge/>
            <w:vAlign w:val="center"/>
          </w:tcPr>
          <w:p w14:paraId="2B07C893"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2760" w:type="dxa"/>
            <w:vMerge/>
            <w:shd w:val="clear" w:color="auto" w:fill="auto"/>
            <w:noWrap/>
          </w:tcPr>
          <w:p w14:paraId="64A673E3"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p>
        </w:tc>
        <w:tc>
          <w:tcPr>
            <w:tcW w:w="634" w:type="dxa"/>
            <w:vMerge/>
            <w:shd w:val="clear" w:color="auto" w:fill="auto"/>
            <w:noWrap/>
            <w:vAlign w:val="center"/>
          </w:tcPr>
          <w:p w14:paraId="60B8A60D"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556" w:type="dxa"/>
            <w:vMerge/>
            <w:vAlign w:val="center"/>
          </w:tcPr>
          <w:p w14:paraId="26C731B7"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c>
          <w:tcPr>
            <w:tcW w:w="1978" w:type="dxa"/>
            <w:vMerge/>
            <w:shd w:val="clear" w:color="auto" w:fill="auto"/>
            <w:noWrap/>
          </w:tcPr>
          <w:p w14:paraId="42CB1006" w14:textId="77777777" w:rsidR="008461EA" w:rsidRPr="00800A49" w:rsidRDefault="008461EA" w:rsidP="00720BDC">
            <w:pPr>
              <w:spacing w:after="0" w:line="240" w:lineRule="auto"/>
              <w:rPr>
                <w:rFonts w:ascii="Times New Roman" w:eastAsia="Times New Roman" w:hAnsi="Times New Roman" w:cs="Times New Roman"/>
                <w:color w:val="000000"/>
                <w:sz w:val="18"/>
                <w:szCs w:val="18"/>
                <w:lang w:eastAsia="en-AU"/>
              </w:rPr>
            </w:pPr>
          </w:p>
        </w:tc>
        <w:tc>
          <w:tcPr>
            <w:tcW w:w="1134" w:type="dxa"/>
            <w:vMerge/>
            <w:vAlign w:val="center"/>
          </w:tcPr>
          <w:p w14:paraId="03328828" w14:textId="77777777" w:rsidR="008461EA" w:rsidRPr="00800A49" w:rsidRDefault="008461EA" w:rsidP="00720BDC">
            <w:pPr>
              <w:spacing w:after="0" w:line="240" w:lineRule="auto"/>
              <w:jc w:val="center"/>
              <w:rPr>
                <w:rFonts w:ascii="Times New Roman" w:eastAsia="Times New Roman" w:hAnsi="Times New Roman" w:cs="Times New Roman"/>
                <w:color w:val="000000"/>
                <w:sz w:val="18"/>
                <w:szCs w:val="18"/>
                <w:lang w:eastAsia="en-AU"/>
              </w:rPr>
            </w:pPr>
          </w:p>
        </w:tc>
      </w:tr>
    </w:tbl>
    <w:p w14:paraId="7EB4E347" w14:textId="77777777" w:rsidR="008461EA" w:rsidRPr="00800A49" w:rsidRDefault="008461EA" w:rsidP="008461EA">
      <w:pPr>
        <w:spacing w:after="0" w:line="240" w:lineRule="auto"/>
        <w:rPr>
          <w:rFonts w:ascii="Times New Roman" w:hAnsi="Times New Roman" w:cs="Times New Roman"/>
          <w:sz w:val="24"/>
          <w:szCs w:val="24"/>
        </w:rPr>
      </w:pPr>
      <w:proofErr w:type="gramStart"/>
      <w:r w:rsidRPr="00800A49">
        <w:rPr>
          <w:rFonts w:ascii="Times New Roman" w:hAnsi="Times New Roman" w:cs="Times New Roman"/>
          <w:sz w:val="24"/>
          <w:szCs w:val="24"/>
        </w:rPr>
        <w:t>I  =</w:t>
      </w:r>
      <w:proofErr w:type="gramEnd"/>
      <w:r w:rsidRPr="00800A49">
        <w:rPr>
          <w:rFonts w:ascii="Times New Roman" w:hAnsi="Times New Roman" w:cs="Times New Roman"/>
          <w:sz w:val="24"/>
          <w:szCs w:val="24"/>
        </w:rPr>
        <w:t xml:space="preserve"> intervention</w:t>
      </w:r>
    </w:p>
    <w:p w14:paraId="7C802568" w14:textId="77777777" w:rsidR="008461EA" w:rsidRPr="00800A49" w:rsidRDefault="008461EA" w:rsidP="008461EA">
      <w:pPr>
        <w:spacing w:after="0" w:line="240" w:lineRule="auto"/>
        <w:rPr>
          <w:rFonts w:ascii="Times New Roman" w:hAnsi="Times New Roman" w:cs="Times New Roman"/>
          <w:sz w:val="24"/>
          <w:szCs w:val="24"/>
        </w:rPr>
      </w:pPr>
      <w:r w:rsidRPr="00800A49">
        <w:rPr>
          <w:rFonts w:ascii="Times New Roman" w:hAnsi="Times New Roman" w:cs="Times New Roman"/>
          <w:sz w:val="24"/>
          <w:szCs w:val="24"/>
        </w:rPr>
        <w:t>C = comparator</w:t>
      </w:r>
    </w:p>
    <w:p w14:paraId="5B28087B" w14:textId="77777777" w:rsidR="008461EA" w:rsidRPr="00800A49" w:rsidRDefault="008461EA" w:rsidP="008461EA">
      <w:pPr>
        <w:spacing w:after="0" w:line="240" w:lineRule="auto"/>
        <w:rPr>
          <w:rFonts w:ascii="Times New Roman" w:hAnsi="Times New Roman" w:cs="Times New Roman"/>
          <w:sz w:val="24"/>
          <w:szCs w:val="24"/>
        </w:rPr>
      </w:pPr>
      <w:r w:rsidRPr="00800A49">
        <w:rPr>
          <w:rFonts w:ascii="Times New Roman" w:hAnsi="Times New Roman" w:cs="Times New Roman"/>
          <w:sz w:val="24"/>
          <w:szCs w:val="24"/>
        </w:rPr>
        <w:t>Uni. = universal</w:t>
      </w:r>
    </w:p>
    <w:p w14:paraId="29DA40B5" w14:textId="77777777" w:rsidR="008461EA" w:rsidRPr="00800A49" w:rsidRDefault="008461EA" w:rsidP="008461EA">
      <w:pPr>
        <w:spacing w:after="0" w:line="240" w:lineRule="auto"/>
        <w:rPr>
          <w:rFonts w:ascii="Times New Roman" w:hAnsi="Times New Roman" w:cs="Times New Roman"/>
          <w:sz w:val="24"/>
          <w:szCs w:val="24"/>
        </w:rPr>
      </w:pPr>
      <w:r w:rsidRPr="00800A49">
        <w:rPr>
          <w:rFonts w:ascii="Times New Roman" w:hAnsi="Times New Roman" w:cs="Times New Roman"/>
          <w:sz w:val="24"/>
          <w:szCs w:val="24"/>
        </w:rPr>
        <w:t>Sel. = selective</w:t>
      </w:r>
    </w:p>
    <w:p w14:paraId="34F13A6B" w14:textId="77777777" w:rsidR="008461EA" w:rsidRPr="00800A49" w:rsidRDefault="008461EA" w:rsidP="008461EA">
      <w:pPr>
        <w:spacing w:after="0" w:line="240" w:lineRule="auto"/>
        <w:rPr>
          <w:rFonts w:ascii="Times New Roman" w:hAnsi="Times New Roman" w:cs="Times New Roman"/>
          <w:sz w:val="24"/>
          <w:szCs w:val="24"/>
        </w:rPr>
      </w:pPr>
      <w:r w:rsidRPr="00800A49">
        <w:rPr>
          <w:rFonts w:ascii="Times New Roman" w:hAnsi="Times New Roman" w:cs="Times New Roman"/>
          <w:sz w:val="24"/>
          <w:szCs w:val="24"/>
        </w:rPr>
        <w:t>Ind. = indicated</w:t>
      </w:r>
    </w:p>
    <w:p w14:paraId="255AEC78" w14:textId="77777777" w:rsidR="008461EA" w:rsidRPr="00800A49" w:rsidRDefault="008461EA" w:rsidP="008461EA">
      <w:pPr>
        <w:spacing w:after="0" w:line="240" w:lineRule="auto"/>
        <w:rPr>
          <w:rFonts w:ascii="Times New Roman" w:hAnsi="Times New Roman" w:cs="Times New Roman"/>
          <w:sz w:val="24"/>
          <w:szCs w:val="24"/>
        </w:rPr>
      </w:pPr>
      <w:r w:rsidRPr="00800A49">
        <w:rPr>
          <w:rFonts w:ascii="Times New Roman" w:hAnsi="Times New Roman" w:cs="Times New Roman"/>
          <w:sz w:val="24"/>
          <w:szCs w:val="24"/>
        </w:rPr>
        <w:t>N/A = not applicable</w:t>
      </w:r>
    </w:p>
    <w:p w14:paraId="2C2E8A04" w14:textId="77777777" w:rsidR="008461EA" w:rsidRPr="00800A49" w:rsidRDefault="008461EA" w:rsidP="008461EA">
      <w:pPr>
        <w:spacing w:after="0" w:line="240" w:lineRule="auto"/>
        <w:rPr>
          <w:rFonts w:ascii="Times New Roman" w:hAnsi="Times New Roman" w:cs="Times New Roman"/>
          <w:sz w:val="24"/>
          <w:szCs w:val="24"/>
        </w:rPr>
      </w:pPr>
      <w:r w:rsidRPr="00800A49">
        <w:rPr>
          <w:rFonts w:ascii="Times New Roman" w:hAnsi="Times New Roman" w:cs="Times New Roman"/>
          <w:sz w:val="24"/>
          <w:szCs w:val="24"/>
        </w:rPr>
        <w:lastRenderedPageBreak/>
        <w:t>N/R = not reported</w:t>
      </w:r>
    </w:p>
    <w:p w14:paraId="10718DCD" w14:textId="77777777" w:rsidR="008461EA" w:rsidRPr="00800A49" w:rsidRDefault="008461EA" w:rsidP="008461EA">
      <w:pPr>
        <w:spacing w:after="0" w:line="240" w:lineRule="auto"/>
        <w:rPr>
          <w:rFonts w:ascii="Times New Roman" w:hAnsi="Times New Roman" w:cs="Times New Roman"/>
          <w:sz w:val="24"/>
          <w:szCs w:val="24"/>
        </w:rPr>
      </w:pPr>
      <w:r w:rsidRPr="00800A49">
        <w:rPr>
          <w:rFonts w:ascii="Times New Roman" w:hAnsi="Times New Roman" w:cs="Times New Roman"/>
          <w:sz w:val="24"/>
          <w:szCs w:val="24"/>
        </w:rPr>
        <w:t>N/S = not stated</w:t>
      </w:r>
    </w:p>
    <w:p w14:paraId="6F59BCD9" w14:textId="77777777" w:rsidR="008461EA" w:rsidRPr="00800A49" w:rsidRDefault="008461EA" w:rsidP="008461EA">
      <w:pPr>
        <w:spacing w:after="0" w:line="240" w:lineRule="auto"/>
        <w:rPr>
          <w:rFonts w:ascii="Times New Roman" w:hAnsi="Times New Roman" w:cs="Times New Roman"/>
          <w:sz w:val="24"/>
          <w:szCs w:val="24"/>
        </w:rPr>
      </w:pPr>
      <w:r w:rsidRPr="00800A49">
        <w:rPr>
          <w:rFonts w:ascii="Times New Roman" w:hAnsi="Times New Roman" w:cs="Times New Roman"/>
          <w:sz w:val="24"/>
          <w:szCs w:val="24"/>
        </w:rPr>
        <w:t>Class. = classification of the preventive intervention</w:t>
      </w:r>
    </w:p>
    <w:p w14:paraId="60AEC6B1" w14:textId="77777777" w:rsidR="008461EA" w:rsidRPr="00800A49" w:rsidRDefault="008461EA" w:rsidP="008461EA">
      <w:pPr>
        <w:spacing w:after="0" w:line="240" w:lineRule="auto"/>
        <w:rPr>
          <w:rFonts w:ascii="Times New Roman" w:hAnsi="Times New Roman" w:cs="Times New Roman"/>
          <w:sz w:val="24"/>
          <w:szCs w:val="24"/>
        </w:rPr>
      </w:pPr>
      <w:proofErr w:type="spellStart"/>
      <w:r w:rsidRPr="00800A49">
        <w:rPr>
          <w:rFonts w:ascii="Times New Roman" w:hAnsi="Times New Roman" w:cs="Times New Roman"/>
          <w:sz w:val="24"/>
          <w:szCs w:val="24"/>
        </w:rPr>
        <w:t>Persp</w:t>
      </w:r>
      <w:proofErr w:type="spellEnd"/>
      <w:r w:rsidRPr="00800A49">
        <w:rPr>
          <w:rFonts w:ascii="Times New Roman" w:hAnsi="Times New Roman" w:cs="Times New Roman"/>
          <w:sz w:val="24"/>
          <w:szCs w:val="24"/>
        </w:rPr>
        <w:t>. = perspective</w:t>
      </w:r>
    </w:p>
    <w:p w14:paraId="2C0969DD" w14:textId="77777777" w:rsidR="008461EA" w:rsidRPr="00800A49" w:rsidRDefault="008461EA" w:rsidP="008461EA">
      <w:pPr>
        <w:spacing w:after="0" w:line="240" w:lineRule="auto"/>
        <w:rPr>
          <w:rFonts w:ascii="Times New Roman" w:hAnsi="Times New Roman" w:cs="Times New Roman"/>
          <w:sz w:val="24"/>
          <w:szCs w:val="24"/>
        </w:rPr>
      </w:pPr>
      <w:r w:rsidRPr="00800A49">
        <w:rPr>
          <w:rFonts w:ascii="Times New Roman" w:hAnsi="Times New Roman" w:cs="Times New Roman"/>
          <w:sz w:val="24"/>
          <w:szCs w:val="24"/>
        </w:rPr>
        <w:t>Eff. = effectiveness</w:t>
      </w:r>
      <w:r w:rsidRPr="00800A49">
        <w:rPr>
          <w:rFonts w:ascii="Times New Roman" w:hAnsi="Times New Roman" w:cs="Times New Roman"/>
        </w:rPr>
        <w:fldChar w:fldCharType="begin"/>
      </w:r>
      <w:r w:rsidRPr="00800A49">
        <w:rPr>
          <w:rFonts w:ascii="Times New Roman" w:hAnsi="Times New Roman" w:cs="Times New Roman"/>
        </w:rPr>
        <w:instrText xml:space="preserve"> ADDIN </w:instrText>
      </w:r>
      <w:r w:rsidRPr="00800A49">
        <w:rPr>
          <w:rFonts w:ascii="Times New Roman" w:hAnsi="Times New Roman" w:cs="Times New Roman"/>
        </w:rPr>
        <w:fldChar w:fldCharType="end"/>
      </w:r>
    </w:p>
    <w:p w14:paraId="002F1CE7" w14:textId="77777777" w:rsidR="008461EA" w:rsidRPr="00800A49" w:rsidRDefault="008461EA" w:rsidP="008461EA">
      <w:pPr>
        <w:spacing w:after="0" w:line="240" w:lineRule="auto"/>
        <w:jc w:val="both"/>
        <w:rPr>
          <w:rFonts w:ascii="Times New Roman" w:hAnsi="Times New Roman" w:cs="Times New Roman"/>
          <w:sz w:val="24"/>
          <w:szCs w:val="24"/>
        </w:rPr>
      </w:pPr>
      <w:r w:rsidRPr="00800A49">
        <w:rPr>
          <w:rFonts w:ascii="Times New Roman" w:hAnsi="Times New Roman" w:cs="Times New Roman"/>
          <w:sz w:val="24"/>
          <w:szCs w:val="24"/>
        </w:rPr>
        <w:t>CBA = cost-benefit analysis</w:t>
      </w:r>
    </w:p>
    <w:p w14:paraId="2A7486B0" w14:textId="77777777" w:rsidR="008461EA" w:rsidRPr="00800A49" w:rsidRDefault="008461EA" w:rsidP="008461EA">
      <w:pPr>
        <w:spacing w:after="0" w:line="240" w:lineRule="auto"/>
        <w:jc w:val="both"/>
        <w:rPr>
          <w:rFonts w:ascii="Times New Roman" w:hAnsi="Times New Roman" w:cs="Times New Roman"/>
          <w:b/>
          <w:bCs/>
          <w:noProof/>
          <w:sz w:val="24"/>
          <w:szCs w:val="24"/>
        </w:rPr>
      </w:pPr>
      <w:r w:rsidRPr="00800A49">
        <w:rPr>
          <w:rFonts w:ascii="Times New Roman" w:hAnsi="Times New Roman" w:cs="Times New Roman"/>
          <w:noProof/>
          <w:sz w:val="24"/>
          <w:szCs w:val="24"/>
        </w:rPr>
        <w:t>CMA = cost-minimisation analysis</w:t>
      </w:r>
    </w:p>
    <w:p w14:paraId="535FCD54" w14:textId="77777777" w:rsidR="008461EA" w:rsidRPr="00800A49" w:rsidRDefault="008461EA" w:rsidP="008461EA">
      <w:pPr>
        <w:spacing w:after="0" w:line="240" w:lineRule="auto"/>
        <w:jc w:val="both"/>
        <w:rPr>
          <w:rFonts w:ascii="Times New Roman" w:hAnsi="Times New Roman" w:cs="Times New Roman"/>
          <w:noProof/>
          <w:sz w:val="24"/>
          <w:szCs w:val="24"/>
        </w:rPr>
      </w:pPr>
      <w:r w:rsidRPr="00800A49">
        <w:rPr>
          <w:rFonts w:ascii="Times New Roman" w:hAnsi="Times New Roman" w:cs="Times New Roman"/>
          <w:noProof/>
          <w:sz w:val="24"/>
          <w:szCs w:val="24"/>
        </w:rPr>
        <w:t>CEA = cost-effectiveness analysis</w:t>
      </w:r>
    </w:p>
    <w:p w14:paraId="1D54EB01" w14:textId="77777777" w:rsidR="008461EA" w:rsidRPr="00800A49" w:rsidRDefault="008461EA" w:rsidP="008461EA">
      <w:pPr>
        <w:spacing w:after="0" w:line="240" w:lineRule="auto"/>
        <w:jc w:val="both"/>
        <w:rPr>
          <w:rFonts w:ascii="Times New Roman" w:hAnsi="Times New Roman" w:cs="Times New Roman"/>
          <w:noProof/>
          <w:sz w:val="24"/>
          <w:szCs w:val="24"/>
        </w:rPr>
      </w:pPr>
      <w:r w:rsidRPr="00800A49">
        <w:rPr>
          <w:rFonts w:ascii="Times New Roman" w:hAnsi="Times New Roman" w:cs="Times New Roman"/>
          <w:noProof/>
          <w:sz w:val="24"/>
          <w:szCs w:val="24"/>
        </w:rPr>
        <w:t>CUA = cost-utility analysis</w:t>
      </w:r>
    </w:p>
    <w:p w14:paraId="5DC856E2" w14:textId="77777777" w:rsidR="008461EA" w:rsidRPr="00800A49" w:rsidRDefault="008461EA" w:rsidP="008461EA">
      <w:pPr>
        <w:spacing w:after="0" w:line="240" w:lineRule="auto"/>
        <w:jc w:val="both"/>
        <w:rPr>
          <w:rFonts w:ascii="Times New Roman" w:hAnsi="Times New Roman" w:cs="Times New Roman"/>
          <w:sz w:val="24"/>
          <w:szCs w:val="24"/>
        </w:rPr>
      </w:pPr>
      <w:r w:rsidRPr="00800A49">
        <w:rPr>
          <w:rFonts w:ascii="Times New Roman" w:hAnsi="Times New Roman" w:cs="Times New Roman"/>
          <w:sz w:val="24"/>
          <w:szCs w:val="24"/>
        </w:rPr>
        <w:t>CLP = Chilean peso</w:t>
      </w:r>
    </w:p>
    <w:p w14:paraId="69BA0DEA" w14:textId="77777777" w:rsidR="008461EA" w:rsidRPr="00800A49" w:rsidRDefault="008461EA" w:rsidP="008461EA">
      <w:pPr>
        <w:spacing w:after="0" w:line="240" w:lineRule="auto"/>
        <w:jc w:val="both"/>
        <w:rPr>
          <w:rFonts w:ascii="Times New Roman" w:hAnsi="Times New Roman" w:cs="Times New Roman"/>
          <w:sz w:val="24"/>
          <w:szCs w:val="24"/>
        </w:rPr>
      </w:pPr>
      <w:proofErr w:type="spellStart"/>
      <w:r w:rsidRPr="00800A49">
        <w:rPr>
          <w:rFonts w:ascii="Times New Roman" w:hAnsi="Times New Roman" w:cs="Times New Roman"/>
          <w:sz w:val="24"/>
          <w:szCs w:val="24"/>
        </w:rPr>
        <w:t>dmfs</w:t>
      </w:r>
      <w:proofErr w:type="spellEnd"/>
      <w:r w:rsidRPr="00800A49">
        <w:rPr>
          <w:rFonts w:ascii="Times New Roman" w:hAnsi="Times New Roman" w:cs="Times New Roman"/>
          <w:sz w:val="24"/>
          <w:szCs w:val="24"/>
        </w:rPr>
        <w:t>/DMFS</w:t>
      </w:r>
      <w:r w:rsidRPr="00800A49">
        <w:rPr>
          <w:rFonts w:ascii="Times New Roman" w:hAnsi="Times New Roman" w:cs="Times New Roman"/>
          <w:sz w:val="24"/>
          <w:szCs w:val="24"/>
          <w:vertAlign w:val="superscript"/>
        </w:rPr>
        <w:t>+</w:t>
      </w:r>
      <w:r w:rsidRPr="00800A49">
        <w:rPr>
          <w:rFonts w:ascii="Times New Roman" w:hAnsi="Times New Roman" w:cs="Times New Roman"/>
          <w:sz w:val="24"/>
          <w:szCs w:val="24"/>
        </w:rPr>
        <w:t xml:space="preserve"> = number of decayed, missing, and filled teeth surfaces for the deciduous or permanent dentition</w:t>
      </w:r>
    </w:p>
    <w:p w14:paraId="21B4C6D7" w14:textId="77777777" w:rsidR="008461EA" w:rsidRPr="00800A49" w:rsidRDefault="008461EA" w:rsidP="008461EA">
      <w:pPr>
        <w:spacing w:after="0" w:line="240" w:lineRule="auto"/>
        <w:jc w:val="both"/>
        <w:rPr>
          <w:rFonts w:ascii="Times New Roman" w:hAnsi="Times New Roman" w:cs="Times New Roman"/>
          <w:sz w:val="24"/>
          <w:szCs w:val="24"/>
        </w:rPr>
      </w:pPr>
      <w:proofErr w:type="spellStart"/>
      <w:r w:rsidRPr="00800A49">
        <w:rPr>
          <w:rFonts w:ascii="Times New Roman" w:hAnsi="Times New Roman" w:cs="Times New Roman"/>
          <w:sz w:val="24"/>
          <w:szCs w:val="24"/>
        </w:rPr>
        <w:t>dmft</w:t>
      </w:r>
      <w:proofErr w:type="spellEnd"/>
      <w:r w:rsidRPr="00800A49">
        <w:rPr>
          <w:rFonts w:ascii="Times New Roman" w:hAnsi="Times New Roman" w:cs="Times New Roman"/>
          <w:sz w:val="24"/>
          <w:szCs w:val="24"/>
        </w:rPr>
        <w:t>/DMFT</w:t>
      </w:r>
      <w:r w:rsidRPr="00800A49">
        <w:rPr>
          <w:rFonts w:ascii="Times New Roman" w:hAnsi="Times New Roman" w:cs="Times New Roman"/>
          <w:sz w:val="24"/>
          <w:szCs w:val="24"/>
          <w:vertAlign w:val="superscript"/>
        </w:rPr>
        <w:t>+</w:t>
      </w:r>
      <w:r w:rsidRPr="00800A49">
        <w:rPr>
          <w:rFonts w:ascii="Times New Roman" w:hAnsi="Times New Roman" w:cs="Times New Roman"/>
          <w:sz w:val="24"/>
          <w:szCs w:val="24"/>
        </w:rPr>
        <w:t xml:space="preserve"> = number of decayed, missing, and filled teeth for the deciduous or permanent dentition</w:t>
      </w:r>
    </w:p>
    <w:p w14:paraId="2F3CF11C" w14:textId="77777777" w:rsidR="008461EA" w:rsidRPr="00800A49" w:rsidRDefault="008461EA" w:rsidP="008461EA">
      <w:pPr>
        <w:spacing w:after="0" w:line="240" w:lineRule="auto"/>
        <w:jc w:val="both"/>
        <w:rPr>
          <w:rFonts w:ascii="Times New Roman" w:hAnsi="Times New Roman" w:cs="Times New Roman"/>
          <w:sz w:val="24"/>
          <w:szCs w:val="24"/>
        </w:rPr>
      </w:pPr>
      <w:r w:rsidRPr="00800A49">
        <w:rPr>
          <w:rFonts w:ascii="Times New Roman" w:hAnsi="Times New Roman" w:cs="Times New Roman"/>
          <w:sz w:val="24"/>
          <w:szCs w:val="24"/>
        </w:rPr>
        <w:t>ds/DS</w:t>
      </w:r>
      <w:r w:rsidRPr="00800A49">
        <w:rPr>
          <w:rFonts w:ascii="Times New Roman" w:hAnsi="Times New Roman" w:cs="Times New Roman"/>
          <w:sz w:val="24"/>
          <w:szCs w:val="24"/>
          <w:vertAlign w:val="superscript"/>
        </w:rPr>
        <w:t>+</w:t>
      </w:r>
      <w:r w:rsidRPr="00800A49">
        <w:rPr>
          <w:rFonts w:ascii="Times New Roman" w:hAnsi="Times New Roman" w:cs="Times New Roman"/>
          <w:sz w:val="24"/>
          <w:szCs w:val="24"/>
        </w:rPr>
        <w:t xml:space="preserve"> = number of decayed teeth surfaces for the deciduous or permanent dentition</w:t>
      </w:r>
    </w:p>
    <w:p w14:paraId="4FFA9231" w14:textId="77777777" w:rsidR="008461EA" w:rsidRPr="00800A49" w:rsidRDefault="008461EA" w:rsidP="008461EA">
      <w:pPr>
        <w:spacing w:after="0" w:line="240" w:lineRule="auto"/>
        <w:jc w:val="both"/>
        <w:rPr>
          <w:rFonts w:ascii="Times New Roman" w:hAnsi="Times New Roman" w:cs="Times New Roman"/>
          <w:sz w:val="24"/>
          <w:szCs w:val="24"/>
        </w:rPr>
      </w:pPr>
      <w:r w:rsidRPr="00800A49">
        <w:rPr>
          <w:rFonts w:ascii="Times New Roman" w:hAnsi="Times New Roman" w:cs="Times New Roman"/>
          <w:sz w:val="24"/>
          <w:szCs w:val="24"/>
        </w:rPr>
        <w:t>dt/DT</w:t>
      </w:r>
      <w:r w:rsidRPr="00800A49">
        <w:rPr>
          <w:rFonts w:ascii="Times New Roman" w:hAnsi="Times New Roman" w:cs="Times New Roman"/>
          <w:sz w:val="24"/>
          <w:szCs w:val="24"/>
          <w:vertAlign w:val="superscript"/>
        </w:rPr>
        <w:t>+</w:t>
      </w:r>
      <w:r w:rsidRPr="00800A49">
        <w:rPr>
          <w:rFonts w:ascii="Times New Roman" w:hAnsi="Times New Roman" w:cs="Times New Roman"/>
          <w:sz w:val="24"/>
          <w:szCs w:val="24"/>
        </w:rPr>
        <w:t xml:space="preserve"> = number of decayed teeth for the deciduous or permanent dentition</w:t>
      </w:r>
    </w:p>
    <w:p w14:paraId="5AC74587" w14:textId="77777777" w:rsidR="008461EA" w:rsidRPr="00800A49" w:rsidRDefault="008461EA" w:rsidP="008461EA">
      <w:pPr>
        <w:spacing w:after="0" w:line="240" w:lineRule="auto"/>
        <w:jc w:val="both"/>
        <w:rPr>
          <w:rFonts w:ascii="Times New Roman" w:hAnsi="Times New Roman" w:cs="Times New Roman"/>
          <w:sz w:val="24"/>
          <w:szCs w:val="24"/>
        </w:rPr>
      </w:pPr>
      <w:r w:rsidRPr="00800A49">
        <w:rPr>
          <w:rFonts w:ascii="Times New Roman" w:hAnsi="Times New Roman" w:cs="Times New Roman"/>
          <w:sz w:val="24"/>
          <w:szCs w:val="24"/>
          <w:vertAlign w:val="superscript"/>
        </w:rPr>
        <w:t>+</w:t>
      </w:r>
      <w:r w:rsidRPr="00800A49">
        <w:rPr>
          <w:rFonts w:ascii="Times New Roman" w:hAnsi="Times New Roman" w:cs="Times New Roman"/>
          <w:sz w:val="24"/>
          <w:szCs w:val="24"/>
        </w:rPr>
        <w:t xml:space="preserve"> = lower case letters refer to the deciduous dentition and </w:t>
      </w:r>
      <w:proofErr w:type="gramStart"/>
      <w:r w:rsidRPr="00800A49">
        <w:rPr>
          <w:rFonts w:ascii="Times New Roman" w:hAnsi="Times New Roman" w:cs="Times New Roman"/>
          <w:sz w:val="24"/>
          <w:szCs w:val="24"/>
        </w:rPr>
        <w:t>upper case</w:t>
      </w:r>
      <w:proofErr w:type="gramEnd"/>
      <w:r w:rsidRPr="00800A49">
        <w:rPr>
          <w:rFonts w:ascii="Times New Roman" w:hAnsi="Times New Roman" w:cs="Times New Roman"/>
          <w:sz w:val="24"/>
          <w:szCs w:val="24"/>
        </w:rPr>
        <w:t xml:space="preserve"> letters refer to the permanent dentition.</w:t>
      </w:r>
    </w:p>
    <w:p w14:paraId="29C3432E" w14:textId="77777777" w:rsidR="008461EA" w:rsidRPr="00800A49" w:rsidRDefault="008461EA" w:rsidP="008461EA">
      <w:pPr>
        <w:spacing w:after="0" w:line="240" w:lineRule="auto"/>
        <w:jc w:val="both"/>
        <w:rPr>
          <w:rFonts w:ascii="Times New Roman" w:hAnsi="Times New Roman" w:cs="Times New Roman"/>
          <w:color w:val="000000"/>
          <w:sz w:val="24"/>
          <w:szCs w:val="24"/>
        </w:rPr>
      </w:pPr>
      <w:r w:rsidRPr="00800A49">
        <w:rPr>
          <w:rFonts w:ascii="Times New Roman" w:hAnsi="Times New Roman" w:cs="Times New Roman"/>
          <w:color w:val="000000"/>
          <w:sz w:val="24"/>
          <w:szCs w:val="24"/>
        </w:rPr>
        <w:t>D1 = dental caries lesions extending to the outer third of the dentine for permanent teeth</w:t>
      </w:r>
    </w:p>
    <w:p w14:paraId="42F50E35" w14:textId="77777777" w:rsidR="008461EA" w:rsidRPr="00800A49" w:rsidRDefault="008461EA" w:rsidP="008461EA">
      <w:pPr>
        <w:spacing w:after="0" w:line="240" w:lineRule="auto"/>
        <w:jc w:val="both"/>
        <w:rPr>
          <w:rFonts w:ascii="Times New Roman" w:hAnsi="Times New Roman" w:cs="Times New Roman"/>
          <w:sz w:val="24"/>
          <w:szCs w:val="24"/>
        </w:rPr>
      </w:pPr>
      <w:r w:rsidRPr="00800A49">
        <w:rPr>
          <w:rFonts w:ascii="Times New Roman" w:hAnsi="Times New Roman" w:cs="Times New Roman"/>
          <w:color w:val="000000"/>
          <w:sz w:val="24"/>
          <w:szCs w:val="24"/>
        </w:rPr>
        <w:t>E2 = dental caries lesions extending to the inner half of enamel for permanent teeth</w:t>
      </w:r>
    </w:p>
    <w:p w14:paraId="4E2EE091" w14:textId="77777777" w:rsidR="008461EA" w:rsidRPr="00800A49" w:rsidRDefault="008461EA" w:rsidP="008461EA">
      <w:pPr>
        <w:spacing w:after="0" w:line="240" w:lineRule="auto"/>
        <w:jc w:val="both"/>
        <w:rPr>
          <w:rFonts w:ascii="Times New Roman" w:hAnsi="Times New Roman" w:cs="Times New Roman"/>
          <w:sz w:val="24"/>
          <w:szCs w:val="24"/>
        </w:rPr>
      </w:pPr>
      <w:r w:rsidRPr="00800A49">
        <w:rPr>
          <w:rFonts w:ascii="Times New Roman" w:hAnsi="Times New Roman" w:cs="Times New Roman"/>
          <w:sz w:val="24"/>
          <w:szCs w:val="24"/>
        </w:rPr>
        <w:t>DALY = disability-adjusted life years</w:t>
      </w:r>
    </w:p>
    <w:p w14:paraId="776A084B" w14:textId="77777777" w:rsidR="008461EA" w:rsidRPr="00800A49" w:rsidRDefault="008461EA" w:rsidP="008461EA">
      <w:pPr>
        <w:spacing w:after="0" w:line="240" w:lineRule="auto"/>
        <w:jc w:val="both"/>
        <w:rPr>
          <w:rFonts w:ascii="Times New Roman" w:hAnsi="Times New Roman" w:cs="Times New Roman"/>
          <w:sz w:val="24"/>
          <w:szCs w:val="24"/>
        </w:rPr>
      </w:pPr>
      <w:r w:rsidRPr="00800A49">
        <w:rPr>
          <w:rFonts w:ascii="Times New Roman" w:hAnsi="Times New Roman" w:cs="Times New Roman"/>
          <w:sz w:val="24"/>
          <w:szCs w:val="24"/>
        </w:rPr>
        <w:t>QATY = quality-adjusted tooth years</w:t>
      </w:r>
    </w:p>
    <w:p w14:paraId="39CD1B7C" w14:textId="77777777" w:rsidR="008461EA" w:rsidRPr="00800A49" w:rsidRDefault="008461EA" w:rsidP="008461EA">
      <w:pPr>
        <w:spacing w:after="0" w:line="240" w:lineRule="auto"/>
        <w:jc w:val="both"/>
        <w:rPr>
          <w:rFonts w:ascii="Times New Roman" w:hAnsi="Times New Roman" w:cs="Times New Roman"/>
          <w:sz w:val="24"/>
          <w:szCs w:val="24"/>
        </w:rPr>
      </w:pPr>
      <w:r w:rsidRPr="00800A49">
        <w:rPr>
          <w:rFonts w:ascii="Times New Roman" w:hAnsi="Times New Roman" w:cs="Times New Roman"/>
          <w:sz w:val="24"/>
          <w:szCs w:val="24"/>
        </w:rPr>
        <w:t>QALY = quality-adjusted life years</w:t>
      </w:r>
    </w:p>
    <w:p w14:paraId="0CA42FCE" w14:textId="77777777" w:rsidR="008461EA" w:rsidRPr="00800A49" w:rsidRDefault="008461EA" w:rsidP="008461EA">
      <w:pPr>
        <w:spacing w:after="0" w:line="240" w:lineRule="auto"/>
        <w:rPr>
          <w:rFonts w:ascii="Times New Roman" w:hAnsi="Times New Roman" w:cs="Times New Roman"/>
        </w:rPr>
      </w:pPr>
      <w:r w:rsidRPr="00800A49">
        <w:rPr>
          <w:rFonts w:ascii="Times New Roman" w:hAnsi="Times New Roman" w:cs="Times New Roman"/>
        </w:rPr>
        <w:t>WTP = willingness-to-pay thresholds</w:t>
      </w:r>
    </w:p>
    <w:p w14:paraId="11CA9774" w14:textId="77777777" w:rsidR="008461EA" w:rsidRPr="002F79E5" w:rsidRDefault="008461EA" w:rsidP="008461EA">
      <w:pPr>
        <w:spacing w:after="0" w:line="240" w:lineRule="auto"/>
        <w:rPr>
          <w:rFonts w:ascii="Times New Roman" w:hAnsi="Times New Roman" w:cs="Times New Roman"/>
        </w:rPr>
      </w:pPr>
      <w:r w:rsidRPr="00800A49">
        <w:rPr>
          <w:rFonts w:ascii="Times New Roman" w:hAnsi="Times New Roman" w:cs="Times New Roman"/>
        </w:rPr>
        <w:t>ICER = incremental cost-effectiveness ratio</w:t>
      </w:r>
    </w:p>
    <w:p w14:paraId="2420F7A9" w14:textId="77777777" w:rsidR="008461EA" w:rsidRPr="002F79E5" w:rsidRDefault="008461EA" w:rsidP="008461EA">
      <w:pPr>
        <w:spacing w:after="0" w:line="240" w:lineRule="auto"/>
        <w:jc w:val="both"/>
        <w:rPr>
          <w:rFonts w:ascii="Times New Roman" w:hAnsi="Times New Roman" w:cs="Times New Roman"/>
          <w:sz w:val="24"/>
          <w:szCs w:val="24"/>
        </w:rPr>
      </w:pPr>
    </w:p>
    <w:p w14:paraId="09B23F52" w14:textId="77777777" w:rsidR="008461EA" w:rsidRDefault="008461EA"/>
    <w:sectPr w:rsidR="008461EA" w:rsidSect="002F79E5">
      <w:type w:val="continuous"/>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C92BA8"/>
    <w:multiLevelType w:val="hybridMultilevel"/>
    <w:tmpl w:val="16AAD2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202027EA"/>
    <w:multiLevelType w:val="multilevel"/>
    <w:tmpl w:val="0826070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23AF3706"/>
    <w:multiLevelType w:val="hybridMultilevel"/>
    <w:tmpl w:val="7F485250"/>
    <w:lvl w:ilvl="0" w:tplc="0C090001">
      <w:start w:val="1"/>
      <w:numFmt w:val="bullet"/>
      <w:lvlText w:val=""/>
      <w:lvlJc w:val="left"/>
      <w:pPr>
        <w:ind w:left="720" w:hanging="360"/>
      </w:pPr>
      <w:rPr>
        <w:rFonts w:ascii="Symbol" w:hAnsi="Symbol" w:hint="default"/>
      </w:rPr>
    </w:lvl>
    <w:lvl w:ilvl="1" w:tplc="21542044">
      <w:numFmt w:val="bullet"/>
      <w:lvlText w:val="•"/>
      <w:lvlJc w:val="left"/>
      <w:pPr>
        <w:ind w:left="1440" w:hanging="360"/>
      </w:pPr>
      <w:rPr>
        <w:rFonts w:ascii="Arial" w:eastAsiaTheme="minorHAnsi" w:hAnsi="Arial" w:cs="Aria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2576641A"/>
    <w:multiLevelType w:val="hybridMultilevel"/>
    <w:tmpl w:val="38428AEE"/>
    <w:lvl w:ilvl="0" w:tplc="0C090011">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 w15:restartNumberingAfterBreak="0">
    <w:nsid w:val="2D803F31"/>
    <w:multiLevelType w:val="multilevel"/>
    <w:tmpl w:val="FF586E9A"/>
    <w:lvl w:ilvl="0">
      <w:start w:val="1"/>
      <w:numFmt w:val="bullet"/>
      <w:lvlText w:val="●"/>
      <w:lvlJc w:val="left"/>
      <w:pPr>
        <w:ind w:left="720" w:hanging="360"/>
      </w:pPr>
      <w:rPr>
        <w:rFonts w:ascii="Noto Sans Symbols" w:eastAsia="Noto Sans Symbols" w:hAnsi="Noto Sans Symbols" w:cs="Noto Sans Symbol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44024637"/>
    <w:multiLevelType w:val="hybridMultilevel"/>
    <w:tmpl w:val="C4928866"/>
    <w:lvl w:ilvl="0" w:tplc="0C090001">
      <w:start w:val="1"/>
      <w:numFmt w:val="bullet"/>
      <w:lvlText w:val=""/>
      <w:lvlJc w:val="left"/>
      <w:pPr>
        <w:ind w:left="720" w:hanging="360"/>
      </w:pPr>
      <w:rPr>
        <w:rFonts w:ascii="Symbol" w:hAnsi="Symbo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4BD455DA"/>
    <w:multiLevelType w:val="hybridMultilevel"/>
    <w:tmpl w:val="9CAC13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4C6B5DCA"/>
    <w:multiLevelType w:val="hybridMultilevel"/>
    <w:tmpl w:val="CE842A1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54365C8A"/>
    <w:multiLevelType w:val="hybridMultilevel"/>
    <w:tmpl w:val="BDD07AC0"/>
    <w:lvl w:ilvl="0" w:tplc="6106A38E">
      <w:numFmt w:val="bullet"/>
      <w:lvlText w:val="•"/>
      <w:lvlJc w:val="left"/>
      <w:pPr>
        <w:ind w:left="1440" w:hanging="720"/>
      </w:pPr>
      <w:rPr>
        <w:rFonts w:ascii="Calibri" w:eastAsiaTheme="minorHAnsi" w:hAnsi="Calibri" w:cs="Calibri"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9" w15:restartNumberingAfterBreak="0">
    <w:nsid w:val="551719EB"/>
    <w:multiLevelType w:val="hybridMultilevel"/>
    <w:tmpl w:val="75B2C502"/>
    <w:lvl w:ilvl="0" w:tplc="66C878D4">
      <w:start w:val="1"/>
      <w:numFmt w:val="decimal"/>
      <w:lvlText w:val="%1)"/>
      <w:lvlJc w:val="left"/>
      <w:pPr>
        <w:ind w:left="720" w:hanging="360"/>
      </w:pPr>
      <w:rPr>
        <w:rFonts w:ascii="Calibri" w:eastAsia="Times New Roman" w:hAnsi="Calibri" w:cs="Calibri"/>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6F7944AC"/>
    <w:multiLevelType w:val="hybridMultilevel"/>
    <w:tmpl w:val="61182AC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75242F79"/>
    <w:multiLevelType w:val="hybridMultilevel"/>
    <w:tmpl w:val="C726B17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7D017275"/>
    <w:multiLevelType w:val="hybridMultilevel"/>
    <w:tmpl w:val="1B62DC38"/>
    <w:lvl w:ilvl="0" w:tplc="6106A38E">
      <w:numFmt w:val="bullet"/>
      <w:lvlText w:val="•"/>
      <w:lvlJc w:val="left"/>
      <w:pPr>
        <w:ind w:left="1080" w:hanging="72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884367188">
    <w:abstractNumId w:val="11"/>
  </w:num>
  <w:num w:numId="2" w16cid:durableId="1836456116">
    <w:abstractNumId w:val="12"/>
  </w:num>
  <w:num w:numId="3" w16cid:durableId="1170831944">
    <w:abstractNumId w:val="8"/>
  </w:num>
  <w:num w:numId="4" w16cid:durableId="1477381759">
    <w:abstractNumId w:val="6"/>
  </w:num>
  <w:num w:numId="5" w16cid:durableId="754713536">
    <w:abstractNumId w:val="10"/>
  </w:num>
  <w:num w:numId="6" w16cid:durableId="1448504884">
    <w:abstractNumId w:val="5"/>
  </w:num>
  <w:num w:numId="7" w16cid:durableId="58133660">
    <w:abstractNumId w:val="2"/>
  </w:num>
  <w:num w:numId="8" w16cid:durableId="1107000772">
    <w:abstractNumId w:val="0"/>
  </w:num>
  <w:num w:numId="9" w16cid:durableId="1975018922">
    <w:abstractNumId w:val="9"/>
  </w:num>
  <w:num w:numId="10" w16cid:durableId="2080668395">
    <w:abstractNumId w:val="3"/>
  </w:num>
  <w:num w:numId="11" w16cid:durableId="2074111701">
    <w:abstractNumId w:val="4"/>
  </w:num>
  <w:num w:numId="12" w16cid:durableId="120080269">
    <w:abstractNumId w:val="1"/>
  </w:num>
  <w:num w:numId="13" w16cid:durableId="25921636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DEzMzI0NTc3tjQ0NzFT0lEKTi0uzszPAykwrAUAsXzAfCwAAAA="/>
  </w:docVars>
  <w:rsids>
    <w:rsidRoot w:val="008461EA"/>
    <w:rsid w:val="002F79E5"/>
    <w:rsid w:val="00800A49"/>
    <w:rsid w:val="008461EA"/>
    <w:rsid w:val="00CC616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F867D8"/>
  <w15:chartTrackingRefBased/>
  <w15:docId w15:val="{314F085C-9815-4B8F-91DB-B9DFDC1310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61EA"/>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461EA"/>
    <w:rPr>
      <w:color w:val="0563C1" w:themeColor="hyperlink"/>
      <w:u w:val="single"/>
    </w:rPr>
  </w:style>
  <w:style w:type="paragraph" w:customStyle="1" w:styleId="EndNoteBibliographyTitle">
    <w:name w:val="EndNote Bibliography Title"/>
    <w:basedOn w:val="Normal"/>
    <w:link w:val="EndNoteBibliographyTitleChar"/>
    <w:rsid w:val="008461EA"/>
    <w:pPr>
      <w:spacing w:after="0"/>
      <w:jc w:val="center"/>
    </w:pPr>
    <w:rPr>
      <w:rFonts w:ascii="Calibri" w:hAnsi="Calibri" w:cs="Calibri"/>
      <w:noProof/>
      <w:lang w:val="en-US"/>
    </w:rPr>
  </w:style>
  <w:style w:type="character" w:customStyle="1" w:styleId="EndNoteBibliographyTitleChar">
    <w:name w:val="EndNote Bibliography Title Char"/>
    <w:basedOn w:val="DefaultParagraphFont"/>
    <w:link w:val="EndNoteBibliographyTitle"/>
    <w:rsid w:val="008461EA"/>
    <w:rPr>
      <w:rFonts w:ascii="Calibri" w:hAnsi="Calibri" w:cs="Calibri"/>
      <w:noProof/>
      <w:lang w:val="en-US"/>
    </w:rPr>
  </w:style>
  <w:style w:type="paragraph" w:customStyle="1" w:styleId="EndNoteBibliography">
    <w:name w:val="EndNote Bibliography"/>
    <w:basedOn w:val="Normal"/>
    <w:link w:val="EndNoteBibliographyChar"/>
    <w:rsid w:val="008461EA"/>
    <w:pPr>
      <w:spacing w:line="240" w:lineRule="auto"/>
    </w:pPr>
    <w:rPr>
      <w:rFonts w:ascii="Calibri" w:hAnsi="Calibri" w:cs="Calibri"/>
      <w:noProof/>
      <w:lang w:val="en-US"/>
    </w:rPr>
  </w:style>
  <w:style w:type="character" w:customStyle="1" w:styleId="EndNoteBibliographyChar">
    <w:name w:val="EndNote Bibliography Char"/>
    <w:basedOn w:val="DefaultParagraphFont"/>
    <w:link w:val="EndNoteBibliography"/>
    <w:rsid w:val="008461EA"/>
    <w:rPr>
      <w:rFonts w:ascii="Calibri" w:hAnsi="Calibri" w:cs="Calibri"/>
      <w:noProof/>
      <w:lang w:val="en-US"/>
    </w:rPr>
  </w:style>
  <w:style w:type="paragraph" w:styleId="Caption">
    <w:name w:val="caption"/>
    <w:basedOn w:val="Normal"/>
    <w:next w:val="Normal"/>
    <w:uiPriority w:val="35"/>
    <w:unhideWhenUsed/>
    <w:qFormat/>
    <w:rsid w:val="008461EA"/>
    <w:pPr>
      <w:spacing w:after="200" w:line="240" w:lineRule="auto"/>
    </w:pPr>
    <w:rPr>
      <w:i/>
      <w:iCs/>
      <w:color w:val="44546A" w:themeColor="text2"/>
      <w:sz w:val="18"/>
      <w:szCs w:val="18"/>
    </w:rPr>
  </w:style>
  <w:style w:type="paragraph" w:styleId="ListParagraph">
    <w:name w:val="List Paragraph"/>
    <w:basedOn w:val="Normal"/>
    <w:uiPriority w:val="34"/>
    <w:qFormat/>
    <w:rsid w:val="008461EA"/>
    <w:pPr>
      <w:ind w:left="720"/>
      <w:contextualSpacing/>
    </w:pPr>
  </w:style>
  <w:style w:type="paragraph" w:styleId="CommentText">
    <w:name w:val="annotation text"/>
    <w:basedOn w:val="Normal"/>
    <w:link w:val="CommentTextChar"/>
    <w:uiPriority w:val="99"/>
    <w:unhideWhenUsed/>
    <w:rsid w:val="008461EA"/>
    <w:pPr>
      <w:spacing w:line="240" w:lineRule="auto"/>
    </w:pPr>
    <w:rPr>
      <w:rFonts w:eastAsiaTheme="minorEastAsia"/>
      <w:sz w:val="20"/>
      <w:szCs w:val="20"/>
      <w:lang w:eastAsia="zh-CN"/>
    </w:rPr>
  </w:style>
  <w:style w:type="character" w:customStyle="1" w:styleId="CommentTextChar">
    <w:name w:val="Comment Text Char"/>
    <w:basedOn w:val="DefaultParagraphFont"/>
    <w:link w:val="CommentText"/>
    <w:uiPriority w:val="99"/>
    <w:rsid w:val="008461EA"/>
    <w:rPr>
      <w:rFonts w:eastAsiaTheme="minorEastAsia"/>
      <w:sz w:val="20"/>
      <w:szCs w:val="20"/>
      <w:lang w:eastAsia="zh-CN"/>
    </w:rPr>
  </w:style>
  <w:style w:type="paragraph" w:styleId="NormalWeb">
    <w:name w:val="Normal (Web)"/>
    <w:basedOn w:val="Normal"/>
    <w:uiPriority w:val="99"/>
    <w:unhideWhenUsed/>
    <w:rsid w:val="008461EA"/>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cf01">
    <w:name w:val="cf01"/>
    <w:basedOn w:val="DefaultParagraphFont"/>
    <w:rsid w:val="008461EA"/>
    <w:rPr>
      <w:rFonts w:ascii="Segoe UI" w:hAnsi="Segoe UI" w:cs="Segoe UI" w:hint="default"/>
      <w:sz w:val="18"/>
      <w:szCs w:val="18"/>
    </w:rPr>
  </w:style>
  <w:style w:type="paragraph" w:styleId="Header">
    <w:name w:val="header"/>
    <w:basedOn w:val="Normal"/>
    <w:link w:val="HeaderChar"/>
    <w:uiPriority w:val="99"/>
    <w:unhideWhenUsed/>
    <w:rsid w:val="008461EA"/>
    <w:pPr>
      <w:tabs>
        <w:tab w:val="center" w:pos="4513"/>
        <w:tab w:val="right" w:pos="9026"/>
      </w:tabs>
      <w:spacing w:after="0" w:line="240" w:lineRule="auto"/>
    </w:pPr>
  </w:style>
  <w:style w:type="character" w:customStyle="1" w:styleId="HeaderChar">
    <w:name w:val="Header Char"/>
    <w:basedOn w:val="DefaultParagraphFont"/>
    <w:link w:val="Header"/>
    <w:uiPriority w:val="99"/>
    <w:rsid w:val="008461EA"/>
  </w:style>
  <w:style w:type="paragraph" w:styleId="Footer">
    <w:name w:val="footer"/>
    <w:basedOn w:val="Normal"/>
    <w:link w:val="FooterChar"/>
    <w:uiPriority w:val="99"/>
    <w:unhideWhenUsed/>
    <w:rsid w:val="008461EA"/>
    <w:pPr>
      <w:tabs>
        <w:tab w:val="center" w:pos="4513"/>
        <w:tab w:val="right" w:pos="9026"/>
      </w:tabs>
      <w:spacing w:after="0" w:line="240" w:lineRule="auto"/>
    </w:pPr>
  </w:style>
  <w:style w:type="character" w:customStyle="1" w:styleId="FooterChar">
    <w:name w:val="Footer Char"/>
    <w:basedOn w:val="DefaultParagraphFont"/>
    <w:link w:val="Footer"/>
    <w:uiPriority w:val="99"/>
    <w:rsid w:val="008461EA"/>
  </w:style>
  <w:style w:type="character" w:styleId="CommentReference">
    <w:name w:val="annotation reference"/>
    <w:basedOn w:val="DefaultParagraphFont"/>
    <w:uiPriority w:val="99"/>
    <w:semiHidden/>
    <w:unhideWhenUsed/>
    <w:rsid w:val="008461EA"/>
    <w:rPr>
      <w:sz w:val="16"/>
      <w:szCs w:val="16"/>
    </w:rPr>
  </w:style>
  <w:style w:type="paragraph" w:styleId="CommentSubject">
    <w:name w:val="annotation subject"/>
    <w:basedOn w:val="CommentText"/>
    <w:next w:val="CommentText"/>
    <w:link w:val="CommentSubjectChar"/>
    <w:uiPriority w:val="99"/>
    <w:semiHidden/>
    <w:unhideWhenUsed/>
    <w:rsid w:val="008461EA"/>
    <w:rPr>
      <w:b/>
      <w:bCs/>
    </w:rPr>
  </w:style>
  <w:style w:type="character" w:customStyle="1" w:styleId="CommentSubjectChar">
    <w:name w:val="Comment Subject Char"/>
    <w:basedOn w:val="CommentTextChar"/>
    <w:link w:val="CommentSubject"/>
    <w:uiPriority w:val="99"/>
    <w:semiHidden/>
    <w:rsid w:val="008461EA"/>
    <w:rPr>
      <w:rFonts w:eastAsiaTheme="minorEastAsia"/>
      <w:b/>
      <w:bCs/>
      <w:sz w:val="20"/>
      <w:szCs w:val="20"/>
      <w:lang w:eastAsia="zh-CN"/>
    </w:rPr>
  </w:style>
  <w:style w:type="paragraph" w:styleId="BalloonText">
    <w:name w:val="Balloon Text"/>
    <w:basedOn w:val="Normal"/>
    <w:link w:val="BalloonTextChar"/>
    <w:uiPriority w:val="99"/>
    <w:semiHidden/>
    <w:unhideWhenUsed/>
    <w:rsid w:val="008461E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461EA"/>
    <w:rPr>
      <w:rFonts w:ascii="Segoe UI" w:hAnsi="Segoe UI" w:cs="Segoe UI"/>
      <w:sz w:val="18"/>
      <w:szCs w:val="18"/>
    </w:rPr>
  </w:style>
  <w:style w:type="table" w:styleId="TableGrid">
    <w:name w:val="Table Grid"/>
    <w:basedOn w:val="TableNormal"/>
    <w:uiPriority w:val="39"/>
    <w:rsid w:val="008461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8461EA"/>
    <w:rPr>
      <w:color w:val="605E5C"/>
      <w:shd w:val="clear" w:color="auto" w:fill="E1DFDD"/>
    </w:rPr>
  </w:style>
  <w:style w:type="paragraph" w:styleId="Revision">
    <w:name w:val="Revision"/>
    <w:hidden/>
    <w:uiPriority w:val="99"/>
    <w:semiHidden/>
    <w:rsid w:val="008461EA"/>
    <w:pPr>
      <w:spacing w:after="0" w:line="240" w:lineRule="auto"/>
    </w:pPr>
  </w:style>
  <w:style w:type="character" w:customStyle="1" w:styleId="UnresolvedMention2">
    <w:name w:val="Unresolved Mention2"/>
    <w:basedOn w:val="DefaultParagraphFont"/>
    <w:uiPriority w:val="99"/>
    <w:semiHidden/>
    <w:unhideWhenUsed/>
    <w:rsid w:val="008461EA"/>
    <w:rPr>
      <w:color w:val="605E5C"/>
      <w:shd w:val="clear" w:color="auto" w:fill="E1DFDD"/>
    </w:rPr>
  </w:style>
  <w:style w:type="character" w:styleId="FollowedHyperlink">
    <w:name w:val="FollowedHyperlink"/>
    <w:basedOn w:val="DefaultParagraphFont"/>
    <w:uiPriority w:val="99"/>
    <w:semiHidden/>
    <w:unhideWhenUsed/>
    <w:rsid w:val="008461EA"/>
    <w:rPr>
      <w:color w:val="954F72" w:themeColor="followedHyperlink"/>
      <w:u w:val="single"/>
    </w:rPr>
  </w:style>
  <w:style w:type="character" w:customStyle="1" w:styleId="UnresolvedMention3">
    <w:name w:val="Unresolved Mention3"/>
    <w:basedOn w:val="DefaultParagraphFont"/>
    <w:uiPriority w:val="99"/>
    <w:semiHidden/>
    <w:unhideWhenUsed/>
    <w:rsid w:val="008461EA"/>
    <w:rPr>
      <w:color w:val="605E5C"/>
      <w:shd w:val="clear" w:color="auto" w:fill="E1DFDD"/>
    </w:rPr>
  </w:style>
  <w:style w:type="paragraph" w:styleId="FootnoteText">
    <w:name w:val="footnote text"/>
    <w:basedOn w:val="Normal"/>
    <w:link w:val="FootnoteTextChar"/>
    <w:uiPriority w:val="99"/>
    <w:semiHidden/>
    <w:unhideWhenUsed/>
    <w:rsid w:val="008461E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461EA"/>
    <w:rPr>
      <w:sz w:val="20"/>
      <w:szCs w:val="20"/>
    </w:rPr>
  </w:style>
  <w:style w:type="character" w:styleId="FootnoteReference">
    <w:name w:val="footnote reference"/>
    <w:basedOn w:val="DefaultParagraphFont"/>
    <w:uiPriority w:val="99"/>
    <w:semiHidden/>
    <w:unhideWhenUsed/>
    <w:rsid w:val="008461EA"/>
    <w:rPr>
      <w:vertAlign w:val="superscript"/>
    </w:rPr>
  </w:style>
  <w:style w:type="table" w:customStyle="1" w:styleId="TableGrid1">
    <w:name w:val="Table Grid1"/>
    <w:basedOn w:val="TableNormal"/>
    <w:next w:val="TableGrid"/>
    <w:uiPriority w:val="39"/>
    <w:rsid w:val="008461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gecontents">
    <w:name w:val="pagecontents"/>
    <w:basedOn w:val="DefaultParagraphFont"/>
    <w:rsid w:val="008461E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29</Pages>
  <Words>6891</Words>
  <Characters>39281</Characters>
  <Application>Microsoft Office Word</Application>
  <DocSecurity>0</DocSecurity>
  <Lines>327</Lines>
  <Paragraphs>92</Paragraphs>
  <ScaleCrop>false</ScaleCrop>
  <Company/>
  <LinksUpToDate>false</LinksUpToDate>
  <CharactersWithSpaces>46080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 Nguyen</dc:creator>
  <cp:keywords/>
  <dc:description/>
  <cp:lastModifiedBy>Shermey Joseph Pious</cp:lastModifiedBy>
  <cp:revision>4</cp:revision>
  <dcterms:created xsi:type="dcterms:W3CDTF">2022-08-11T03:29:00Z</dcterms:created>
  <dcterms:modified xsi:type="dcterms:W3CDTF">2022-08-27T02:58:00Z</dcterms:modified>
</cp:coreProperties>
</file>