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E9C2" w14:textId="12797163" w:rsidR="00240F2B" w:rsidRPr="003A3560" w:rsidRDefault="00240F2B" w:rsidP="00240F2B">
      <w:pPr>
        <w:shd w:val="clear" w:color="auto" w:fill="FFFFFF" w:themeFill="background1"/>
        <w:rPr>
          <w:rFonts w:cs="Calibri Light"/>
          <w:sz w:val="21"/>
          <w:szCs w:val="21"/>
        </w:rPr>
      </w:pPr>
      <w:r w:rsidRPr="003A3560">
        <w:rPr>
          <w:rFonts w:cs="Calibri Light"/>
          <w:sz w:val="21"/>
          <w:szCs w:val="21"/>
        </w:rPr>
        <w:t xml:space="preserve">Calvert, B.*, Homer, C., Bar-Zeev, S., Ferguson, A. &amp; Scarf, V. </w:t>
      </w:r>
      <w:r w:rsidR="001D2D4B">
        <w:rPr>
          <w:rFonts w:cs="Calibri Light"/>
          <w:sz w:val="21"/>
          <w:szCs w:val="21"/>
        </w:rPr>
        <w:t>A scoping review m</w:t>
      </w:r>
      <w:r w:rsidR="001D2D4B" w:rsidRPr="003A3560">
        <w:rPr>
          <w:rFonts w:cs="Calibri Light"/>
          <w:sz w:val="21"/>
          <w:szCs w:val="21"/>
        </w:rPr>
        <w:t>apping economic evaluations of midwifery service provision and the midwifery workforce</w:t>
      </w:r>
    </w:p>
    <w:p w14:paraId="44799C68" w14:textId="77777777" w:rsidR="00240F2B" w:rsidRPr="003A3560" w:rsidRDefault="00240F2B" w:rsidP="00240F2B">
      <w:pPr>
        <w:shd w:val="clear" w:color="auto" w:fill="FFFFFF" w:themeFill="background1"/>
        <w:rPr>
          <w:rFonts w:cs="Calibri Light"/>
          <w:sz w:val="21"/>
          <w:szCs w:val="21"/>
        </w:rPr>
      </w:pPr>
      <w:r w:rsidRPr="003A3560">
        <w:rPr>
          <w:rFonts w:cs="Calibri Light"/>
          <w:sz w:val="21"/>
          <w:szCs w:val="21"/>
        </w:rPr>
        <w:t>Applied Health Economics and Health Policy. *boe.calvert@student.uts.edu.au</w:t>
      </w:r>
    </w:p>
    <w:p w14:paraId="6CB3FAD0" w14:textId="77777777" w:rsidR="00240F2B" w:rsidRDefault="00240F2B" w:rsidP="00E34371">
      <w:pPr>
        <w:shd w:val="clear" w:color="auto" w:fill="FFFFFF" w:themeFill="background1"/>
        <w:rPr>
          <w:rFonts w:cs="Calibri Light"/>
          <w:sz w:val="21"/>
          <w:szCs w:val="21"/>
        </w:rPr>
      </w:pPr>
    </w:p>
    <w:p w14:paraId="279C0C33" w14:textId="4241ADC3" w:rsidR="00EB3D58" w:rsidRPr="00E34371" w:rsidRDefault="00047868" w:rsidP="00E34371">
      <w:pPr>
        <w:shd w:val="clear" w:color="auto" w:fill="FFFFFF" w:themeFill="background1"/>
        <w:rPr>
          <w:rFonts w:cs="Calibri Light"/>
          <w:sz w:val="21"/>
          <w:szCs w:val="21"/>
        </w:rPr>
      </w:pPr>
      <w:r>
        <w:rPr>
          <w:rFonts w:cs="Calibri Light"/>
          <w:sz w:val="21"/>
          <w:szCs w:val="21"/>
        </w:rPr>
        <w:t xml:space="preserve">Supplementary </w:t>
      </w:r>
      <w:r w:rsidR="00D06556" w:rsidRPr="00B05CB2">
        <w:rPr>
          <w:rFonts w:cs="Calibri Light"/>
          <w:sz w:val="21"/>
          <w:szCs w:val="21"/>
        </w:rPr>
        <w:t xml:space="preserve">Table </w:t>
      </w:r>
      <w:r>
        <w:rPr>
          <w:rFonts w:cs="Calibri Light"/>
          <w:sz w:val="21"/>
          <w:szCs w:val="21"/>
        </w:rPr>
        <w:t>S5</w:t>
      </w:r>
      <w:r w:rsidR="00D06556" w:rsidRPr="00B05CB2">
        <w:rPr>
          <w:rFonts w:cs="Calibri Light"/>
          <w:sz w:val="21"/>
          <w:szCs w:val="21"/>
        </w:rPr>
        <w:t xml:space="preserve">. Studies reporting </w:t>
      </w:r>
      <w:r w:rsidR="00D06556">
        <w:rPr>
          <w:rFonts w:cs="Calibri Light"/>
          <w:sz w:val="21"/>
          <w:szCs w:val="21"/>
        </w:rPr>
        <w:t xml:space="preserve">full economic evaluations relating to midwifery with </w:t>
      </w:r>
      <w:r w:rsidR="003E7251">
        <w:rPr>
          <w:rFonts w:cs="Calibri Light"/>
          <w:sz w:val="21"/>
          <w:szCs w:val="21"/>
        </w:rPr>
        <w:t>outcomes</w:t>
      </w:r>
    </w:p>
    <w:tbl>
      <w:tblPr>
        <w:tblW w:w="15624" w:type="dxa"/>
        <w:tblInd w:w="-5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281"/>
        <w:gridCol w:w="992"/>
        <w:gridCol w:w="1276"/>
        <w:gridCol w:w="1276"/>
        <w:gridCol w:w="2126"/>
        <w:gridCol w:w="1559"/>
        <w:gridCol w:w="2126"/>
        <w:gridCol w:w="2268"/>
        <w:gridCol w:w="1444"/>
      </w:tblGrid>
      <w:tr w:rsidR="004171FE" w:rsidRPr="00E87241" w14:paraId="62B2336E" w14:textId="77777777" w:rsidTr="004171FE">
        <w:trPr>
          <w:trHeight w:val="560"/>
        </w:trPr>
        <w:tc>
          <w:tcPr>
            <w:tcW w:w="1276" w:type="dxa"/>
            <w:shd w:val="clear" w:color="auto" w:fill="F2F2F2" w:themeFill="background1" w:themeFillShade="F2"/>
            <w:noWrap/>
            <w:vAlign w:val="bottom"/>
            <w:hideMark/>
          </w:tcPr>
          <w:p w14:paraId="3D07FF2F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Reference</w:t>
            </w:r>
          </w:p>
        </w:tc>
        <w:tc>
          <w:tcPr>
            <w:tcW w:w="1281" w:type="dxa"/>
            <w:shd w:val="clear" w:color="auto" w:fill="F2F2F2" w:themeFill="background1" w:themeFillShade="F2"/>
            <w:noWrap/>
            <w:vAlign w:val="bottom"/>
            <w:hideMark/>
          </w:tcPr>
          <w:p w14:paraId="76D586DC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Study design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bottom"/>
            <w:hideMark/>
          </w:tcPr>
          <w:p w14:paraId="78A3AF7D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Population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  <w:hideMark/>
          </w:tcPr>
          <w:p w14:paraId="3A903B22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  <w:hideMark/>
          </w:tcPr>
          <w:p w14:paraId="4A395068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ind w:right="182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Comparator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bottom"/>
            <w:hideMark/>
          </w:tcPr>
          <w:p w14:paraId="13CE8372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Outcome measure/s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  <w:hideMark/>
          </w:tcPr>
          <w:p w14:paraId="749561D6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Outcome data source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bottom"/>
            <w:hideMark/>
          </w:tcPr>
          <w:p w14:paraId="21D73C24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Outcome favours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  <w:vAlign w:val="bottom"/>
            <w:hideMark/>
          </w:tcPr>
          <w:p w14:paraId="592AEC0C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Economic outcome</w:t>
            </w:r>
          </w:p>
        </w:tc>
        <w:tc>
          <w:tcPr>
            <w:tcW w:w="1444" w:type="dxa"/>
            <w:shd w:val="clear" w:color="auto" w:fill="F2F2F2" w:themeFill="background1" w:themeFillShade="F2"/>
            <w:noWrap/>
            <w:vAlign w:val="bottom"/>
            <w:hideMark/>
          </w:tcPr>
          <w:p w14:paraId="5EAE6053" w14:textId="77777777" w:rsidR="00EB3D58" w:rsidRPr="003E725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E7251">
              <w:rPr>
                <w:rFonts w:eastAsia="Times New Roman" w:cs="Calibri Light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Notes</w:t>
            </w:r>
          </w:p>
        </w:tc>
      </w:tr>
      <w:tr w:rsidR="004171FE" w:rsidRPr="00E87241" w14:paraId="75626509" w14:textId="77777777" w:rsidTr="004171FE">
        <w:trPr>
          <w:trHeight w:val="900"/>
        </w:trPr>
        <w:tc>
          <w:tcPr>
            <w:tcW w:w="1276" w:type="dxa"/>
            <w:shd w:val="clear" w:color="auto" w:fill="auto"/>
            <w:vAlign w:val="bottom"/>
            <w:hideMark/>
          </w:tcPr>
          <w:p w14:paraId="696BF6A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Attanasio et al. 2019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USA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6DE22986" w14:textId="41AB38DC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85FF71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497C98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care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E1C4B5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Obstetrician-led care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5E84158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Morbidity - Preterm birth; Episiotomy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C3A1D8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Listening to Mothers III data, Sandall et al. 2016 meta-analysis data.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2C8C97B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A006A69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Midwifery-led care is cost-effective.</w:t>
            </w:r>
          </w:p>
          <w:p w14:paraId="28A4499A" w14:textId="77DBA8DF" w:rsidR="00C901E3" w:rsidRPr="00E87241" w:rsidRDefault="00E41903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US$27,238 per birth for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intervention v.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US$29,659 per birth for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comparator.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41A86CC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0410A0F4" w14:textId="77777777" w:rsidTr="004171FE">
        <w:trPr>
          <w:trHeight w:val="1140"/>
        </w:trPr>
        <w:tc>
          <w:tcPr>
            <w:tcW w:w="1276" w:type="dxa"/>
            <w:shd w:val="clear" w:color="auto" w:fill="auto"/>
            <w:vAlign w:val="bottom"/>
            <w:hideMark/>
          </w:tcPr>
          <w:p w14:paraId="5ACAFA7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Bernitz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2012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Norway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04687627" w14:textId="0426056F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689567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DC6D1B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birth unit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F686C6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Standard obstetric unit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413FFE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Avoided clinical procedures - Caesarean section; Instrumental birth; Complications requiring OT; Epidural; Oxytocin augmentation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E4D92F1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10B06B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(all outcomes).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Sensitivity analysis intervention favours outcomes 4 and 5; outcomes 1, 2, 3 comparable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3C2156F1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birth unit is cost-saving, and cost-effective for certain interventions.</w:t>
            </w:r>
          </w:p>
          <w:p w14:paraId="6F0D41D1" w14:textId="0E619C61" w:rsidR="00AF70EE" w:rsidRPr="00E87241" w:rsidRDefault="00AF70EE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€1672 per birth </w:t>
            </w:r>
            <w:r w:rsidR="002F3F1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for intervention v.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€1950 per birth </w:t>
            </w:r>
            <w:r w:rsidR="002F3F1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comparator.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6AA2D6A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2AB3C265" w14:textId="77777777" w:rsidTr="004171FE">
        <w:trPr>
          <w:trHeight w:val="1352"/>
        </w:trPr>
        <w:tc>
          <w:tcPr>
            <w:tcW w:w="1276" w:type="dxa"/>
            <w:shd w:val="clear" w:color="auto" w:fill="auto"/>
            <w:vAlign w:val="bottom"/>
            <w:hideMark/>
          </w:tcPr>
          <w:p w14:paraId="0CFB688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Boukhlafa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2024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Morocco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23E63CF1" w14:textId="2DDAB0CC" w:rsidR="00EB3D58" w:rsidRPr="00E87241" w:rsidRDefault="00FF629A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Cost-benefit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2BCB5F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Whole population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C9E1C2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Investing in national scale-up of midwifery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8AABFF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5993184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Monetary value of reduced maternal and newborn mortality, and stillbirths.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B167849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Multiple secondary data sources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28118055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(no comparator).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Midwifery investment could save 120,593 lives by 2030.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275017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 estimated costs to scale-up midwifery: US$638,288,820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Total estimated benefits of midwifery investment: US$10,152,287,749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Cost-benefit ratio: 15.91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1DC5073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CBA methodology does not account for a comparator.</w:t>
            </w:r>
          </w:p>
        </w:tc>
      </w:tr>
      <w:tr w:rsidR="004171FE" w:rsidRPr="00E87241" w14:paraId="6DA248BF" w14:textId="77777777" w:rsidTr="004171FE">
        <w:trPr>
          <w:trHeight w:val="1198"/>
        </w:trPr>
        <w:tc>
          <w:tcPr>
            <w:tcW w:w="1276" w:type="dxa"/>
            <w:shd w:val="clear" w:color="auto" w:fill="auto"/>
            <w:vAlign w:val="bottom"/>
            <w:hideMark/>
          </w:tcPr>
          <w:p w14:paraId="4D35739C" w14:textId="2DC9FE56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Callander et al. 20</w:t>
            </w:r>
            <w:r w:rsidR="001D2D4B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Australia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16A0F620" w14:textId="792A53DB" w:rsidR="00EB3D58" w:rsidRPr="00E87241" w:rsidRDefault="00495FB3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ost utility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80EE3E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E4A945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Caseload midwifery; Chart audit; Routine IOL 39 weeks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E29FC5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Standard care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2BC25F9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QALYs based on model health states taken from the literature.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AD8D59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COSMOS trial, QUARISMA trial, </w:t>
            </w:r>
            <w:proofErr w:type="gram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ARRIVE</w:t>
            </w:r>
            <w:proofErr w:type="gram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trial, Maternity1000 dataset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B86666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Comparable outcomes between interventions and comparator. Caseload midwifery lowest cost.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9939045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Caseload midwifery is cost saving, offers best value for money compared to other interventions.</w:t>
            </w:r>
          </w:p>
          <w:p w14:paraId="7E1477BA" w14:textId="7723130B" w:rsidR="00972D8E" w:rsidRPr="00E87241" w:rsidRDefault="00B52850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AU$15,587 per woman under caseload midwifery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;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AU$16,325 per woman under chart audit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;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AU$16,257 per woman under routine </w:t>
            </w:r>
            <w:proofErr w:type="gramStart"/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 week</w:t>
            </w:r>
            <w:proofErr w:type="gramEnd"/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IOL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v.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AU$16,905 per woman under standard care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(comparator).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72421EB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0036F" w:rsidRPr="00E87241" w14:paraId="08CD1F0A" w14:textId="77777777" w:rsidTr="0090036F">
        <w:trPr>
          <w:trHeight w:val="522"/>
        </w:trPr>
        <w:tc>
          <w:tcPr>
            <w:tcW w:w="1276" w:type="dxa"/>
            <w:shd w:val="clear" w:color="auto" w:fill="auto"/>
            <w:vAlign w:val="bottom"/>
            <w:hideMark/>
          </w:tcPr>
          <w:p w14:paraId="05CDAC9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Callander et al. 2021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Australia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3E63EC29" w14:textId="34AB79F9" w:rsidR="00EB3D58" w:rsidRPr="00E87241" w:rsidRDefault="00495FB3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ost utility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A67B4AB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78ABA7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Caseload midwifery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01F755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Standard care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1E560D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QALYS based on women's self-reported </w:t>
            </w: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HRQoL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at 5 points in pregnancy and postpartum.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7C1414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3BF2B9A1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Comparable outcomes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5926F6E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Caseload midwifery is cost saving</w:t>
            </w:r>
            <w:r w:rsidR="00F9236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  <w:p w14:paraId="69C83817" w14:textId="08B2A02A" w:rsidR="00972D8E" w:rsidRPr="00E87241" w:rsidRDefault="00173ECC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Costs in comparator model of care 22% higher than intervention model of care</w:t>
            </w:r>
            <w:r w:rsidR="0090036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0036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(</w:t>
            </w:r>
            <w:r w:rsidR="0090036F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AU$23,884 </w:t>
            </w:r>
            <w:r w:rsidR="0090036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intervention v. </w:t>
            </w:r>
            <w:r w:rsidR="0090036F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AU$29,092 </w:t>
            </w:r>
            <w:r w:rsidR="0090036F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comparator)</w:t>
            </w:r>
            <w:r w:rsidR="00C47B39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411CCC0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419010CD" w14:textId="77777777" w:rsidTr="004171FE">
        <w:trPr>
          <w:trHeight w:val="1142"/>
        </w:trPr>
        <w:tc>
          <w:tcPr>
            <w:tcW w:w="1276" w:type="dxa"/>
            <w:shd w:val="clear" w:color="auto" w:fill="auto"/>
            <w:vAlign w:val="bottom"/>
            <w:hideMark/>
          </w:tcPr>
          <w:p w14:paraId="402C6FF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Callander et al. 2024a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Australia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03D02C74" w14:textId="3173103D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44609D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pregnancies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DF3B985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birth centres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A21034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Standard care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F886EA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DALYs allocated based on morbidity (women) and mortality (women and newborns).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00AA42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data, UNICEF data warehouse, WHO data, literature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34987E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7507DAEB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birth centres tend to be cost-</w:t>
            </w:r>
            <w:proofErr w:type="gram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saving, and</w:t>
            </w:r>
            <w:proofErr w:type="gram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can be cost-effective</w:t>
            </w:r>
            <w:r w:rsidR="00972D8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  <w:p w14:paraId="76EF60D0" w14:textId="0E3B16E1" w:rsidR="00972D8E" w:rsidRPr="00E87241" w:rsidRDefault="00A72D16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Costs and clinical outcomes varied across sites</w:t>
            </w:r>
            <w:r w:rsidR="007D24CA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and </w:t>
            </w:r>
            <w:proofErr w:type="spellStart"/>
            <w:r w:rsidR="007D24CA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countires</w:t>
            </w:r>
            <w:proofErr w:type="spellEnd"/>
            <w:r w:rsidR="007D24CA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5861F8BB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0491644F" w14:textId="77777777" w:rsidTr="004171FE">
        <w:trPr>
          <w:trHeight w:val="793"/>
        </w:trPr>
        <w:tc>
          <w:tcPr>
            <w:tcW w:w="1276" w:type="dxa"/>
            <w:shd w:val="clear" w:color="auto" w:fill="auto"/>
            <w:vAlign w:val="bottom"/>
            <w:hideMark/>
          </w:tcPr>
          <w:p w14:paraId="4EE14D6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Fawsitt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2017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Ireland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34636CD1" w14:textId="2642B247" w:rsidR="00EB3D58" w:rsidRPr="00E87241" w:rsidRDefault="00E8778D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Cost-benefit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552663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5273E9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care unit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D990A0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Consultant-led care unit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2323CE2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Women's WTP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FA9370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09B1584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7672BF2" w14:textId="77777777" w:rsidR="00EB3D58" w:rsidRPr="008D511B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D511B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care unit is cost-beneficial</w:t>
            </w:r>
            <w:r w:rsidR="007D24CA" w:rsidRPr="008D511B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  <w:p w14:paraId="05326007" w14:textId="1AC65346" w:rsidR="008D511B" w:rsidRPr="00F52F0C" w:rsidRDefault="008D511B" w:rsidP="008D511B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Midwifery-led care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associated with</w:t>
            </w:r>
            <w:r w:rsidRP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best use of</w:t>
            </w:r>
          </w:p>
          <w:p w14:paraId="73951108" w14:textId="461A9B7D" w:rsidR="007D24CA" w:rsidRPr="008D511B" w:rsidRDefault="008D511B" w:rsidP="008D511B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resources, generating a net benefit of €1491.22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, </w:t>
            </w:r>
            <w:r w:rsidRP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compared with €123.23 for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comparator.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38BB4D4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0BC07125" w14:textId="77777777" w:rsidTr="004171FE">
        <w:trPr>
          <w:trHeight w:val="563"/>
        </w:trPr>
        <w:tc>
          <w:tcPr>
            <w:tcW w:w="1276" w:type="dxa"/>
            <w:shd w:val="clear" w:color="auto" w:fill="auto"/>
            <w:vAlign w:val="bottom"/>
            <w:hideMark/>
          </w:tcPr>
          <w:p w14:paraId="58C1DC4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Hitzert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2017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Netherlands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202D5941" w14:textId="02993F55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C5DFF1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02CE56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Midwife-led birth centre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569C43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Alternative planned places of birth - hospital and home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5992801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Optimality Index (OI) - primary; Composite Adverse Outcome score (CAO) - secondary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1FA086C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 and perinatal database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C5F670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Comparator: home (OI only)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Comparable outcomes: hospital (OI and CAO); home (CAO)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230005C8" w14:textId="02E5A900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Comparable health and economic outcomes between birth in hospital and midwife-led birth centre. 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Birth at home is cost-effective.</w:t>
            </w:r>
            <w:r w:rsidR="00A9345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A93450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€3327 per birth in a birth centre</w:t>
            </w:r>
            <w:r w:rsid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(intervention) v. </w:t>
            </w:r>
            <w:r w:rsidR="00A93450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€3,330 per hospital birth</w:t>
            </w:r>
            <w:r w:rsid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and</w:t>
            </w:r>
            <w:r w:rsidR="00A93450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€2,998 per birth at home</w:t>
            </w:r>
            <w:r w:rsidR="00F52F0C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52EA90C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CAO comparable across all birthplaces. 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OI outcomes improved at home births.</w:t>
            </w:r>
          </w:p>
        </w:tc>
      </w:tr>
      <w:tr w:rsidR="004171FE" w:rsidRPr="00E87241" w14:paraId="6777AEBB" w14:textId="77777777" w:rsidTr="004171FE">
        <w:trPr>
          <w:trHeight w:val="864"/>
        </w:trPr>
        <w:tc>
          <w:tcPr>
            <w:tcW w:w="1276" w:type="dxa"/>
            <w:shd w:val="clear" w:color="auto" w:fill="auto"/>
            <w:vAlign w:val="bottom"/>
            <w:hideMark/>
          </w:tcPr>
          <w:p w14:paraId="70C145E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Isaline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2019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Belgium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41A45264" w14:textId="4C1F5693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7F9902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pregnancies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C1B3EF9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birth unit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C4B890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Standard obstetric unit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58D4E90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Interventions - Caesarean section; Instrumental birth; Epidural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AFD55D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Patient medical records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3D2E2D5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Comparable outcomes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07293CF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Comparable outcomes leaning towards cost saving for midwife-led birth unit.</w:t>
            </w:r>
          </w:p>
          <w:p w14:paraId="2C54FB64" w14:textId="442EDC9A" w:rsidR="00F52F0C" w:rsidRPr="00E87241" w:rsidRDefault="00C24E94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€4307.68 per woman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for intervention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v. €4705.07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per woman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comparator.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533D086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32ADB035" w14:textId="77777777" w:rsidTr="004171FE">
        <w:trPr>
          <w:trHeight w:val="807"/>
        </w:trPr>
        <w:tc>
          <w:tcPr>
            <w:tcW w:w="1276" w:type="dxa"/>
            <w:shd w:val="clear" w:color="auto" w:fill="auto"/>
            <w:vAlign w:val="bottom"/>
            <w:hideMark/>
          </w:tcPr>
          <w:p w14:paraId="757723E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Koto et al. 2019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Canada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76AA6628" w14:textId="6949362B" w:rsidR="00EB3D58" w:rsidRPr="00E87241" w:rsidRDefault="00141D37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21E00C0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births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40F6EBC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Midwifery-led care for low-risk births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F1809D9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Family Physicians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083EBBB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Morbidity averted - NICU admission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9B485A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Routine clinical data (perinatal database)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D77D1D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4B62791B" w14:textId="10BCB820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Midwifery-led care is cost-effective</w:t>
            </w:r>
            <w:r w:rsidR="00C24E94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  <w:p w14:paraId="08B95F0D" w14:textId="65932874" w:rsidR="00F52F0C" w:rsidRPr="00E87241" w:rsidRDefault="001868B3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C$8,308 per birth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for intervention v. </w:t>
            </w:r>
            <w:r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C$7,131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comparator.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4A802F91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0BCBBDFA" w14:textId="77777777" w:rsidTr="004171FE">
        <w:trPr>
          <w:trHeight w:val="1212"/>
        </w:trPr>
        <w:tc>
          <w:tcPr>
            <w:tcW w:w="1276" w:type="dxa"/>
            <w:shd w:val="clear" w:color="auto" w:fill="auto"/>
            <w:vAlign w:val="bottom"/>
            <w:hideMark/>
          </w:tcPr>
          <w:p w14:paraId="4C4DB59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Manasyan</w:t>
            </w:r>
            <w:proofErr w:type="spellEnd"/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et al. 2011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Zambia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5C3D82D4" w14:textId="38B00EA0" w:rsidR="00EB3D58" w:rsidRPr="00E87241" w:rsidRDefault="00665395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ED0F8B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 newborns born in first-level facilities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1E1C44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Essential newborn care training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D334B5A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Before training/implementation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33DEB60E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7-day all-cause neonatal mortality averted and DALYs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1FB0265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5977ED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1F802FF" w14:textId="16717252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ENC training for midwives is a low-cost intervention to reduce all-cause 7-day neonatal mortality</w:t>
            </w:r>
            <w:r w:rsidR="00410275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(decreased from 11.5 deaths per 1000 </w:t>
            </w:r>
            <w:r w:rsidR="009E04A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live </w:t>
            </w:r>
            <w:r w:rsidR="00410275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births to 6.8)</w:t>
            </w:r>
            <w:r w:rsidR="001868B3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  <w:p w14:paraId="6FEA912B" w14:textId="49E1C47F" w:rsidR="00F52F0C" w:rsidRPr="00790704" w:rsidRDefault="00790704" w:rsidP="00790704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I</w:t>
            </w:r>
            <w:r w:rsidRPr="00790704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ntervention costs were $208 per life saved and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</w:t>
            </w:r>
            <w:r w:rsidRPr="00790704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$5.24 per 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DALY</w:t>
            </w:r>
            <w:r w:rsidRPr="00790704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averted.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14D007E6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171FE" w:rsidRPr="00E87241" w14:paraId="7E1DD316" w14:textId="77777777" w:rsidTr="004171FE">
        <w:trPr>
          <w:trHeight w:val="1580"/>
        </w:trPr>
        <w:tc>
          <w:tcPr>
            <w:tcW w:w="1276" w:type="dxa"/>
            <w:shd w:val="clear" w:color="auto" w:fill="auto"/>
            <w:vAlign w:val="bottom"/>
            <w:hideMark/>
          </w:tcPr>
          <w:p w14:paraId="2243D4D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Schroeder et al. 2012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United Kingdom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1F4A3991" w14:textId="6D330161" w:rsidR="00EB3D58" w:rsidRPr="00E87241" w:rsidRDefault="00665395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D8F3F3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women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B7A505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care for low-risk women at home, AMU or FMU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E690E92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Obstetric units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3F60BF58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Adverse perinatal outcome avoided, adverse maternal morbidity avoided, and additional normal birth.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7D9977AB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data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0390E01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Comparable outcomes 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(non-significant differences)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5FFC52FF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Planned birth at home, in AMU or FMU is cost-savings.</w:t>
            </w:r>
          </w:p>
          <w:p w14:paraId="67F2C89F" w14:textId="0015DF45" w:rsidR="00790704" w:rsidRPr="007F2612" w:rsidRDefault="00CB1D6C" w:rsidP="007968C1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Midwife-led care for p</w:t>
            </w:r>
            <w:r w:rsidR="007968C1" w:rsidRPr="007F261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lanned birth at home generated the greatest mean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</w:t>
            </w:r>
            <w:r w:rsidR="007968C1" w:rsidRPr="007F261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net benefit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with</w:t>
            </w:r>
            <w:r w:rsidR="007968C1" w:rsidRPr="007F261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a 100% probability of being the optimal setting</w:t>
            </w:r>
            <w:r w:rsidR="007F261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</w:t>
            </w:r>
            <w:r w:rsidR="007968C1" w:rsidRPr="007F261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across all cost effectiveness thresholds.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680760EA" w14:textId="592D2D21" w:rsidR="00EB3D58" w:rsidRPr="00E87241" w:rsidRDefault="004171FE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Poorer</w:t>
            </w:r>
            <w:r w:rsidR="00EB3D58"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perinatal outcomes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noted for nulliparous women birthing at home</w:t>
            </w:r>
            <w:r w:rsidR="00EB3D58"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EB3D58"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multiparous women, planned birth at home is most cost-effective.</w:t>
            </w:r>
          </w:p>
        </w:tc>
      </w:tr>
      <w:tr w:rsidR="004171FE" w:rsidRPr="00E87241" w14:paraId="7B40209C" w14:textId="77777777" w:rsidTr="004171FE">
        <w:trPr>
          <w:trHeight w:val="821"/>
        </w:trPr>
        <w:tc>
          <w:tcPr>
            <w:tcW w:w="1276" w:type="dxa"/>
            <w:shd w:val="clear" w:color="auto" w:fill="auto"/>
            <w:vAlign w:val="bottom"/>
            <w:hideMark/>
          </w:tcPr>
          <w:p w14:paraId="5937EA47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Walters et al. 2015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Canada</w:t>
            </w:r>
          </w:p>
        </w:tc>
        <w:tc>
          <w:tcPr>
            <w:tcW w:w="1281" w:type="dxa"/>
            <w:shd w:val="clear" w:color="auto" w:fill="auto"/>
            <w:vAlign w:val="bottom"/>
            <w:hideMark/>
          </w:tcPr>
          <w:p w14:paraId="5123863A" w14:textId="58C8D641" w:rsidR="00EB3D58" w:rsidRPr="00E87241" w:rsidRDefault="00665395" w:rsidP="007D2E6A">
            <w:pPr>
              <w:keepNext w:val="0"/>
              <w:keepLines w:val="0"/>
              <w:spacing w:before="0" w:after="0" w:line="240" w:lineRule="auto"/>
              <w:ind w:right="-39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382B">
              <w:rPr>
                <w:rFonts w:eastAsia="Times New Roman" w:cs="Calibri Light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Cost-effectiveness analysis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AE1302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Low-risk obstetrical patients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C00C373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Midwife-led care for low-risk births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456DB9C" w14:textId="050B7D5D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Family Physicians</w:t>
            </w:r>
            <w:r w:rsidR="00B63192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;</w:t>
            </w: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br/>
              <w:t>Obstetricians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333B86D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Avoidance of NICU transfer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23715BF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Hospital medical records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264A2CA9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1254BC90" w14:textId="77777777" w:rsidR="00EB3D58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87241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Midwifery-led care is cost-effective.</w:t>
            </w:r>
          </w:p>
          <w:p w14:paraId="06A014EF" w14:textId="06F5EA04" w:rsidR="00790704" w:rsidRPr="00E87241" w:rsidRDefault="00B63192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Intervention demonstrated lower costs and better outcomes than comparators. 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C$5,102 per birth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for intervention v. 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C$5,116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comparator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Family Physician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and 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C$5,188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 comparator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(O</w:t>
            </w:r>
            <w:r w:rsidR="004B0D2E" w:rsidRPr="00CA7DE0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bstetric</w:t>
            </w:r>
            <w:r w:rsidR="004B0D2E"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ian).</w:t>
            </w:r>
          </w:p>
        </w:tc>
        <w:tc>
          <w:tcPr>
            <w:tcW w:w="1444" w:type="dxa"/>
            <w:shd w:val="clear" w:color="auto" w:fill="auto"/>
            <w:vAlign w:val="bottom"/>
            <w:hideMark/>
          </w:tcPr>
          <w:p w14:paraId="464FB784" w14:textId="77777777" w:rsidR="00EB3D58" w:rsidRPr="00E87241" w:rsidRDefault="00EB3D58" w:rsidP="007D2E6A">
            <w:pPr>
              <w:keepNext w:val="0"/>
              <w:keepLines w:val="0"/>
              <w:spacing w:before="0" w:after="0" w:line="240" w:lineRule="auto"/>
              <w:outlineLvl w:val="9"/>
              <w:rPr>
                <w:rFonts w:eastAsia="Times New Roman" w:cs="Calibri Light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2667EFF3" w14:textId="77777777" w:rsidR="00EB3D58" w:rsidRDefault="00EB3D58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ascii="Aptos Narrow" w:eastAsia="Times New Roman" w:hAnsi="Aptos Narrow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14:paraId="7B850076" w14:textId="77777777" w:rsidR="00EB3D58" w:rsidRDefault="00EB3D58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ascii="Aptos Narrow" w:eastAsia="Times New Roman" w:hAnsi="Aptos Narrow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14:paraId="62578173" w14:textId="1BF797FA" w:rsidR="008076FE" w:rsidRPr="00E87241" w:rsidRDefault="00AB29C2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</w:pPr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>* These are studies that have compared an outcome measure with costs and are therefore classified for this review as full economic evaluations</w:t>
      </w:r>
    </w:p>
    <w:p w14:paraId="7A572AB0" w14:textId="77777777" w:rsidR="00AB29C2" w:rsidRPr="00E87241" w:rsidRDefault="00AB29C2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</w:pPr>
    </w:p>
    <w:p w14:paraId="38A07F4F" w14:textId="5B17A900" w:rsidR="00AB29C2" w:rsidRPr="00E87241" w:rsidRDefault="00AB29C2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</w:pPr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>Note - Kenny et al. 2015 and Petrou et al. 2004 are not presented here as these studies focus on cost comparison/minimisation</w:t>
      </w:r>
      <w:r w:rsidR="001563DB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 and did not present outcomes</w:t>
      </w:r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 as the related RCTs reported comparable outcomes</w:t>
      </w:r>
      <w:r w:rsidR="001563DB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 in separate papers.</w:t>
      </w:r>
    </w:p>
    <w:p w14:paraId="0D8E0236" w14:textId="77777777" w:rsidR="00AB29C2" w:rsidRPr="00E87241" w:rsidRDefault="00AB29C2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</w:pPr>
    </w:p>
    <w:p w14:paraId="462CF1E5" w14:textId="0148A048" w:rsidR="00AB29C2" w:rsidRPr="00E87241" w:rsidRDefault="00AB29C2" w:rsidP="00AB29C2">
      <w:pPr>
        <w:keepNext w:val="0"/>
        <w:keepLines w:val="0"/>
        <w:spacing w:before="0" w:after="0" w:line="240" w:lineRule="auto"/>
        <w:ind w:right="-39"/>
        <w:outlineLvl w:val="9"/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</w:pPr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AMU - Alongside Midwifery Unit; CBA - Cost Benefit Analysis; CEA - Cost Effectiveness Analysis; CMA - Cost Minimisation Analysis; CUA - Cost Utility Analysis; DALYs - Disability-adjusted life years; FMU - Freestanding Midwifery Unit; </w:t>
      </w:r>
      <w:proofErr w:type="spellStart"/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>HRQoL</w:t>
      </w:r>
      <w:proofErr w:type="spellEnd"/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 - Health-related Quality of Life; IOL - Induction of labour; NICU - Neonatal </w:t>
      </w:r>
      <w:proofErr w:type="spellStart"/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>Insensive</w:t>
      </w:r>
      <w:proofErr w:type="spellEnd"/>
      <w:r w:rsidRPr="00E87241">
        <w:rPr>
          <w:rFonts w:eastAsia="Times New Roman" w:cs="Calibri Light"/>
          <w:color w:val="000000"/>
          <w:kern w:val="0"/>
          <w:sz w:val="18"/>
          <w:szCs w:val="18"/>
          <w:lang w:eastAsia="en-GB"/>
          <w14:ligatures w14:val="none"/>
        </w:rPr>
        <w:t xml:space="preserve"> Care Unit; OT - Operating Theatre; QALYs - Quality-adjusted life-years; RCT - Randomised control trial; USA - United States of America; WTP - Willingness to pay</w:t>
      </w:r>
    </w:p>
    <w:sectPr w:rsidR="00AB29C2" w:rsidRPr="00E87241" w:rsidSect="002B65F5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etaOT-Norm">
    <w:panose1 w:val="020B0604020202020204"/>
    <w:charset w:val="4D"/>
    <w:family w:val="swiss"/>
    <w:notTrueType/>
    <w:pitch w:val="variable"/>
    <w:sig w:usb0="800000AF" w:usb1="4000207B" w:usb2="00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F5"/>
    <w:rsid w:val="00000FCB"/>
    <w:rsid w:val="000017A4"/>
    <w:rsid w:val="0000518D"/>
    <w:rsid w:val="0000554D"/>
    <w:rsid w:val="00013C85"/>
    <w:rsid w:val="00022406"/>
    <w:rsid w:val="00032147"/>
    <w:rsid w:val="000322E5"/>
    <w:rsid w:val="000359E9"/>
    <w:rsid w:val="00043526"/>
    <w:rsid w:val="00047868"/>
    <w:rsid w:val="00051592"/>
    <w:rsid w:val="00057703"/>
    <w:rsid w:val="00061D70"/>
    <w:rsid w:val="00064F07"/>
    <w:rsid w:val="000653DF"/>
    <w:rsid w:val="00071B55"/>
    <w:rsid w:val="00072CDE"/>
    <w:rsid w:val="000736A0"/>
    <w:rsid w:val="00073F7F"/>
    <w:rsid w:val="000812D9"/>
    <w:rsid w:val="00084FB3"/>
    <w:rsid w:val="00094326"/>
    <w:rsid w:val="00097AAC"/>
    <w:rsid w:val="000A0096"/>
    <w:rsid w:val="000A1C9D"/>
    <w:rsid w:val="000A334F"/>
    <w:rsid w:val="000A6891"/>
    <w:rsid w:val="000A7534"/>
    <w:rsid w:val="000B0BDA"/>
    <w:rsid w:val="000C2692"/>
    <w:rsid w:val="000D2BBA"/>
    <w:rsid w:val="000D6568"/>
    <w:rsid w:val="000E3FE2"/>
    <w:rsid w:val="000E6258"/>
    <w:rsid w:val="000F170A"/>
    <w:rsid w:val="000F2E6B"/>
    <w:rsid w:val="001017F8"/>
    <w:rsid w:val="00101A65"/>
    <w:rsid w:val="001072A4"/>
    <w:rsid w:val="00116E4A"/>
    <w:rsid w:val="00120A25"/>
    <w:rsid w:val="00132B60"/>
    <w:rsid w:val="0013368E"/>
    <w:rsid w:val="00133E82"/>
    <w:rsid w:val="00134C6D"/>
    <w:rsid w:val="00137B6D"/>
    <w:rsid w:val="00141599"/>
    <w:rsid w:val="00141D37"/>
    <w:rsid w:val="00142F35"/>
    <w:rsid w:val="001500C1"/>
    <w:rsid w:val="00150DC6"/>
    <w:rsid w:val="00151099"/>
    <w:rsid w:val="001563DB"/>
    <w:rsid w:val="001577C1"/>
    <w:rsid w:val="0016082C"/>
    <w:rsid w:val="001629E7"/>
    <w:rsid w:val="00164DF6"/>
    <w:rsid w:val="0016755A"/>
    <w:rsid w:val="00171BC0"/>
    <w:rsid w:val="00173ECC"/>
    <w:rsid w:val="00180419"/>
    <w:rsid w:val="0018133A"/>
    <w:rsid w:val="00182B76"/>
    <w:rsid w:val="00182F16"/>
    <w:rsid w:val="001868B3"/>
    <w:rsid w:val="001925AC"/>
    <w:rsid w:val="00195650"/>
    <w:rsid w:val="001B3A68"/>
    <w:rsid w:val="001C2D5D"/>
    <w:rsid w:val="001C5746"/>
    <w:rsid w:val="001C70E1"/>
    <w:rsid w:val="001C7FFE"/>
    <w:rsid w:val="001D139B"/>
    <w:rsid w:val="001D2D4B"/>
    <w:rsid w:val="001E07FE"/>
    <w:rsid w:val="001E4EE3"/>
    <w:rsid w:val="001F54F0"/>
    <w:rsid w:val="0021139D"/>
    <w:rsid w:val="00213955"/>
    <w:rsid w:val="0022026B"/>
    <w:rsid w:val="00224887"/>
    <w:rsid w:val="00226CB3"/>
    <w:rsid w:val="002275C6"/>
    <w:rsid w:val="00227F3C"/>
    <w:rsid w:val="002302FF"/>
    <w:rsid w:val="00236E13"/>
    <w:rsid w:val="00240F2B"/>
    <w:rsid w:val="00241CC5"/>
    <w:rsid w:val="002454D3"/>
    <w:rsid w:val="00247E71"/>
    <w:rsid w:val="00253D67"/>
    <w:rsid w:val="00254D4E"/>
    <w:rsid w:val="00265D9E"/>
    <w:rsid w:val="00272A51"/>
    <w:rsid w:val="0027740A"/>
    <w:rsid w:val="00285945"/>
    <w:rsid w:val="002905F3"/>
    <w:rsid w:val="002A4CE4"/>
    <w:rsid w:val="002A4EF9"/>
    <w:rsid w:val="002B65F5"/>
    <w:rsid w:val="002C53A5"/>
    <w:rsid w:val="002D340B"/>
    <w:rsid w:val="002E6BA5"/>
    <w:rsid w:val="002F3F1F"/>
    <w:rsid w:val="002F6984"/>
    <w:rsid w:val="00302E97"/>
    <w:rsid w:val="00303519"/>
    <w:rsid w:val="00304051"/>
    <w:rsid w:val="00316B3A"/>
    <w:rsid w:val="0032112A"/>
    <w:rsid w:val="00323EFA"/>
    <w:rsid w:val="003266E2"/>
    <w:rsid w:val="003325E1"/>
    <w:rsid w:val="0033343F"/>
    <w:rsid w:val="0033679A"/>
    <w:rsid w:val="00340237"/>
    <w:rsid w:val="00343CC8"/>
    <w:rsid w:val="003453B1"/>
    <w:rsid w:val="00356DE7"/>
    <w:rsid w:val="0037260F"/>
    <w:rsid w:val="003821D1"/>
    <w:rsid w:val="0038467F"/>
    <w:rsid w:val="00384D51"/>
    <w:rsid w:val="003875F2"/>
    <w:rsid w:val="00391944"/>
    <w:rsid w:val="00392165"/>
    <w:rsid w:val="00396D1D"/>
    <w:rsid w:val="003974B8"/>
    <w:rsid w:val="003B65D2"/>
    <w:rsid w:val="003B72EE"/>
    <w:rsid w:val="003C1D2A"/>
    <w:rsid w:val="003C284D"/>
    <w:rsid w:val="003C758B"/>
    <w:rsid w:val="003D0527"/>
    <w:rsid w:val="003D1E1A"/>
    <w:rsid w:val="003D4247"/>
    <w:rsid w:val="003E1B9D"/>
    <w:rsid w:val="003E39B2"/>
    <w:rsid w:val="003E7251"/>
    <w:rsid w:val="003E7D4E"/>
    <w:rsid w:val="003F1C5C"/>
    <w:rsid w:val="003F4CB6"/>
    <w:rsid w:val="003F78CA"/>
    <w:rsid w:val="003F7A64"/>
    <w:rsid w:val="00402CEF"/>
    <w:rsid w:val="00406435"/>
    <w:rsid w:val="00410275"/>
    <w:rsid w:val="00411E25"/>
    <w:rsid w:val="00414600"/>
    <w:rsid w:val="004171FE"/>
    <w:rsid w:val="0042027E"/>
    <w:rsid w:val="0042498D"/>
    <w:rsid w:val="00426398"/>
    <w:rsid w:val="0043360B"/>
    <w:rsid w:val="00435C73"/>
    <w:rsid w:val="00444002"/>
    <w:rsid w:val="00444C42"/>
    <w:rsid w:val="004711EB"/>
    <w:rsid w:val="00476730"/>
    <w:rsid w:val="00476D5E"/>
    <w:rsid w:val="004828AA"/>
    <w:rsid w:val="00483C37"/>
    <w:rsid w:val="00486FC0"/>
    <w:rsid w:val="00490070"/>
    <w:rsid w:val="00494288"/>
    <w:rsid w:val="00495FB3"/>
    <w:rsid w:val="004B0D2E"/>
    <w:rsid w:val="004B2D6E"/>
    <w:rsid w:val="004B4FB2"/>
    <w:rsid w:val="004B63FC"/>
    <w:rsid w:val="004C15DD"/>
    <w:rsid w:val="004C264A"/>
    <w:rsid w:val="004C5350"/>
    <w:rsid w:val="004C659A"/>
    <w:rsid w:val="004D497E"/>
    <w:rsid w:val="004D687E"/>
    <w:rsid w:val="004E0CEC"/>
    <w:rsid w:val="004E39A7"/>
    <w:rsid w:val="004E72EF"/>
    <w:rsid w:val="00516172"/>
    <w:rsid w:val="00517AF8"/>
    <w:rsid w:val="00522047"/>
    <w:rsid w:val="005226CE"/>
    <w:rsid w:val="00522DE0"/>
    <w:rsid w:val="00524BDB"/>
    <w:rsid w:val="00526378"/>
    <w:rsid w:val="00526DA8"/>
    <w:rsid w:val="0052752A"/>
    <w:rsid w:val="0054563F"/>
    <w:rsid w:val="00547E39"/>
    <w:rsid w:val="00552164"/>
    <w:rsid w:val="00563E68"/>
    <w:rsid w:val="005709A4"/>
    <w:rsid w:val="005903AA"/>
    <w:rsid w:val="005949D4"/>
    <w:rsid w:val="00594E4B"/>
    <w:rsid w:val="00595A79"/>
    <w:rsid w:val="005A2EC3"/>
    <w:rsid w:val="005A6259"/>
    <w:rsid w:val="005B2354"/>
    <w:rsid w:val="005B2F3A"/>
    <w:rsid w:val="005C012D"/>
    <w:rsid w:val="005C2DD6"/>
    <w:rsid w:val="005D1D98"/>
    <w:rsid w:val="005D6434"/>
    <w:rsid w:val="005E0DBB"/>
    <w:rsid w:val="005E1572"/>
    <w:rsid w:val="005E157B"/>
    <w:rsid w:val="005E3003"/>
    <w:rsid w:val="005F03FB"/>
    <w:rsid w:val="005F163B"/>
    <w:rsid w:val="00603E24"/>
    <w:rsid w:val="00607B20"/>
    <w:rsid w:val="00607F18"/>
    <w:rsid w:val="00611E6D"/>
    <w:rsid w:val="00615DEB"/>
    <w:rsid w:val="00615E5E"/>
    <w:rsid w:val="00630EEE"/>
    <w:rsid w:val="006323FB"/>
    <w:rsid w:val="00634565"/>
    <w:rsid w:val="00635225"/>
    <w:rsid w:val="00635B47"/>
    <w:rsid w:val="006371EE"/>
    <w:rsid w:val="00643D5B"/>
    <w:rsid w:val="0064733C"/>
    <w:rsid w:val="006510AC"/>
    <w:rsid w:val="0065162C"/>
    <w:rsid w:val="0065519A"/>
    <w:rsid w:val="0065571C"/>
    <w:rsid w:val="006614F6"/>
    <w:rsid w:val="00665395"/>
    <w:rsid w:val="006657CF"/>
    <w:rsid w:val="00672113"/>
    <w:rsid w:val="00673859"/>
    <w:rsid w:val="00687368"/>
    <w:rsid w:val="006A4280"/>
    <w:rsid w:val="006A6CF3"/>
    <w:rsid w:val="006B2FD3"/>
    <w:rsid w:val="006C0419"/>
    <w:rsid w:val="006C2490"/>
    <w:rsid w:val="006C4673"/>
    <w:rsid w:val="006C7BD4"/>
    <w:rsid w:val="006D0266"/>
    <w:rsid w:val="006D0DCB"/>
    <w:rsid w:val="006E36A9"/>
    <w:rsid w:val="006F3F06"/>
    <w:rsid w:val="006F796A"/>
    <w:rsid w:val="0070354B"/>
    <w:rsid w:val="00715C39"/>
    <w:rsid w:val="00716394"/>
    <w:rsid w:val="00717228"/>
    <w:rsid w:val="0072268C"/>
    <w:rsid w:val="0072415E"/>
    <w:rsid w:val="007255DB"/>
    <w:rsid w:val="00727B25"/>
    <w:rsid w:val="00730B01"/>
    <w:rsid w:val="0073418E"/>
    <w:rsid w:val="00740BCA"/>
    <w:rsid w:val="00740E2D"/>
    <w:rsid w:val="00746B11"/>
    <w:rsid w:val="00746EE6"/>
    <w:rsid w:val="00756830"/>
    <w:rsid w:val="007568B8"/>
    <w:rsid w:val="00756E68"/>
    <w:rsid w:val="00761EB6"/>
    <w:rsid w:val="00774923"/>
    <w:rsid w:val="00785362"/>
    <w:rsid w:val="00790704"/>
    <w:rsid w:val="007926BE"/>
    <w:rsid w:val="00793DE9"/>
    <w:rsid w:val="007968C1"/>
    <w:rsid w:val="007B185F"/>
    <w:rsid w:val="007B5E9A"/>
    <w:rsid w:val="007C198D"/>
    <w:rsid w:val="007C70E3"/>
    <w:rsid w:val="007D1CC3"/>
    <w:rsid w:val="007D24CA"/>
    <w:rsid w:val="007D3FD8"/>
    <w:rsid w:val="007E2E87"/>
    <w:rsid w:val="007E3947"/>
    <w:rsid w:val="007E47E8"/>
    <w:rsid w:val="007F24E3"/>
    <w:rsid w:val="007F2612"/>
    <w:rsid w:val="007F4421"/>
    <w:rsid w:val="007F5BB5"/>
    <w:rsid w:val="007F6877"/>
    <w:rsid w:val="007F6958"/>
    <w:rsid w:val="008045E4"/>
    <w:rsid w:val="008076FE"/>
    <w:rsid w:val="00817F1D"/>
    <w:rsid w:val="00826924"/>
    <w:rsid w:val="00840C29"/>
    <w:rsid w:val="00842469"/>
    <w:rsid w:val="0084445D"/>
    <w:rsid w:val="00844F47"/>
    <w:rsid w:val="008531DB"/>
    <w:rsid w:val="00854C5D"/>
    <w:rsid w:val="008678E0"/>
    <w:rsid w:val="0087013E"/>
    <w:rsid w:val="00871525"/>
    <w:rsid w:val="008744D9"/>
    <w:rsid w:val="00876598"/>
    <w:rsid w:val="00877A1F"/>
    <w:rsid w:val="00877E2A"/>
    <w:rsid w:val="008845E8"/>
    <w:rsid w:val="0088664D"/>
    <w:rsid w:val="00886FE8"/>
    <w:rsid w:val="008928FD"/>
    <w:rsid w:val="0089303A"/>
    <w:rsid w:val="008A37AB"/>
    <w:rsid w:val="008A447A"/>
    <w:rsid w:val="008A72AD"/>
    <w:rsid w:val="008B599A"/>
    <w:rsid w:val="008D511B"/>
    <w:rsid w:val="008D7A06"/>
    <w:rsid w:val="008E131F"/>
    <w:rsid w:val="008E735A"/>
    <w:rsid w:val="008F469A"/>
    <w:rsid w:val="008F69BC"/>
    <w:rsid w:val="008F6A25"/>
    <w:rsid w:val="0090036F"/>
    <w:rsid w:val="0090086B"/>
    <w:rsid w:val="009067B9"/>
    <w:rsid w:val="00906CB4"/>
    <w:rsid w:val="00917AA5"/>
    <w:rsid w:val="00922EE1"/>
    <w:rsid w:val="00923E5E"/>
    <w:rsid w:val="009255B7"/>
    <w:rsid w:val="009266E9"/>
    <w:rsid w:val="009277B4"/>
    <w:rsid w:val="00951291"/>
    <w:rsid w:val="009519E2"/>
    <w:rsid w:val="00954BA7"/>
    <w:rsid w:val="00957D6F"/>
    <w:rsid w:val="00964724"/>
    <w:rsid w:val="0096554F"/>
    <w:rsid w:val="00972D8E"/>
    <w:rsid w:val="00972F78"/>
    <w:rsid w:val="00977FDC"/>
    <w:rsid w:val="00982A09"/>
    <w:rsid w:val="0098630A"/>
    <w:rsid w:val="00991ADB"/>
    <w:rsid w:val="009922AB"/>
    <w:rsid w:val="00992A4F"/>
    <w:rsid w:val="00995A20"/>
    <w:rsid w:val="009A3A6C"/>
    <w:rsid w:val="009C5209"/>
    <w:rsid w:val="009D1BE8"/>
    <w:rsid w:val="009D39D7"/>
    <w:rsid w:val="009E04A2"/>
    <w:rsid w:val="009F247C"/>
    <w:rsid w:val="009F6B73"/>
    <w:rsid w:val="00A03818"/>
    <w:rsid w:val="00A04272"/>
    <w:rsid w:val="00A12BCE"/>
    <w:rsid w:val="00A21C91"/>
    <w:rsid w:val="00A21F6A"/>
    <w:rsid w:val="00A230D9"/>
    <w:rsid w:val="00A32713"/>
    <w:rsid w:val="00A32DE1"/>
    <w:rsid w:val="00A41965"/>
    <w:rsid w:val="00A609A2"/>
    <w:rsid w:val="00A62EB2"/>
    <w:rsid w:val="00A64790"/>
    <w:rsid w:val="00A716A8"/>
    <w:rsid w:val="00A72D16"/>
    <w:rsid w:val="00A77DD3"/>
    <w:rsid w:val="00A829FE"/>
    <w:rsid w:val="00A843B2"/>
    <w:rsid w:val="00A87EB6"/>
    <w:rsid w:val="00A91FB0"/>
    <w:rsid w:val="00A93450"/>
    <w:rsid w:val="00A954B5"/>
    <w:rsid w:val="00A96E36"/>
    <w:rsid w:val="00AA29B9"/>
    <w:rsid w:val="00AA3EC1"/>
    <w:rsid w:val="00AA6AFF"/>
    <w:rsid w:val="00AB29C2"/>
    <w:rsid w:val="00AB3584"/>
    <w:rsid w:val="00AB5326"/>
    <w:rsid w:val="00AC3687"/>
    <w:rsid w:val="00AD0E64"/>
    <w:rsid w:val="00AD1468"/>
    <w:rsid w:val="00AD219A"/>
    <w:rsid w:val="00AD317D"/>
    <w:rsid w:val="00AD5D77"/>
    <w:rsid w:val="00AF12BC"/>
    <w:rsid w:val="00AF70EE"/>
    <w:rsid w:val="00B01AB2"/>
    <w:rsid w:val="00B138BB"/>
    <w:rsid w:val="00B21261"/>
    <w:rsid w:val="00B21D35"/>
    <w:rsid w:val="00B31478"/>
    <w:rsid w:val="00B330EC"/>
    <w:rsid w:val="00B36C09"/>
    <w:rsid w:val="00B4352C"/>
    <w:rsid w:val="00B52850"/>
    <w:rsid w:val="00B532E2"/>
    <w:rsid w:val="00B54B9F"/>
    <w:rsid w:val="00B55026"/>
    <w:rsid w:val="00B60FA5"/>
    <w:rsid w:val="00B63192"/>
    <w:rsid w:val="00B637C8"/>
    <w:rsid w:val="00B643A8"/>
    <w:rsid w:val="00B65F4E"/>
    <w:rsid w:val="00B66BE1"/>
    <w:rsid w:val="00B71BBF"/>
    <w:rsid w:val="00B7396B"/>
    <w:rsid w:val="00B91C0C"/>
    <w:rsid w:val="00B92FCD"/>
    <w:rsid w:val="00B9440B"/>
    <w:rsid w:val="00B96B78"/>
    <w:rsid w:val="00BA0341"/>
    <w:rsid w:val="00BA1417"/>
    <w:rsid w:val="00BA1DC0"/>
    <w:rsid w:val="00BC1FB0"/>
    <w:rsid w:val="00BD44B6"/>
    <w:rsid w:val="00BD4607"/>
    <w:rsid w:val="00BF3EF3"/>
    <w:rsid w:val="00BF61C9"/>
    <w:rsid w:val="00BF6258"/>
    <w:rsid w:val="00C0208E"/>
    <w:rsid w:val="00C024D8"/>
    <w:rsid w:val="00C24E94"/>
    <w:rsid w:val="00C33697"/>
    <w:rsid w:val="00C35CF6"/>
    <w:rsid w:val="00C47B39"/>
    <w:rsid w:val="00C47B65"/>
    <w:rsid w:val="00C5400A"/>
    <w:rsid w:val="00C54913"/>
    <w:rsid w:val="00C56F8E"/>
    <w:rsid w:val="00C63588"/>
    <w:rsid w:val="00C72E95"/>
    <w:rsid w:val="00C74023"/>
    <w:rsid w:val="00C901E3"/>
    <w:rsid w:val="00C97011"/>
    <w:rsid w:val="00CA3474"/>
    <w:rsid w:val="00CB182C"/>
    <w:rsid w:val="00CB1D6C"/>
    <w:rsid w:val="00CB4E2C"/>
    <w:rsid w:val="00CC4C0D"/>
    <w:rsid w:val="00CD4B9B"/>
    <w:rsid w:val="00CE2197"/>
    <w:rsid w:val="00CE7439"/>
    <w:rsid w:val="00CF4F73"/>
    <w:rsid w:val="00CF51A0"/>
    <w:rsid w:val="00CF64AD"/>
    <w:rsid w:val="00D00171"/>
    <w:rsid w:val="00D0054E"/>
    <w:rsid w:val="00D01014"/>
    <w:rsid w:val="00D02A96"/>
    <w:rsid w:val="00D06556"/>
    <w:rsid w:val="00D10B9F"/>
    <w:rsid w:val="00D1338F"/>
    <w:rsid w:val="00D146DC"/>
    <w:rsid w:val="00D15B2F"/>
    <w:rsid w:val="00D23D69"/>
    <w:rsid w:val="00D246AD"/>
    <w:rsid w:val="00D2680E"/>
    <w:rsid w:val="00D33679"/>
    <w:rsid w:val="00D34078"/>
    <w:rsid w:val="00D3788A"/>
    <w:rsid w:val="00D37F42"/>
    <w:rsid w:val="00D46B12"/>
    <w:rsid w:val="00D538DF"/>
    <w:rsid w:val="00D55C79"/>
    <w:rsid w:val="00D67687"/>
    <w:rsid w:val="00D71F80"/>
    <w:rsid w:val="00D75A0C"/>
    <w:rsid w:val="00D82CE9"/>
    <w:rsid w:val="00D8326A"/>
    <w:rsid w:val="00D975F5"/>
    <w:rsid w:val="00DB02DF"/>
    <w:rsid w:val="00DB0678"/>
    <w:rsid w:val="00DB265C"/>
    <w:rsid w:val="00DB6592"/>
    <w:rsid w:val="00DB6E6B"/>
    <w:rsid w:val="00DC0DE1"/>
    <w:rsid w:val="00DC44DA"/>
    <w:rsid w:val="00DD3CDE"/>
    <w:rsid w:val="00DE2264"/>
    <w:rsid w:val="00DE3405"/>
    <w:rsid w:val="00DF17E4"/>
    <w:rsid w:val="00DF2904"/>
    <w:rsid w:val="00E02981"/>
    <w:rsid w:val="00E04436"/>
    <w:rsid w:val="00E05E3B"/>
    <w:rsid w:val="00E0657B"/>
    <w:rsid w:val="00E1375A"/>
    <w:rsid w:val="00E26BEA"/>
    <w:rsid w:val="00E26C09"/>
    <w:rsid w:val="00E32E65"/>
    <w:rsid w:val="00E34371"/>
    <w:rsid w:val="00E3517E"/>
    <w:rsid w:val="00E359DF"/>
    <w:rsid w:val="00E367D7"/>
    <w:rsid w:val="00E412DE"/>
    <w:rsid w:val="00E41903"/>
    <w:rsid w:val="00E43EFD"/>
    <w:rsid w:val="00E5006D"/>
    <w:rsid w:val="00E57680"/>
    <w:rsid w:val="00E71CFB"/>
    <w:rsid w:val="00E7381A"/>
    <w:rsid w:val="00E761C3"/>
    <w:rsid w:val="00E805D0"/>
    <w:rsid w:val="00E87241"/>
    <w:rsid w:val="00E8778D"/>
    <w:rsid w:val="00E9313A"/>
    <w:rsid w:val="00EA1D48"/>
    <w:rsid w:val="00EA5082"/>
    <w:rsid w:val="00EA6927"/>
    <w:rsid w:val="00EB2808"/>
    <w:rsid w:val="00EB3D58"/>
    <w:rsid w:val="00EC2002"/>
    <w:rsid w:val="00EC3CC2"/>
    <w:rsid w:val="00EC4022"/>
    <w:rsid w:val="00EC4026"/>
    <w:rsid w:val="00EC4A78"/>
    <w:rsid w:val="00ED300B"/>
    <w:rsid w:val="00ED33DD"/>
    <w:rsid w:val="00EE5254"/>
    <w:rsid w:val="00EF1F5A"/>
    <w:rsid w:val="00F01154"/>
    <w:rsid w:val="00F04ADD"/>
    <w:rsid w:val="00F10119"/>
    <w:rsid w:val="00F14C13"/>
    <w:rsid w:val="00F1548B"/>
    <w:rsid w:val="00F20417"/>
    <w:rsid w:val="00F21DB3"/>
    <w:rsid w:val="00F36189"/>
    <w:rsid w:val="00F40A1B"/>
    <w:rsid w:val="00F41254"/>
    <w:rsid w:val="00F43146"/>
    <w:rsid w:val="00F524B6"/>
    <w:rsid w:val="00F52F0C"/>
    <w:rsid w:val="00F7545A"/>
    <w:rsid w:val="00F81DCD"/>
    <w:rsid w:val="00F84B53"/>
    <w:rsid w:val="00F91ADC"/>
    <w:rsid w:val="00F91EFD"/>
    <w:rsid w:val="00F92297"/>
    <w:rsid w:val="00F9236F"/>
    <w:rsid w:val="00FA6163"/>
    <w:rsid w:val="00FB2165"/>
    <w:rsid w:val="00FB2F40"/>
    <w:rsid w:val="00FB6CA5"/>
    <w:rsid w:val="00FC0D32"/>
    <w:rsid w:val="00FC0DD9"/>
    <w:rsid w:val="00FC3C9A"/>
    <w:rsid w:val="00FD13BB"/>
    <w:rsid w:val="00FD7553"/>
    <w:rsid w:val="00FE7F99"/>
    <w:rsid w:val="00FE7FC5"/>
    <w:rsid w:val="00FF1092"/>
    <w:rsid w:val="00FF1A54"/>
    <w:rsid w:val="00FF1E51"/>
    <w:rsid w:val="00FF3BA4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D6E93"/>
  <w15:chartTrackingRefBased/>
  <w15:docId w15:val="{60047EAA-DCC5-4045-9473-B43D8919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Headings CS)"/>
        <w:kern w:val="2"/>
        <w:sz w:val="24"/>
        <w:szCs w:val="26"/>
        <w:lang w:val="en-AU" w:eastAsia="en-US" w:bidi="ar-SA"/>
        <w14:ligatures w14:val="standardContextua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E25"/>
    <w:pPr>
      <w:keepNext/>
      <w:keepLines/>
      <w:spacing w:line="276" w:lineRule="auto"/>
      <w:outlineLvl w:val="1"/>
    </w:pPr>
    <w:rPr>
      <w:rFonts w:ascii="Calibri Light" w:eastAsiaTheme="majorEastAsia" w:hAnsi="Calibri Light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B11"/>
    <w:pPr>
      <w:spacing w:before="40" w:after="0"/>
    </w:pPr>
    <w:rPr>
      <w:rFonts w:asciiTheme="majorHAnsi" w:hAnsiTheme="majorHAnsi"/>
      <w:color w:val="0F4761" w:themeColor="accent1" w:themeShade="BF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1C9"/>
    <w:pPr>
      <w:spacing w:before="40" w:after="0"/>
      <w:outlineLvl w:val="2"/>
    </w:pPr>
    <w:rPr>
      <w:rFonts w:asciiTheme="majorHAnsi" w:hAnsiTheme="majorHAns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1C9"/>
    <w:pPr>
      <w:spacing w:before="40" w:after="0"/>
      <w:outlineLvl w:val="3"/>
    </w:pPr>
    <w:rPr>
      <w:rFonts w:asciiTheme="majorHAnsi" w:hAnsiTheme="maj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1C9"/>
    <w:pPr>
      <w:spacing w:before="40" w:after="0"/>
      <w:outlineLvl w:val="4"/>
    </w:pPr>
    <w:rPr>
      <w:rFonts w:asciiTheme="majorHAnsi" w:hAnsiTheme="majorHAns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46B11"/>
    <w:rPr>
      <w:rFonts w:asciiTheme="majorHAnsi" w:eastAsiaTheme="majorEastAsia" w:hAnsiTheme="majorHAnsi" w:cstheme="majorBidi"/>
      <w:b/>
      <w:i/>
      <w:color w:val="0F4761" w:themeColor="accent1" w:themeShade="BF"/>
      <w:sz w:val="26"/>
      <w:szCs w:val="26"/>
    </w:rPr>
  </w:style>
  <w:style w:type="paragraph" w:customStyle="1" w:styleId="BurnetHeadingOne">
    <w:name w:val="Burnet Heading One"/>
    <w:next w:val="Normal"/>
    <w:qFormat/>
    <w:rsid w:val="00746B11"/>
    <w:pPr>
      <w:spacing w:after="200" w:line="276" w:lineRule="auto"/>
    </w:pPr>
    <w:rPr>
      <w:rFonts w:ascii="Verdana" w:hAnsi="Verdana"/>
      <w:b/>
      <w:color w:val="002F5F"/>
      <w:sz w:val="28"/>
      <w:szCs w:val="22"/>
    </w:rPr>
  </w:style>
  <w:style w:type="paragraph" w:customStyle="1" w:styleId="BurnetHeading3">
    <w:name w:val="Burnet Heading 3"/>
    <w:basedOn w:val="Heading3"/>
    <w:next w:val="Normal"/>
    <w:qFormat/>
    <w:rsid w:val="00BF61C9"/>
    <w:pPr>
      <w:spacing w:before="120" w:after="120"/>
    </w:pPr>
    <w:rPr>
      <w:rFonts w:ascii="MetaOT-Norm" w:hAnsi="MetaOT-Norm"/>
      <w:b/>
      <w:i/>
      <w:color w:val="002F5F"/>
      <w:szCs w:val="22"/>
    </w:rPr>
  </w:style>
  <w:style w:type="paragraph" w:customStyle="1" w:styleId="BurnetHeading4">
    <w:name w:val="Burnet Heading 4"/>
    <w:basedOn w:val="Heading4"/>
    <w:next w:val="BurnetHeading3"/>
    <w:qFormat/>
    <w:rsid w:val="00BF61C9"/>
    <w:pPr>
      <w:spacing w:before="120" w:after="120"/>
      <w:ind w:left="720"/>
    </w:pPr>
    <w:rPr>
      <w:rFonts w:ascii="MetaOT-Norm" w:hAnsi="MetaOT-Norm"/>
      <w:color w:val="002F5F"/>
      <w:szCs w:val="22"/>
    </w:rPr>
  </w:style>
  <w:style w:type="paragraph" w:customStyle="1" w:styleId="Burnetnormal">
    <w:name w:val="Burnet normal"/>
    <w:basedOn w:val="Normal"/>
    <w:next w:val="Normal"/>
    <w:qFormat/>
    <w:rsid w:val="00BF61C9"/>
    <w:pPr>
      <w:keepNext w:val="0"/>
      <w:keepLines w:val="0"/>
      <w:spacing w:before="0" w:after="180" w:line="274" w:lineRule="auto"/>
      <w:outlineLvl w:val="9"/>
    </w:pPr>
    <w:rPr>
      <w:rFonts w:eastAsiaTheme="minorHAnsi" w:cstheme="minorBidi"/>
      <w:b/>
      <w:color w:val="000000" w:themeColor="text1"/>
      <w:szCs w:val="22"/>
    </w:rPr>
  </w:style>
  <w:style w:type="paragraph" w:customStyle="1" w:styleId="BurnetHeading5Tables">
    <w:name w:val="Burnet Heading 5 Tables"/>
    <w:basedOn w:val="Heading5"/>
    <w:next w:val="Normal"/>
    <w:qFormat/>
    <w:rsid w:val="00BF61C9"/>
    <w:pPr>
      <w:spacing w:before="120" w:after="40"/>
    </w:pPr>
    <w:rPr>
      <w:rFonts w:ascii="MetaOT-Norm" w:hAnsi="MetaOT-Norm"/>
      <w:b/>
      <w:color w:val="CF0000"/>
      <w:sz w:val="22"/>
      <w:szCs w:val="22"/>
    </w:rPr>
  </w:style>
  <w:style w:type="paragraph" w:customStyle="1" w:styleId="BurnetHeading1">
    <w:name w:val="Burnet Heading 1"/>
    <w:next w:val="Normal"/>
    <w:qFormat/>
    <w:rsid w:val="00BF61C9"/>
    <w:pPr>
      <w:spacing w:before="240" w:after="240" w:line="276" w:lineRule="auto"/>
    </w:pPr>
    <w:rPr>
      <w:rFonts w:ascii="MetaOT-Norm" w:hAnsi="MetaOT-Norm"/>
      <w:b/>
      <w:color w:val="002F5F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1C9"/>
    <w:rPr>
      <w:rFonts w:asciiTheme="majorHAnsi" w:eastAsiaTheme="majorEastAsia" w:hAnsiTheme="majorHAnsi" w:cstheme="majorBidi"/>
      <w:b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1C9"/>
    <w:rPr>
      <w:rFonts w:asciiTheme="majorHAnsi" w:eastAsiaTheme="majorEastAsia" w:hAnsiTheme="majorHAnsi" w:cstheme="majorBidi"/>
      <w:b/>
      <w:i/>
      <w:iCs/>
      <w:color w:val="0F4761" w:themeColor="accent1" w:themeShade="BF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1C9"/>
    <w:rPr>
      <w:rFonts w:asciiTheme="majorHAnsi" w:eastAsiaTheme="majorEastAsia" w:hAnsiTheme="majorHAnsi" w:cstheme="majorBidi"/>
      <w:b/>
      <w:color w:val="0F4761" w:themeColor="accent1" w:themeShade="BF"/>
      <w:szCs w:val="26"/>
    </w:rPr>
  </w:style>
  <w:style w:type="paragraph" w:customStyle="1" w:styleId="BurnetTitle">
    <w:name w:val="Burnet Title"/>
    <w:basedOn w:val="Title"/>
    <w:qFormat/>
    <w:rsid w:val="00BF61C9"/>
    <w:pPr>
      <w:keepNext w:val="0"/>
      <w:keepLines w:val="0"/>
      <w:jc w:val="center"/>
      <w:outlineLvl w:val="9"/>
    </w:pPr>
    <w:rPr>
      <w:rFonts w:ascii="MetaOT-Norm" w:hAnsi="MetaOT-Norm"/>
      <w:color w:val="002F5F"/>
    </w:rPr>
  </w:style>
  <w:style w:type="paragraph" w:styleId="Title">
    <w:name w:val="Title"/>
    <w:basedOn w:val="Normal"/>
    <w:next w:val="Normal"/>
    <w:link w:val="TitleChar"/>
    <w:uiPriority w:val="10"/>
    <w:qFormat/>
    <w:rsid w:val="00BF61C9"/>
    <w:pPr>
      <w:spacing w:before="0" w:after="0" w:line="240" w:lineRule="auto"/>
      <w:contextualSpacing/>
    </w:pPr>
    <w:rPr>
      <w:rFonts w:asciiTheme="majorHAnsi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1C9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TOC1">
    <w:name w:val="toc 1"/>
    <w:aliases w:val="Burnet TOC"/>
    <w:basedOn w:val="Normal"/>
    <w:next w:val="Normal"/>
    <w:autoRedefine/>
    <w:uiPriority w:val="39"/>
    <w:semiHidden/>
    <w:unhideWhenUsed/>
    <w:qFormat/>
    <w:rsid w:val="00BF61C9"/>
    <w:pPr>
      <w:keepNext w:val="0"/>
      <w:keepLines w:val="0"/>
      <w:spacing w:after="0"/>
      <w:outlineLvl w:val="9"/>
    </w:pPr>
    <w:rPr>
      <w:rFonts w:eastAsiaTheme="minorHAnsi" w:cstheme="minorHAnsi"/>
      <w:bCs/>
      <w:iCs/>
      <w:szCs w:val="24"/>
    </w:rPr>
  </w:style>
  <w:style w:type="paragraph" w:customStyle="1" w:styleId="Burnet-Maincolourblue">
    <w:name w:val="Burnet - Main colour blue"/>
    <w:basedOn w:val="Normal"/>
    <w:qFormat/>
    <w:rsid w:val="008531DB"/>
  </w:style>
  <w:style w:type="paragraph" w:customStyle="1" w:styleId="Burnet-Maincolourred">
    <w:name w:val="Burnet - Main colour red"/>
    <w:basedOn w:val="Normal"/>
    <w:qFormat/>
    <w:rsid w:val="008531DB"/>
    <w:rPr>
      <w:color w:val="CF0000"/>
    </w:rPr>
  </w:style>
  <w:style w:type="paragraph" w:customStyle="1" w:styleId="Burnet-MaternalChildHealth">
    <w:name w:val="Burnet -Maternal Child Health"/>
    <w:basedOn w:val="Normal"/>
    <w:qFormat/>
    <w:rsid w:val="008531DB"/>
    <w:rPr>
      <w:color w:val="FF8200"/>
    </w:rPr>
  </w:style>
  <w:style w:type="character" w:styleId="CommentReference">
    <w:name w:val="annotation reference"/>
    <w:basedOn w:val="DefaultParagraphFont"/>
    <w:uiPriority w:val="99"/>
    <w:semiHidden/>
    <w:unhideWhenUsed/>
    <w:rsid w:val="003E7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72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7251"/>
    <w:rPr>
      <w:rFonts w:ascii="Calibri Light" w:eastAsiaTheme="majorEastAsia" w:hAnsi="Calibri Light" w:cstheme="maj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2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251"/>
    <w:rPr>
      <w:rFonts w:ascii="Calibri Light" w:eastAsiaTheme="majorEastAsia" w:hAnsi="Calibri Light" w:cstheme="maj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41903"/>
    <w:pPr>
      <w:spacing w:before="0" w:after="0" w:line="240" w:lineRule="auto"/>
    </w:pPr>
    <w:rPr>
      <w:rFonts w:ascii="Calibri Light" w:eastAsiaTheme="majorEastAsia" w:hAnsi="Calibri Light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Boe Calvert</cp:lastModifiedBy>
  <cp:revision>2</cp:revision>
  <dcterms:created xsi:type="dcterms:W3CDTF">2025-02-24T23:53:00Z</dcterms:created>
  <dcterms:modified xsi:type="dcterms:W3CDTF">2025-02-24T23:53:00Z</dcterms:modified>
</cp:coreProperties>
</file>