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BDB" w:rsidRDefault="00DF011C">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Supplementary material</w:t>
      </w:r>
    </w:p>
    <w:p w:rsidR="00C65BDB" w:rsidRDefault="00C65BDB">
      <w:pPr>
        <w:jc w:val="both"/>
        <w:rPr>
          <w:rFonts w:ascii="Times New Roman" w:eastAsia="Times New Roman" w:hAnsi="Times New Roman" w:cs="Times New Roman"/>
          <w:b/>
          <w:sz w:val="24"/>
          <w:szCs w:val="24"/>
        </w:rPr>
      </w:pPr>
    </w:p>
    <w:p w:rsidR="00C65BDB" w:rsidRDefault="00DF011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Title: </w:t>
      </w:r>
      <w:r>
        <w:rPr>
          <w:rFonts w:ascii="Times New Roman" w:eastAsia="Times New Roman" w:hAnsi="Times New Roman" w:cs="Times New Roman"/>
          <w:sz w:val="24"/>
          <w:szCs w:val="24"/>
        </w:rPr>
        <w:t xml:space="preserve">Health Technology Assessment and Environmental Impact: a scoping review of state of art and future perspective </w:t>
      </w:r>
    </w:p>
    <w:p w:rsidR="00C65BDB" w:rsidRDefault="00C65BDB">
      <w:pPr>
        <w:jc w:val="both"/>
        <w:rPr>
          <w:rFonts w:ascii="Times New Roman" w:eastAsia="Times New Roman" w:hAnsi="Times New Roman" w:cs="Times New Roman"/>
          <w:b/>
          <w:sz w:val="24"/>
          <w:szCs w:val="24"/>
        </w:rPr>
      </w:pPr>
    </w:p>
    <w:p w:rsidR="00C65BDB" w:rsidRPr="00570167" w:rsidRDefault="00DF011C">
      <w:pPr>
        <w:jc w:val="both"/>
        <w:rPr>
          <w:rFonts w:ascii="Times New Roman" w:eastAsia="Times New Roman" w:hAnsi="Times New Roman" w:cs="Times New Roman"/>
          <w:sz w:val="24"/>
          <w:szCs w:val="24"/>
          <w:lang w:val="it-IT"/>
        </w:rPr>
      </w:pPr>
      <w:r w:rsidRPr="00570167">
        <w:rPr>
          <w:rFonts w:ascii="Times New Roman" w:eastAsia="Times New Roman" w:hAnsi="Times New Roman" w:cs="Times New Roman"/>
          <w:b/>
          <w:sz w:val="24"/>
          <w:szCs w:val="24"/>
          <w:lang w:val="it-IT"/>
        </w:rPr>
        <w:t>Authors:</w:t>
      </w:r>
      <w:r w:rsidRPr="00570167">
        <w:rPr>
          <w:rFonts w:ascii="Times New Roman" w:eastAsia="Times New Roman" w:hAnsi="Times New Roman" w:cs="Times New Roman"/>
          <w:sz w:val="24"/>
          <w:szCs w:val="24"/>
          <w:lang w:val="it-IT"/>
        </w:rPr>
        <w:t xml:space="preserve"> Ippazio Cosimo Antonazzo1,2, Giorgia Gribaudo 1,3, Lisa Ye 1, Pietro Ferrara1,2, Lorenzo Losa1, Paolo Abrate4, Fabio Iraldo5, Lorenzo Giovanni Mantovani1,2*, Paolo Angelo Cortesi1,2*</w:t>
      </w:r>
    </w:p>
    <w:p w:rsidR="00C65BDB" w:rsidRPr="00570167" w:rsidRDefault="00C65BDB">
      <w:pPr>
        <w:jc w:val="both"/>
        <w:rPr>
          <w:rFonts w:ascii="Times New Roman" w:eastAsia="Times New Roman" w:hAnsi="Times New Roman" w:cs="Times New Roman"/>
          <w:b/>
          <w:sz w:val="24"/>
          <w:szCs w:val="24"/>
          <w:lang w:val="it-IT"/>
        </w:rPr>
      </w:pPr>
    </w:p>
    <w:p w:rsidR="00C65BDB" w:rsidRDefault="00DF011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Affiliation: </w:t>
      </w:r>
    </w:p>
    <w:p w:rsidR="00C65BDB" w:rsidRDefault="00DF011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Centre on Public Health (CESP), University of Milan-Bicocca, Monza, Italy.</w:t>
      </w:r>
    </w:p>
    <w:p w:rsidR="00C65BDB" w:rsidRDefault="00DF011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Laboratory of Public Health, Auxologico Research Hospital-IRCCS, Milan, Italy.</w:t>
      </w:r>
    </w:p>
    <w:p w:rsidR="00C65BDB" w:rsidRDefault="00DF011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University of Bologna, Bologna, Italy</w:t>
      </w:r>
    </w:p>
    <w:p w:rsidR="00C65BDB" w:rsidRPr="00570167" w:rsidRDefault="00DF011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lang w:val="it-IT"/>
        </w:rPr>
      </w:pPr>
      <w:r w:rsidRPr="00570167">
        <w:rPr>
          <w:rFonts w:ascii="Times New Roman" w:eastAsia="Times New Roman" w:hAnsi="Times New Roman" w:cs="Times New Roman"/>
          <w:color w:val="000000"/>
          <w:sz w:val="24"/>
          <w:szCs w:val="24"/>
          <w:lang w:val="it-IT"/>
        </w:rPr>
        <w:t>Struttura Semplice Continuità Farmaceutica Ospedale - Territorio ASL TO4</w:t>
      </w:r>
    </w:p>
    <w:p w:rsidR="00C65BDB" w:rsidRPr="00570167" w:rsidRDefault="00DF011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lang w:val="it-IT"/>
        </w:rPr>
      </w:pPr>
      <w:r w:rsidRPr="00570167">
        <w:rPr>
          <w:rFonts w:ascii="Times New Roman" w:eastAsia="Times New Roman" w:hAnsi="Times New Roman" w:cs="Times New Roman"/>
          <w:color w:val="000000"/>
          <w:sz w:val="24"/>
          <w:szCs w:val="24"/>
          <w:lang w:val="it-IT"/>
        </w:rPr>
        <w:t>Institute of Management, Scuola Superiore Sant'Anna, Pisa, Italy</w:t>
      </w:r>
    </w:p>
    <w:p w:rsidR="00C65BDB" w:rsidRPr="00570167" w:rsidRDefault="00C65BDB">
      <w:pPr>
        <w:jc w:val="both"/>
        <w:rPr>
          <w:rFonts w:ascii="Times New Roman" w:eastAsia="Times New Roman" w:hAnsi="Times New Roman" w:cs="Times New Roman"/>
          <w:sz w:val="24"/>
          <w:szCs w:val="24"/>
          <w:lang w:val="it-IT"/>
        </w:rPr>
      </w:pPr>
    </w:p>
    <w:p w:rsidR="00C65BDB" w:rsidRPr="00570167" w:rsidRDefault="00C65BDB">
      <w:pPr>
        <w:jc w:val="both"/>
        <w:rPr>
          <w:rFonts w:ascii="Times New Roman" w:eastAsia="Times New Roman" w:hAnsi="Times New Roman" w:cs="Times New Roman"/>
          <w:sz w:val="24"/>
          <w:szCs w:val="24"/>
          <w:lang w:val="it-IT"/>
        </w:rPr>
      </w:pPr>
    </w:p>
    <w:p w:rsidR="00C65BDB" w:rsidRDefault="00DF011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Corresponding author: </w:t>
      </w:r>
    </w:p>
    <w:p w:rsidR="00C65BDB" w:rsidRDefault="00DF011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Giorgia Gribaudo</w:t>
      </w:r>
    </w:p>
    <w:p w:rsidR="00C65BDB" w:rsidRDefault="00DF011C">
      <w:pP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Centre on Public Health (CESP), University of Milan-Bicocca, Monza, Italy.</w:t>
      </w:r>
    </w:p>
    <w:p w:rsidR="00C65BDB" w:rsidRDefault="00DF011C">
      <w:pP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University of Bologna, Bologna, Italy</w:t>
      </w:r>
    </w:p>
    <w:p w:rsidR="00C65BDB" w:rsidRDefault="00DF011C">
      <w:pPr>
        <w:spacing w:line="276" w:lineRule="auto"/>
        <w:jc w:val="both"/>
        <w:rPr>
          <w:rFonts w:ascii="Times New Roman" w:eastAsia="Times New Roman" w:hAnsi="Times New Roman" w:cs="Times New Roman"/>
          <w:sz w:val="24"/>
          <w:szCs w:val="24"/>
        </w:rPr>
        <w:sectPr w:rsidR="00C65BDB">
          <w:pgSz w:w="11906" w:h="16838"/>
          <w:pgMar w:top="1417" w:right="1134" w:bottom="1134" w:left="1134" w:header="708" w:footer="708" w:gutter="0"/>
          <w:pgNumType w:start="1"/>
          <w:cols w:space="720"/>
        </w:sectPr>
      </w:pPr>
      <w:r>
        <w:rPr>
          <w:rFonts w:ascii="Times New Roman" w:eastAsia="Times New Roman" w:hAnsi="Times New Roman" w:cs="Times New Roman"/>
          <w:sz w:val="24"/>
          <w:szCs w:val="24"/>
        </w:rPr>
        <w:t>Email:   giorgia.gribaudo@studio.unibo.it</w:t>
      </w:r>
    </w:p>
    <w:p w:rsidR="00C65BDB" w:rsidRDefault="00DF011C">
      <w:pP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 xml:space="preserve">Table 1. Search strategy </w:t>
      </w:r>
    </w:p>
    <w:tbl>
      <w:tblPr>
        <w:tblStyle w:val="ab"/>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8782"/>
      </w:tblGrid>
      <w:tr w:rsidR="00C65BDB">
        <w:tc>
          <w:tcPr>
            <w:tcW w:w="846" w:type="dxa"/>
          </w:tcPr>
          <w:p w:rsidR="00C65BDB" w:rsidRDefault="00C65BDB">
            <w:pPr>
              <w:spacing w:line="360" w:lineRule="auto"/>
              <w:rPr>
                <w:rFonts w:ascii="Times New Roman" w:eastAsia="Times New Roman" w:hAnsi="Times New Roman" w:cs="Times New Roman"/>
                <w:color w:val="000000"/>
              </w:rPr>
            </w:pPr>
            <w:bookmarkStart w:id="0" w:name="_heading=h.30j0zll" w:colFirst="0" w:colLast="0"/>
            <w:bookmarkEnd w:id="0"/>
          </w:p>
        </w:tc>
        <w:tc>
          <w:tcPr>
            <w:tcW w:w="8782" w:type="dxa"/>
          </w:tcPr>
          <w:p w:rsidR="00C65BDB" w:rsidRDefault="00DF011C">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Keywords</w:t>
            </w:r>
          </w:p>
        </w:tc>
      </w:tr>
      <w:tr w:rsidR="00C65BDB">
        <w:tc>
          <w:tcPr>
            <w:tcW w:w="846" w:type="dxa"/>
          </w:tcPr>
          <w:p w:rsidR="00C65BDB" w:rsidRDefault="00DF011C">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8782" w:type="dxa"/>
          </w:tcPr>
          <w:p w:rsidR="00C65BDB" w:rsidRDefault="00DF011C">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"Environmental impact" OR "Environmental sustainability" OR “Life cycle assessment”</w:t>
            </w:r>
          </w:p>
        </w:tc>
      </w:tr>
      <w:tr w:rsidR="00C65BDB">
        <w:tc>
          <w:tcPr>
            <w:tcW w:w="846" w:type="dxa"/>
          </w:tcPr>
          <w:p w:rsidR="00C65BDB" w:rsidRDefault="00DF011C">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8782" w:type="dxa"/>
          </w:tcPr>
          <w:p w:rsidR="00C65BDB" w:rsidRDefault="00DF011C">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“Health Technology Assessment” OR  HTA</w:t>
            </w:r>
          </w:p>
        </w:tc>
      </w:tr>
      <w:tr w:rsidR="00C65BDB">
        <w:tc>
          <w:tcPr>
            <w:tcW w:w="846" w:type="dxa"/>
          </w:tcPr>
          <w:p w:rsidR="00C65BDB" w:rsidRDefault="00DF011C">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8782" w:type="dxa"/>
          </w:tcPr>
          <w:p w:rsidR="00C65BDB" w:rsidRDefault="00DF011C">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#1 AND #2</w:t>
            </w:r>
          </w:p>
        </w:tc>
      </w:tr>
      <w:tr w:rsidR="00C65BDB">
        <w:tc>
          <w:tcPr>
            <w:tcW w:w="846" w:type="dxa"/>
          </w:tcPr>
          <w:p w:rsidR="00C65BDB" w:rsidRDefault="00DF011C">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8782" w:type="dxa"/>
          </w:tcPr>
          <w:p w:rsidR="00C65BDB" w:rsidRDefault="00DF011C">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#3 AND time from 2019 to 2023</w:t>
            </w:r>
          </w:p>
        </w:tc>
      </w:tr>
    </w:tbl>
    <w:p w:rsidR="00C65BDB" w:rsidRDefault="00C65BDB">
      <w:pPr>
        <w:spacing w:after="200" w:line="240" w:lineRule="auto"/>
        <w:rPr>
          <w:rFonts w:ascii="Times New Roman" w:eastAsia="Times New Roman" w:hAnsi="Times New Roman" w:cs="Times New Roman"/>
        </w:rPr>
      </w:pPr>
    </w:p>
    <w:p w:rsidR="00C65BDB" w:rsidRDefault="00DF011C">
      <w:pPr>
        <w:rPr>
          <w:rFonts w:ascii="Times New Roman" w:eastAsia="Times New Roman" w:hAnsi="Times New Roman" w:cs="Times New Roman"/>
        </w:rPr>
      </w:pPr>
      <w:r>
        <w:br w:type="page"/>
      </w:r>
    </w:p>
    <w:p w:rsidR="00C65BDB" w:rsidRDefault="00DF011C">
      <w:pPr>
        <w:spacing w:after="200" w:line="240" w:lineRule="auto"/>
        <w:rPr>
          <w:rFonts w:ascii="Times New Roman" w:eastAsia="Times New Roman" w:hAnsi="Times New Roman" w:cs="Times New Roman"/>
          <w:i/>
        </w:rPr>
      </w:pPr>
      <w:r>
        <w:rPr>
          <w:rFonts w:ascii="Times New Roman" w:eastAsia="Times New Roman" w:hAnsi="Times New Roman" w:cs="Times New Roman"/>
          <w:i/>
        </w:rPr>
        <w:lastRenderedPageBreak/>
        <w:t>Table. 2: Main characteristics of the included articles and contribution to this review.</w:t>
      </w:r>
    </w:p>
    <w:tbl>
      <w:tblPr>
        <w:tblStyle w:val="ac"/>
        <w:tblW w:w="142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1125"/>
        <w:gridCol w:w="1500"/>
        <w:gridCol w:w="1080"/>
        <w:gridCol w:w="1680"/>
        <w:gridCol w:w="2490"/>
        <w:gridCol w:w="1845"/>
        <w:gridCol w:w="2445"/>
      </w:tblGrid>
      <w:tr w:rsidR="00C65BDB">
        <w:tc>
          <w:tcPr>
            <w:tcW w:w="2085"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Title, reference</w:t>
            </w:r>
          </w:p>
        </w:tc>
        <w:tc>
          <w:tcPr>
            <w:tcW w:w="1125"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Location</w:t>
            </w:r>
          </w:p>
        </w:tc>
        <w:tc>
          <w:tcPr>
            <w:tcW w:w="1500"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Environmental dimension</w:t>
            </w:r>
          </w:p>
        </w:tc>
        <w:tc>
          <w:tcPr>
            <w:tcW w:w="1080"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for EI</w:t>
            </w:r>
          </w:p>
        </w:tc>
        <w:tc>
          <w:tcPr>
            <w:tcW w:w="1680"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Case study (yes/No) if yes specify</w:t>
            </w:r>
          </w:p>
        </w:tc>
        <w:tc>
          <w:tcPr>
            <w:tcW w:w="2490"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Proposed method to incorporate EI into HTA</w:t>
            </w:r>
          </w:p>
        </w:tc>
        <w:tc>
          <w:tcPr>
            <w:tcW w:w="1845"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Proposed action for company</w:t>
            </w:r>
          </w:p>
        </w:tc>
        <w:tc>
          <w:tcPr>
            <w:tcW w:w="2445" w:type="dxa"/>
            <w:vAlign w:val="center"/>
          </w:tcPr>
          <w:p w:rsidR="00C65BDB" w:rsidRDefault="00DF011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Proposed action for HTA agency</w:t>
            </w:r>
          </w:p>
        </w:tc>
      </w:tr>
      <w:tr w:rsidR="00C65BDB">
        <w:tc>
          <w:tcPr>
            <w:tcW w:w="208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Freitas et al., 2023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{"citationID":"ObrpqlNL","properties":{"formattedCitation":"(1)","plainCitation":"(1)","noteIndex":0},"citationItems":[{"id":19496,"uris":["http://zotero.org/users/local/j6mUxLTK/items/P85Z4DN5"],"itemData":{"id":19496,"type":"article-journal","abstract":"BACKGROUND: Implementation and uptake of health technology assessment for evaluating medical devices require including aspects that different stakeholders consider relevant, beyond cost and effectiveness. However, the involvement of stakeholders in sharing their views still needs to be improved.\nOBJECTIVE: This article explores the relevance of distinct value aspects for evaluating different types of medical devices according to stakeholders' views.\nMETHODS: Thirty-four value aspects collected through literature review and expert validation were the input for a 2-round Web-Delphi process. In the Web-Delphi, a panel of participants from five stakeholders' groups (healthcare professionals, buyers and policymakers, academics, industry, and patients and citizens) judged the relevance of each aspect, by assigning a relevance-level ('Critical', 'Fundamental', 'Complementary', or 'Irrelevant'), for two types of medical devices separately: 'Implantable' and 'In vitro tests based on biomarkers'. Opinions were analysed at the panel and group level, and similarities across devices were identified.\nRESULTS: One hundred thirty-four participants completed the process. No aspects were considered 'Irrelevant', neither for the panel nor for stakeholder groups, in both types of devices. The panel considered effectiveness and safety-related aspects 'Critical' (e.g., 'Adverse events for the patient'), and costs-related aspects 'Fundamental' (e.g., 'Cost of the medical device'). Several additional aspects not included in existing frameworks' literature, e.g., related to environmental impact and devices' usage by the healthcare professional, were deemed as relevant by the panel. A moderate to substantial agreement across and within groups was observed.\nCONCLUSION: Different stakeholders agree on the relevance of including multiple aspects in medical devices' evaluation. This study produces key information to inform the development of frameworks for valuing medical devices, and to guide evidence collection.","container-title":"BMC health services research","DOI":"10.1186/s12913-023-09550-0","ISSN":"1472-6963","issue":"1","journalAbbreviation":"BMC Health Serv Res","language":"eng","note":"PMID: 37291513\nPMCID: PMC10249179","page":"593","source":"PubMed","title":"Which value aspects are relevant for the evaluation of medical devices? Exploring stakeholders' views through a Web-Delphi process","title-short":"Which value aspects are relevant for the evaluation of medical devices?","volume":"23","author":[{"family":"Freitas","given":"Liliana"},{"family":"Vieira","given":"Ana C. L."},{"family":"Oliveira","given":"Mónica D."},{"family":"Monteiro","given":"Helena"},{"family":"Bana E Costa","given":"Carlos A."}],"issued":{"date-parts":[["2023",6,8]]}}}],"schema":"https://github.com/citation-style-language/schema/raw/master/csl-citation.json"}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(1)</w:t>
            </w:r>
            <w:r w:rsidR="00570167">
              <w:rPr>
                <w:rFonts w:ascii="Times New Roman" w:eastAsia="Times New Roman" w:hAnsi="Times New Roman" w:cs="Times New Roman"/>
                <w:sz w:val="16"/>
                <w:szCs w:val="16"/>
              </w:rPr>
              <w:fldChar w:fldCharType="end"/>
            </w:r>
          </w:p>
        </w:tc>
        <w:tc>
          <w:tcPr>
            <w:tcW w:w="112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Europe / Portugal</w:t>
            </w:r>
          </w:p>
        </w:tc>
        <w:tc>
          <w:tcPr>
            <w:tcW w:w="150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0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6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The study provides key information to inform the development of frameworks for valuing medical devices, and to guide evidence collection.</w:t>
            </w:r>
          </w:p>
        </w:tc>
        <w:tc>
          <w:tcPr>
            <w:tcW w:w="249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8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r>
      <w:tr w:rsidR="00C65BDB">
        <w:tc>
          <w:tcPr>
            <w:tcW w:w="208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Toolan et al., 2023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{"citationID":"0YnKShtQ","properties":{"formattedCitation":"(2)","plainCitation":"(2)","noteIndex":0},"citationItems":[{"id":19534,"uris":["http://zotero.org/users/local/j6mUxLTK/items/X5J4GSMT"],"itemData":{"id":19534,"type":"article-journal","abstract":"To reduce harm to the environment resulting from the production, use, and disposal of health technologies, there are different options for how health technology assessment (HTA) agencies can consider environmental information. We identified four approaches that HTA agencies can use to take environmental information into account in healthcare decision making and the challenges associated with each approach. Republishing data that is in the public domain or has been submitted to an HTA agency we term the \"information conduit\" approach. Analyzing and presenting environmental data separately from established health economic analyses is described as \"parallel evaluation.\" Integrating environmental impact into HTAs by identifying or creating new methods that allow clinical, financial, and environmental information to be combined in a single quantitative analysis is \"integrated evaluation.\" Finally, evidence synthesis and analysis of health technologies that are not expected to improve health-related outcomes but claim to have relative environmental benefits are termed \"environment-focused evaluation.\"","container-title":"International Journal of Technology Assessment in Health Care","DOI":"10.1017/S0266462323000041","ISSN":"1471-6348","issue":"1","journalAbbreviation":"Int J Technol Assess Health Care","language":"eng","note":"PMID: 36815229","page":"e13","source":"PubMed","title":"Environmental impact assessment in health technology assessment: principles, approaches, and challenges","title-short":"Environmental impact assessment in health technology assessment","volume":"39","author":[{"family":"Toolan","given":"Michael"},{"family":"Walpole","given":"Sarah"},{"family":"Shah","given":"Koonal"},{"family":"Kenny","given":"Juliet"},{"family":"Jónsson","given":"Páll"},{"family":"Crabb","given":"Nick"},{"family":"Greaves","given":"Felix"}],"issued":{"date-parts":[["2023",2,23]]}}}],"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(2)</w:t>
            </w:r>
            <w:r w:rsidR="00570167">
              <w:rPr>
                <w:rFonts w:ascii="Times New Roman" w:eastAsia="Times New Roman" w:hAnsi="Times New Roman" w:cs="Times New Roman"/>
                <w:sz w:val="16"/>
                <w:szCs w:val="16"/>
              </w:rPr>
              <w:fldChar w:fldCharType="end"/>
            </w:r>
          </w:p>
        </w:tc>
        <w:tc>
          <w:tcPr>
            <w:tcW w:w="112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Europe / UK</w:t>
            </w:r>
          </w:p>
        </w:tc>
        <w:tc>
          <w:tcPr>
            <w:tcW w:w="150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General</w:t>
            </w:r>
          </w:p>
        </w:tc>
        <w:tc>
          <w:tcPr>
            <w:tcW w:w="10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Other</w:t>
            </w:r>
          </w:p>
        </w:tc>
        <w:tc>
          <w:tcPr>
            <w:tcW w:w="16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4 different approaches: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b/>
                <w:sz w:val="16"/>
                <w:szCs w:val="16"/>
              </w:rPr>
              <w:t>Information conduit approach</w:t>
            </w:r>
            <w:r>
              <w:rPr>
                <w:rFonts w:ascii="Times New Roman" w:eastAsia="Times New Roman" w:hAnsi="Times New Roman" w:cs="Times New Roman"/>
                <w:sz w:val="16"/>
                <w:szCs w:val="16"/>
              </w:rPr>
              <w:t xml:space="preserve"> (it involves an HTA agency republishing environmental data that is in the public domain or has been submitted to the HTA agency without further assessment)</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b/>
                <w:sz w:val="16"/>
                <w:szCs w:val="16"/>
              </w:rPr>
              <w:t>Parallel evaluation approach</w:t>
            </w:r>
            <w:r>
              <w:rPr>
                <w:rFonts w:ascii="Times New Roman" w:eastAsia="Times New Roman" w:hAnsi="Times New Roman" w:cs="Times New Roman"/>
                <w:sz w:val="16"/>
                <w:szCs w:val="16"/>
              </w:rPr>
              <w:t xml:space="preserve"> (it integrates EI into HTAs by identifying or creating new statistical methods or models that allow clinical, financial, and environmental information to be synthesized in a single quantitative analysis)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b/>
                <w:sz w:val="16"/>
                <w:szCs w:val="16"/>
              </w:rPr>
              <w:t>Integrated evaluation approach</w:t>
            </w:r>
            <w:r>
              <w:rPr>
                <w:rFonts w:ascii="Times New Roman" w:eastAsia="Times New Roman" w:hAnsi="Times New Roman" w:cs="Times New Roman"/>
                <w:sz w:val="16"/>
                <w:szCs w:val="16"/>
              </w:rPr>
              <w:t xml:space="preserve"> (it entails an HTA agency analyzing and presenting environmental data alongside established HEE)</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b/>
                <w:sz w:val="16"/>
                <w:szCs w:val="16"/>
              </w:rPr>
              <w:t>Environment-focused evaluation approach</w:t>
            </w:r>
            <w:r>
              <w:rPr>
                <w:rFonts w:ascii="Times New Roman" w:eastAsia="Times New Roman" w:hAnsi="Times New Roman" w:cs="Times New Roman"/>
                <w:sz w:val="16"/>
                <w:szCs w:val="16"/>
              </w:rPr>
              <w:t xml:space="preserve"> (it applies to technologies which are not usually assessed by HTA agencies: those not expected to improve health-related outcomes but claiming to have relative environmental benefits).</w:t>
            </w:r>
          </w:p>
        </w:tc>
        <w:tc>
          <w:tcPr>
            <w:tcW w:w="18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Four approaches that HTA agencies can use to take environmental information into account in healthcare decision- making were identified: information conduit, parallel evaluation, integrated evaluation, and environment-focused evaluation. </w:t>
            </w:r>
          </w:p>
          <w:p w:rsidR="00C65BDB" w:rsidRDefault="00C65BDB">
            <w:pPr>
              <w:rPr>
                <w:rFonts w:ascii="Times New Roman" w:eastAsia="Times New Roman" w:hAnsi="Times New Roman" w:cs="Times New Roman"/>
                <w:sz w:val="16"/>
                <w:szCs w:val="16"/>
              </w:rPr>
            </w:pPr>
          </w:p>
        </w:tc>
      </w:tr>
      <w:tr w:rsidR="00C65BDB">
        <w:tc>
          <w:tcPr>
            <w:tcW w:w="208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Firth et al., 2023 </w:t>
            </w:r>
            <w:r w:rsidR="00570167">
              <w:rPr>
                <w:rFonts w:ascii="Times New Roman" w:eastAsia="Times New Roman" w:hAnsi="Times New Roman" w:cs="Times New Roman"/>
                <w:sz w:val="16"/>
                <w:szCs w:val="16"/>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{"citationID":"3v15izEz","properties":{"formattedCitation":"(3)","plainCitation":"(3)","noteIndex":0},"citationItems":[{"id":19487,"uris":["http://zotero.org/users/local/j6mUxLTK/items/QFX5VTG8"],"itemData":{"id":19487,"type":"article-journal","container-title":"Expert Review of Pharmacoeconomics &amp; Outcomes Research","DOI":"10.1080/14737167.2023.2214730","ISSN":"1744-8379","issue":"6","journalAbbreviation":"Expert Rev Pharmacoecon Outcomes Res","language":"eng","note":"PMID: 37191398","page":"591-595","source":"PubMed","title":"Moving towards a more environmentally sustainable pharmaceutical industry: recommendations for industry and the transition to green HTA","title-short":"Moving towards a more environmentally sustainable pharmaceutical industry","volume":"23","author":[{"family":"Firth","given":"Isobel"},{"family":"Hitch","given":"Jake"},{"family":"Henderson","given":"Nadine"},{"family":"Cookson","given":"Graham"}],"issued":{"date-parts":[["2023"]]}}}],"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(3)</w:t>
            </w:r>
            <w:r w:rsidR="00570167">
              <w:rPr>
                <w:rFonts w:ascii="Times New Roman" w:eastAsia="Times New Roman" w:hAnsi="Times New Roman" w:cs="Times New Roman"/>
                <w:sz w:val="16"/>
                <w:szCs w:val="16"/>
              </w:rPr>
              <w:fldChar w:fldCharType="end"/>
            </w:r>
          </w:p>
        </w:tc>
        <w:tc>
          <w:tcPr>
            <w:tcW w:w="112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Europe / Spain &amp; UK</w:t>
            </w:r>
          </w:p>
        </w:tc>
        <w:tc>
          <w:tcPr>
            <w:tcW w:w="150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CO2</w:t>
            </w:r>
          </w:p>
        </w:tc>
        <w:tc>
          <w:tcPr>
            <w:tcW w:w="10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Lifecycle</w:t>
            </w:r>
          </w:p>
        </w:tc>
        <w:tc>
          <w:tcPr>
            <w:tcW w:w="16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It is recommended that evidence on the CF of individual medicines is incorporated into health technology assessment (HTA).</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More evolved HTA bodies have started to consider how environmental impacts could be incorporated into guidance:</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the possibility of requiring pharmaceutical companies to conduct </w:t>
            </w:r>
            <w:r>
              <w:rPr>
                <w:rFonts w:ascii="Times New Roman" w:eastAsia="Times New Roman" w:hAnsi="Times New Roman" w:cs="Times New Roman"/>
                <w:sz w:val="16"/>
                <w:szCs w:val="16"/>
              </w:rPr>
              <w:lastRenderedPageBreak/>
              <w:t xml:space="preserve">environmental impact assessments alongside clinical trials.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introducing a triage process to identify the health technologies for which an environmental assessment would be most useful. </w:t>
            </w:r>
          </w:p>
        </w:tc>
        <w:tc>
          <w:tcPr>
            <w:tcW w:w="1845" w:type="dxa"/>
          </w:tcPr>
          <w:p w:rsidR="00C65BDB" w:rsidRDefault="00DF011C">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Pharmaceutical industry:</w:t>
            </w:r>
          </w:p>
          <w:p w:rsidR="00C65BDB" w:rsidRDefault="00DF011C">
            <w:pPr>
              <w:numPr>
                <w:ilvl w:val="0"/>
                <w:numId w:val="3"/>
              </w:numPr>
              <w:rPr>
                <w:rFonts w:ascii="Times New Roman" w:eastAsia="Times New Roman" w:hAnsi="Times New Roman" w:cs="Times New Roman"/>
                <w:sz w:val="16"/>
                <w:szCs w:val="16"/>
              </w:rPr>
            </w:pPr>
            <w:r>
              <w:rPr>
                <w:rFonts w:ascii="Times New Roman" w:eastAsia="Times New Roman" w:hAnsi="Times New Roman" w:cs="Times New Roman"/>
                <w:sz w:val="16"/>
                <w:szCs w:val="16"/>
              </w:rPr>
              <w:t>priority of safety and regulation;</w:t>
            </w:r>
          </w:p>
          <w:p w:rsidR="00C65BDB" w:rsidRDefault="00DF011C">
            <w:pPr>
              <w:numPr>
                <w:ilvl w:val="0"/>
                <w:numId w:val="3"/>
              </w:numPr>
              <w:rPr>
                <w:rFonts w:ascii="Times New Roman" w:eastAsia="Times New Roman" w:hAnsi="Times New Roman" w:cs="Times New Roman"/>
                <w:sz w:val="16"/>
                <w:szCs w:val="16"/>
              </w:rPr>
            </w:pPr>
            <w:r>
              <w:rPr>
                <w:rFonts w:ascii="Times New Roman" w:eastAsia="Times New Roman" w:hAnsi="Times New Roman" w:cs="Times New Roman"/>
                <w:sz w:val="16"/>
                <w:szCs w:val="16"/>
              </w:rPr>
              <w:t>complex global supply chain;</w:t>
            </w:r>
          </w:p>
          <w:p w:rsidR="00C65BDB" w:rsidRDefault="00DF011C">
            <w:pPr>
              <w:numPr>
                <w:ilvl w:val="0"/>
                <w:numId w:val="3"/>
              </w:numPr>
              <w:rPr>
                <w:rFonts w:ascii="Times New Roman" w:eastAsia="Times New Roman" w:hAnsi="Times New Roman" w:cs="Times New Roman"/>
                <w:sz w:val="16"/>
                <w:szCs w:val="16"/>
              </w:rPr>
            </w:pPr>
            <w:r>
              <w:rPr>
                <w:rFonts w:ascii="Times New Roman" w:eastAsia="Times New Roman" w:hAnsi="Times New Roman" w:cs="Times New Roman"/>
                <w:sz w:val="16"/>
                <w:szCs w:val="16"/>
              </w:rPr>
              <w:t>high waste-to-product ratio;</w:t>
            </w:r>
          </w:p>
          <w:p w:rsidR="00C65BDB" w:rsidRDefault="00DF011C">
            <w:pPr>
              <w:numPr>
                <w:ilvl w:val="0"/>
                <w:numId w:val="3"/>
              </w:numPr>
              <w:rPr>
                <w:rFonts w:ascii="Times New Roman" w:eastAsia="Times New Roman" w:hAnsi="Times New Roman" w:cs="Times New Roman"/>
                <w:sz w:val="16"/>
                <w:szCs w:val="16"/>
              </w:rPr>
            </w:pPr>
            <w:r>
              <w:rPr>
                <w:rFonts w:ascii="Times New Roman" w:eastAsia="Times New Roman" w:hAnsi="Times New Roman" w:cs="Times New Roman"/>
                <w:sz w:val="16"/>
                <w:szCs w:val="16"/>
              </w:rPr>
              <w:t>no reward for sustainability.</w:t>
            </w:r>
          </w:p>
          <w:p w:rsidR="00C65BDB" w:rsidRDefault="00C65BDB">
            <w:pPr>
              <w:rPr>
                <w:rFonts w:ascii="Times New Roman" w:eastAsia="Times New Roman" w:hAnsi="Times New Roman" w:cs="Times New Roman"/>
                <w:b/>
                <w:sz w:val="16"/>
                <w:szCs w:val="16"/>
              </w:rPr>
            </w:pPr>
          </w:p>
          <w:p w:rsidR="00C65BDB" w:rsidRDefault="00DF011C">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 industry:</w:t>
            </w:r>
          </w:p>
          <w:p w:rsidR="00C65BDB" w:rsidRDefault="00DF011C">
            <w:pPr>
              <w:numPr>
                <w:ilvl w:val="0"/>
                <w:numId w:val="4"/>
              </w:num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engage in industry-wide collaboration on sustainability;</w:t>
            </w:r>
          </w:p>
          <w:p w:rsidR="00C65BDB" w:rsidRDefault="00DF011C">
            <w:pPr>
              <w:numPr>
                <w:ilvl w:val="0"/>
                <w:numId w:val="4"/>
              </w:numPr>
              <w:rPr>
                <w:rFonts w:ascii="Times New Roman" w:eastAsia="Times New Roman" w:hAnsi="Times New Roman" w:cs="Times New Roman"/>
                <w:sz w:val="16"/>
                <w:szCs w:val="16"/>
              </w:rPr>
            </w:pPr>
            <w:r>
              <w:rPr>
                <w:rFonts w:ascii="Times New Roman" w:eastAsia="Times New Roman" w:hAnsi="Times New Roman" w:cs="Times New Roman"/>
                <w:sz w:val="16"/>
                <w:szCs w:val="16"/>
              </w:rPr>
              <w:t>report and disclose greenhouse gas footprints;</w:t>
            </w:r>
          </w:p>
          <w:p w:rsidR="00C65BDB" w:rsidRDefault="00DF011C">
            <w:pPr>
              <w:numPr>
                <w:ilvl w:val="0"/>
                <w:numId w:val="4"/>
              </w:numPr>
              <w:rPr>
                <w:rFonts w:ascii="Times New Roman" w:eastAsia="Times New Roman" w:hAnsi="Times New Roman" w:cs="Times New Roman"/>
                <w:sz w:val="16"/>
                <w:szCs w:val="16"/>
              </w:rPr>
            </w:pPr>
            <w:r>
              <w:rPr>
                <w:rFonts w:ascii="Times New Roman" w:eastAsia="Times New Roman" w:hAnsi="Times New Roman" w:cs="Times New Roman"/>
                <w:sz w:val="16"/>
                <w:szCs w:val="16"/>
              </w:rPr>
              <w:t>partner with the NHS on waste;</w:t>
            </w:r>
          </w:p>
          <w:p w:rsidR="00C65BDB" w:rsidRDefault="00DF011C">
            <w:pPr>
              <w:numPr>
                <w:ilvl w:val="0"/>
                <w:numId w:val="4"/>
              </w:numPr>
              <w:rPr>
                <w:rFonts w:ascii="Times New Roman" w:eastAsia="Times New Roman" w:hAnsi="Times New Roman" w:cs="Times New Roman"/>
                <w:sz w:val="16"/>
                <w:szCs w:val="16"/>
              </w:rPr>
            </w:pPr>
            <w:r>
              <w:rPr>
                <w:rFonts w:ascii="Times New Roman" w:eastAsia="Times New Roman" w:hAnsi="Times New Roman" w:cs="Times New Roman"/>
                <w:sz w:val="16"/>
                <w:szCs w:val="16"/>
              </w:rPr>
              <w:t>invest in improvements in energy efficiency.</w:t>
            </w:r>
          </w:p>
        </w:tc>
        <w:tc>
          <w:tcPr>
            <w:tcW w:w="2445" w:type="dxa"/>
          </w:tcPr>
          <w:p w:rsidR="00C65BDB" w:rsidRDefault="00DF011C">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For the NHS:</w:t>
            </w:r>
          </w:p>
          <w:p w:rsidR="00C65BDB" w:rsidRDefault="00DF011C">
            <w:pPr>
              <w:numPr>
                <w:ilvl w:val="0"/>
                <w:numId w:val="1"/>
              </w:numPr>
              <w:rPr>
                <w:rFonts w:ascii="Times New Roman" w:eastAsia="Times New Roman" w:hAnsi="Times New Roman" w:cs="Times New Roman"/>
                <w:sz w:val="16"/>
                <w:szCs w:val="16"/>
              </w:rPr>
            </w:pPr>
            <w:r>
              <w:rPr>
                <w:rFonts w:ascii="Times New Roman" w:eastAsia="Times New Roman" w:hAnsi="Times New Roman" w:cs="Times New Roman"/>
                <w:sz w:val="16"/>
                <w:szCs w:val="16"/>
              </w:rPr>
              <w:t>implement an industry roadmap;</w:t>
            </w:r>
          </w:p>
          <w:p w:rsidR="00C65BDB" w:rsidRDefault="00DF011C">
            <w:pPr>
              <w:numPr>
                <w:ilvl w:val="0"/>
                <w:numId w:val="1"/>
              </w:numPr>
              <w:rPr>
                <w:rFonts w:ascii="Times New Roman" w:eastAsia="Times New Roman" w:hAnsi="Times New Roman" w:cs="Times New Roman"/>
                <w:sz w:val="16"/>
                <w:szCs w:val="16"/>
              </w:rPr>
            </w:pPr>
            <w:r>
              <w:rPr>
                <w:rFonts w:ascii="Times New Roman" w:eastAsia="Times New Roman" w:hAnsi="Times New Roman" w:cs="Times New Roman"/>
                <w:sz w:val="16"/>
                <w:szCs w:val="16"/>
              </w:rPr>
              <w:t>implement models of circularity to align incentives to reduce waste;</w:t>
            </w:r>
          </w:p>
          <w:p w:rsidR="00C65BDB" w:rsidRDefault="00DF011C">
            <w:pPr>
              <w:numPr>
                <w:ilvl w:val="0"/>
                <w:numId w:val="1"/>
              </w:numPr>
              <w:rPr>
                <w:rFonts w:ascii="Times New Roman" w:eastAsia="Times New Roman" w:hAnsi="Times New Roman" w:cs="Times New Roman"/>
                <w:sz w:val="16"/>
                <w:szCs w:val="16"/>
              </w:rPr>
            </w:pPr>
            <w:r>
              <w:rPr>
                <w:rFonts w:ascii="Times New Roman" w:eastAsia="Times New Roman" w:hAnsi="Times New Roman" w:cs="Times New Roman"/>
                <w:sz w:val="16"/>
                <w:szCs w:val="16"/>
              </w:rPr>
              <w:t>meaningfully build sustainability into procurement decision making;</w:t>
            </w:r>
          </w:p>
          <w:p w:rsidR="00C65BDB" w:rsidRDefault="00DF011C">
            <w:pPr>
              <w:numPr>
                <w:ilvl w:val="0"/>
                <w:numId w:val="1"/>
              </w:num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engage in public-private partnership for infrastructure investment;</w:t>
            </w:r>
          </w:p>
          <w:p w:rsidR="00C65BDB" w:rsidRDefault="00DF011C">
            <w:pPr>
              <w:numPr>
                <w:ilvl w:val="0"/>
                <w:numId w:val="1"/>
              </w:numPr>
              <w:rPr>
                <w:rFonts w:ascii="Times New Roman" w:eastAsia="Times New Roman" w:hAnsi="Times New Roman" w:cs="Times New Roman"/>
                <w:sz w:val="16"/>
                <w:szCs w:val="16"/>
              </w:rPr>
            </w:pPr>
            <w:r>
              <w:rPr>
                <w:rFonts w:ascii="Times New Roman" w:eastAsia="Times New Roman" w:hAnsi="Times New Roman" w:cs="Times New Roman"/>
                <w:sz w:val="16"/>
                <w:szCs w:val="16"/>
              </w:rPr>
              <w:t>partner in innovation with industry.</w:t>
            </w:r>
          </w:p>
          <w:p w:rsidR="00C65BDB" w:rsidRDefault="00C65BDB">
            <w:pPr>
              <w:rPr>
                <w:rFonts w:ascii="Times New Roman" w:eastAsia="Times New Roman" w:hAnsi="Times New Roman" w:cs="Times New Roman"/>
                <w:b/>
                <w:sz w:val="16"/>
                <w:szCs w:val="16"/>
              </w:rPr>
            </w:pPr>
          </w:p>
          <w:p w:rsidR="00C65BDB" w:rsidRDefault="00DF011C">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 the UK Government:</w:t>
            </w:r>
          </w:p>
          <w:p w:rsidR="00C65BDB" w:rsidRDefault="00DF011C">
            <w:pPr>
              <w:numPr>
                <w:ilvl w:val="0"/>
                <w:numId w:val="5"/>
              </w:numPr>
              <w:rPr>
                <w:rFonts w:ascii="Times New Roman" w:eastAsia="Times New Roman" w:hAnsi="Times New Roman" w:cs="Times New Roman"/>
                <w:sz w:val="16"/>
                <w:szCs w:val="16"/>
              </w:rPr>
            </w:pPr>
            <w:r>
              <w:rPr>
                <w:rFonts w:ascii="Times New Roman" w:eastAsia="Times New Roman" w:hAnsi="Times New Roman" w:cs="Times New Roman"/>
                <w:sz w:val="16"/>
                <w:szCs w:val="16"/>
              </w:rPr>
              <w:t>international leadership to align regulatory standards for sustainability;</w:t>
            </w:r>
          </w:p>
          <w:p w:rsidR="00C65BDB" w:rsidRDefault="00DF011C">
            <w:pPr>
              <w:numPr>
                <w:ilvl w:val="0"/>
                <w:numId w:val="5"/>
              </w:numPr>
              <w:rPr>
                <w:rFonts w:ascii="Times New Roman" w:eastAsia="Times New Roman" w:hAnsi="Times New Roman" w:cs="Times New Roman"/>
                <w:sz w:val="16"/>
                <w:szCs w:val="16"/>
              </w:rPr>
            </w:pPr>
            <w:r>
              <w:rPr>
                <w:rFonts w:ascii="Times New Roman" w:eastAsia="Times New Roman" w:hAnsi="Times New Roman" w:cs="Times New Roman"/>
                <w:sz w:val="16"/>
                <w:szCs w:val="16"/>
              </w:rPr>
              <w:t>invest in grid decarbonisation;</w:t>
            </w:r>
          </w:p>
          <w:p w:rsidR="00C65BDB" w:rsidRDefault="00DF011C">
            <w:pPr>
              <w:numPr>
                <w:ilvl w:val="0"/>
                <w:numId w:val="5"/>
              </w:numPr>
              <w:rPr>
                <w:rFonts w:ascii="Times New Roman" w:eastAsia="Times New Roman" w:hAnsi="Times New Roman" w:cs="Times New Roman"/>
                <w:sz w:val="16"/>
                <w:szCs w:val="16"/>
              </w:rPr>
            </w:pPr>
            <w:r>
              <w:rPr>
                <w:rFonts w:ascii="Times New Roman" w:eastAsia="Times New Roman" w:hAnsi="Times New Roman" w:cs="Times New Roman"/>
                <w:sz w:val="16"/>
                <w:szCs w:val="16"/>
              </w:rPr>
              <w:t>invest in people, skills, and institutions involved in green innovation;</w:t>
            </w:r>
          </w:p>
          <w:p w:rsidR="00C65BDB" w:rsidRDefault="00DF011C">
            <w:pPr>
              <w:numPr>
                <w:ilvl w:val="0"/>
                <w:numId w:val="5"/>
              </w:numPr>
              <w:rPr>
                <w:rFonts w:ascii="Times New Roman" w:eastAsia="Times New Roman" w:hAnsi="Times New Roman" w:cs="Times New Roman"/>
                <w:sz w:val="16"/>
                <w:szCs w:val="16"/>
              </w:rPr>
            </w:pPr>
            <w:r>
              <w:rPr>
                <w:rFonts w:ascii="Times New Roman" w:eastAsia="Times New Roman" w:hAnsi="Times New Roman" w:cs="Times New Roman"/>
                <w:sz w:val="16"/>
                <w:szCs w:val="16"/>
              </w:rPr>
              <w:t>support the NHS’ sustainability activities;</w:t>
            </w:r>
          </w:p>
          <w:p w:rsidR="00C65BDB" w:rsidRDefault="00DF011C">
            <w:pPr>
              <w:numPr>
                <w:ilvl w:val="0"/>
                <w:numId w:val="5"/>
              </w:numPr>
              <w:rPr>
                <w:rFonts w:ascii="Times New Roman" w:eastAsia="Times New Roman" w:hAnsi="Times New Roman" w:cs="Times New Roman"/>
                <w:sz w:val="16"/>
                <w:szCs w:val="16"/>
              </w:rPr>
            </w:pPr>
            <w:r>
              <w:rPr>
                <w:rFonts w:ascii="Times New Roman" w:eastAsia="Times New Roman" w:hAnsi="Times New Roman" w:cs="Times New Roman"/>
                <w:sz w:val="16"/>
                <w:szCs w:val="16"/>
              </w:rPr>
              <w:t>invest in implementation projects.</w:t>
            </w:r>
          </w:p>
        </w:tc>
      </w:tr>
      <w:tr w:rsidR="00C65BDB">
        <w:tc>
          <w:tcPr>
            <w:tcW w:w="2085" w:type="dxa"/>
          </w:tcPr>
          <w:p w:rsidR="00C65BDB" w:rsidRPr="00570167" w:rsidRDefault="00DF011C">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lastRenderedPageBreak/>
              <w:t xml:space="preserve">Walpole et al., 2023 </w:t>
            </w:r>
            <w:r w:rsidR="00570167" w:rsidRPr="00570167">
              <w:rPr>
                <w:rFonts w:ascii="Times New Roman" w:eastAsia="Times New Roman" w:hAnsi="Times New Roman" w:cs="Times New Roman"/>
                <w:sz w:val="16"/>
                <w:szCs w:val="16"/>
                <w:lang w:val="it-IT"/>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lang w:val="it-IT"/>
              </w:rPr>
              <w:instrText xml:space="preserve"> ADDIN ZOTERO_ITEM CSL_CITATION {"citationID":"evfRuFtC","properties":{"formattedCitation":"(4)","plainCitation":"(4)","noteIndex":0},"citationItems":[{"id":19537,"uris":["http://zotero.org/users/local/j6mUxLTK/items/D2LSX85W"],"itemData":{"id":19537,"type":"article-journal","container-title":"Expert Review of Pharmacoeconomics &amp; Outcomes Research","DOI":"10.1080/14737167.2023.2248389","ISSN":"1744-8379","issue":"9","journalAbbreviation":"Expert Rev Pharmacoecon Outcomes Res","language":"eng","note":"PMID: 37578859","page":"975-980","source":"PubMed","title":"How can environmental impacts be incorporated in health technology assessment, and how impactful would this be?","volume":"23","author":[{"family":"Walpole","given":"Sarah Catherine"},{"family":"Weeks","given":"Laura"},{"family":"Shah","given":"Koonal"},{"family":"Cresswell","given":"Katharine"},{"family":"Mesa-Melgarejo","given":"Lorena"},{"family":"Robayo","given":"Adriana"},{"family":"Greaves","given":"Felix"}],"issued":{"date-parts":[["2023"]]}}}],"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lang w:val="it-IT"/>
              </w:rPr>
              <w:t>(4)</w:t>
            </w:r>
            <w:r w:rsidR="00570167">
              <w:rPr>
                <w:rFonts w:ascii="Times New Roman" w:eastAsia="Times New Roman" w:hAnsi="Times New Roman" w:cs="Times New Roman"/>
                <w:sz w:val="16"/>
                <w:szCs w:val="16"/>
              </w:rPr>
              <w:fldChar w:fldCharType="end"/>
            </w:r>
          </w:p>
        </w:tc>
        <w:tc>
          <w:tcPr>
            <w:tcW w:w="112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Multicentre / UK; Canada; Colombia</w:t>
            </w:r>
          </w:p>
        </w:tc>
        <w:tc>
          <w:tcPr>
            <w:tcW w:w="150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0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Lifecycle</w:t>
            </w:r>
          </w:p>
        </w:tc>
        <w:tc>
          <w:tcPr>
            <w:tcW w:w="16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They suggest that including environmental considerations in HTA could facilitate the comparison of health technologies with relatively similar health outcomes but different environmental impacts, to guide funding and use recommendations.</w:t>
            </w:r>
          </w:p>
        </w:tc>
        <w:tc>
          <w:tcPr>
            <w:tcW w:w="18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Industry actors must be committed to conducting and publishing environmental impact analyses of their products in accordance with defined standards.</w:t>
            </w:r>
          </w:p>
          <w:p w:rsidR="00C65BDB" w:rsidRDefault="00C65BDB">
            <w:pPr>
              <w:rPr>
                <w:rFonts w:ascii="Times New Roman" w:eastAsia="Times New Roman" w:hAnsi="Times New Roman" w:cs="Times New Roman"/>
                <w:sz w:val="16"/>
                <w:szCs w:val="16"/>
              </w:rPr>
            </w:pPr>
          </w:p>
        </w:tc>
        <w:tc>
          <w:tcPr>
            <w:tcW w:w="24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Positive impacts of HTA agencies considering environmental factors may extend beyond decisions directly informed by HTA. If HTA agencies establish frameworks and consider environmental sustainability, this could stimulate improved data collection and presentation practices from manufacturers. HTA agencies can also support the measurement and management of environmental impacts of health systems by developing new or selecting existing, standardized approaches to analysing and presenting environmental data relevant to health-sector decision-making.</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HTA agencies must be responsive to priorities and opportunities for improvement in healthcare and ensure these are fed back to the system through relevant, timely, and realistic guidance that allows sufficient implementation. </w:t>
            </w:r>
          </w:p>
        </w:tc>
      </w:tr>
      <w:tr w:rsidR="00C65BDB">
        <w:tc>
          <w:tcPr>
            <w:tcW w:w="208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Greenwood Dufour et al., 2022</w:t>
            </w:r>
            <w:r w:rsidR="00570167">
              <w:rPr>
                <w:rFonts w:ascii="Times New Roman" w:eastAsia="Times New Roman" w:hAnsi="Times New Roman" w:cs="Times New Roman"/>
                <w:sz w:val="16"/>
                <w:szCs w:val="16"/>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{"citationID":"G6RoW6BV","properties":{"formattedCitation":"(5)","plainCitation":"(5)","noteIndex":0},"citationItems":[{"id":19499,"uris":["http://zotero.org/users/local/j6mUxLTK/items/YQFUTXSC"],"itemData":{"id":19499,"type":"article-journal","abstract":"There is growing awareness of the impact health technologies can have on the environment and the negative consequences of these environmental impacts on human health. However, health system decision-makers may lack the expertise, data, or resources to incorporate environmental considerations when making decisions about the adoption and use of health technologies. In this article, we describe how health technology assessment (HTA) is evolving to address climate change by providing health system decision-makers with the information they can use to reduce the impact of health care systems on the environment. Our objective is to consider approaches for including the environment domain when conducting an HTA-in particular, the use of the deliberative process-and for determining when the domain should be included. We explore the challenges of gathering the relevant data necessary to assess the environmental impact of a health technology, and we describe a \"triage\" approach for determining when an in-depth environmental impact assessment is warranted. We also summarize related initiatives from HTA agencies around the world.","container-title":"International Journal of Environmental Research and Public Health","DOI":"10.3390/ijerph191912017","ISSN":"1660-4601","issue":"19","journalAbbreviation":"Int J Environ Res Public Health","language":"eng","note":"PMID: 36231319\nPMCID: PMC9566650","page":"12017","source":"PubMed","title":"How We Might Further Integrate Considerations of Environmental Impact When Assessing the Value of Health Technologies","volume":"19","author":[{"family":"Greenwood Dufour","given":"Barbara"},{"family":"Weeks","given":"Laura"},{"family":"De Angelis","given":"Gino"},{"family":"Marchand","given":"Dave K."},{"family":"Kaunelis","given":"David"},{"family":"Severn","given":"Melissa"},{"family":"Walter","given":"Melissa"},{"family":"Mittmann","given":"Nicole"}],"issued":{"date-parts":[["2022",9,22]]}}}],"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(5)</w:t>
            </w:r>
            <w:r w:rsidR="00570167">
              <w:rPr>
                <w:rFonts w:ascii="Times New Roman" w:eastAsia="Times New Roman" w:hAnsi="Times New Roman" w:cs="Times New Roman"/>
                <w:sz w:val="16"/>
                <w:szCs w:val="16"/>
              </w:rPr>
              <w:fldChar w:fldCharType="end"/>
            </w:r>
            <w:r>
              <w:rPr>
                <w:rFonts w:ascii="Times New Roman" w:eastAsia="Times New Roman" w:hAnsi="Times New Roman" w:cs="Times New Roman"/>
                <w:sz w:val="16"/>
                <w:szCs w:val="16"/>
              </w:rPr>
              <w:t xml:space="preserve"> </w:t>
            </w:r>
          </w:p>
        </w:tc>
        <w:tc>
          <w:tcPr>
            <w:tcW w:w="112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North America / Canada</w:t>
            </w:r>
          </w:p>
        </w:tc>
        <w:tc>
          <w:tcPr>
            <w:tcW w:w="150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0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Lifecycle</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Three categories: toxic substances associated with the technology; the technology </w:t>
            </w:r>
            <w:r>
              <w:rPr>
                <w:rFonts w:ascii="Times New Roman" w:eastAsia="Times New Roman" w:hAnsi="Times New Roman" w:cs="Times New Roman"/>
                <w:sz w:val="16"/>
                <w:szCs w:val="16"/>
              </w:rPr>
              <w:lastRenderedPageBreak/>
              <w:t>satisfies the principles of waste management; the GHG emissions emitted by or potentially reduced by the technology.</w:t>
            </w:r>
          </w:p>
        </w:tc>
        <w:tc>
          <w:tcPr>
            <w:tcW w:w="16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No</w:t>
            </w:r>
          </w:p>
        </w:tc>
        <w:tc>
          <w:tcPr>
            <w:tcW w:w="249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There are different ways environmental data can be gathered for use as inputs during deliberation. There are some environmental considerations that can be included as part of the economic evaluation of a health technology. In other cases, it </w:t>
            </w:r>
            <w:r>
              <w:rPr>
                <w:rFonts w:ascii="Times New Roman" w:eastAsia="Times New Roman" w:hAnsi="Times New Roman" w:cs="Times New Roman"/>
                <w:sz w:val="16"/>
                <w:szCs w:val="16"/>
              </w:rPr>
              <w:lastRenderedPageBreak/>
              <w:t>would be more practical to consider environmental data separately, such as when the relevant environmental information or perspectives cannot practically be included in economic analyses or when the responsibility for determining the relative importance and weight of environmental impacts rests with decision-makers who need to take local context, priorities, and perspectives into account. Because the environmental aspects of health technologies are often not well studied, there may often be a lack of high-quality data to use as inputs.</w:t>
            </w:r>
          </w:p>
        </w:tc>
        <w:tc>
          <w:tcPr>
            <w:tcW w:w="18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n/a</w:t>
            </w:r>
          </w:p>
        </w:tc>
        <w:tc>
          <w:tcPr>
            <w:tcW w:w="24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authors suggest that HTA agencies must provide deliberation committee members with education and training to help them to debate issues they do not already have a background in. They also suggest that HTA agencies should work </w:t>
            </w:r>
            <w:r>
              <w:rPr>
                <w:rFonts w:ascii="Times New Roman" w:eastAsia="Times New Roman" w:hAnsi="Times New Roman" w:cs="Times New Roman"/>
                <w:sz w:val="16"/>
                <w:szCs w:val="16"/>
              </w:rPr>
              <w:lastRenderedPageBreak/>
              <w:t xml:space="preserve">closely with relevant stakeholders to develop methods for synthesizing that information. </w:t>
            </w:r>
          </w:p>
        </w:tc>
      </w:tr>
      <w:tr w:rsidR="00C65BDB">
        <w:tc>
          <w:tcPr>
            <w:tcW w:w="208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Hensher et al., 2020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{"citationID":"rNtUw0i7","properties":{"formattedCitation":"(6)","plainCitation":"(6)","noteIndex":0},"citationItems":[{"id":19573,"uris":["http://zotero.org/users/local/j6mUxLTK/items/KQHTWM75"],"itemData":{"id":19573,"type":"article-journal","abstract":"Health care is responsible for a range of negative environmental impacts, including greenhouse gas emissions, air pollution, plastics waste, and pharmaceutical pollution of ecosystems through excretion and inappropriate disposal. Evidence on the scale of these impacts has been growing in high-income countries. To date, there has been only limited discussion of how environmental impacts might be incorporated into economic evaluations of health care programs, including health technology assessment. This paper considers why and how this aim might be achieved, using perspectives from both mainstream and ecological economics. There are strong arguments for using economic evaluation to internalise the negative environmental externalities currently being generated by health care, as well as precautionary arguments for health systems to better understand their exposure to their environmental impacts. The paper tests the feasibility of incorporating the costs of greenhouse gas emissions within costing for economic evaluation, and concludes that the use of shadow prices to achieve this aim is feasible. It suggests that this cost-based approach is preferable to more convoluted attempts to incorporate environmental impacts in the outcome component of health economic evaluations. The interaction between overuse, antimicrobial resistance and environmental harms of health care is identified as an area that would benefit from investigation using innovative economic methods.","container-title":"Resources, Conservation and Recycling","DOI":"10.1016/j.resconrec.2019.104623","ISSN":"0921-3449","journalAbbreviation":"Resources, Conservation and Recycling","page":"104623","source":"ScienceDirect","title":"Incorporating environmental impacts into the economic evaluation of health care systems: Perspectives from ecological economics","title-short":"Incorporating environmental impacts into the economic evaluation of health care systems","volume":"154","author":[{"family":"Hensher","given":"Martin"}],"issued":{"date-parts":[["2020",3,1]]}}}],"schema":"https://github.com/citation-style-language/schema/raw/master/csl-citation.json"}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(6)</w:t>
            </w:r>
            <w:r w:rsidR="00570167">
              <w:rPr>
                <w:rFonts w:ascii="Times New Roman" w:eastAsia="Times New Roman" w:hAnsi="Times New Roman" w:cs="Times New Roman"/>
                <w:sz w:val="16"/>
                <w:szCs w:val="16"/>
              </w:rPr>
              <w:fldChar w:fldCharType="end"/>
            </w:r>
          </w:p>
        </w:tc>
        <w:tc>
          <w:tcPr>
            <w:tcW w:w="1125"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Oceania / Australia</w:t>
            </w:r>
          </w:p>
        </w:tc>
        <w:tc>
          <w:tcPr>
            <w:tcW w:w="150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Pharmaceutical Pollution; GHG; plastics</w:t>
            </w:r>
          </w:p>
        </w:tc>
        <w:tc>
          <w:tcPr>
            <w:tcW w:w="10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680" w:type="dxa"/>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The author suggests that the use of shadow prices to incorporate the costs of GHG emissions within costing for HEE is feasible. He suggests that this cost-based approach is preferable to more convoluted attempts to incorporate EI in the outcome component of HEE.</w:t>
            </w:r>
          </w:p>
        </w:tc>
        <w:tc>
          <w:tcPr>
            <w:tcW w:w="18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r>
      <w:tr w:rsidR="00C65BDB">
        <w:tc>
          <w:tcPr>
            <w:tcW w:w="2085" w:type="dxa"/>
            <w:tcBorders>
              <w:bottom w:val="single" w:sz="4" w:space="0" w:color="000000"/>
            </w:tcBorders>
          </w:tcPr>
          <w:p w:rsidR="00C65BDB" w:rsidRPr="00570167" w:rsidRDefault="00DF011C">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t xml:space="preserve">McAlister et al., 2022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lang w:val="it-IT"/>
              </w:rPr>
              <w:instrText xml:space="preserve"> ADDIN ZOTERO_ITEM CSL_CITATION {"citationID":"laCTRnXA","properties":{"formattedCitation":"(7)","plainCitation":"(7)","noteIndex":0},"citationItems":[{"id":19514,"uris":["http://zotero.org/users/local/j6mUxLTK/items/3IK67BUN"],"itemData":{"id":19514,"type":"article-journal","abstract":"At the UN Climate Change Conference 26 in Glasgow, 50 countries committed to low-carbon health services, with 14 countries further committing to net-zero carbon health services by 2050. Reaching this target will require decision makers to include carbon emissions when evaluating new and existing health technologies (tests and treatments). There is currently, however, a scarcity of data on the carbon footprint of health-care interventions, nor any means for decision makers to include and consider carbon emission health-care assessments. We therefore investigated how to integrate carbon emissions calculated by environmental life cycle assessment (LCA) into health technology assessments (HTA). HTAs are extensively used in developing clinical and policy guidelines by individual public or private payers, and by government organisations. In the first section we explain the methodological differences between environmentally extended input-output and process-based LCA. The second section outlines ways in which carbon emissions calculated by LCA could be integrated with HTAs, recognising that HTAs are done in several ways by different jurisdictions. International effort and processes will be needed to ensure that robust and comprehensive carbon footprints of commonly used health-care products are freely available. The technical and implementation challenges of incorporating carbon emissions into HTAs are considerable, but not unsurmountable. Our aim is to lay foundations for meeting these challenges.","container-title":"The Lancet. Planetary Health","DOI":"10.1016/S2542-5196(22)00258-3","ISSN":"2542-5196","issue":"12","journalAbbreviation":"Lancet Planet Health","language":"eng","note":"PMID: 36495894","page":"e993-e999","source":"PubMed","title":"Incorporating carbon into health care: adding carbon emissions to health technology assessments","title-short":"Incorporating carbon into health care","volume":"6","author":[{"family":"McAlister","given":"Scott"},{"family":"Morton","given":"Rachael L."},{"family":"Barratt","given":"Alexandra"}],"issued":{"date-parts":[["2022",12]]}}}],"schema":"https://github.com/citation-style-language/schema/raw/master/csl-citation.json"}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lang w:val="it-IT"/>
              </w:rPr>
              <w:t>(7)</w:t>
            </w:r>
            <w:r w:rsidR="00570167">
              <w:rPr>
                <w:rFonts w:ascii="Times New Roman" w:eastAsia="Times New Roman" w:hAnsi="Times New Roman" w:cs="Times New Roman"/>
                <w:sz w:val="16"/>
                <w:szCs w:val="16"/>
              </w:rPr>
              <w:fldChar w:fldCharType="end"/>
            </w:r>
          </w:p>
        </w:tc>
        <w:tc>
          <w:tcPr>
            <w:tcW w:w="1125"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Oceania / Australia</w:t>
            </w:r>
          </w:p>
        </w:tc>
        <w:tc>
          <w:tcPr>
            <w:tcW w:w="150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CO2</w:t>
            </w:r>
          </w:p>
        </w:tc>
        <w:tc>
          <w:tcPr>
            <w:tcW w:w="10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Lifecycle</w:t>
            </w:r>
          </w:p>
        </w:tc>
        <w:tc>
          <w:tcPr>
            <w:tcW w:w="16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Carbon emissions could be internalised in HTA using four different approaches: (1) linking LCA to health technology assessments; (2) carbon emissions as a decision modifier; (3) carbon emissions as part of MCDA; (4) monetising carbon emissions.</w:t>
            </w:r>
          </w:p>
        </w:tc>
        <w:tc>
          <w:tcPr>
            <w:tcW w:w="18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r>
      <w:tr w:rsidR="00C65BDB">
        <w:tc>
          <w:tcPr>
            <w:tcW w:w="2085" w:type="dxa"/>
            <w:tcBorders>
              <w:bottom w:val="single" w:sz="4" w:space="0" w:color="000000"/>
            </w:tcBorders>
          </w:tcPr>
          <w:p w:rsidR="00C65BDB" w:rsidRPr="00570167" w:rsidRDefault="00DF011C">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t>Alami et al., 2023</w:t>
            </w:r>
            <w:r w:rsidR="00570167" w:rsidRPr="00570167">
              <w:rPr>
                <w:rFonts w:ascii="Times New Roman" w:eastAsia="Times New Roman" w:hAnsi="Times New Roman" w:cs="Times New Roman"/>
                <w:sz w:val="16"/>
                <w:szCs w:val="16"/>
                <w:lang w:val="it-IT"/>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lang w:val="it-IT"/>
              </w:rPr>
              <w:instrText xml:space="preserve"> ADDIN ZOTERO_ITEM CSL_CITATION {"citationID":"qaMIoMsa","properties":{"formattedCitation":"(8)","plainCitation":"(8)","noteIndex":0},"citationItems":[{"id":20102,"uris":["http://zotero.org/users/local/j6mUxLTK/items/HNMJBAJK"],"itemData":{"id":20102,"type":"article-journal","abstract":"BACKGROUND: Digital health technologies (DHTs) are promoted as means to reduce the environmental impact of healthcare systems. However, a growing literature is shedding light on the highly polluting nature of the digital industry and how it exacerbates health inequalities. Thus, the environmental footprint of DHTs should be considered when assessing their overall value to healthcare systems. The objectives of this article are to: (1) explore stakeholders' perspectives on integrating the environmental impacts of DHTs in assessment and procurement practices; (2) identify the factors enabling or constraining the operationalisation of such a change; and (3) encourage a constructive dialogue on how environmental issues fit within healthcare systems' push for more DHTs.\nMETHODS: Semi-structured interviews were conducted with 29 stakeholders involved in DHTs in a large Canadian academic healthcare centre. Data were collected and analysed through a mixed deductive-inductive process using a framework derived from diffusion of innovations theories.\nRESULTS: The integration of the environmental impact of DHTs in assessment and procurement is contingent upon key micro-meso-macrosystemic factors that either enable or constrain changes in practices and processes. Innovation (micro) factors include stakeholders' recognition of the environmental issue and the extent to which it is feasible for them to address the environmental impact of DHTs. Organisational (meso) factors include the organisation's culture, leadership, policies, and practices, as well as the expertise and professional skillsets available. Finally, external (macro) factors include political and regulatory (e.g., national strategy, laws, standards, norms), economic (e.g., business models, public procurement), and professional and scientific factors (e.g., evidence, methodologies, clinical guidelines).\nCONCLUSION: Considering the environmental impact of DHTs depends on micro-meso-macrosystemic factors involving a variety of stakeholders and levels of governance, sometimes with divergent or even antagonistic objectives and expectations. It highlights the importance of better understanding the complexity inherent in the environmental shift in healthcare.","container-title":"Digital Health","DOI":"10.1177/20552076231219113","ISSN":"2055-2076","journalAbbreviation":"Digit Health","language":"eng","note":"PMID: 38074337\nPMCID: PMC10704940","page":"20552076231219113","source":"PubMed","title":"Integrating environmental considerations in digital health technology assessment and procurement: Stakeholders' perspectives","title-short":"Integrating environmental considerations in digital health technology assessment and procurement","volume":"9","author":[{"family":"Alami","given":"Hassane"},{"family":"Rivard","given":"Lysanne"},{"family":"Lehoux","given":"Pascale"},{"family":"Ag Ahmed","given":"Mohamed Ali"},{"family":"Fortin","given":"Jean-Paul"},{"family":"Fleet","given":"Richard"}],"issued":{"date-parts":[["2023"]]}}}],"schema":"https://github.com/citation-style-language/schema/raw/master/csl-citation.json"}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lang w:val="it-IT"/>
              </w:rPr>
              <w:t>(8)</w:t>
            </w:r>
            <w:r w:rsidR="00570167">
              <w:rPr>
                <w:rFonts w:ascii="Times New Roman" w:eastAsia="Times New Roman" w:hAnsi="Times New Roman" w:cs="Times New Roman"/>
                <w:sz w:val="16"/>
                <w:szCs w:val="16"/>
              </w:rPr>
              <w:fldChar w:fldCharType="end"/>
            </w:r>
          </w:p>
        </w:tc>
        <w:tc>
          <w:tcPr>
            <w:tcW w:w="1125"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Canada</w:t>
            </w:r>
          </w:p>
        </w:tc>
        <w:tc>
          <w:tcPr>
            <w:tcW w:w="150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General</w:t>
            </w:r>
          </w:p>
        </w:tc>
        <w:tc>
          <w:tcPr>
            <w:tcW w:w="10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6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Emphasizes integration of EI into procurement decisions for digital health tech via stakeholder perspectives</w:t>
            </w:r>
          </w:p>
        </w:tc>
        <w:tc>
          <w:tcPr>
            <w:tcW w:w="18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Encourage EI-sensitive procurement criteria; facilitate stakeholder engagement</w:t>
            </w:r>
          </w:p>
        </w:tc>
      </w:tr>
      <w:tr w:rsidR="00C65BDB">
        <w:tc>
          <w:tcPr>
            <w:tcW w:w="208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Lehoux et al., 2025</w:t>
            </w:r>
            <w:r w:rsidR="00570167">
              <w:rPr>
                <w:rFonts w:ascii="Times New Roman" w:eastAsia="Times New Roman" w:hAnsi="Times New Roman" w:cs="Times New Roman"/>
                <w:sz w:val="16"/>
                <w:szCs w:val="16"/>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{"citationID":"2O98cYlD","properties":{"formattedCitation":"(9)","plainCitation":"(9)","noteIndex":0},"citationItems":[{"id":20105,"uris":["http://zotero.org/users/local/j6mUxLTK/items/SKRK42FV"],"itemData":{"id":20105,"type":"article-journal","abstract":"INTRODUCTION: Though Health Technology Assessment (HTA) has steadily grown over the past decades, less attention has been paid to the way HTA may prove more responsive to the broader economic, social, and environmental challenges that health systems are facing today. In view of climate change, chronic diseases, an aging population, inequalities, and workforce issues, the HTA community's unique set of skills nonetheless holds great potential to help decision-makers strengthen many publicly funded health systems around the world.\nMETHODS: This article adopts an integrated system-wide perspective guided by the Responsible Innovation in Health (RIH) framework to explore how the HTA community may not only adapt to the speed of innovation but also consider its direction.\nRESULTS: Because RIH aims to steer innovation toward a more sustainable pathway, it can help HTA agencies anticipate decision-makers' informational needs regarding four systemic challenges: (1) equitable access; (2) workforce issues; (3) accountable policy trade-offs; and (4) environmental sustainability. We clarify how key elements of the RIH framework may be used by HTA agencies to: (1) supplement their evaluation process; (2) align their priority-setting or strategic planning activities with their health system challenges; or (3) inform the production of early HTAs, horizon scans, or reports that are broader in scope than a single technology review.\nCONCLUSIONS: The article concludes with three practical implications that were identified by the Institut National d'Excellence en Santé et Services Sociaux (INESSS) (Québec, Canada) and may inspire other HTA agencies.","container-title":"International Journal of Technology Assessment in Health Care","DOI":"10.1017/S0266462325000121","ISSN":"1471-6348","issue":"1","journalAbbreviation":"Int J Technol Assess Health Care","language":"eng","note":"PMID: 40026100\nPMCID: PMC11936730","page":"e16","source":"PubMed","title":"HTA responsiveness to today's challenges to health systems: a responsible innovation in health perspective","title-short":"HTA responsiveness to today's challenges to health systems","volume":"41","author":[{"family":"Lehoux","given":"P."},{"family":"Ganache","given":"I."},{"family":"Demers-Payette","given":"O."},{"family":"Silva","given":"H. P."},{"family":"Plamondon","given":"G."},{"family":"Guise","given":"M.","non-dropping-particle":"de"}],"issued":{"date-parts":[["2025",3,3]]}}}],"schema":"https://github.com/citation-style-language/schema/raw/master/csl-citation.json"}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(9)</w:t>
            </w:r>
            <w:r w:rsidR="00570167">
              <w:rPr>
                <w:rFonts w:ascii="Times New Roman" w:eastAsia="Times New Roman" w:hAnsi="Times New Roman" w:cs="Times New Roman"/>
                <w:sz w:val="16"/>
                <w:szCs w:val="16"/>
              </w:rPr>
              <w:fldChar w:fldCharType="end"/>
            </w:r>
          </w:p>
        </w:tc>
        <w:tc>
          <w:tcPr>
            <w:tcW w:w="1125"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Canada</w:t>
            </w:r>
          </w:p>
        </w:tc>
        <w:tc>
          <w:tcPr>
            <w:tcW w:w="150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General</w:t>
            </w:r>
          </w:p>
        </w:tc>
        <w:tc>
          <w:tcPr>
            <w:tcW w:w="10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6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Advocates for integrating EI through Responsible Innovation in Health (RIH) lens; requires broader systems-thinking</w:t>
            </w:r>
          </w:p>
        </w:tc>
        <w:tc>
          <w:tcPr>
            <w:tcW w:w="18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Make HTA more responsive and anticipatory by including systemic EI and health system challenges</w:t>
            </w:r>
          </w:p>
        </w:tc>
      </w:tr>
      <w:tr w:rsidR="00C65BDB">
        <w:tc>
          <w:tcPr>
            <w:tcW w:w="2085" w:type="dxa"/>
            <w:tcBorders>
              <w:bottom w:val="single" w:sz="4" w:space="0" w:color="000000"/>
            </w:tcBorders>
          </w:tcPr>
          <w:p w:rsidR="00C65BDB" w:rsidRPr="00570167" w:rsidRDefault="00DF011C">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t>Bobini et al., 2024</w:t>
            </w:r>
            <w:r w:rsidR="00570167" w:rsidRPr="00570167">
              <w:rPr>
                <w:rFonts w:ascii="Times New Roman" w:eastAsia="Times New Roman" w:hAnsi="Times New Roman" w:cs="Times New Roman"/>
                <w:sz w:val="16"/>
                <w:szCs w:val="16"/>
                <w:lang w:val="it-IT"/>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lang w:val="it-IT"/>
              </w:rPr>
              <w:instrText xml:space="preserve"> ADDIN ZOTERO_ITEM CSL_CITATION {"citationID":"eaiY1mu1","properties":{"formattedCitation":"(10)","plainCitation":"(10)","noteIndex":0},"citationItems":[{"id":20107,"uris":["http://zotero.org/users/local/j6mUxLTK/items/3VTF23SR"],"itemData":{"id":20107,"type":"article-journal","abstract":"INTRODUCTION: Health technologies play a relevant role in environmental sustainability (ES). However, limited evidence exists on approaches and methods to integrate ES into the Health Technology Assessment (HTA).\nOBJECTIVES: The purpose of this study is: (i) to provide an overview of global HTA organizations' progression toward the integration of ES into HTA; (ii) to investigate various paths for this integration, highlighting obstacles, priorities, potential approaches, and methods.\nMETHODS: Data were collected via questionnaires from organizations belonging to HTA networks, International Network of Agencies for Health Technology Assessment, and European Network for HTA. To complement the results of the survey, the authors carried out a desk analysis with strategic documents available on institutional websites.\nRESULTS: The survey included twenty-six respondents from twenty different countries (thirty-three percent response rate). Among the study's participants, there is a notable acknowledgment of the importance of integrating ES into HTA. However, only nine organizations are actively engaged in these integration efforts, each employing unique methodologies and perspectives. There is a substantial consensus on the application of life cycle assessment, with a particular emphasis on the use of environmentally extended input-output analysis, and a stronger preference for cost-utility analysis. Nevertheless, evidence on integrating ES into HTA remains scarce. Major challenges identified include data collection difficulties and the necessity for interdisciplinary teams.\nCONCLUSIONS: Our study represents a preliminary effort to systematize initiatives aimed at integrating ES into HTA. Further research is required to customize methods and tools for appropriately evaluating the environmental impacts of technologies. The findings suggest that achieving ES-HTA integration demands a multi-tiered, interdisciplinary approach.","container-title":"International Journal of Technology Assessment in Health Care","DOI":"10.1017/S0266462324000631","ISSN":"1471-6348","issue":"1","journalAbbreviation":"Int J Technol Assess Health Care","language":"eng","note":"PMID: 39610281\nPMCID: PMC11703626","page":"e64","source":"PubMed","title":"Integrating environmental sustainability into health technology assessment: an international survey of HTA stakeholders","title-short":"Integrating environmental sustainability into health technology assessment","volume":"40","author":[{"family":"Bobini","given":"Michela"},{"family":"Cicchetti","given":"Americo"}],"issued":{"date-parts":[["2024",11,29]]}}}],"schema":"https://github.com/citation-style-language/schema/raw/master/csl-citation.json"}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lang w:val="it-IT"/>
              </w:rPr>
              <w:t>(10)</w:t>
            </w:r>
            <w:r w:rsidR="00570167">
              <w:rPr>
                <w:rFonts w:ascii="Times New Roman" w:eastAsia="Times New Roman" w:hAnsi="Times New Roman" w:cs="Times New Roman"/>
                <w:sz w:val="16"/>
                <w:szCs w:val="16"/>
              </w:rPr>
              <w:fldChar w:fldCharType="end"/>
            </w:r>
          </w:p>
        </w:tc>
        <w:tc>
          <w:tcPr>
            <w:tcW w:w="1125"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Europe / International survey</w:t>
            </w:r>
          </w:p>
        </w:tc>
        <w:tc>
          <w:tcPr>
            <w:tcW w:w="150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General</w:t>
            </w:r>
          </w:p>
        </w:tc>
        <w:tc>
          <w:tcPr>
            <w:tcW w:w="10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680" w:type="dxa"/>
            <w:tcBorders>
              <w:bottom w:val="single" w:sz="4" w:space="0" w:color="000000"/>
            </w:tcBorders>
            <w:vAlign w:val="center"/>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No</w:t>
            </w:r>
          </w:p>
        </w:tc>
        <w:tc>
          <w:tcPr>
            <w:tcW w:w="2490"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Survey identifies gaps and heterogeneity in how HTA stakeholders approach sustainability</w:t>
            </w:r>
          </w:p>
        </w:tc>
        <w:tc>
          <w:tcPr>
            <w:tcW w:w="18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2445" w:type="dxa"/>
            <w:tcBorders>
              <w:bottom w:val="single" w:sz="4" w:space="0" w:color="000000"/>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Harmonize methods; foster international collaboration; build a common framework</w:t>
            </w:r>
          </w:p>
        </w:tc>
      </w:tr>
      <w:tr w:rsidR="00C65BDB">
        <w:tc>
          <w:tcPr>
            <w:tcW w:w="14250" w:type="dxa"/>
            <w:gridSpan w:val="8"/>
            <w:tcBorders>
              <w:left w:val="nil"/>
              <w:bottom w:val="nil"/>
              <w:right w:val="nil"/>
            </w:tcBorders>
            <w:vAlign w:val="center"/>
          </w:tcPr>
          <w:p w:rsidR="00C65BDB" w:rsidRDefault="00DF011C">
            <w:pPr>
              <w:spacing w:before="120" w:after="120"/>
              <w:rPr>
                <w:sz w:val="16"/>
                <w:szCs w:val="16"/>
              </w:rPr>
            </w:pPr>
            <w:r>
              <w:rPr>
                <w:rFonts w:ascii="Times New Roman" w:eastAsia="Times New Roman" w:hAnsi="Times New Roman" w:cs="Times New Roman"/>
                <w:sz w:val="16"/>
                <w:szCs w:val="16"/>
              </w:rPr>
              <w:t>CO</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Carbon Dioxide; GHG: Greenhouse Gases; HTA: Health Technology Assessment; N/A: not available; UK: United Kingdom</w:t>
            </w:r>
          </w:p>
        </w:tc>
      </w:tr>
    </w:tbl>
    <w:p w:rsidR="00C65BDB" w:rsidRDefault="00DF011C">
      <w:pPr>
        <w:spacing w:after="200" w:line="240" w:lineRule="auto"/>
        <w:rPr>
          <w:rFonts w:ascii="Times New Roman" w:eastAsia="Times New Roman" w:hAnsi="Times New Roman" w:cs="Times New Roman"/>
          <w:i/>
        </w:rPr>
      </w:pPr>
      <w:r>
        <w:br w:type="page"/>
      </w:r>
    </w:p>
    <w:p w:rsidR="00C65BDB" w:rsidRDefault="00C65BDB">
      <w:pPr>
        <w:spacing w:after="200" w:line="240" w:lineRule="auto"/>
        <w:rPr>
          <w:rFonts w:ascii="Times New Roman" w:eastAsia="Times New Roman" w:hAnsi="Times New Roman" w:cs="Times New Roman"/>
          <w:i/>
        </w:rPr>
      </w:pPr>
    </w:p>
    <w:tbl>
      <w:tblPr>
        <w:tblStyle w:val="ad"/>
        <w:tblpPr w:leftFromText="141" w:rightFromText="141" w:vertAnchor="page" w:horzAnchor="margin" w:tblpX="-360" w:tblpY="1965"/>
        <w:tblW w:w="142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8"/>
        <w:gridCol w:w="1426"/>
        <w:gridCol w:w="1600"/>
        <w:gridCol w:w="1688"/>
        <w:gridCol w:w="2407"/>
        <w:gridCol w:w="2267"/>
        <w:gridCol w:w="2941"/>
      </w:tblGrid>
      <w:tr w:rsidR="00C65BDB">
        <w:trPr>
          <w:trHeight w:val="557"/>
        </w:trPr>
        <w:tc>
          <w:tcPr>
            <w:tcW w:w="14277" w:type="dxa"/>
            <w:gridSpan w:val="7"/>
            <w:tcBorders>
              <w:top w:val="nil"/>
              <w:left w:val="nil"/>
              <w:right w:val="nil"/>
            </w:tcBorders>
          </w:tcPr>
          <w:p w:rsidR="00C65BDB" w:rsidRDefault="00DF011C">
            <w:pPr>
              <w:spacing w:after="200"/>
              <w:rPr>
                <w:rFonts w:ascii="Times New Roman" w:eastAsia="Times New Roman" w:hAnsi="Times New Roman" w:cs="Times New Roman"/>
                <w:i/>
              </w:rPr>
            </w:pPr>
            <w:r>
              <w:rPr>
                <w:rFonts w:ascii="Times New Roman" w:eastAsia="Times New Roman" w:hAnsi="Times New Roman" w:cs="Times New Roman"/>
                <w:i/>
              </w:rPr>
              <w:t>Table. 3: Main characteristics of the included review.</w:t>
            </w:r>
          </w:p>
        </w:tc>
      </w:tr>
      <w:tr w:rsidR="00C65BDB">
        <w:trPr>
          <w:trHeight w:val="557"/>
        </w:trPr>
        <w:tc>
          <w:tcPr>
            <w:tcW w:w="1948"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Article</w:t>
            </w:r>
          </w:p>
        </w:tc>
        <w:tc>
          <w:tcPr>
            <w:tcW w:w="1426"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Location</w:t>
            </w:r>
          </w:p>
        </w:tc>
        <w:tc>
          <w:tcPr>
            <w:tcW w:w="1600"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Environmental dimension</w:t>
            </w:r>
          </w:p>
        </w:tc>
        <w:tc>
          <w:tcPr>
            <w:tcW w:w="1688"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Challenge for input data</w:t>
            </w:r>
          </w:p>
        </w:tc>
        <w:tc>
          <w:tcPr>
            <w:tcW w:w="2407"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How to incorporate EI into HTA</w:t>
            </w:r>
          </w:p>
        </w:tc>
        <w:tc>
          <w:tcPr>
            <w:tcW w:w="2267"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Impact on Decision Makers</w:t>
            </w:r>
          </w:p>
        </w:tc>
        <w:tc>
          <w:tcPr>
            <w:tcW w:w="2941" w:type="dxa"/>
          </w:tcPr>
          <w:p w:rsidR="00C65BDB" w:rsidRDefault="00DF011C">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Included examples</w:t>
            </w:r>
          </w:p>
        </w:tc>
      </w:tr>
      <w:tr w:rsidR="00C65BDB">
        <w:tc>
          <w:tcPr>
            <w:tcW w:w="194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Desterbecq at al., 2023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{"citationID":"TCti2aPl","properties":{"formattedCitation":"(11)","plainCitation":"(11)","noteIndex":0},"citationItems":[{"id":19560,"uris":["http://zotero.org/users/local/j6mUxLTK/items/S7KFY9KB"],"itemData":{"id":19560,"type":"article-journal","abstract":"OBJECTIVES: Climate change and environmental factors have an impact on human health and the ecosystem. The healthcare sector is responsible for substantial environmental pollution. Most healthcare systems rely on economic evaluation to select efficient alternatives. Nevertheless, environmental spillovers of healthcare treatments are rarely considered whether it is from a cost or a health perspective. The objective of this article is to identify economic evaluations of healthcare products and guidelines that have included any environmental dimensions.\nMETHODS: Electronic searches of 3 literature databases (PubMed, Scopus, and EMBASE) and official health agencies guidelines were conducted. Documents were considered eligible if they assessed the environmental spillovers within the economic evaluation of a healthcare product or provided any recommendations on the inclusion of environmental spillovers in the health technology assessment process.\nRESULTS: From the 3878 records identified, 62 documents were deemed eligible and 18 were published in 2021 and 2022. The environmental spillovers considered were carbon dioxide (CO2) emissions, water or energy consumption, and waste disposal. The environmental spillovers were mainly assessed using the lifecycle assessment (LCA) approach while the economic analysis was mostly limited to costs. Only 9 documents, including the guidelines of 2 health agencies presented theoretical and practical ways to include environmental spillovers into the decision-making process.\nCONCLUSIONS: There is a clear lack of methods on whether environmental spillovers should be included in health economic evaluation and how this should be done. If healthcare systems want to reduce their environment footprint, the development of methodology which integrates environmental dimensions in health technology assessment will be key.","container-title":"Value in Health: The Journal of the International Society for Pharmacoeconomics and Outcomes Research","DOI":"10.1016/j.jval.2023.03.008","ISSN":"1524-4733","issue":"8","journalAbbreviation":"Value Health","language":"eng","note":"PMID: 36967027","page":"1270-1281","source":"PubMed","title":"Inclusion of Environmental Spillovers in Applied Economic Evaluations of Healthcare Products","volume":"26","author":[{"family":"Desterbecq","given":"Charlotte"},{"family":"Tubeuf","given":"Sandy"}],"issued":{"date-parts":[["2023",8]]}}}],"schema":"https://github.com/citation-style-language/schema/raw/master/csl-citation.json"}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(11)</w:t>
            </w:r>
            <w:r w:rsidR="00570167">
              <w:rPr>
                <w:rFonts w:ascii="Times New Roman" w:eastAsia="Times New Roman" w:hAnsi="Times New Roman" w:cs="Times New Roman"/>
                <w:sz w:val="16"/>
                <w:szCs w:val="16"/>
              </w:rPr>
              <w:fldChar w:fldCharType="end"/>
            </w:r>
          </w:p>
        </w:tc>
        <w:tc>
          <w:tcPr>
            <w:tcW w:w="1426"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Belgium / Europe</w:t>
            </w:r>
          </w:p>
        </w:tc>
        <w:tc>
          <w:tcPr>
            <w:tcW w:w="160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CO2; water; energy consumption; waste disposal; multienvironment-related dimensions.</w:t>
            </w:r>
          </w:p>
          <w:p w:rsidR="00C65BDB" w:rsidRDefault="00C65BDB">
            <w:pPr>
              <w:rPr>
                <w:rFonts w:ascii="Times New Roman" w:eastAsia="Times New Roman" w:hAnsi="Times New Roman" w:cs="Times New Roman"/>
                <w:sz w:val="16"/>
                <w:szCs w:val="16"/>
              </w:rPr>
            </w:pPr>
          </w:p>
        </w:tc>
        <w:tc>
          <w:tcPr>
            <w:tcW w:w="168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Lack of methods on whether environmental spillovers should be included in health economic evaluation and how this should be done.</w:t>
            </w:r>
          </w:p>
        </w:tc>
        <w:tc>
          <w:tcPr>
            <w:tcW w:w="240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Convert CO2 emissions into monetary units such as SCC to include environment-related dimensions into cost-benefit analysis or budget-impact analysis and to utilize multicriteria decision analysis to include environment-related spillovers.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conduct an economic evaluation and to consider environmental impact as an additional outcome.</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include environmental impact as a relevant criterion in their economic evaluation guideline.</w:t>
            </w:r>
          </w:p>
        </w:tc>
        <w:tc>
          <w:tcPr>
            <w:tcW w:w="226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It is recommended that international networks on HTA and their health agencies should collaborate to develop a joint reference case to assist in the inclusion of environmental effects in HTA.</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More globally, to reduce the environment-related spillovers of the health sector, governments should implement circular economy policies in healthcare. This transition requires actions such as “recycling; reuse of products; prevention of waste; and a shift in consumption patterns” but also changes in “perception and behavior from consumers to producers.”</w:t>
            </w:r>
          </w:p>
        </w:tc>
        <w:tc>
          <w:tcPr>
            <w:tcW w:w="2941"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4 studies undertook a full economic evaluation of healthcare products (use of home vs in-center hemodialysis, use of reusable inhalers, and implementation of a medical program) and included CO</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emissions in the evaluation. They calculated CO</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emissions and then converted these emissions into monetary costs such as the SCC or the carbon cost.</w:t>
            </w:r>
          </w:p>
          <w:p w:rsidR="00C65BDB" w:rsidRDefault="00C65BDB">
            <w:pPr>
              <w:rPr>
                <w:rFonts w:ascii="Times New Roman" w:eastAsia="Times New Roman" w:hAnsi="Times New Roman" w:cs="Times New Roman"/>
                <w:sz w:val="16"/>
                <w:szCs w:val="16"/>
              </w:rPr>
            </w:pPr>
          </w:p>
        </w:tc>
      </w:tr>
      <w:tr w:rsidR="00C65BDB">
        <w:tc>
          <w:tcPr>
            <w:tcW w:w="1948" w:type="dxa"/>
          </w:tcPr>
          <w:p w:rsidR="00C65BDB" w:rsidRPr="00570167" w:rsidRDefault="00570167">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t>Guirado-Fuentes et al.,</w:t>
            </w:r>
            <w:r w:rsidR="00DF011C" w:rsidRPr="00570167">
              <w:rPr>
                <w:rFonts w:ascii="Times New Roman" w:eastAsia="Times New Roman" w:hAnsi="Times New Roman" w:cs="Times New Roman"/>
                <w:sz w:val="16"/>
                <w:szCs w:val="16"/>
                <w:lang w:val="it-IT"/>
              </w:rPr>
              <w:t xml:space="preserve"> 2023</w:t>
            </w:r>
            <w:r w:rsidRPr="00570167">
              <w:rPr>
                <w:rFonts w:ascii="Times New Roman" w:eastAsia="Times New Roman" w:hAnsi="Times New Roman" w:cs="Times New Roman"/>
                <w:sz w:val="16"/>
                <w:szCs w:val="16"/>
                <w:lang w:val="it-IT"/>
              </w:rPr>
              <w:t xml:space="preserve"> </w:t>
            </w:r>
            <w:r>
              <w:rPr>
                <w:rFonts w:ascii="Times New Roman" w:eastAsia="Times New Roman" w:hAnsi="Times New Roman" w:cs="Times New Roman"/>
                <w:sz w:val="16"/>
                <w:szCs w:val="16"/>
              </w:rPr>
              <w:fldChar w:fldCharType="begin"/>
            </w:r>
            <w:r>
              <w:rPr>
                <w:rFonts w:ascii="Times New Roman" w:eastAsia="Times New Roman" w:hAnsi="Times New Roman" w:cs="Times New Roman"/>
                <w:sz w:val="16"/>
                <w:szCs w:val="16"/>
                <w:lang w:val="it-IT"/>
              </w:rPr>
              <w:instrText xml:space="preserve"> ADDIN ZOTERO_ITEM CSL_CITATION {"citationID":"CNDkEaTS","properties":{"formattedCitation":"(12)","plainCitation":"(12)","noteIndex":0},"citationItems":[{"id":19502,"uris":["http://zotero.org/users/local/j6mUxLTK/items/H4BUWWER"],"itemData":{"id":19502,"type":"article-journal","abstract":"Health technology assessment (HTA) provides evidence-based information on healthcare technology to support decision making in many countries. Environmental impact is a relevant dimension of a health technology's value, but it has been poorly addressed in HTA processes in spite of the commitment that the health sector must have to contribute to mitigating the effects of climate change. This study aims to identify the state of the art and challenges for quantifying environmental impacts that could be incorporated into the economic evaluation (EE) of HTA. We performed a scoping review that included 22 articles grouped into four types of contribution: (1) concepts to draw up a theoretical framework, (2) HTA reports, (3) parameter designs or suitable indicators, and (4) economic or budgetary impact assessments. This review shows that evaluation of the environmental impact of HTAs is still very incipient. Small steps are being taken in EE, such as carbon footprint estimations from a life-cycle approach of technologies and the entire care pathway.","container-title":"International Journal of Environmental Research and Public Health","DOI":"10.3390/ijerph20064949","ISSN":"1660-4601","issue":"6","journalAbbreviation":"Int J Environ Res Public Health","language":"eng","note":"PMID: 36981859\nPMCID: PMC10049058","page":"4949","source":"PubMed","title":"Main Challenges of Incorporating Environmental Impacts in the Economic Evaluation of Health Technology Assessment: A Scoping Review","title-short":"Main Challenges of Incorporating Environmental Impacts in the Economic Evaluation of Health Technology Assessment","volume":"20","author":[{"family":"Guirado-Fuentes","given":"Carmen"},{"family":"Abt-Sacks","given":"Analía"},{"family":"Trujillo-Martín","given":"María Del Mar"},{"family":"García-Pérez","given":"Lidia"},{"family":"Rodríguez-Rodríguez","given":"Leticia"},{"family":"Carrion I Ribas","given":"Carme"},{"family":"Serrano-Aguilar","given":"Pedro"}],"issued":{"date-parts":[["2023",3,11]]}}}],"schema":"https://github.com/citation-style-language/schema/raw/master/csl-citation.json"} </w:instrText>
            </w:r>
            <w:r>
              <w:rPr>
                <w:rFonts w:ascii="Times New Roman" w:eastAsia="Times New Roman" w:hAnsi="Times New Roman" w:cs="Times New Roman"/>
                <w:sz w:val="16"/>
                <w:szCs w:val="16"/>
              </w:rPr>
              <w:fldChar w:fldCharType="separate"/>
            </w:r>
            <w:r w:rsidRPr="00570167">
              <w:rPr>
                <w:rFonts w:ascii="Times New Roman" w:hAnsi="Times New Roman" w:cs="Times New Roman"/>
                <w:sz w:val="16"/>
                <w:lang w:val="it-IT"/>
              </w:rPr>
              <w:t>(12)</w:t>
            </w:r>
            <w:r>
              <w:rPr>
                <w:rFonts w:ascii="Times New Roman" w:eastAsia="Times New Roman" w:hAnsi="Times New Roman" w:cs="Times New Roman"/>
                <w:sz w:val="16"/>
                <w:szCs w:val="16"/>
              </w:rPr>
              <w:fldChar w:fldCharType="end"/>
            </w:r>
            <w:r w:rsidR="00DF011C" w:rsidRPr="00570167">
              <w:rPr>
                <w:rFonts w:ascii="Times New Roman" w:eastAsia="Times New Roman" w:hAnsi="Times New Roman" w:cs="Times New Roman"/>
                <w:sz w:val="16"/>
                <w:szCs w:val="16"/>
                <w:lang w:val="it-IT"/>
              </w:rPr>
              <w:t xml:space="preserve"> </w:t>
            </w:r>
          </w:p>
          <w:p w:rsidR="00C65BDB" w:rsidRPr="00570167" w:rsidRDefault="00C65BDB">
            <w:pPr>
              <w:rPr>
                <w:rFonts w:ascii="Times New Roman" w:eastAsia="Times New Roman" w:hAnsi="Times New Roman" w:cs="Times New Roman"/>
                <w:sz w:val="16"/>
                <w:szCs w:val="16"/>
                <w:lang w:val="it-IT"/>
              </w:rPr>
            </w:pPr>
          </w:p>
        </w:tc>
        <w:tc>
          <w:tcPr>
            <w:tcW w:w="1426"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Spain / Europe</w:t>
            </w:r>
          </w:p>
        </w:tc>
        <w:tc>
          <w:tcPr>
            <w:tcW w:w="160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CO2</w:t>
            </w:r>
          </w:p>
        </w:tc>
        <w:tc>
          <w:tcPr>
            <w:tcW w:w="168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Appropriate environmental data to be incorporated as inputs in the EE of a health technology are still limited.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Observational studies have their own limitations related to selection bias and the analysis of potential confounding variables as well as the inclusion of sufficient study sites and time periods.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Experimental analyses have limited applications in this context (e.g., energy consumption), tackling constraints related to the validity of </w:t>
            </w:r>
            <w:r>
              <w:rPr>
                <w:rFonts w:ascii="Times New Roman" w:eastAsia="Times New Roman" w:hAnsi="Times New Roman" w:cs="Times New Roman"/>
                <w:sz w:val="16"/>
                <w:szCs w:val="16"/>
              </w:rPr>
              <w:lastRenderedPageBreak/>
              <w:t xml:space="preserve">previous results due to technology changes.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Data search strategies should include scientific publications, HTA reports, patents, publicly available databases, etc., supported by an appropriate search strategy.</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Scarcity of proper studies and valid data availability</w:t>
            </w:r>
          </w:p>
        </w:tc>
        <w:tc>
          <w:tcPr>
            <w:tcW w:w="240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Environmental impact assessment of a health technology should include the entire life cycle (raw materials, manufacture, distribution, and use), the effects on the management of disease, and the use of resources throughout the care pathway.</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3 types of methodologies to incorporate environmental impacts: cost-utility analysis (CUA), cost-benefit analysis (CBA), and multicriteria decision analysis (MCDA). “Enriched” CUA could incorporate the environmental impact of a technology into health impact and convert this into estimations of health-related quality of life (HRQOL).</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using perspectives from conventional economics as well as </w:t>
            </w:r>
            <w:r>
              <w:rPr>
                <w:rFonts w:ascii="Times New Roman" w:eastAsia="Times New Roman" w:hAnsi="Times New Roman" w:cs="Times New Roman"/>
                <w:sz w:val="16"/>
                <w:szCs w:val="16"/>
              </w:rPr>
              <w:lastRenderedPageBreak/>
              <w:t>ecological economics, which have not yet been applied in health care.</w:t>
            </w:r>
          </w:p>
        </w:tc>
        <w:tc>
          <w:tcPr>
            <w:tcW w:w="226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Develop and implement more sustainable practices and policies.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work on estimating patient health outcomes and strategies to reduce GHG emissions from health sector services or developing strategies and incentives to reduce the footprint of the pharmaceutical and biomedical sectors.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ensure that international environmental agreements are implemented in the EE and that the governments require the medical industries to make environmental declarations for their products.</w:t>
            </w:r>
          </w:p>
        </w:tc>
        <w:tc>
          <w:tcPr>
            <w:tcW w:w="2941"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The use of an audit tool to calculate the carbon footprint of cataract surgical services, which uses a hybrid LCA approach combining EEIO and a process-based approach, can serve as an example on how to internationally standardize data registration forms and compare results in different contexts, which fosters cooperation and collaborative learning. </w:t>
            </w:r>
          </w:p>
        </w:tc>
      </w:tr>
      <w:tr w:rsidR="00C65BDB">
        <w:tc>
          <w:tcPr>
            <w:tcW w:w="194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Pinho-Gomes at al., 2022</w:t>
            </w:r>
            <w:r w:rsidR="00570167">
              <w:rPr>
                <w:rFonts w:ascii="Times New Roman" w:eastAsia="Times New Roman" w:hAnsi="Times New Roman" w:cs="Times New Roman"/>
                <w:sz w:val="16"/>
                <w:szCs w:val="16"/>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{"citationID":"EFA17Fcf","properties":{"formattedCitation":"(13)","plainCitation":"(13)","noteIndex":0},"citationItems":[{"id":19565,"uris":["http://zotero.org/users/local/j6mUxLTK/items/GDEBNJ52"],"itemData":{"id":19565,"type":"article-journal","abstract":"Healthcare systems account for a substantial proportion of global carbon emissions and contribute to wider environmental degradation. This scoping review aimed to summarize the evidence currently available on incorporation of environmental and sustainability considerations into health technology assessments (HTAs) and guidelines to support the National In stitute for Health and Care Excellence and analogous bodies in other jurisdictions developing theirown methods and processes. Overall, 7,653 articles were identified, of which 24 were included in this review and split into three key areas - HTA (10 studies), healthcare guidelines (4 studies), and food and dietary guidelines (10 studies). Methodological reviews discussed the pros and cons of different approaches to integrate environmental considerations into HTAs, including adjustments to conventional cost-utility analysis (CUA), cost-benefit analysis, and multicriteria decision analysis. The case studies illustrated the challenges of putting this into practice, such as lack of disaggregated data to evaluate the impact of single technologies and difficulty in conducting thorough life cycle assessments that consider the full environmental effects. Evidence was scant on the incorporation of environmental impacts in clinical practice and public health guidelines. Food and dietary guidelines used adapted CUA based on life cycle assessments, simulation modeling, and qualitative judgments made by expert panels. There is uncertainty on how HTA and guideline committees will handle trade-offs between health and environment, especially when balancing environmental harms that fall largely on society with health benefits for individuals. Further research is warranted to enable integration of environmental considerations into HTA and clinical and public health guidelines.","container-title":"International Journal of Technology Assessment in Health Care","DOI":"10.1017/S0266462322003282","ISSN":"1471-6348","issue":"1","journalAbbreviation":"Int J Technol Assess Health Care","language":"eng","note":"PMID: 36510398","page":"e84","source":"PubMed","title":"Incorporating environmental and sustainability considerations into health technology assessment and clinical and public health guidelines: a scoping review","title-short":"Incorporating environmental and sustainability considerations into health technology assessment and clinical and public health guidelines","volume":"38","author":[{"family":"Pinho-Gomes","given":"Ana-Catarina"},{"family":"Yoo","given":"Seo-Hyun"},{"family":"Allen","given":"Alexander"},{"family":"Maiden","given":"Hannah"},{"family":"Shah","given":"Koonal"},{"family":"Toolan","given":"Michael"}],"issued":{"date-parts":[["2022",12,13]]}}}],"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(13)</w:t>
            </w:r>
            <w:r w:rsidR="00570167">
              <w:rPr>
                <w:rFonts w:ascii="Times New Roman" w:eastAsia="Times New Roman" w:hAnsi="Times New Roman" w:cs="Times New Roman"/>
                <w:sz w:val="16"/>
                <w:szCs w:val="16"/>
              </w:rPr>
              <w:fldChar w:fldCharType="end"/>
            </w:r>
            <w:r>
              <w:rPr>
                <w:rFonts w:ascii="Times New Roman" w:eastAsia="Times New Roman" w:hAnsi="Times New Roman" w:cs="Times New Roman"/>
                <w:sz w:val="16"/>
                <w:szCs w:val="16"/>
              </w:rPr>
              <w:t xml:space="preserve"> </w:t>
            </w:r>
          </w:p>
        </w:tc>
        <w:tc>
          <w:tcPr>
            <w:tcW w:w="1426" w:type="dxa"/>
          </w:tcPr>
          <w:p w:rsidR="00C65BDB" w:rsidRPr="00570167" w:rsidRDefault="00DF011C">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t>UK; USA / Europe; North America</w:t>
            </w:r>
          </w:p>
        </w:tc>
        <w:tc>
          <w:tcPr>
            <w:tcW w:w="160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CO2</w:t>
            </w:r>
          </w:p>
        </w:tc>
        <w:tc>
          <w:tcPr>
            <w:tcW w:w="168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Estimate the environmental impact of a health technology, which should consider the entire life cycle of that technology and its implications on resources used throughout the care pathway.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embed the environmental impact into HTAs.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lack of data on environmental impact in a form that could be incorporated into economic models other than for CO</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xml:space="preserve"> emissions.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CO</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xml:space="preserve"> emissions data not being available at a sufficiently disaggregated level to isolate the impact of individual technologies.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take that impact into account when making decisions about food-based dietary guidelines</w:t>
            </w:r>
          </w:p>
        </w:tc>
        <w:tc>
          <w:tcPr>
            <w:tcW w:w="240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Incorporating both quantitative and qualitative information and various stakeholder perspectives into the analysis, as well as presenting the trade-offs and prioritization related to different technology options, its usability is limited by not embedding the environmental impact into the economic model underpinning the HTA.</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incorporating environmental sustainability directly into the economic evaluation of health technologies by drawing on concepts related to ecological economics and describing how multiple techniques can be used to elicit the value of the environmental impacts of health care: CBA, MCDA, Cost-effectiveness analysis, CUA, Weight-of-evidence approach and CEASS framework</w:t>
            </w:r>
          </w:p>
        </w:tc>
        <w:tc>
          <w:tcPr>
            <w:tcW w:w="226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Allow decision makers to better maximize social welfare, assuming sustainability and environmental protection are valued by societies.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LCA can be used to estimate the carbon footprint of hospitals, particularly regarding operating room management. </w:t>
            </w:r>
          </w:p>
        </w:tc>
        <w:tc>
          <w:tcPr>
            <w:tcW w:w="2941"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NICE has also produced a decision aid for patients and clinicians that includes environmental considerations in decision making about inhalers for asthma, but to date this has not been incorporated into guidance.</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7 case studies presented</w:t>
            </w:r>
          </w:p>
        </w:tc>
      </w:tr>
      <w:tr w:rsidR="00C65BDB">
        <w:tc>
          <w:tcPr>
            <w:tcW w:w="1948" w:type="dxa"/>
          </w:tcPr>
          <w:p w:rsidR="00C65BDB" w:rsidRPr="00570167" w:rsidRDefault="00DF011C">
            <w:pPr>
              <w:rPr>
                <w:rFonts w:ascii="Times New Roman" w:eastAsia="Times New Roman" w:hAnsi="Times New Roman" w:cs="Times New Roman"/>
                <w:sz w:val="16"/>
                <w:szCs w:val="16"/>
                <w:lang w:val="it-IT"/>
              </w:rPr>
            </w:pPr>
            <w:r w:rsidRPr="00570167">
              <w:rPr>
                <w:rFonts w:ascii="Times New Roman" w:eastAsia="Times New Roman" w:hAnsi="Times New Roman" w:cs="Times New Roman"/>
                <w:sz w:val="16"/>
                <w:szCs w:val="16"/>
                <w:lang w:val="it-IT"/>
              </w:rPr>
              <w:t xml:space="preserve">Polisena et al., 2018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lang w:val="it-IT"/>
              </w:rPr>
              <w:instrText xml:space="preserve"> ADDIN ZOTERO_ITEM CSL_CITATION {"citationID":"bEFTow04","properties":{"formattedCitation":"(14)","plainCitation":"(14)","noteIndex":0},"citationItems":[{"id":19568,"uris":["http://zotero.org/users/local/j6mUxLTK/items/KEF7RTSY"],"itemData":{"id":19568,"type":"article-journal","abstract":"INTRODUCTION: The Health Technology Expert Review Panel is an advisory body to Canadian Agency for Drugs and Technologies in Health (CADTH) that develops recommendations on health technology assessments (HTAs) for nondrug health technologies using a deliberative framework. The framework spans several domains, including the environmental impact of the health technology(ies). Our research objective was to identify articles on frameworks, methods or case studies on the environmental impact assessment of health technologies.\nMETHODS: A literature search in major databases and a focused gray literature search were conducted. The main search concepts were HTA and environmental impact/sustainability. Eligible articles were those that described a conceptual framework or methods used to conduct an environmental assessment of health technologies, and case studies on the application of an environmental assessment.\nRESULTS: From the 1,710 citations identified, thirteen publications were included. Two articles presented a framework to incorporate environmental assessment in HTAs. Other approaches described weight of evidence practices and comprehensive and integrated environmental impact assessments. Central themes derived include transparency and repeatability, integration of components in a framework or of evidence into a single outcome, data availability to ensure the accuracy of findings, and familiarity with the approach used.\nCONCLUSIONS: Each framework and methods presented have different foci related to the ecosystem, health economics, or engineering practices. Their descriptions suggested transparency, repeatability, and the integration of components or of evidence into a single outcome as their main strengths. Our review is an initial step of a larger initiative by CADTH to develop the methods and processes to address the environmental impact question in an HTA.","container-title":"International Journal of Technology Assessment in Health Care","DOI":"10.1017/S0266462318000351","ISSN":"1471-6348","issue":"3","journalAbbreviation":"Int J Technol Assess Health Care","language":"eng","note":"PMID: 29897036","page":"317-326","source":"PubMed","title":"ENVIRONMENTAL IMPACT ASSESSMENT OF A HEALTH TECHNOLOGY: A SCOPING REVIEW","title-short":"ENVIRONMENTAL IMPACT ASSESSMENT OF A HEALTH TECHNOLOGY","volume":"34","author":[{"family":"Polisena","given":"Julie"},{"family":"De Angelis","given":"Gino"},{"family":"Kaunelis","given":"David"},{"family":"Gutierrez-Ibarluzea","given":"Iñaki"}],"issued":{"date-parts":[["2018",1]]}}}],"schema":"https://github.com/citation-style-language/schema/raw/master/csl-citation.json"}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lang w:val="it-IT"/>
              </w:rPr>
              <w:t>(14)</w:t>
            </w:r>
            <w:r w:rsidR="00570167">
              <w:rPr>
                <w:rFonts w:ascii="Times New Roman" w:eastAsia="Times New Roman" w:hAnsi="Times New Roman" w:cs="Times New Roman"/>
                <w:sz w:val="16"/>
                <w:szCs w:val="16"/>
              </w:rPr>
              <w:fldChar w:fldCharType="end"/>
            </w:r>
          </w:p>
        </w:tc>
        <w:tc>
          <w:tcPr>
            <w:tcW w:w="1426"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Canada / North America</w:t>
            </w:r>
          </w:p>
        </w:tc>
        <w:tc>
          <w:tcPr>
            <w:tcW w:w="160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General</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Carbon emissions</w:t>
            </w:r>
          </w:p>
        </w:tc>
        <w:tc>
          <w:tcPr>
            <w:tcW w:w="168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Availability of environmental data across the lifecycle process for a technology is insufficient, therefore it is complicated to deliver accurate and comprehensive results for </w:t>
            </w:r>
            <w:r>
              <w:rPr>
                <w:rFonts w:ascii="Times New Roman" w:eastAsia="Times New Roman" w:hAnsi="Times New Roman" w:cs="Times New Roman"/>
                <w:sz w:val="16"/>
                <w:szCs w:val="16"/>
              </w:rPr>
              <w:lastRenderedPageBreak/>
              <w:t>LCA and process analysis.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EEIOA may be narrow in scope as it concentrates on carbon emissions at the sector level.</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CUA may not capture non health benefits.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The use of MCDA for HTAs is still rather limited even though the use is increasing.</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Lack of sufficient objectivity, certainty, transparency, repeatability, and consistency in the approaches used to integrate lines of evidence on environmental risks as there is no scientific consensus on the most appropriate integrative approach.</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Uncertain on how to appropriately present environmental data to healthcare decision makers and how they will use these data on the environmental impact of health technologies.</w:t>
            </w:r>
          </w:p>
        </w:tc>
        <w:tc>
          <w:tcPr>
            <w:tcW w:w="240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 It is recommended a life cycle assessment (LCA) of the technology, environmentally extended input-output analysis (EEIOA) to estimate carbon emissions generated by each unit of output in a sector, and the process analysis technique involves a detailed analysis of the </w:t>
            </w:r>
            <w:r>
              <w:rPr>
                <w:rFonts w:ascii="Times New Roman" w:eastAsia="Times New Roman" w:hAnsi="Times New Roman" w:cs="Times New Roman"/>
                <w:sz w:val="16"/>
                <w:szCs w:val="16"/>
              </w:rPr>
              <w:lastRenderedPageBreak/>
              <w:t>environmental impacts across the life cycle, including the use of raw materials and energy consumption.</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carbon dioxide emissions, can be incorporated in an economic model for a single health technology by estimating its direct and indirect impacts on the environment.</w:t>
            </w:r>
          </w:p>
          <w:p w:rsidR="00C65BDB" w:rsidRDefault="0074519C">
            <w:pPr>
              <w:rPr>
                <w:rFonts w:ascii="Times New Roman" w:eastAsia="Times New Roman" w:hAnsi="Times New Roman" w:cs="Times New Roman"/>
                <w:sz w:val="16"/>
                <w:szCs w:val="16"/>
              </w:rPr>
            </w:pPr>
            <w:sdt>
              <w:sdtPr>
                <w:tag w:val="goog_rdk_0"/>
                <w:id w:val="876436821"/>
              </w:sdtPr>
              <w:sdtEndPr/>
              <w:sdtContent>
                <w:r w:rsidR="00DF011C">
                  <w:rPr>
                    <w:rFonts w:ascii="Gungsuh" w:eastAsia="Gungsuh" w:hAnsi="Gungsuh" w:cs="Gungsuh"/>
                    <w:sz w:val="16"/>
                    <w:szCs w:val="16"/>
                  </w:rPr>
                  <w:t>• use cost−utility analysis (CUA), cost−benefit analysis (CBA) and multi-criteria decision analysis (MCDA).</w:t>
                </w:r>
              </w:sdtContent>
            </w:sdt>
          </w:p>
        </w:tc>
        <w:tc>
          <w:tcPr>
            <w:tcW w:w="226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Decision-makers might maximize the broader social welfare benefits and goal to improve the population health.</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decision makers can develop a checklist on how to determine the level of analysis required for the environmental assessment of the technology in question (i.e., some </w:t>
            </w:r>
            <w:r>
              <w:rPr>
                <w:rFonts w:ascii="Times New Roman" w:eastAsia="Times New Roman" w:hAnsi="Times New Roman" w:cs="Times New Roman"/>
                <w:sz w:val="16"/>
                <w:szCs w:val="16"/>
              </w:rPr>
              <w:lastRenderedPageBreak/>
              <w:t>technologies will have more of an environmental impact than others) and at different stages of their lifecycle.</w:t>
            </w:r>
          </w:p>
        </w:tc>
        <w:tc>
          <w:tcPr>
            <w:tcW w:w="2941"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Estimates for both the direct and indirect impacts on the environment in the IMS CORE Diabetes model for type 1 and type 2 diabetes, which is a validated patient-simulation model</w:t>
            </w:r>
          </w:p>
        </w:tc>
      </w:tr>
      <w:tr w:rsidR="00C65BDB">
        <w:tc>
          <w:tcPr>
            <w:tcW w:w="194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Williams et al., 2024</w:t>
            </w:r>
            <w:r w:rsidR="00570167">
              <w:rPr>
                <w:rFonts w:ascii="Times New Roman" w:eastAsia="Times New Roman" w:hAnsi="Times New Roman" w:cs="Times New Roman"/>
                <w:sz w:val="16"/>
                <w:szCs w:val="16"/>
              </w:rPr>
              <w:t xml:space="preserve"> </w:t>
            </w:r>
            <w:r w:rsidR="00570167">
              <w:rPr>
                <w:rFonts w:ascii="Times New Roman" w:eastAsia="Times New Roman" w:hAnsi="Times New Roman" w:cs="Times New Roman"/>
                <w:sz w:val="16"/>
                <w:szCs w:val="16"/>
              </w:rPr>
              <w:fldChar w:fldCharType="begin"/>
            </w:r>
            <w:r w:rsidR="00570167">
              <w:rPr>
                <w:rFonts w:ascii="Times New Roman" w:eastAsia="Times New Roman" w:hAnsi="Times New Roman" w:cs="Times New Roman"/>
                <w:sz w:val="16"/>
                <w:szCs w:val="16"/>
              </w:rPr>
              <w:instrText xml:space="preserve"> ADDIN ZOTERO_ITEM CSL_CITATION {"citationID":"QtSsitIt","properties":{"formattedCitation":"(15)","plainCitation":"(15)","noteIndex":0},"citationItems":[{"id":19539,"uris":["http://zotero.org/users/local/j6mUxLTK/items/AT22A7SX"],"itemData":{"id":19539,"type":"article-journal","abstract":"OBJECTIVES: The environmental impacts of healthcare are important factors that should be considered during health technology assessments. This study aims to summarize the evidence that exists about methods to include environmental impacts in health economic evaluations and health technology assessments.\nMETHODS: We identified records for screening using an existing scoping review and a systematic search of academic databases and gray literature up to September 2023. We screened the identified records for eligibility and extracted data using a narrative synthesis approach. The review was conducted following the JBI Manual for Evidence Synthesis and reported according to the Preferred Reporting Items for Systematic Reviews and Meta Analyses Extension for Scoping Reviews checklist.\nRESULTS: We identified 2898 records and assessed the full text of 114, of which 54 were included in this review. Ten methods were identified to include environmental impacts in health economic evaluations and health technology assessments. Methods included converting environmental impacts to dollars or disability-adjusted life years and including them in a cost-effectiveness, cost-utility, or cost-benefit analysis, calculating an incremental carbon footprint effectiveness ratio or incremental carbon footprint cost ratio, incorporating impacts as one criteria of a multi-criteria decision analysis, and freely considering impacts during health technology assessment deliberation processes.\nCONCLUSIONS: Methods to include environmental impacts in health economic evaluations and health technology assessments exist but have not been tested for widespread use by health technology assessment agencies. Further research and implementation work is needed to determine which method can best aid decision makers to choose low environmental impact healthcare interventions.","container-title":"Value in Health: The Journal of the International Society for Pharmacoeconomics and Outcomes Research","DOI":"10.1016/j.jval.2024.02.019","ISSN":"1524-4733","issue":"6","journalAbbreviation":"Value Health","language":"eng","note":"PMID: 38462223","page":"794-804","source":"PubMed","title":"Methods to Include Environmental Impacts in Health Economic Evaluations and Health Technology Assessments: A Scoping Review","title-short":"Methods to Include Environmental Impacts in Health Economic Evaluations and Health Technology Assessments","volume":"27","author":[{"family":"Williams","given":"Jake T. W."},{"family":"Bell","given":"Katy J. L."},{"family":"Morton","given":"Rachael L."},{"family":"Dieng","given":"Mbathio"}],"issued":{"date-parts":[["2024",6]]}}}],"schema":"https://github.com/citation-style-language/schema/raw/master/csl-citation.json"} </w:instrText>
            </w:r>
            <w:r w:rsidR="00570167">
              <w:rPr>
                <w:rFonts w:ascii="Times New Roman" w:eastAsia="Times New Roman" w:hAnsi="Times New Roman" w:cs="Times New Roman"/>
                <w:sz w:val="16"/>
                <w:szCs w:val="16"/>
              </w:rPr>
              <w:fldChar w:fldCharType="separate"/>
            </w:r>
            <w:r w:rsidR="00570167" w:rsidRPr="00570167">
              <w:rPr>
                <w:rFonts w:ascii="Times New Roman" w:hAnsi="Times New Roman" w:cs="Times New Roman"/>
                <w:sz w:val="16"/>
              </w:rPr>
              <w:t>(15)</w:t>
            </w:r>
            <w:r w:rsidR="00570167">
              <w:rPr>
                <w:rFonts w:ascii="Times New Roman" w:eastAsia="Times New Roman" w:hAnsi="Times New Roman" w:cs="Times New Roman"/>
                <w:sz w:val="16"/>
                <w:szCs w:val="16"/>
              </w:rPr>
              <w:fldChar w:fldCharType="end"/>
            </w:r>
          </w:p>
        </w:tc>
        <w:tc>
          <w:tcPr>
            <w:tcW w:w="1426"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International</w:t>
            </w:r>
          </w:p>
        </w:tc>
        <w:tc>
          <w:tcPr>
            <w:tcW w:w="1600"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CO2, water, energy, waste, general multi-dimensional</w:t>
            </w:r>
          </w:p>
        </w:tc>
        <w:tc>
          <w:tcPr>
            <w:tcW w:w="1688"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Scarcity of standardized data across environmental dimensions.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disaggregated data for individual technologies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Few examples beyond CO2</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Methodological uncertainty on integration into economic models</w:t>
            </w:r>
          </w:p>
        </w:tc>
        <w:tc>
          <w:tcPr>
            <w:tcW w:w="240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Multiple methods identified: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LCA, EEIOA, process analysis;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conversion of emissions to monetary terms (e.g., SCC);</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inclusion in CUA, CBA, MCDA; CEASS framework;</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weight-of-evidence approaches;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use of ecological economics perspectives</w:t>
            </w:r>
          </w:p>
        </w:tc>
        <w:tc>
          <w:tcPr>
            <w:tcW w:w="2267"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Better supports integration of sustainability in decision-making by expanding HTA criteria to include environmental dimensions.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Enables more holistic prioritization of health technologies</w:t>
            </w:r>
          </w:p>
        </w:tc>
        <w:tc>
          <w:tcPr>
            <w:tcW w:w="2941" w:type="dxa"/>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Examples include: </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reusable vs disposable inhaler</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home vs in-center hemodialysis</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cataract surgical services (hybrid LCA)</w:t>
            </w:r>
          </w:p>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 hospital carbon footprint estimations</w:t>
            </w:r>
          </w:p>
        </w:tc>
      </w:tr>
      <w:tr w:rsidR="00C65BDB">
        <w:tc>
          <w:tcPr>
            <w:tcW w:w="14277" w:type="dxa"/>
            <w:gridSpan w:val="7"/>
            <w:tcBorders>
              <w:left w:val="nil"/>
              <w:bottom w:val="nil"/>
              <w:right w:val="nil"/>
            </w:tcBorders>
          </w:tcPr>
          <w:p w:rsidR="00C65BDB" w:rsidRDefault="00DF011C">
            <w:pPr>
              <w:rPr>
                <w:rFonts w:ascii="Times New Roman" w:eastAsia="Times New Roman" w:hAnsi="Times New Roman" w:cs="Times New Roman"/>
                <w:sz w:val="16"/>
                <w:szCs w:val="16"/>
              </w:rPr>
            </w:pPr>
            <w:r>
              <w:rPr>
                <w:rFonts w:ascii="Times New Roman" w:eastAsia="Times New Roman" w:hAnsi="Times New Roman" w:cs="Times New Roman"/>
                <w:sz w:val="16"/>
                <w:szCs w:val="16"/>
              </w:rPr>
              <w:t>CO</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Carbon Dioxide; SCC:</w:t>
            </w:r>
            <w:r>
              <w:t xml:space="preserve"> </w:t>
            </w:r>
            <w:r>
              <w:rPr>
                <w:rFonts w:ascii="Times New Roman" w:eastAsia="Times New Roman" w:hAnsi="Times New Roman" w:cs="Times New Roman"/>
                <w:sz w:val="16"/>
                <w:szCs w:val="16"/>
              </w:rPr>
              <w:t xml:space="preserve">social cost of carbon; HTA: Health Technology Assessment; EE: economic evaluations; GHG: Greenhouse Gases; LCA: life cycle assessment; EEIOA: environmentally extended input-output analysis; CEASS: </w:t>
            </w:r>
            <w:r>
              <w:t xml:space="preserve"> </w:t>
            </w:r>
            <w:r>
              <w:rPr>
                <w:rFonts w:ascii="Times New Roman" w:eastAsia="Times New Roman" w:hAnsi="Times New Roman" w:cs="Times New Roman"/>
                <w:sz w:val="16"/>
                <w:szCs w:val="16"/>
              </w:rPr>
              <w:t xml:space="preserve">comprehensive environmental assessment; NICE; National Institute for Health and Care Excellence; HRQOL: health-related quality of life; CUA: cost-utility analysis; CBA: cost-benefit analysis; and MCDA: multicriteria decision analysis. </w:t>
            </w:r>
          </w:p>
        </w:tc>
      </w:tr>
    </w:tbl>
    <w:p w:rsidR="00C65BDB" w:rsidRDefault="00C65BDB">
      <w:pPr>
        <w:spacing w:after="200" w:line="240" w:lineRule="auto"/>
        <w:sectPr w:rsidR="00C65BDB">
          <w:pgSz w:w="16838" w:h="11906" w:orient="landscape"/>
          <w:pgMar w:top="1417" w:right="1134" w:bottom="1134" w:left="1134" w:header="708" w:footer="708" w:gutter="0"/>
          <w:cols w:space="720"/>
        </w:sectPr>
      </w:pPr>
    </w:p>
    <w:p w:rsidR="00C65BDB" w:rsidRDefault="00DF011C">
      <w:pPr>
        <w:rPr>
          <w:rFonts w:ascii="Times New Roman" w:eastAsia="Times New Roman" w:hAnsi="Times New Roman" w:cs="Times New Roman"/>
          <w:b/>
        </w:rPr>
      </w:pPr>
      <w:r>
        <w:rPr>
          <w:rFonts w:ascii="Times New Roman" w:eastAsia="Times New Roman" w:hAnsi="Times New Roman" w:cs="Times New Roman"/>
          <w:b/>
        </w:rPr>
        <w:lastRenderedPageBreak/>
        <w:t>References</w:t>
      </w:r>
    </w:p>
    <w:p w:rsidR="00570167" w:rsidRPr="00570167" w:rsidRDefault="00570167" w:rsidP="00570167">
      <w:pPr>
        <w:pStyle w:val="Bibliografia"/>
        <w:rPr>
          <w:rFonts w:ascii="Times New Roman" w:hAnsi="Times New Roman" w:cs="Times New Roman"/>
        </w:rPr>
      </w:pPr>
      <w:r>
        <w:rPr>
          <w:rFonts w:eastAsia="Times New Roman"/>
          <w:b/>
        </w:rPr>
        <w:fldChar w:fldCharType="begin"/>
      </w:r>
      <w:r w:rsidRPr="00570167">
        <w:rPr>
          <w:rFonts w:eastAsia="Times New Roman"/>
          <w:b/>
          <w:lang w:val="it-IT"/>
        </w:rPr>
        <w:instrText xml:space="preserve"> ADDIN ZOTERO_BIBL {"uncited":[],"omitted":[],"custom":[]} CSL_BIBLIOGRAPHY </w:instrText>
      </w:r>
      <w:r>
        <w:rPr>
          <w:rFonts w:eastAsia="Times New Roman"/>
          <w:b/>
        </w:rPr>
        <w:fldChar w:fldCharType="separate"/>
      </w:r>
      <w:r w:rsidRPr="00570167">
        <w:rPr>
          <w:rFonts w:ascii="Times New Roman" w:hAnsi="Times New Roman" w:cs="Times New Roman"/>
          <w:lang w:val="it-IT"/>
        </w:rPr>
        <w:t>1.</w:t>
      </w:r>
      <w:r w:rsidRPr="00570167">
        <w:rPr>
          <w:rFonts w:ascii="Times New Roman" w:hAnsi="Times New Roman" w:cs="Times New Roman"/>
          <w:lang w:val="it-IT"/>
        </w:rPr>
        <w:tab/>
        <w:t xml:space="preserve">Freitas L, Vieira ACL, Oliveira MD, Monteiro H, Bana E Costa CA. </w:t>
      </w:r>
      <w:r w:rsidRPr="00570167">
        <w:rPr>
          <w:rFonts w:ascii="Times New Roman" w:hAnsi="Times New Roman" w:cs="Times New Roman"/>
        </w:rPr>
        <w:t xml:space="preserve">Which value aspects are relevant for the evaluation of medical devices? Exploring stakeholders’ views through a Web-Delphi process. BMC Health Serv Res. 2023 Jun 8;23(1):593.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2.</w:t>
      </w:r>
      <w:r w:rsidRPr="00570167">
        <w:rPr>
          <w:rFonts w:ascii="Times New Roman" w:hAnsi="Times New Roman" w:cs="Times New Roman"/>
        </w:rPr>
        <w:tab/>
        <w:t xml:space="preserve">Toolan M, Walpole S, Shah K, Kenny J, Jónsson P, Crabb N, et al. Environmental impact assessment in health technology assessment: principles, approaches, and challenges. Int J Technol Assess Health Care. 2023 Feb 23;39(1):e13.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3.</w:t>
      </w:r>
      <w:r w:rsidRPr="00570167">
        <w:rPr>
          <w:rFonts w:ascii="Times New Roman" w:hAnsi="Times New Roman" w:cs="Times New Roman"/>
        </w:rPr>
        <w:tab/>
        <w:t xml:space="preserve">Firth I, Hitch J, Henderson N, Cookson G. Moving towards a more environmentally sustainable pharmaceutical industry: recommendations for industry and the transition to green HTA. Expert Rev Pharmacoecon Outcomes Res. 2023;23(6):591–5.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4.</w:t>
      </w:r>
      <w:r w:rsidRPr="00570167">
        <w:rPr>
          <w:rFonts w:ascii="Times New Roman" w:hAnsi="Times New Roman" w:cs="Times New Roman"/>
        </w:rPr>
        <w:tab/>
        <w:t xml:space="preserve">Walpole SC, Weeks L, Shah K, Cresswell K, Mesa-Melgarejo L, Robayo A, et al. How can environmental impacts be incorporated in health technology assessment, and how impactful would this be? Expert Rev Pharmacoecon Outcomes Res. 2023;23(9):975–80.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5.</w:t>
      </w:r>
      <w:r w:rsidRPr="00570167">
        <w:rPr>
          <w:rFonts w:ascii="Times New Roman" w:hAnsi="Times New Roman" w:cs="Times New Roman"/>
        </w:rPr>
        <w:tab/>
        <w:t xml:space="preserve">Greenwood Dufour B, Weeks L, De Angelis G, Marchand DK, Kaunelis D, Severn M, et al. How We Might Further Integrate Considerations of Environmental Impact When Assessing the Value of Health Technologies. Int J Environ Res Public Health. 2022 Sep 22;19(19):12017.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6.</w:t>
      </w:r>
      <w:r w:rsidRPr="00570167">
        <w:rPr>
          <w:rFonts w:ascii="Times New Roman" w:hAnsi="Times New Roman" w:cs="Times New Roman"/>
        </w:rPr>
        <w:tab/>
        <w:t xml:space="preserve">Hensher M. Incorporating environmental impacts into the economic evaluation of health care systems: Perspectives from ecological economics. Resour Conserv Recycl. 2020 Mar 1;154:104623.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7.</w:t>
      </w:r>
      <w:r w:rsidRPr="00570167">
        <w:rPr>
          <w:rFonts w:ascii="Times New Roman" w:hAnsi="Times New Roman" w:cs="Times New Roman"/>
        </w:rPr>
        <w:tab/>
        <w:t xml:space="preserve">McAlister S, Morton RL, Barratt A. Incorporating carbon into health care: adding carbon emissions to health technology assessments. Lancet Planet Health. 2022 Dec;6(12):e993–9.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8.</w:t>
      </w:r>
      <w:r w:rsidRPr="00570167">
        <w:rPr>
          <w:rFonts w:ascii="Times New Roman" w:hAnsi="Times New Roman" w:cs="Times New Roman"/>
        </w:rPr>
        <w:tab/>
        <w:t xml:space="preserve">Alami H, Rivard L, Lehoux P, Ag Ahmed MA, Fortin JP, Fleet R. Integrating environmental considerations in digital health technology assessment and procurement: Stakeholders’ perspectives. Digit Health. 2023;9:20552076231219113.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9.</w:t>
      </w:r>
      <w:r w:rsidRPr="00570167">
        <w:rPr>
          <w:rFonts w:ascii="Times New Roman" w:hAnsi="Times New Roman" w:cs="Times New Roman"/>
        </w:rPr>
        <w:tab/>
        <w:t xml:space="preserve">Lehoux P, Ganache I, Demers-Payette O, Silva HP, Plamondon G, de Guise M. HTA responsiveness to today’s challenges to health systems: a responsible innovation in health perspective. Int J Technol Assess Health Care. 2025 Mar 3;41(1):e16.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10.</w:t>
      </w:r>
      <w:r w:rsidRPr="00570167">
        <w:rPr>
          <w:rFonts w:ascii="Times New Roman" w:hAnsi="Times New Roman" w:cs="Times New Roman"/>
        </w:rPr>
        <w:tab/>
        <w:t xml:space="preserve">Bobini M, Cicchetti A. Integrating environmental sustainability into health technology assessment: an international survey of HTA stakeholders. Int J Technol Assess Health Care. 2024 Nov 29;40(1):e64.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11.</w:t>
      </w:r>
      <w:r w:rsidRPr="00570167">
        <w:rPr>
          <w:rFonts w:ascii="Times New Roman" w:hAnsi="Times New Roman" w:cs="Times New Roman"/>
        </w:rPr>
        <w:tab/>
        <w:t xml:space="preserve">Desterbecq C, Tubeuf S. Inclusion of Environmental Spillovers in Applied Economic Evaluations of Healthcare Products. Value Health J Int Soc Pharmacoeconomics Outcomes Res. 2023 Aug;26(8):1270–81.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12.</w:t>
      </w:r>
      <w:r w:rsidRPr="00570167">
        <w:rPr>
          <w:rFonts w:ascii="Times New Roman" w:hAnsi="Times New Roman" w:cs="Times New Roman"/>
        </w:rPr>
        <w:tab/>
        <w:t xml:space="preserve">Guirado-Fuentes C, Abt-Sacks A, Trujillo-Martín MDM, García-Pérez L, Rodríguez-Rodríguez L, Carrion I Ribas C, et al. Main Challenges of Incorporating Environmental Impacts in the Economic Evaluation of Health Technology Assessment: A Scoping Review. Int J Environ Res Public Health. 2023 Mar 11;20(6):4949.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13.</w:t>
      </w:r>
      <w:r w:rsidRPr="00570167">
        <w:rPr>
          <w:rFonts w:ascii="Times New Roman" w:hAnsi="Times New Roman" w:cs="Times New Roman"/>
        </w:rPr>
        <w:tab/>
        <w:t xml:space="preserve">Pinho-Gomes AC, Yoo SH, Allen A, Maiden H, Shah K, Toolan M. Incorporating environmental and sustainability considerations into health technology assessment and clinical and public health guidelines: a scoping review. Int J Technol Assess Health Care. 2022 Dec 13;38(1):e84.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t>14.</w:t>
      </w:r>
      <w:r w:rsidRPr="00570167">
        <w:rPr>
          <w:rFonts w:ascii="Times New Roman" w:hAnsi="Times New Roman" w:cs="Times New Roman"/>
        </w:rPr>
        <w:tab/>
        <w:t xml:space="preserve">Polisena J, De Angelis G, Kaunelis D, Gutierrez-Ibarluzea I. ENVIRONMENTAL IMPACT ASSESSMENT OF A HEALTH TECHNOLOGY: A SCOPING REVIEW. Int J Technol Assess Health Care. 2018 Jan;34(3):317–26. </w:t>
      </w:r>
    </w:p>
    <w:p w:rsidR="00570167" w:rsidRPr="00570167" w:rsidRDefault="00570167" w:rsidP="00570167">
      <w:pPr>
        <w:pStyle w:val="Bibliografia"/>
        <w:rPr>
          <w:rFonts w:ascii="Times New Roman" w:hAnsi="Times New Roman" w:cs="Times New Roman"/>
        </w:rPr>
      </w:pPr>
      <w:r w:rsidRPr="00570167">
        <w:rPr>
          <w:rFonts w:ascii="Times New Roman" w:hAnsi="Times New Roman" w:cs="Times New Roman"/>
        </w:rPr>
        <w:lastRenderedPageBreak/>
        <w:t>15.</w:t>
      </w:r>
      <w:r w:rsidRPr="00570167">
        <w:rPr>
          <w:rFonts w:ascii="Times New Roman" w:hAnsi="Times New Roman" w:cs="Times New Roman"/>
        </w:rPr>
        <w:tab/>
        <w:t xml:space="preserve">Williams JTW, Bell KJL, Morton RL, Dieng M. Methods to Include Environmental Impacts in Health Economic Evaluations and Health Technology Assessments: A Scoping Review. Value Health J Int Soc Pharmacoeconomics Outcomes Res. 2024 Jun;27(6):794–804. </w:t>
      </w:r>
    </w:p>
    <w:p w:rsidR="00570167" w:rsidRDefault="00570167">
      <w:pPr>
        <w:rPr>
          <w:rFonts w:ascii="Times New Roman" w:eastAsia="Times New Roman" w:hAnsi="Times New Roman" w:cs="Times New Roman"/>
          <w:b/>
        </w:rPr>
      </w:pPr>
      <w:r>
        <w:rPr>
          <w:rFonts w:ascii="Times New Roman" w:eastAsia="Times New Roman" w:hAnsi="Times New Roman" w:cs="Times New Roman"/>
          <w:b/>
        </w:rPr>
        <w:fldChar w:fldCharType="end"/>
      </w:r>
    </w:p>
    <w:p w:rsidR="00570167" w:rsidRDefault="00570167">
      <w:pPr>
        <w:rPr>
          <w:rFonts w:ascii="Times New Roman" w:eastAsia="Times New Roman" w:hAnsi="Times New Roman" w:cs="Times New Roman"/>
          <w:b/>
        </w:rPr>
      </w:pPr>
    </w:p>
    <w:p w:rsidR="00C65BDB" w:rsidRDefault="00DF011C">
      <w:pPr>
        <w:rPr>
          <w:rFonts w:ascii="Times New Roman" w:eastAsia="Times New Roman" w:hAnsi="Times New Roman" w:cs="Times New Roman"/>
          <w:b/>
          <w:sz w:val="24"/>
          <w:szCs w:val="24"/>
        </w:rPr>
      </w:pPr>
      <w:r>
        <w:br w:type="page"/>
      </w:r>
    </w:p>
    <w:p w:rsidR="00C65BDB" w:rsidRDefault="00DF011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List of excluded references. </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rPr>
      </w:pPr>
      <w:r>
        <w:rPr>
          <w:rFonts w:ascii="Times New Roman" w:eastAsia="Times New Roman" w:hAnsi="Times New Roman" w:cs="Times New Roman"/>
        </w:rPr>
        <w:t>Alexander Cimprich, Gillian Parker, Fiona A Miller, Steven B Young, Leveraging stringency and lifecycle thinking to advance environmental sustainability in health technology regulation, Health Affairs Scholar, Volume 3, Issue 2, February 2025, qxaf017, https://doi.org/10.1093/haschl/qxaf017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Arsène S, Parès Y, Tixier E, Granjeon-Noriot S, Martin B, Bruezière L, Couty C, Courcelles E, Kahoul R, Pitrat J, Go N, Monteiro C, Kleine-Schultjann J, Jemai S, Pham E, Boissel JP, Kulesza A. In Silico Clinical Trials: Is It Possible? Methods Mol Biol. </w:t>
      </w:r>
      <w:proofErr w:type="gramStart"/>
      <w:r>
        <w:rPr>
          <w:rFonts w:ascii="Times New Roman" w:eastAsia="Times New Roman" w:hAnsi="Times New Roman" w:cs="Times New Roman"/>
          <w:color w:val="000000"/>
        </w:rPr>
        <w:t>2024;2716:51</w:t>
      </w:r>
      <w:proofErr w:type="gramEnd"/>
      <w:r>
        <w:rPr>
          <w:rFonts w:ascii="Times New Roman" w:eastAsia="Times New Roman" w:hAnsi="Times New Roman" w:cs="Times New Roman"/>
          <w:color w:val="000000"/>
        </w:rPr>
        <w:t>-99. doi: 10.1007/978-1-0716-3449-3_4. PMID: 37702936.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rPr>
      </w:pPr>
      <w:r>
        <w:rPr>
          <w:rFonts w:ascii="Times New Roman" w:eastAsia="Times New Roman" w:hAnsi="Times New Roman" w:cs="Times New Roman"/>
        </w:rPr>
        <w:t>Bobini M, Di Brino E, Cicchetti A. Towards a Green Health Technology Assessment: embedding Life Cycle Assessment for sustainable choices. Glob Reg Health Technol Assess. 2025;12(1):29–33. doi:10.33393/grhta.2025.3399​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rPr>
      </w:pPr>
      <w:r>
        <w:rPr>
          <w:rFonts w:ascii="Times New Roman" w:eastAsia="Times New Roman" w:hAnsi="Times New Roman" w:cs="Times New Roman"/>
        </w:rPr>
        <w:t>Hensher M. Health technology assessment and healthcare environmental sustainability: Prioritizing effort and maximizing impact. Int J Technol Assess Health Care. 2024 May 10;40(1</w:t>
      </w:r>
      <w:proofErr w:type="gramStart"/>
      <w:r>
        <w:rPr>
          <w:rFonts w:ascii="Times New Roman" w:eastAsia="Times New Roman" w:hAnsi="Times New Roman" w:cs="Times New Roman"/>
        </w:rPr>
        <w:t>):e</w:t>
      </w:r>
      <w:proofErr w:type="gramEnd"/>
      <w:r>
        <w:rPr>
          <w:rFonts w:ascii="Times New Roman" w:eastAsia="Times New Roman" w:hAnsi="Times New Roman" w:cs="Times New Roman"/>
        </w:rPr>
        <w:t>25. doi: 10.1017/S0266462324000230. PMID: 38725380; PMCID: PMC11569902.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Sun H, Wang H, Wei Y, Wang H, Jin C, Chen Y. Cost-effectiveness of stereotactic body radiotherapy versus conventional fractionated radiotherapy for medically inoperable, early-stage non-small cell lung cancer. Cost Eff Resour Alloc. 2023 Jul 28;21(1):46. doi: 10.1186/s12962-023-00452-w. PMID: 37507748; PMCID: PMC10375662.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Putri S, Saldi SRF, Khoe LC, Setiawan E, Megraini A, Santatiwongchai B, Nugraha RR, Permanasari VY, Nadjib M, Sastroasmoro S, Armansyah A. Cetuximab as first-line treatment for metastatic colorectal cancer (mCRC): a model-based economic evaluation in Indonesia setting. BMC Cancer. 2023 Aug 8;23(1):731. doi: 10.1186/s12885-023-11253-y. PMID: 37553566; PMCID: PMC10408081.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Cai Y, Chang K, Nazeha N, Gosavi TD, Shen JY, Hong W, Tan YL, Graves N. The cost-effectiveness of a real-time seizure detection application for people with epilepsy. Epilepsy Behav. 2023 </w:t>
      </w:r>
      <w:proofErr w:type="gramStart"/>
      <w:r>
        <w:rPr>
          <w:rFonts w:ascii="Times New Roman" w:eastAsia="Times New Roman" w:hAnsi="Times New Roman" w:cs="Times New Roman"/>
          <w:color w:val="000000"/>
        </w:rPr>
        <w:t>Nov;148:109441</w:t>
      </w:r>
      <w:proofErr w:type="gramEnd"/>
      <w:r>
        <w:rPr>
          <w:rFonts w:ascii="Times New Roman" w:eastAsia="Times New Roman" w:hAnsi="Times New Roman" w:cs="Times New Roman"/>
          <w:color w:val="000000"/>
        </w:rPr>
        <w:t>. doi: 10.1016/j.yebeh.2023.109441. Epub 2023 Sep 23. PMID: 37748415.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Liu J, Du X, Yin P, Kan H, Zhou M, Chen R. Cause-specific mortality and burden attributable to temperature variability in China. Sci Total Environ. 2023 Oct </w:t>
      </w:r>
      <w:proofErr w:type="gramStart"/>
      <w:r>
        <w:rPr>
          <w:rFonts w:ascii="Times New Roman" w:eastAsia="Times New Roman" w:hAnsi="Times New Roman" w:cs="Times New Roman"/>
          <w:color w:val="000000"/>
        </w:rPr>
        <w:t>20;896:165267</w:t>
      </w:r>
      <w:proofErr w:type="gramEnd"/>
      <w:r>
        <w:rPr>
          <w:rFonts w:ascii="Times New Roman" w:eastAsia="Times New Roman" w:hAnsi="Times New Roman" w:cs="Times New Roman"/>
          <w:color w:val="000000"/>
        </w:rPr>
        <w:t>. doi: 10.1016/j.scitotenv.2023.165267. Epub 2023 Jul 3. PMID: 37406687.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Aungsumart S, Turongkaravee S, Youngkong S, Apiwattanakul M, Thakkinstian A, Chaikledkaew U. Rituximab for the treatment of relapsing-remitting multiple sclerosis in Thailand: an economic evaluation and budget impact analysis. BMC Health Serv Res. 2023 Oct 13;23(1):1096. doi: 10.1186/s12913-023-10099-1. PMID: 37833729; PMCID: PMC10571281.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Kuan WC, Sim R, Wong WJ, Dujaili J, Kasim S, Lee KK, Teoh SL. Economic Evaluations of Guideline-Directed Medical Therapies for Heart Failure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Reduced Ejection Fraction: A Systematic Review. Value Health. 2023 Oct;26(10):1558-1576. doi: 10.1016/j.jval.2023.05.011. Epub 2023 May 24. PMID: 37236395.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Perleth M, Spranger A, Wabnitz K, Panteli D, Kolominsky-Rabas P. Bericht zum Workshop „Environmental Impact: eine neue Dimension in der Bewertung medizinischer Technologien? Ein Workshop mit Fokus auf </w:t>
      </w:r>
      <w:proofErr w:type="gramStart"/>
      <w:r>
        <w:rPr>
          <w:rFonts w:ascii="Times New Roman" w:eastAsia="Times New Roman" w:hAnsi="Times New Roman" w:cs="Times New Roman"/>
          <w:color w:val="000000"/>
        </w:rPr>
        <w:t>Medizinprodukte“</w:t>
      </w:r>
      <w:proofErr w:type="gramEnd"/>
      <w:r>
        <w:rPr>
          <w:rFonts w:ascii="Times New Roman" w:eastAsia="Times New Roman" w:hAnsi="Times New Roman" w:cs="Times New Roman"/>
          <w:color w:val="000000"/>
        </w:rPr>
        <w:t xml:space="preserve">, EbM-Kongress in Potsdam 23.3.2023 [Report on the workshop "Environmental Impact: A new dimension in health technology assessment? A workshop focussing on medical devices", EbM Congress in Potsdam on March 23, 2023]. Z Evid Fortbild Qual Gesundhwes. 2023 </w:t>
      </w:r>
      <w:proofErr w:type="gramStart"/>
      <w:r>
        <w:rPr>
          <w:rFonts w:ascii="Times New Roman" w:eastAsia="Times New Roman" w:hAnsi="Times New Roman" w:cs="Times New Roman"/>
          <w:color w:val="000000"/>
        </w:rPr>
        <w:t>Sep;181:76</w:t>
      </w:r>
      <w:proofErr w:type="gramEnd"/>
      <w:r>
        <w:rPr>
          <w:rFonts w:ascii="Times New Roman" w:eastAsia="Times New Roman" w:hAnsi="Times New Roman" w:cs="Times New Roman"/>
          <w:color w:val="000000"/>
        </w:rPr>
        <w:t>-79. German. doi: 10.1016/j.zefq.2023.06.008. Epub 2023 Aug 16. PMID: 37596159.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Yang L, Zhu Y, Zhao B, Wan W, Shi S, Xuan C, Yu C, Mao W, Yan J. Long-term cardiometabolic effects of ambient ozone pollution in a large Chinese population. Ecotoxicol Environ Saf. 2023 </w:t>
      </w:r>
      <w:proofErr w:type="gramStart"/>
      <w:r>
        <w:rPr>
          <w:rFonts w:ascii="Times New Roman" w:eastAsia="Times New Roman" w:hAnsi="Times New Roman" w:cs="Times New Roman"/>
          <w:color w:val="000000"/>
        </w:rPr>
        <w:t>Aug;261:115115</w:t>
      </w:r>
      <w:proofErr w:type="gramEnd"/>
      <w:r>
        <w:rPr>
          <w:rFonts w:ascii="Times New Roman" w:eastAsia="Times New Roman" w:hAnsi="Times New Roman" w:cs="Times New Roman"/>
          <w:color w:val="000000"/>
        </w:rPr>
        <w:t>. doi: 10.1016/j.ecoenv.2023.115115. Epub 2023 Jun 7. PMID: 37295302.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He C, Yin P, Liu Z, Huang J, Chen Y, Gao X, Xu Y, Wang C, Cai W, Gong P, Luo Y, Ji JS, Kan H, Chen R, Zhou M. Projections of excess deaths related to cold spells under climate and population change scenarios: A nationwide time series modeling study. Environ Int. 2023 </w:t>
      </w:r>
      <w:proofErr w:type="gramStart"/>
      <w:r>
        <w:rPr>
          <w:rFonts w:ascii="Times New Roman" w:eastAsia="Times New Roman" w:hAnsi="Times New Roman" w:cs="Times New Roman"/>
          <w:color w:val="000000"/>
        </w:rPr>
        <w:t>Aug;178:108034</w:t>
      </w:r>
      <w:proofErr w:type="gramEnd"/>
      <w:r>
        <w:rPr>
          <w:rFonts w:ascii="Times New Roman" w:eastAsia="Times New Roman" w:hAnsi="Times New Roman" w:cs="Times New Roman"/>
          <w:color w:val="000000"/>
        </w:rPr>
        <w:t>. doi: 10.1016/j.envint.2023.108034. Epub 2023 Jun 11. PMID: 37348158.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Santos AS, Andrade JP, Freitas DA, Gonçalves ÉSD, Borges DL, Carvalho LMA, Noronha KVMS, Andrade MV. Cost-Effectiveness Analysis of Rituximab for Chronic Lymphocytic Leukemia Using a Semi-Markovian Model Approach in R. Value Health Reg Issues. 2023 </w:t>
      </w:r>
      <w:proofErr w:type="gramStart"/>
      <w:r>
        <w:rPr>
          <w:rFonts w:ascii="Times New Roman" w:eastAsia="Times New Roman" w:hAnsi="Times New Roman" w:cs="Times New Roman"/>
          <w:color w:val="000000"/>
        </w:rPr>
        <w:t>Jul;36:10</w:t>
      </w:r>
      <w:proofErr w:type="gramEnd"/>
      <w:r>
        <w:rPr>
          <w:rFonts w:ascii="Times New Roman" w:eastAsia="Times New Roman" w:hAnsi="Times New Roman" w:cs="Times New Roman"/>
          <w:color w:val="000000"/>
        </w:rPr>
        <w:t>-17. doi: 10.1016/j.vhri.2023.01.011. Epub 2023 Mar 25. PMID: 36966699.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Liu J, Lv C, Zheng J, Pan C, Zhang G, Tan H, Ma Y, Zhu Y, Han X, Li C, Yan S, Ma J, Zhang J, Wang C, Bian Y, Cheng K, Liu R, Hou Y, Chen Q, Zhang X, Chen Y, Chen R, Xu F. The impact of non-</w:t>
      </w:r>
      <w:r>
        <w:rPr>
          <w:rFonts w:ascii="Times New Roman" w:eastAsia="Times New Roman" w:hAnsi="Times New Roman" w:cs="Times New Roman"/>
          <w:color w:val="000000"/>
        </w:rPr>
        <w:lastRenderedPageBreak/>
        <w:t xml:space="preserve">optimum temperatures, heatwaves and cold spells on out-of-hospital cardiac arrest onset in a changing climate in China: a multi-center, time-stratified, case-crossover study. Lancet Reg Health West Pac. 2023 Apr </w:t>
      </w:r>
      <w:proofErr w:type="gramStart"/>
      <w:r>
        <w:rPr>
          <w:rFonts w:ascii="Times New Roman" w:eastAsia="Times New Roman" w:hAnsi="Times New Roman" w:cs="Times New Roman"/>
          <w:color w:val="000000"/>
        </w:rPr>
        <w:t>29;36:100778</w:t>
      </w:r>
      <w:proofErr w:type="gramEnd"/>
      <w:r>
        <w:rPr>
          <w:rFonts w:ascii="Times New Roman" w:eastAsia="Times New Roman" w:hAnsi="Times New Roman" w:cs="Times New Roman"/>
          <w:color w:val="000000"/>
        </w:rPr>
        <w:t>. doi: 10.1016/j.lanwpc.2023.100778. PMID: 37547045; PMCID: PMC10398603.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Dhanji N, Decimoni TC, Dyer MTD, May JR, van de Wetering G, Petersohn S, Nickel K, Silva A, Muniz DQB, Casagrande D Oliveira AP. Cost-effectiveness of nivolumab and ipilimumab versus pembrolizumab and axitinib in advanced renal cell carcinoma with intermediate or poor prognostic risk: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Brazilian private healthcare system perspective. J Med Econ. 2023 Jan-Dec;26(1):1108-1121. doi: 10.1080/13696998.2023.2252716. PMID: 37632452.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Alfred Sackeyfio, Juliette Thompson, Edit Remak, Rodrigo Refoios Camejo, #4026 ECONOMIC EVALUATION OF ANAEMIA OF CHRONIC KIDNEY DISEASE (CKD): A SYSTEMATIC LITERATURE REVIEW AND MODEL CONCEPTUALISATION, Nephrology Dialysis Transplantation, Volume 38, Issue Supplement_1, June 2023, gfad063c_4026, https://doi.org/10.1093/ndt/gfad063c_4026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Zimmermann G, Michelmore S, Hiligsmann M. Stakeholder perspectives on cooperation in the clinical and nonclinical health technology assessment domains. Int J Technol Assess Health Care. 2023 May 22;39(1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29. doi: 10.1017/S0266462323000077. PMID: 37212049; PMCID: PMC11570248.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Mondaca S, Pinto MP, Briones J, Caire N, Peña J, Koch É, Muñiz S, Herrera ME, Sánchez C, Galindo H, Pizarro G, Acevedo F, Ibañez C, Balmaceda C, Norero E, Duran D, Garrido M, Nervi B. Impact of Adjuvant FOLFOX on Quality of Life and Peripheral Neuropathy Incidence in Patients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Gastric Cancer: A Prospective Cohort Study. Value Health Reg Issues. 2023 </w:t>
      </w:r>
      <w:proofErr w:type="gramStart"/>
      <w:r>
        <w:rPr>
          <w:rFonts w:ascii="Times New Roman" w:eastAsia="Times New Roman" w:hAnsi="Times New Roman" w:cs="Times New Roman"/>
          <w:color w:val="000000"/>
        </w:rPr>
        <w:t>May;35:13</w:t>
      </w:r>
      <w:proofErr w:type="gramEnd"/>
      <w:r>
        <w:rPr>
          <w:rFonts w:ascii="Times New Roman" w:eastAsia="Times New Roman" w:hAnsi="Times New Roman" w:cs="Times New Roman"/>
          <w:color w:val="000000"/>
        </w:rPr>
        <w:t>-18. doi: 10.1016/j.vhri.2022.12.005. Epub 2023 Feb 17. PMID: 36805388.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Liu J, Dong H, Li M, Wu Y, Zhang C, Chen J, Yang Z, Lin G, Liu L, Yang J. Projecting the excess mortality due to heatwave and its characteristics under climate change, population and adaptation scenarios. Int J Hyg Environ Health. 2023 </w:t>
      </w:r>
      <w:proofErr w:type="gramStart"/>
      <w:r>
        <w:rPr>
          <w:rFonts w:ascii="Times New Roman" w:eastAsia="Times New Roman" w:hAnsi="Times New Roman" w:cs="Times New Roman"/>
          <w:color w:val="000000"/>
        </w:rPr>
        <w:t>May;250:114157</w:t>
      </w:r>
      <w:proofErr w:type="gramEnd"/>
      <w:r>
        <w:rPr>
          <w:rFonts w:ascii="Times New Roman" w:eastAsia="Times New Roman" w:hAnsi="Times New Roman" w:cs="Times New Roman"/>
          <w:color w:val="000000"/>
        </w:rPr>
        <w:t>. doi: 10.1016/j.ijheh.2023.114157. Epub 2023 Mar 28. PMID: 36989996.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Kirwin E, Round J, Bond K, McCabe C.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Conceptual Framework for Life-Cycle Health Technology Assessment. Value Health. 2022 Jul;25(7):1116-1123. doi: 10.1016/j.jval.2021.11.1373. Epub 2022 Feb 4. PMID: 35779939.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Dilokthornsakul P, Sawangjit R, Osiri M, Chiowchanwisawakit P, Louthrenoo W, Permsuwan U. Cost-Utility Analysis of Biologic Disease-Modifying Antirheumatic Drugs for Patients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Psoriatic Arthritis in Thailand. Value Health Reg Issues. 2023 </w:t>
      </w:r>
      <w:proofErr w:type="gramStart"/>
      <w:r>
        <w:rPr>
          <w:rFonts w:ascii="Times New Roman" w:eastAsia="Times New Roman" w:hAnsi="Times New Roman" w:cs="Times New Roman"/>
          <w:color w:val="000000"/>
        </w:rPr>
        <w:t>Mar;34:40</w:t>
      </w:r>
      <w:proofErr w:type="gramEnd"/>
      <w:r>
        <w:rPr>
          <w:rFonts w:ascii="Times New Roman" w:eastAsia="Times New Roman" w:hAnsi="Times New Roman" w:cs="Times New Roman"/>
          <w:color w:val="000000"/>
        </w:rPr>
        <w:t>-47. doi: 10.1016/j.vhri.2022.10.005. Epub 2022 Dec 2. PMID: 36469988.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Chu RW, Vegas García A, Hickey C, Power DG, Gorry C. Cost-Effectiveness of First-Line Pembrolizumab Monotherapy Versus Chemotherapy in High Programmed Death-Ligand 1 Advanced Non-Small Cell Lung Cancer in the Irish Healthcare Setting. Value Health. 2023 Mar;26(3):402-410. doi: 10.1016/j.jval.2022.10.012. Epub 2022 Nov 8. PMID: 36368626.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D90B5A">
        <w:rPr>
          <w:rFonts w:ascii="Times New Roman" w:eastAsia="Times New Roman" w:hAnsi="Times New Roman" w:cs="Times New Roman"/>
          <w:color w:val="000000"/>
          <w:lang w:val="it-IT"/>
        </w:rPr>
        <w:t xml:space="preserve">Trowman R, Migliore A, Ollendorf DA. </w:t>
      </w:r>
      <w:r>
        <w:rPr>
          <w:rFonts w:ascii="Times New Roman" w:eastAsia="Times New Roman" w:hAnsi="Times New Roman" w:cs="Times New Roman"/>
          <w:color w:val="000000"/>
        </w:rPr>
        <w:t>Health technology assessment 2025 and beyond: lifecycle approaches to promote engagement and efficiency in health technology assessment. Int J Technol Assess Health Care. 2023 Feb 23;39(1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15. doi: 10.1017/S0266462323000090. PMID: 36815310; PMCID: PMC11574536.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Niyomsri S, Nimworapan M, Wongcharoen W, Dilokthornsakul P. Economic Evaluation of Direct Oral Anticoagulants Compared to Warfarin for Venous Thromboembolism in Thailand: A Cost-Utility Analysis. Int J Environ Res Public Health. 2023 Feb 11;20(4):3176. doi: 10.3390/ijerph20043176. PMID: 36833871; PMCID: PMC9961808.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Torres-Castaño A, Abt-Sacks A, Toledo-Chávarri A, Suarez-Herrera JC, Delgado-Rodríguez J, León-Salas B, González-Hernández Y, Carmona-Rodríguez M, Serrano-Aguilar P. Ethical, Legal, Organisational and Social Issues of Teleneurology: A Scoping Review. Int J Environ Res Public Health. 2023 Feb 19;20(4):3694. doi: 10.3390/ijerph20043694. PMID: 36834388; PMCID: PMC9962592.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Martín-Gómez C, Ortigoza-Escobar JD, Nou-Fontanet L, Molina-Linde JM, Bachoud-Lévi AC, Léger J, Blasco-Amaro JA; NKX2-1-Related Disorders Guideline Working Group. Exploring the values, preferences, and information needs of patients with NKX2-1-related disorders: A qualitative study </w:t>
      </w:r>
      <w:r>
        <w:rPr>
          <w:rFonts w:ascii="Times New Roman" w:eastAsia="Times New Roman" w:hAnsi="Times New Roman" w:cs="Times New Roman"/>
          <w:color w:val="000000"/>
        </w:rPr>
        <w:lastRenderedPageBreak/>
        <w:t>protocol. PLoS One. 2023 Feb 9;18(2</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0281573. doi: 10.1371/journal.pone.0281573. PMID: 36758103; PMCID: PMC9910649.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Gupta D, Singh A, Gupta N, Mehra N, Bahuguna P, Aggarwal V, Krishnamurthy MN, Roy PS, Malhotra P, Gupta S, Kumar L, Kataki A, Prinja S. Cost-Effectiveness of the First Line Treatment Options </w:t>
      </w:r>
      <w:proofErr w:type="gramStart"/>
      <w:r>
        <w:rPr>
          <w:rFonts w:ascii="Times New Roman" w:eastAsia="Times New Roman" w:hAnsi="Times New Roman" w:cs="Times New Roman"/>
          <w:color w:val="000000"/>
        </w:rPr>
        <w:t>For</w:t>
      </w:r>
      <w:proofErr w:type="gramEnd"/>
      <w:r>
        <w:rPr>
          <w:rFonts w:ascii="Times New Roman" w:eastAsia="Times New Roman" w:hAnsi="Times New Roman" w:cs="Times New Roman"/>
          <w:color w:val="000000"/>
        </w:rPr>
        <w:t xml:space="preserve"> Metastatic Renal Cell Carcinoma in India. JCO Glob Oncol. 2023 Feb;</w:t>
      </w:r>
      <w:proofErr w:type="gramStart"/>
      <w:r>
        <w:rPr>
          <w:rFonts w:ascii="Times New Roman" w:eastAsia="Times New Roman" w:hAnsi="Times New Roman" w:cs="Times New Roman"/>
          <w:color w:val="000000"/>
        </w:rPr>
        <w:t>9:e</w:t>
      </w:r>
      <w:proofErr w:type="gramEnd"/>
      <w:r>
        <w:rPr>
          <w:rFonts w:ascii="Times New Roman" w:eastAsia="Times New Roman" w:hAnsi="Times New Roman" w:cs="Times New Roman"/>
          <w:color w:val="000000"/>
        </w:rPr>
        <w:t>2200246. doi: 10.1200/GO.22.00246. PMID: 36795991; PMCID: PMC10166401.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Schoefs E, Vermeire S, Ferrante M, Sabino J, Verstockt B, Avedano L, De Rocchis MS, Sajak-Szczerba M, Saldaña R, Straetemans N, Vandebroek M, Janssens R, Huys I. Patient preferences for inflammatory bowel disease treatments: protocol development of a global preference survey using a discrete choice experiment. Front Med (Lausanne). 2024 Aug </w:t>
      </w:r>
      <w:proofErr w:type="gramStart"/>
      <w:r>
        <w:rPr>
          <w:rFonts w:ascii="Times New Roman" w:eastAsia="Times New Roman" w:hAnsi="Times New Roman" w:cs="Times New Roman"/>
          <w:color w:val="000000"/>
        </w:rPr>
        <w:t>14;11:1418874</w:t>
      </w:r>
      <w:proofErr w:type="gramEnd"/>
      <w:r>
        <w:rPr>
          <w:rFonts w:ascii="Times New Roman" w:eastAsia="Times New Roman" w:hAnsi="Times New Roman" w:cs="Times New Roman"/>
          <w:color w:val="000000"/>
        </w:rPr>
        <w:t>. doi: 10.3389/fmed.2024.1418874. PMID: 39206174; PMCID: PMC11349669.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Levenson, M., He, W., Chen, J., Fang, Y., Faries, D., Goldstein, B. A., … Zink, R. C. (2021). Biostatistical Considerations When Using RWD and RWE in Clinical Studies for Regulatory Purposes: A Landscape Assessment. Statistics in Biopharmaceutical Research, 15(1), 3–13. https://doi.org/10.1080/19466315.2021.1883473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de Pouvourville G, Armoiry X, Lavorel A, Bilbault P, Maugendre P, Bensimon L, Beziz D, Blin P, Borget I, Bouée S, Collignon C, Dervaux B, Durand-Zaleski I, Julien M, de Léotoing L, Majed L, Martelli N, Séjourné T, Viprey M. Real-world data and evidence in health technology assessment: When are they complementary, substitutes, or the only sources of data compared to clinical trials? Therapie. 2023 Jan-Feb;78(1):81-94. doi: 10.1016/j.therap.2022.11.001. Epub 2022 Nov 12. PMID: 36464522.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Mendez A. The 2022 TOPRA Annual Symposium - Medical Device and IVD Symposium (October 17-19, 2022 - Vienna, Austria). Drugs Today (Barc). 2023 Jan;59(1):51-59. doi: 10.1358/dot.2023.59.1.3521792. PMID: 36811417.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Janssens R, Barbier L, Muller M, Cleemput I, Stoeckert I, Whichello C, Levitan B, Hammad TA, Girvalaki C, Ventura JJ, Bywall KS, Pinto CA, Schoefs E, Katz EG, Kihlbom U, Huys I. How can patient preferences be used and communicated in the regulatory evaluation of medicinal products? Findings and recommendations from IMI PREFER and call to action. Front Pharmacol. 2023 Aug </w:t>
      </w:r>
      <w:proofErr w:type="gramStart"/>
      <w:r>
        <w:rPr>
          <w:rFonts w:ascii="Times New Roman" w:eastAsia="Times New Roman" w:hAnsi="Times New Roman" w:cs="Times New Roman"/>
          <w:color w:val="000000"/>
        </w:rPr>
        <w:t>16;14:1192770</w:t>
      </w:r>
      <w:proofErr w:type="gramEnd"/>
      <w:r>
        <w:rPr>
          <w:rFonts w:ascii="Times New Roman" w:eastAsia="Times New Roman" w:hAnsi="Times New Roman" w:cs="Times New Roman"/>
          <w:color w:val="000000"/>
        </w:rPr>
        <w:t>. doi: 10.3389/fphar.2023.1192770. PMID: 37663265; PMCID: PMC10468983.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Greaves R, Kricka L, Gruson D, Ferrari M, Martin H, Loh TP, Bernardini S; IFCC Emerging Technologies Division. Toolkit for emerging technologies in laboratory medicine. Clin Chem Lab Med. 2023 Jun 14;61(12):2102-2114. doi: 10.1515/cclm-2023-0571. PMID: 37314970.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Alnaqbi KA, Bellanger A, Brill A, Castañeda-Hernández G, Clopés Estela A, Delgado Sánchez O, García-Alfonso P, Gyger P, Heinrich D, Hezard G, Kakehasi A, Koehn C, Mariotte O, Mennini F, Mayra Pérez-Tapia S, Pistollato M, Saada R, Sasaki T, Tambassis G, Thill M, Werutsky G, Wilsdon T, Simoens S. An international comparative analysis and roadmap to sustainable biosimilar markets. Front Pharmacol. 2023 Aug </w:t>
      </w:r>
      <w:proofErr w:type="gramStart"/>
      <w:r>
        <w:rPr>
          <w:rFonts w:ascii="Times New Roman" w:eastAsia="Times New Roman" w:hAnsi="Times New Roman" w:cs="Times New Roman"/>
          <w:color w:val="000000"/>
        </w:rPr>
        <w:t>24;14:1188368</w:t>
      </w:r>
      <w:proofErr w:type="gramEnd"/>
      <w:r>
        <w:rPr>
          <w:rFonts w:ascii="Times New Roman" w:eastAsia="Times New Roman" w:hAnsi="Times New Roman" w:cs="Times New Roman"/>
          <w:color w:val="000000"/>
        </w:rPr>
        <w:t>. doi: 10.3389/fphar.2023.1188368. PMID: 37693908; PMCID: PMC10484585.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Nou-Fontanet L, Martín-Gómez C, Isabel-Gómez R, Bachoud-Lévi AC, Zorzi G, Capuano A; NKX2-1-Related Disorders Guideline Working Group; Blasco-Amaro JA, Ortigoza-Escobar JD. Systematic review of drug therapy for chorea in NXK2-1-related disorders: Efficacy and safety evidence from case studies and series. Eur J Neurol. 2023 Dec;30(12):3928-3948. doi: 10.1111/ene.16038. Epub 2023 Sep 11. PMID: 37694681.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Cangelosi M, Chahar A, Eggington S. Evolving Use of Health Technology Assessment in Medical Device Procurement-Global Systematic Review: An ISPOR Special Interest Group Report. Value Health. 2023 Nov;26(11):1581-1589. doi: 10.1016/j.jval.2023.06.005. Epub 2023 Jun 21. PMID: 37353055.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Sagoo GS, Robinson T, Coughlan D, Meader N, Rice S, Vale L. Evaluating high-cost technologies - no need to throw the baby out with the bathwater. Expert Rev Pharmacoecon Outcomes Res. 2023 Jul-Dec;23(10):1177-1183. doi: 10.1080/14737167.2023.2263647. Epub 2023 Nov 13. PMID: 37755333.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He C, Chen R, Kim H, Hashizume M, Lee W, Honda Y, Kim SE, Guo YL, Schneider A, Ge W, Zhu Y, Zhou L, Kan H. Tropical cyclone and daily respiratory mortality across East Asia: a time series study. Eur Respir J. 2023 Jul 20;62(1):2300546. doi: 10.1183/13993003.00546-2023. PMID: 37230500; PMCID: PMC10356962.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Weymann D, Pollard S, Lam H, Krebs E, Regier DA. Toward Best Practices for Economic Evaluations of Tumor-Agnostic Therapies: A Review of Current Barriers and Solutions. Value Health. 2023 Nov;26(11):1608-1617. doi: 10.1016/j.jval.2023.07.004. Epub 2023 Aug 3. PMID: 37543205.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Meira e Cruz, Miguel &amp; Vantine, F. &amp; Kryger, Meir &amp; Rocha, Isabel &amp; Salles, Cristina. (2022). Cardiometabolic status in high risk pregnant women with comorbid insomnia and sleep disordered breathing: a survey based comparative study. Sleep Medicine. 100. S111. 10.1016/j.sleep.2022.05.308. </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Ming J, He Y, Yang Y, Hu M, Zhao X, Liu J, Xie Y, Wei Y, Chen Y. Health technology assessment of medical devices: current landscape, challenges, and a way forward. Cost Eff Resour Alloc. 2022 Oct 5;20(1):54. doi: 10.1186/s12962-022-00389-6. PMID: 36199144; PMCID: PMC9533595.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Regier DA, Pollard S, McPhail M, Bubela T, Hanna TP, Ho C, Lim HJ, Chan K, Peacock SJ, Weymann D. A perspective on life-cycle health technology assessment and real-world evidence for precision oncology in Canada. NPJ Precis Oncol. 2022 Oct 25;6(1):76. doi: 10.1038/s41698-022-00316-1. PMID: 36284134; PMCID: PMC9596463.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Zhou L, He C, Kim H, Honda Y, Lee W, Hashizume M, Chen R, Kan H. The burden of heat-related stroke mortality under climate change scenarios in 22 East Asian cities. Environ Int. 2022 </w:t>
      </w:r>
      <w:proofErr w:type="gramStart"/>
      <w:r>
        <w:rPr>
          <w:rFonts w:ascii="Times New Roman" w:eastAsia="Times New Roman" w:hAnsi="Times New Roman" w:cs="Times New Roman"/>
          <w:color w:val="000000"/>
        </w:rPr>
        <w:t>Dec;170:107602</w:t>
      </w:r>
      <w:proofErr w:type="gramEnd"/>
      <w:r>
        <w:rPr>
          <w:rFonts w:ascii="Times New Roman" w:eastAsia="Times New Roman" w:hAnsi="Times New Roman" w:cs="Times New Roman"/>
          <w:color w:val="000000"/>
        </w:rPr>
        <w:t>. doi: 10.1016/j.envint.2022.107602. Epub 2022 Oct 25. PMID: 36323066.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McGowan LJ, Graham F, Lecouturier J, Goffe L, Echevarria C, Kelly MP, Sniehotta FF. The Views and Experiences of Integrated Care System Commissioners About the Adoption and Implementation of Virtual Wards in England: Qualitative Exploration Study. J Med Internet Res. 2024 Nov 27;</w:t>
      </w:r>
      <w:proofErr w:type="gramStart"/>
      <w:r>
        <w:rPr>
          <w:rFonts w:ascii="Times New Roman" w:eastAsia="Times New Roman" w:hAnsi="Times New Roman" w:cs="Times New Roman"/>
          <w:color w:val="000000"/>
        </w:rPr>
        <w:t>26:e</w:t>
      </w:r>
      <w:proofErr w:type="gramEnd"/>
      <w:r>
        <w:rPr>
          <w:rFonts w:ascii="Times New Roman" w:eastAsia="Times New Roman" w:hAnsi="Times New Roman" w:cs="Times New Roman"/>
          <w:color w:val="000000"/>
        </w:rPr>
        <w:t>56494. doi: 10.2196/56494. PMID: 39602216; PMCID: PMC11635316.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HPR18 Pharmacoeconomic Evaluation of Orphan Drugs in the United Kingdom, France, Italy, Turkey and Exploration of the Evaluation Process of Orphan Drugs in Algeria. Kebaili, H et al. Value in Health, Volume 25, Issue 12, S235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HTA264 Why Doesn't Environmental Impact Play a Bigger Role in Health Economic Evaluation and Health Technology Assessment – A Systematic Literature Review Russell, R et al. Value in Health, Volume 25, Issue 12, S348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HTA5 Methodological Frameworks for the HTA of Digital Health Technologies: A National and International Survey Segur-Ferrer, J et al. Value in Health, Volume 25, Issue 12, S296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HTA56 Is Evidence on Environmental Impact Included in Health Technology Assessment and Does It Influence Decision-Making? Hubbert, L et al. Value in Health, Volume 25, Issue 12, S307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Weidlich D, Servais L, Kausar I, Howells R, Bischof M. Cost-Effectiveness of Newborn Screening for Spinal Muscular Atrophy in England. Neurol Ther. 2023 Aug;12(4):1205-1220. doi: 10.1007/s40120-023-00489-2. Epub 2023 May 24. PMID: 37222861; PMCID: PMC10310612.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HTA117 A Targeted Literature Review </w:t>
      </w:r>
      <w:proofErr w:type="gramStart"/>
      <w:r>
        <w:rPr>
          <w:rFonts w:ascii="Times New Roman" w:eastAsia="Times New Roman" w:hAnsi="Times New Roman" w:cs="Times New Roman"/>
          <w:color w:val="000000"/>
        </w:rPr>
        <w:t>Into</w:t>
      </w:r>
      <w:proofErr w:type="gramEnd"/>
      <w:r>
        <w:rPr>
          <w:rFonts w:ascii="Times New Roman" w:eastAsia="Times New Roman" w:hAnsi="Times New Roman" w:cs="Times New Roman"/>
          <w:color w:val="000000"/>
        </w:rPr>
        <w:t xml:space="preserve"> Incorporating Environmental Impact of Healthcare Into Health Technology Assessments (HTAS) Kiritharakopalan, D et al. Value in Health, Volume 25, Issue 12, S319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Hughes, R &amp; Hirst, Alexander &amp; Brandolini, G. (2022). EE627 Inclusion of Environmental Sustainability in the Economic Analysis of Healthcare Interventions: A Review of Policy Approaches. Value in Health. 25. S179. 10.1016/j.jval.2022.09.866. </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HPR10 Building Bridges Between Regulation, Health Technology Assessment and Clinical Guideline Development. Hogervorst, M et al. Value in Health, Volume 25, Issue 12, S233 - S234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Auxane Delage, Luc-Sylvain Gilbert, Hsin-Yu Kuo, Jennifer Lorigan, Clare Blackburn, </w:t>
      </w:r>
      <w:proofErr w:type="gramStart"/>
      <w:r>
        <w:rPr>
          <w:rFonts w:ascii="Times New Roman" w:eastAsia="Times New Roman" w:hAnsi="Times New Roman" w:cs="Times New Roman"/>
          <w:color w:val="000000"/>
        </w:rPr>
        <w:t>et al..</w:t>
      </w:r>
      <w:proofErr w:type="gramEnd"/>
      <w:r>
        <w:rPr>
          <w:rFonts w:ascii="Times New Roman" w:eastAsia="Times New Roman" w:hAnsi="Times New Roman" w:cs="Times New Roman"/>
          <w:color w:val="000000"/>
        </w:rPr>
        <w:t xml:space="preserve"> Bringing gene and cell therapies from lab to patients: </w:t>
      </w:r>
      <w:proofErr w:type="gramStart"/>
      <w:r>
        <w:rPr>
          <w:rFonts w:ascii="Times New Roman" w:eastAsia="Times New Roman" w:hAnsi="Times New Roman" w:cs="Times New Roman"/>
          <w:color w:val="000000"/>
        </w:rPr>
        <w:t>the</w:t>
      </w:r>
      <w:proofErr w:type="gramEnd"/>
      <w:r>
        <w:rPr>
          <w:rFonts w:ascii="Times New Roman" w:eastAsia="Times New Roman" w:hAnsi="Times New Roman" w:cs="Times New Roman"/>
          <w:color w:val="000000"/>
        </w:rPr>
        <w:t xml:space="preserve"> EuroGCT research pathways. European Society for Gene &amp; Cell Therapy Congress 2022, Oct 2022, Edinburgh, United Kingdom. ffhalshs-03901227f</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Teixeira LA, Toscas F. PD21 Data Sources </w:t>
      </w:r>
      <w:proofErr w:type="gramStart"/>
      <w:r>
        <w:rPr>
          <w:rFonts w:ascii="Times New Roman" w:eastAsia="Times New Roman" w:hAnsi="Times New Roman" w:cs="Times New Roman"/>
          <w:color w:val="000000"/>
        </w:rPr>
        <w:t>And</w:t>
      </w:r>
      <w:proofErr w:type="gramEnd"/>
      <w:r>
        <w:rPr>
          <w:rFonts w:ascii="Times New Roman" w:eastAsia="Times New Roman" w:hAnsi="Times New Roman" w:cs="Times New Roman"/>
          <w:color w:val="000000"/>
        </w:rPr>
        <w:t xml:space="preserve"> Real-World Data On Medical Devices In The Brazilian Scenario.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97-S97. doi:10.1017/S0266462322002823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Joglekar R, Shikule A. PP16 Machine Learning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The Treatment Of Spinal Deformities: Early Life-cycle Economic Analysis In Australia.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44-S45. doi:10.1017/S0266462322001611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Kenny J, Shah K. OP78 Taking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Societal Perspective In Health Technology Assessment: Is Environmental Impact A Special Case? Int J Technol Assess Health Care. 2022 Dec 23;38(Suppl 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29. doi: 10.1017/S0266462322001258. PMCID: PMC11738308.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D90B5A">
        <w:rPr>
          <w:rFonts w:ascii="Times New Roman" w:eastAsia="Times New Roman" w:hAnsi="Times New Roman" w:cs="Times New Roman"/>
          <w:color w:val="000000"/>
          <w:lang w:val="it-IT"/>
        </w:rPr>
        <w:t xml:space="preserve">Fernandes RRA, Santos MDS, Magliano CADS, Tura BR, Macedo LSDN, Padila MP, França ACW, Braga AA. </w:t>
      </w:r>
      <w:r>
        <w:rPr>
          <w:rFonts w:ascii="Times New Roman" w:eastAsia="Times New Roman" w:hAnsi="Times New Roman" w:cs="Times New Roman"/>
          <w:color w:val="000000"/>
        </w:rPr>
        <w:t xml:space="preserve">Cost Utility of Vaccination Against COVID-19 in Brazil. Value Health Reg Issues. 2022 </w:t>
      </w:r>
      <w:proofErr w:type="gramStart"/>
      <w:r>
        <w:rPr>
          <w:rFonts w:ascii="Times New Roman" w:eastAsia="Times New Roman" w:hAnsi="Times New Roman" w:cs="Times New Roman"/>
          <w:color w:val="000000"/>
        </w:rPr>
        <w:t>Sep;31:18</w:t>
      </w:r>
      <w:proofErr w:type="gramEnd"/>
      <w:r>
        <w:rPr>
          <w:rFonts w:ascii="Times New Roman" w:eastAsia="Times New Roman" w:hAnsi="Times New Roman" w:cs="Times New Roman"/>
          <w:color w:val="000000"/>
        </w:rPr>
        <w:t>-24. doi: 10.1016/j.vhri.2022.01.009. Epub 2022 Mar 21. PMID: 35325693; PMCID: PMC8935121.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Kenny J, Shah K, Toolan M, et al. OP79 Incorporating Environmental Impacts </w:t>
      </w:r>
      <w:proofErr w:type="gramStart"/>
      <w:r>
        <w:rPr>
          <w:rFonts w:ascii="Times New Roman" w:eastAsia="Times New Roman" w:hAnsi="Times New Roman" w:cs="Times New Roman"/>
          <w:color w:val="000000"/>
        </w:rPr>
        <w:t>Into</w:t>
      </w:r>
      <w:proofErr w:type="gramEnd"/>
      <w:r>
        <w:rPr>
          <w:rFonts w:ascii="Times New Roman" w:eastAsia="Times New Roman" w:hAnsi="Times New Roman" w:cs="Times New Roman"/>
          <w:color w:val="000000"/>
        </w:rPr>
        <w:t xml:space="preserve"> Health Technology Assessment: An Examination Of Potential Approaches And Challenges.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29-S29. doi:10.1017/S026646232200126X</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Schuitmaker-Warnaar TJ, Fruytier S, Gunn C. OP80 ‘Green Metrics’ - Incorporating Environmental Dimensions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Health Technology Assessment.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30-S30. doi:10.1017/S0266462322001271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Walpole S, Khan N, Smith J, Rostkowska O, Miller F. OP81 Do Sustainable Healthcare Principles Inform Guidance Development? An Exemplary Case Study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Respiratory Care.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30-S30. doi:10.1017/S0266462322001283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Stürzlinger H, Pentz R. PD37 High-Dose Vitamin D </w:t>
      </w:r>
      <w:proofErr w:type="gramStart"/>
      <w:r>
        <w:rPr>
          <w:rFonts w:ascii="Times New Roman" w:eastAsia="Times New Roman" w:hAnsi="Times New Roman" w:cs="Times New Roman"/>
          <w:color w:val="000000"/>
        </w:rPr>
        <w:t>For</w:t>
      </w:r>
      <w:proofErr w:type="gramEnd"/>
      <w:r>
        <w:rPr>
          <w:rFonts w:ascii="Times New Roman" w:eastAsia="Times New Roman" w:hAnsi="Times New Roman" w:cs="Times New Roman"/>
          <w:color w:val="000000"/>
        </w:rPr>
        <w:t xml:space="preserve"> The Treatment Of COVID-19.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103-S103. doi:10.1017/S0266462322002963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Piaggio D, Federici C, Di Bidino R, Bracale U, Pecchia L. OP29 Lifecycle Assessment </w:t>
      </w:r>
      <w:proofErr w:type="gramStart"/>
      <w:r>
        <w:rPr>
          <w:rFonts w:ascii="Times New Roman" w:eastAsia="Times New Roman" w:hAnsi="Times New Roman" w:cs="Times New Roman"/>
          <w:color w:val="000000"/>
        </w:rPr>
        <w:t>Of</w:t>
      </w:r>
      <w:proofErr w:type="gramEnd"/>
      <w:r>
        <w:rPr>
          <w:rFonts w:ascii="Times New Roman" w:eastAsia="Times New Roman" w:hAnsi="Times New Roman" w:cs="Times New Roman"/>
          <w:color w:val="000000"/>
        </w:rPr>
        <w:t xml:space="preserve"> Machine Learning-Derived Early Warning System. An Early Economic Evaluation </w:t>
      </w:r>
      <w:proofErr w:type="gramStart"/>
      <w:r>
        <w:rPr>
          <w:rFonts w:ascii="Times New Roman" w:eastAsia="Times New Roman" w:hAnsi="Times New Roman" w:cs="Times New Roman"/>
          <w:color w:val="000000"/>
        </w:rPr>
        <w:t>Of</w:t>
      </w:r>
      <w:proofErr w:type="gramEnd"/>
      <w:r>
        <w:rPr>
          <w:rFonts w:ascii="Times New Roman" w:eastAsia="Times New Roman" w:hAnsi="Times New Roman" w:cs="Times New Roman"/>
          <w:color w:val="000000"/>
        </w:rPr>
        <w:t xml:space="preserve"> An Intraoperative Hypotension Prediction Index.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12-S12. doi:10.1017/S0266462322000861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570167">
        <w:rPr>
          <w:rFonts w:ascii="Times New Roman" w:eastAsia="Times New Roman" w:hAnsi="Times New Roman" w:cs="Times New Roman"/>
          <w:color w:val="000000"/>
          <w:lang w:val="it-IT"/>
        </w:rPr>
        <w:t xml:space="preserve">Gutierrez-Ibarluzea I, Otte M, Dauben H-P, et al. </w:t>
      </w:r>
      <w:r>
        <w:rPr>
          <w:rFonts w:ascii="Times New Roman" w:eastAsia="Times New Roman" w:hAnsi="Times New Roman" w:cs="Times New Roman"/>
          <w:color w:val="000000"/>
        </w:rPr>
        <w:t xml:space="preserve">OP34 Horizon Scanning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Matter Of Collaboration. A Description </w:t>
      </w:r>
      <w:proofErr w:type="gramStart"/>
      <w:r>
        <w:rPr>
          <w:rFonts w:ascii="Times New Roman" w:eastAsia="Times New Roman" w:hAnsi="Times New Roman" w:cs="Times New Roman"/>
          <w:color w:val="000000"/>
        </w:rPr>
        <w:t>Of</w:t>
      </w:r>
      <w:proofErr w:type="gramEnd"/>
      <w:r>
        <w:rPr>
          <w:rFonts w:ascii="Times New Roman" w:eastAsia="Times New Roman" w:hAnsi="Times New Roman" w:cs="Times New Roman"/>
          <w:color w:val="000000"/>
        </w:rPr>
        <w:t xml:space="preserve"> The Processes Of I-HTS Member Organizations.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14-S14. doi:10.1017/S0266462322000915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Wang T. OP48 Interactions Between Regulatory, Health Technology Assessment </w:t>
      </w:r>
      <w:proofErr w:type="gramStart"/>
      <w:r>
        <w:rPr>
          <w:rFonts w:ascii="Times New Roman" w:eastAsia="Times New Roman" w:hAnsi="Times New Roman" w:cs="Times New Roman"/>
          <w:color w:val="000000"/>
        </w:rPr>
        <w:t>And</w:t>
      </w:r>
      <w:proofErr w:type="gramEnd"/>
      <w:r>
        <w:rPr>
          <w:rFonts w:ascii="Times New Roman" w:eastAsia="Times New Roman" w:hAnsi="Times New Roman" w:cs="Times New Roman"/>
          <w:color w:val="000000"/>
        </w:rPr>
        <w:t xml:space="preserve"> Companies: Multi-Stakeholder Survey On The Current Experiences And Future Landscape Evolvement.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19-S19. doi:10.1017/S0266462322001027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570167">
        <w:rPr>
          <w:rFonts w:ascii="Times New Roman" w:eastAsia="Times New Roman" w:hAnsi="Times New Roman" w:cs="Times New Roman"/>
          <w:color w:val="000000"/>
          <w:lang w:val="it-IT"/>
        </w:rPr>
        <w:t xml:space="preserve">de Verteuil D, Azzi L, Lambert L, et al. </w:t>
      </w:r>
      <w:r>
        <w:rPr>
          <w:rFonts w:ascii="Times New Roman" w:eastAsia="Times New Roman" w:hAnsi="Times New Roman" w:cs="Times New Roman"/>
          <w:color w:val="000000"/>
        </w:rPr>
        <w:t xml:space="preserve">PP09 Use </w:t>
      </w:r>
      <w:proofErr w:type="gramStart"/>
      <w:r>
        <w:rPr>
          <w:rFonts w:ascii="Times New Roman" w:eastAsia="Times New Roman" w:hAnsi="Times New Roman" w:cs="Times New Roman"/>
          <w:color w:val="000000"/>
        </w:rPr>
        <w:t>Of</w:t>
      </w:r>
      <w:proofErr w:type="gramEnd"/>
      <w:r>
        <w:rPr>
          <w:rFonts w:ascii="Times New Roman" w:eastAsia="Times New Roman" w:hAnsi="Times New Roman" w:cs="Times New Roman"/>
          <w:color w:val="000000"/>
        </w:rPr>
        <w:t xml:space="preserve"> Real-World Evidence For Managing Health Technologies Throughout The Life Cycle Of Transcatheter Aortic Valve Interventions.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42-S42. doi:10.1017/S0266462322001544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Gonzalez Moral SG, Khan SK, Lanyi K, Ogunbayo D, Craig D. OP56 A Life Cycle Approach </w:t>
      </w:r>
      <w:proofErr w:type="gramStart"/>
      <w:r>
        <w:rPr>
          <w:rFonts w:ascii="Times New Roman" w:eastAsia="Times New Roman" w:hAnsi="Times New Roman" w:cs="Times New Roman"/>
          <w:color w:val="000000"/>
        </w:rPr>
        <w:t>To</w:t>
      </w:r>
      <w:proofErr w:type="gramEnd"/>
      <w:r>
        <w:rPr>
          <w:rFonts w:ascii="Times New Roman" w:eastAsia="Times New Roman" w:hAnsi="Times New Roman" w:cs="Times New Roman"/>
          <w:color w:val="000000"/>
        </w:rPr>
        <w:t xml:space="preserve"> Horizon Scanning Outputs - From Signals To Guidelines.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22-S22. doi:10.1017/S026646232200109X</w:t>
      </w:r>
    </w:p>
    <w:p w:rsidR="00C65BDB" w:rsidRPr="00570167"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lang w:val="it-IT"/>
        </w:rPr>
      </w:pPr>
      <w:r>
        <w:rPr>
          <w:rFonts w:ascii="Times New Roman" w:eastAsia="Times New Roman" w:hAnsi="Times New Roman" w:cs="Times New Roman"/>
          <w:color w:val="000000"/>
        </w:rPr>
        <w:t xml:space="preserve">Have PT, Van Kemenade GJ. PP134 Health Technology Assessment Life Cycle Approach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Asthma Care. Int J Technol Assess Health Care. 2022 Dec 23;38(Suppl 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 xml:space="preserve">84–5. doi: 10.1017/S0266462322002537. </w:t>
      </w:r>
      <w:r w:rsidRPr="00570167">
        <w:rPr>
          <w:rFonts w:ascii="Times New Roman" w:eastAsia="Times New Roman" w:hAnsi="Times New Roman" w:cs="Times New Roman"/>
          <w:color w:val="000000"/>
          <w:lang w:val="it-IT"/>
        </w:rPr>
        <w:t>PMCID: PMC11738456.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570167">
        <w:rPr>
          <w:rFonts w:ascii="Times New Roman" w:eastAsia="Times New Roman" w:hAnsi="Times New Roman" w:cs="Times New Roman"/>
          <w:color w:val="000000"/>
          <w:lang w:val="it-IT"/>
        </w:rPr>
        <w:t xml:space="preserve">Imaz-Iglesia I, Carmona M, García-Carpintero EE, et al. </w:t>
      </w:r>
      <w:r>
        <w:rPr>
          <w:rFonts w:ascii="Times New Roman" w:eastAsia="Times New Roman" w:hAnsi="Times New Roman" w:cs="Times New Roman"/>
          <w:color w:val="000000"/>
        </w:rPr>
        <w:t xml:space="preserve">PP140 Economic Evaluation </w:t>
      </w:r>
      <w:proofErr w:type="gramStart"/>
      <w:r>
        <w:rPr>
          <w:rFonts w:ascii="Times New Roman" w:eastAsia="Times New Roman" w:hAnsi="Times New Roman" w:cs="Times New Roman"/>
          <w:color w:val="000000"/>
        </w:rPr>
        <w:t>Of</w:t>
      </w:r>
      <w:proofErr w:type="gramEnd"/>
      <w:r>
        <w:rPr>
          <w:rFonts w:ascii="Times New Roman" w:eastAsia="Times New Roman" w:hAnsi="Times New Roman" w:cs="Times New Roman"/>
          <w:color w:val="000000"/>
        </w:rPr>
        <w:t xml:space="preserve"> Several Vaccination Strategies Against Rotavirus In Spain. International Journal of Technology Assessment in Health Care. 2022;38(S1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85-S85. doi:10.1017/S0266462322002549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Tarricone R, Petracca F, Cucciniello M, Ciani O. Recommendations for developing a lifecycle, multidimensional assessment framework for mobile medical apps. Health Econ. 2022 Sep;31 Suppl 1(Suppl 1):73-97. doi: 10.1002/hec.4505. Epub 2022 Apr 6. PMID: 35388585; PMCID: PMC9545972.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Kirwin E, Round J, Bond K, McCabe C.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Conceptual Framework for Life-Cycle Health Technology Assessment. Value Health. 2022 Jul;25(7):1116-1123. doi: 10.1016/j.jval.2021.11.1373. Epub 2022 Feb 4. PMID: 35779939.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Cai S, Wang N, Xu L, Yan F, Jiang Q, Zhao X, Wang W, Wang H, Jiang L, Cong W, Sheppard SK, Weeks J, Kasprzyk-Hordern B, Fu C, Lambert H. Impacts of Antibiotic Residues in the Environment on Bacterial Resistance and Human Health in Eastern China: An Interdisciplinary Mixed-Methods Study Protocol. Int J Environ Res Public Health. 2022 Jul 2;19(13):8145. doi: 10.3390/ijerph19138145. PMID: 35805804; PMCID: PMC9266211.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Greuter M, Eertink JJ, Jongeneel G, Dührsen U, Hüttmann A, Schmitz C, Lugtenburg PJ, Barrington SF, Mikhaeel NG, Ceriani L, Zucca E, Carr R, Györke T, Burggraaff CN, de Vet H, Hoekstra OS, Zijlstra JM, Coupé V; PETRA consortium. Cost-Effectiveness of Shortening Treatment Duration Based on Interim PET Outcome in Patients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Diffuse Large B-cell Lymphoma. Clin Lymphoma Myeloma Leuk. 2022 Jun;22(6):382-392. doi: 10.1016/j.clml.2021.11.008. Epub 2021 Nov 20. PMID: 34953740.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Xiao D, Zhang Y, Chen W, Xuan J, Chen Y. Cost-Effectiveness of Linaclotide Compared to Osmotic Laxatives in the Treatment of Irritable Bowel Syndrome with Constipation in China. Adv Ther. 2022 Jun;39(6):2971-2983. doi: 10.1007/s12325-022-02161-x. Epub 2022 Apr 30. Erratum in: Adv Ther. 2022 Sep;39(9):4394-4396. doi: 10.1007/s12325-022-02236-9. PMID: 35488140.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Chaiyakunapruk N, Song D, Lynch J, Kim JH, Dilokthornsakul P, Chotpitayasunondh T, Mogasale V. Public Health Value of a Hypothetical Pneumococcal Conjugate Vaccine (PCV) Introduction: A Case Study. Vaccines (Basel). 2022 Jun 15;10(6):950. doi: 10.3390/vaccines10060950. PMID: 35746558; PMCID: PMC9227762.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Niu Y, Zhou Y, Chen R, Yin P, Meng X, Wang W, Liu C, Ji JS, Qiu Y, Kan H, Zhou M. Long-term exposure to ozone and cardiovascular mortality in China: a nationwide cohort study. Lancet Planet Health. 2022 Jun;6(6</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496-e503. doi: 10.1016/S2542-5196(22)00093-6. PMID: 35709807.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Jiang X, Chen J, Zheng M, Jia H. Cost-effectiveness analysis of durvalumab as a maintenance treatment for patients with locally advanced, unresectable, stage Ⅲ nsclc in china. PLoS One. 2022 Jun 24;17(6</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0270118. doi: 10.1371/journal.pone.0270118. PMID: 35749385; PMCID: PMC9231800.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Regier DA, Pollard S, McPhail M, Bubela T, Hanna TP, Ho C, Lim HJ, Chan K, Peacock SJ, Weymann D. A perspective on life-cycle health technology assessment and real-world evidence for precision oncology in Canada. NPJ Precis Oncol. 2022 Oct 25;6(1):76. doi: 10.1038/s41698-022-00316-1. PMID: 36284134; PMCID: PMC9596463.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Paracha N, Hudson P, Mitchell S, Sutherland CS. Systematic Literature Review to Assess Economic Evaluations in Spinal Muscular Atrophy (SMA). Pharmacoeconomics. 2022 Apr;40(Suppl 1):69-89. doi: 10.1007/s40273-021-01095-6. Epub 2021 Oct 18. Erratum in: Pharmacoeconomics. 2022 Apr;40(Suppl 1):119. doi: 10.1007/s40273-022-01138-6. PMID: 34658008; PMCID: PMC8994739.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Zhu Y, Yang T, Huang S, Li H, Lei J, Xue X, Gao Y, Jiang Y, Liu C, Kan H, Chen R. Cold temperature and sudden temperature drop as novel risk factors of asthma exacerbation: a longitudinal study in 18 Chinese cities. Sci Total Environ. 2022 Mar </w:t>
      </w:r>
      <w:proofErr w:type="gramStart"/>
      <w:r>
        <w:rPr>
          <w:rFonts w:ascii="Times New Roman" w:eastAsia="Times New Roman" w:hAnsi="Times New Roman" w:cs="Times New Roman"/>
          <w:color w:val="000000"/>
        </w:rPr>
        <w:t>25;814:151959</w:t>
      </w:r>
      <w:proofErr w:type="gramEnd"/>
      <w:r>
        <w:rPr>
          <w:rFonts w:ascii="Times New Roman" w:eastAsia="Times New Roman" w:hAnsi="Times New Roman" w:cs="Times New Roman"/>
          <w:color w:val="000000"/>
        </w:rPr>
        <w:t>. doi: 10.1016/j.scitotenv.2021.151959. Epub 2021 Nov 27. PMID: 34843761.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Kukhareva PV, Weir C, Del Fiol G, Aarons GA, Taft TY, Schlechter CR, Reese TJ, Curran RL, Nanjo C, Borbolla D, Staes CJ, Morgan KL, Kramer HS, Stipelman CH, Shakib JH, Flynn MC, Kawamoto K. </w:t>
      </w:r>
      <w:r>
        <w:rPr>
          <w:rFonts w:ascii="Times New Roman" w:eastAsia="Times New Roman" w:hAnsi="Times New Roman" w:cs="Times New Roman"/>
          <w:color w:val="000000"/>
        </w:rPr>
        <w:lastRenderedPageBreak/>
        <w:t xml:space="preserve">Evaluation in Life Cycle of Information Technology (ELICIT) framework: Supporting the innovation life cycle from business case assessment to summative evaluation. J Biomed Inform. 2022 </w:t>
      </w:r>
      <w:proofErr w:type="gramStart"/>
      <w:r>
        <w:rPr>
          <w:rFonts w:ascii="Times New Roman" w:eastAsia="Times New Roman" w:hAnsi="Times New Roman" w:cs="Times New Roman"/>
          <w:color w:val="000000"/>
        </w:rPr>
        <w:t>Mar;127:104014</w:t>
      </w:r>
      <w:proofErr w:type="gramEnd"/>
      <w:r>
        <w:rPr>
          <w:rFonts w:ascii="Times New Roman" w:eastAsia="Times New Roman" w:hAnsi="Times New Roman" w:cs="Times New Roman"/>
          <w:color w:val="000000"/>
        </w:rPr>
        <w:t>. doi: 10.1016/j.jbi.2022.104014. Epub 2022 Feb 12. PMID: 35167977; PMCID: PMC8959015.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Hamerton L, Gomes K, Fougeray R, Hook ES, Gomes MV, Hauch O, Bullement A. A UK cost-effectiveness analysis of trifluridine/tipiracil for heavily pretreated metastatic gastroesophageal cancers. Future Oncol. 2023 Mar;19(9):643-650. doi: 10.2217/fon-2022-0662. Epub 2023 Apr 28. PMID: 37115022.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Veličković VM, Szilcz M, Milošević Z, Godfrey T, Siebert U. Cost-effectiveness analysis of superabsorbent wound dressings in patients with moderate-to-highly exuding leg ulcers in Germany. Int Wound J. 2022 Feb;19(2):447-459. doi: 10.1111/iwj.13645. Epub 2021 Aug 2. PMID: 34342156; PMCID: PMC8762557.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Vervoort D, Tam DY, Wijeysundera HC. Health Technology Assessment for Cardiovascular Digital Health Technologies and Artificial Intelligence: Why Is It Different? Can J Cardiol. 2022 Feb;38(2):259-266. doi: 10.1016/j.cjca.2021.08.015. Epub 2021 Aug 28. PMID: 34461229.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van Oostrum I, Russell-Smith TA, Jakobsson M, Torup Østby J, Heeg B. Cost-Effectiveness of Inotuzumab Ozogamicin Compared to Standard of Care Chemotherapy for Treating Relapsed or Refractory Acute Lymphoblastic Leukaemia Patients in Norway and Sweden. Pharmacoecon Open. 2022 Jan;6(1):47-62. doi: 10.1007/s41669-021-00287-2. Epub 2021 Jul 26. PMID: 34309818; PMCID: PMC8807767.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Chitpim N, Jittikoon J, Udomsinprasert W, Mahasirimongkol S, Chaikledkaew U. Cost-Utility Analysis of Molecular Testing for Tuberculosis Diagnosis in Suspected Pulmonary Tuberculosis in Thailand. Clinicoecon Outcomes Res. 2022 Feb </w:t>
      </w:r>
      <w:proofErr w:type="gramStart"/>
      <w:r>
        <w:rPr>
          <w:rFonts w:ascii="Times New Roman" w:eastAsia="Times New Roman" w:hAnsi="Times New Roman" w:cs="Times New Roman"/>
          <w:color w:val="000000"/>
        </w:rPr>
        <w:t>2;14:61</w:t>
      </w:r>
      <w:proofErr w:type="gramEnd"/>
      <w:r>
        <w:rPr>
          <w:rFonts w:ascii="Times New Roman" w:eastAsia="Times New Roman" w:hAnsi="Times New Roman" w:cs="Times New Roman"/>
          <w:color w:val="000000"/>
        </w:rPr>
        <w:t>-73. doi: 10.2147/CEOR.S350606. PMID: 35140485; PMCID: PMC8819700.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​​POSC140 Value Assessment Modelling of Fingenious® Recall Service for Clinical Trials, Metsä, R et al. Value in Health, Volume 25, Issue 1, S114 - S115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Daniels J, Middleton LJ, Cheed V, McKinnon W, Rana D, Sirkeci F, Manyonda I, Belli AM, Lumsden MA, Moss J, Wu O, McPherson K. Uterine artery embolisation versus myomectomy for premenopausal </w:t>
      </w:r>
      <w:r>
        <w:rPr>
          <w:rFonts w:ascii="Times New Roman" w:eastAsia="Times New Roman" w:hAnsi="Times New Roman" w:cs="Times New Roman"/>
          <w:color w:val="000000"/>
        </w:rPr>
        <w:lastRenderedPageBreak/>
        <w:t>women with uterine fibroids wishing to avoid hysterectomy: the FEMME RCT. Health Technol Assess. 2022 Apr;26(22):1-74. doi: 10.3310/ZDEG6110. PMID: 35435818; PMCID: PMC9082260.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Russo P. How reliable are ICER's results published in current pharmacoeconomic literature? The controversial issue of price confidentiality. Glob Reg Health Technol Assess. 2022 Feb </w:t>
      </w:r>
      <w:proofErr w:type="gramStart"/>
      <w:r>
        <w:rPr>
          <w:rFonts w:ascii="Times New Roman" w:eastAsia="Times New Roman" w:hAnsi="Times New Roman" w:cs="Times New Roman"/>
          <w:color w:val="000000"/>
        </w:rPr>
        <w:t>25;9:31</w:t>
      </w:r>
      <w:proofErr w:type="gramEnd"/>
      <w:r>
        <w:rPr>
          <w:rFonts w:ascii="Times New Roman" w:eastAsia="Times New Roman" w:hAnsi="Times New Roman" w:cs="Times New Roman"/>
          <w:color w:val="000000"/>
        </w:rPr>
        <w:t>-35. doi: 10.33393/grhta.2022.2350. PMID: 36628320; PMCID: PMC9768610.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Menges D, Piatti MC, Cerny T, Puhan MA. Patient Preference Studies for Advanced Prostate Cancer Treatment Along the Medical Product Life Cycle: Systematic Literature Review. Patient Prefer Adherence. 2022 Jun </w:t>
      </w:r>
      <w:proofErr w:type="gramStart"/>
      <w:r>
        <w:rPr>
          <w:rFonts w:ascii="Times New Roman" w:eastAsia="Times New Roman" w:hAnsi="Times New Roman" w:cs="Times New Roman"/>
          <w:color w:val="000000"/>
        </w:rPr>
        <w:t>28;16:1539</w:t>
      </w:r>
      <w:proofErr w:type="gramEnd"/>
      <w:r>
        <w:rPr>
          <w:rFonts w:ascii="Times New Roman" w:eastAsia="Times New Roman" w:hAnsi="Times New Roman" w:cs="Times New Roman"/>
          <w:color w:val="000000"/>
        </w:rPr>
        <w:t>-1557. doi: 10.2147/PPA.S362802. PMID: 35789822; PMCID: PMC9250329.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Husereau D, Sullivan T, Feilotter HE, Gomes MM, Juergens R, Sheffield BS, Kassam S, Stockley TL, Jacobs P. Optimizing the delivery of genetic and advanced diagnostic testing in the province of Ontario: challenges and implications for laboratory technology assessment and management in decentralized healthcare systems. J Med Econ. 2022 Jan-Dec;25(1):993-1004. doi: 10.1080/13696998.2022.2101807. PMID: 35850613.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Avxentyev N.A., Derkach E.V., Makarova Yu.V. Pharmacoeconomic evaluation of using enzalutamide for treatment of patients with metastatic hormone-sensitive prostate cancer. Cancer Urology. 2022;18(1):90-105. (In Russ.) https://doi.org/10.17650/1726-9776-2022-18-1-90-105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Timothy Hanna et al., Real-world cost effectiveness of first-line pembrolizumab for advanced melanoma: A population-based study by the Canadian Real-world Evidence Value for Cancer Drugs (CanREValue) </w:t>
      </w:r>
      <w:proofErr w:type="gramStart"/>
      <w:r>
        <w:rPr>
          <w:rFonts w:ascii="Times New Roman" w:eastAsia="Times New Roman" w:hAnsi="Times New Roman" w:cs="Times New Roman"/>
          <w:color w:val="000000"/>
        </w:rPr>
        <w:t>Collaboration..</w:t>
      </w:r>
      <w:proofErr w:type="gramEnd"/>
      <w:r>
        <w:rPr>
          <w:rFonts w:ascii="Times New Roman" w:eastAsia="Times New Roman" w:hAnsi="Times New Roman" w:cs="Times New Roman"/>
          <w:color w:val="000000"/>
        </w:rPr>
        <w:t xml:space="preserve"> JCO 40, 17-17(2022). </w:t>
      </w:r>
      <w:proofErr w:type="gramStart"/>
      <w:r>
        <w:rPr>
          <w:rFonts w:ascii="Times New Roman" w:eastAsia="Times New Roman" w:hAnsi="Times New Roman" w:cs="Times New Roman"/>
          <w:color w:val="000000"/>
        </w:rPr>
        <w:t>DOI:10.1200/JCO.2022.40.28_suppl</w:t>
      </w:r>
      <w:proofErr w:type="gramEnd"/>
      <w:r>
        <w:rPr>
          <w:rFonts w:ascii="Times New Roman" w:eastAsia="Times New Roman" w:hAnsi="Times New Roman" w:cs="Times New Roman"/>
          <w:color w:val="000000"/>
        </w:rPr>
        <w:t>.017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Fang Y, Cheng H, Li X, Xu Y, Xu H, Chen Z, Cai W, Liu C, Cao J. Short-term exposure to ambient air pollution and atrial fibrillation hospitalization: A time-series study in Yancheng, China. Ecotoxicol Environ Saf. 2021 Nov </w:t>
      </w:r>
      <w:proofErr w:type="gramStart"/>
      <w:r>
        <w:rPr>
          <w:rFonts w:ascii="Times New Roman" w:eastAsia="Times New Roman" w:hAnsi="Times New Roman" w:cs="Times New Roman"/>
          <w:color w:val="000000"/>
        </w:rPr>
        <w:t>10;228:112961</w:t>
      </w:r>
      <w:proofErr w:type="gramEnd"/>
      <w:r>
        <w:rPr>
          <w:rFonts w:ascii="Times New Roman" w:eastAsia="Times New Roman" w:hAnsi="Times New Roman" w:cs="Times New Roman"/>
          <w:color w:val="000000"/>
        </w:rPr>
        <w:t>. doi: 10.1016/j.ecoenv.2021.112961. Epub ahead of print. PMID: 34773847.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Wiyani A, Badgujar L, Khurana V, Adlard N. How have Economic Evaluations in Relapsing Multiple Sclerosis Evolved Over Time? A Systematic Literature Review. Neurol Ther. 2021 Dec;10(2):557-583. doi: 10.1007/s40120-021-00264-1. Epub 2021 Jul 19. PMID: 34279847; PMCID: PMC8571458.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Koilakou S, Petrou P. Economic Evaluation of Monoclonal Antibodies in Metastatic Colorectal Cancer: A Systematic Review. Mol Diagn Ther. 2021 Nov;25(6):715-734. doi: 10.1007/s40291-021-00560-4. Epub 2021 Nov 24. PMID: 34816395.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Cao G, Shen L, Evans R, Zhang Z, Bi Q, Huang W, Yao R, Zhang W. Analysis of social media data for public emotion on the Wuhan lockdown event during the COVID-19 pandemic. Comput Methods Programs Biomed. 2021 </w:t>
      </w:r>
      <w:proofErr w:type="gramStart"/>
      <w:r>
        <w:rPr>
          <w:rFonts w:ascii="Times New Roman" w:eastAsia="Times New Roman" w:hAnsi="Times New Roman" w:cs="Times New Roman"/>
          <w:color w:val="000000"/>
        </w:rPr>
        <w:t>Nov;212:106468</w:t>
      </w:r>
      <w:proofErr w:type="gramEnd"/>
      <w:r>
        <w:rPr>
          <w:rFonts w:ascii="Times New Roman" w:eastAsia="Times New Roman" w:hAnsi="Times New Roman" w:cs="Times New Roman"/>
          <w:color w:val="000000"/>
        </w:rPr>
        <w:t>. doi: 10.1016/j.cmpb.2021.106468. Epub 2021 Oct 14. PMID: 34715513; PMCID: PMC8516441.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Chu C, Zhu Y, Liu C, Chen R, Yan Y, Ren Y, Li X, Wang J, Ge W, Kan H, Gui Y. Ambient fine particulate matter air pollution and the risk of preterm birth: A multicenter birth cohort study in China. Environ Pollut. 2021 Oct </w:t>
      </w:r>
      <w:proofErr w:type="gramStart"/>
      <w:r>
        <w:rPr>
          <w:rFonts w:ascii="Times New Roman" w:eastAsia="Times New Roman" w:hAnsi="Times New Roman" w:cs="Times New Roman"/>
          <w:color w:val="000000"/>
        </w:rPr>
        <w:t>15;287:117629</w:t>
      </w:r>
      <w:proofErr w:type="gramEnd"/>
      <w:r>
        <w:rPr>
          <w:rFonts w:ascii="Times New Roman" w:eastAsia="Times New Roman" w:hAnsi="Times New Roman" w:cs="Times New Roman"/>
          <w:color w:val="000000"/>
        </w:rPr>
        <w:t>. doi: 10.1016/j.envpol.2021.117629. Epub 2021 Jun 22. PMID: 34182393.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Suwantika AA, Supadmi W, Ali M, Abdulah R. Cost-effectiveness and budget impact analyses of dengue vaccination in Indonesia. PLoS Negl Trop Dis. 2021 Aug 12;15(8</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0009664. doi: 10.1371/journal.pntd.0009664. PMID: 34383764; PMCID: PMC8384188.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Huang X, Ma W, Law C, Luo J, Zhao N. Importance of applying Mixed Generalized Additive Model (MGAM) as a method for assessing the environmental health impacts: Ambient temperature and Acute Myocardial Infarction (AMI), among elderly in Shanghai, China. PLoS One. 2021 Aug 12;16(8</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0255767. doi: 10.1371/journal.pone.0255767. PMID: 34383808; PMCID: PMC8360529.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Bloem LT, Vreman RA, Peeters NWL, Hoekman J, van der Elst ME, Leufkens HGM, Klungel OH, Goettsch WG, Mantel-Teeuwisse AK. Associations between uncertainties identified by the European Medicines Agency and national decision making on reimbursement by HTA agencies. Clin Transl Sci. 2021 Jul;14(4):1566-1577. doi: 10.1111/cts.13027. Epub 2021 May 1. PMID: 33786991; PMCID: PMC8301545.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570167">
        <w:rPr>
          <w:rFonts w:ascii="Times New Roman" w:eastAsia="Times New Roman" w:hAnsi="Times New Roman" w:cs="Times New Roman"/>
          <w:color w:val="000000"/>
          <w:lang w:val="it-IT"/>
        </w:rPr>
        <w:t xml:space="preserve">Suzumura EA, Gama LM, Jahn B, Campolina AG, Carvalho HA, de Soárez PC. </w:t>
      </w:r>
      <w:r>
        <w:rPr>
          <w:rFonts w:ascii="Times New Roman" w:eastAsia="Times New Roman" w:hAnsi="Times New Roman" w:cs="Times New Roman"/>
          <w:color w:val="000000"/>
        </w:rPr>
        <w:t>Effects of 3D image-guided brachytherapy compared to 2D conventional brachytherapy on clinical outcomes in patients with cervical cancer: A systematic review and meta-analyses. Brachytherapy. 2021 Jul-Aug;20(4):710-737. doi: 10.1016/j.brachy.2021.03.004. Epub 2021 Apr 16. PMID: 33867297.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Metwally M, Chatters R, Dimairo M, Walters S, Pye C, White D, Bhide P, Chater T, Cheong Y, Choudhary M, Child T, Drakeley A, Evbuomwan I, Gelbaya T, Grace J, Harris P, Laird S, da Silva SM, Mohiyiddeen L, Pemberton K, Raine-Fenning N, Rajkhowa M, Young T, Cohen J. A randomised controlled trial to assess the clinical effectiveness and safety of the endometrial scratch procedure prior to first-time IVF, with or without ICSI. Hum Reprod. 2021 Jun 18;36(7):1841-1853. doi: 10.1093/humrep/deab041. PMID: 34050362; PMCID: PMC8213451.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Monga N, Garside J, Davids MS, Tam C, Ward K, Fotheringham I, O'Donovan P, Parisi L, Tapprich C. Systematic Literature Review of Economic Evaluations, Costs/Resource Use, and Quality of Life in Patients with Mantle Cell Lymphoma. Pharmacoecon Open. 2021 Jun;5(2):175-186. doi: 10.1007/s41669-020-00231-w. PMID: 32996067; PMCID: PMC8160060.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Ramjee, L. &amp; Tremblay, Gabriel &amp; Forsythe, A. &amp; Sandman, </w:t>
      </w:r>
      <w:proofErr w:type="gramStart"/>
      <w:r>
        <w:rPr>
          <w:rFonts w:ascii="Times New Roman" w:eastAsia="Times New Roman" w:hAnsi="Times New Roman" w:cs="Times New Roman"/>
          <w:color w:val="000000"/>
        </w:rPr>
        <w:t>K..</w:t>
      </w:r>
      <w:proofErr w:type="gramEnd"/>
      <w:r>
        <w:rPr>
          <w:rFonts w:ascii="Times New Roman" w:eastAsia="Times New Roman" w:hAnsi="Times New Roman" w:cs="Times New Roman"/>
          <w:color w:val="000000"/>
        </w:rPr>
        <w:t xml:space="preserve"> (2021). PNS6 Saving Lives or the Environment - How </w:t>
      </w:r>
      <w:proofErr w:type="gramStart"/>
      <w:r>
        <w:rPr>
          <w:rFonts w:ascii="Times New Roman" w:eastAsia="Times New Roman" w:hAnsi="Times New Roman" w:cs="Times New Roman"/>
          <w:color w:val="000000"/>
        </w:rPr>
        <w:t>about</w:t>
      </w:r>
      <w:proofErr w:type="gramEnd"/>
      <w:r>
        <w:rPr>
          <w:rFonts w:ascii="Times New Roman" w:eastAsia="Times New Roman" w:hAnsi="Times New Roman" w:cs="Times New Roman"/>
          <w:color w:val="000000"/>
        </w:rPr>
        <w:t xml:space="preserve"> Both? the Role of Health Technology Assessment (HTA) Bodies in Creating Sustainable Healthcare Systems. Value in Health. 24. S173-S174. 10.1016/j.jval.2021.04.861. </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Agrawal R, Vieira J, Ryan J, Negi H, Rajput T, Corbin R, Viana R. A Systematic Literature Review of the Economic Evaluations of Treatments for Patients with Chronic Myeloid Leukemia. Pharmacoeconomics. 2022 Dec;40(12):1159-1186. doi: 10.1007/s40273-022-01189-9. Epub 2022 Sep 30. PMID: 36175789.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Bagepally BS, Haridoss M, Natarajan M, Jeyashree K, Ponnaiah M. Cost-effectiveness of surgical mask, N-95 respirator, hand-hygiene and surgical mask with hand hygiene in the prevention of COVID-19: Cost effectiveness analysis from Indian context. Clin Epidemiol Glob Health. 2021 Apr-</w:t>
      </w:r>
      <w:proofErr w:type="gramStart"/>
      <w:r>
        <w:rPr>
          <w:rFonts w:ascii="Times New Roman" w:eastAsia="Times New Roman" w:hAnsi="Times New Roman" w:cs="Times New Roman"/>
          <w:color w:val="000000"/>
        </w:rPr>
        <w:t>Jun;10:100702</w:t>
      </w:r>
      <w:proofErr w:type="gramEnd"/>
      <w:r>
        <w:rPr>
          <w:rFonts w:ascii="Times New Roman" w:eastAsia="Times New Roman" w:hAnsi="Times New Roman" w:cs="Times New Roman"/>
          <w:color w:val="000000"/>
        </w:rPr>
        <w:t>. doi: 10.1016/j.cegh.2021.100702. Epub 2021 Feb 4. PMID: 33558852; PMCID: PMC7859732.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Latessa I, Ricciardi C, Jacob D, Jónsson H Jr, Gambacorta M, Improta G, Gargiulo P. Health technology assessment through Six Sigma Methodology to assess cemented and uncemented protheses in total hip arthroplasty. Eur J Transl Myol. 2021 Mar 9;31(1):9651. doi: 10.4081/ejtm.2021.9651. PMID: 33709655; PMCID: PMC8056159.</w:t>
      </w:r>
    </w:p>
    <w:p w:rsidR="00C65BDB" w:rsidRPr="00570167"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lang w:val="it-IT"/>
        </w:rPr>
      </w:pPr>
      <w:r w:rsidRPr="00570167">
        <w:rPr>
          <w:rFonts w:ascii="Times New Roman" w:eastAsia="Times New Roman" w:hAnsi="Times New Roman" w:cs="Times New Roman"/>
          <w:color w:val="000000"/>
          <w:lang w:val="it-IT"/>
        </w:rPr>
        <w:lastRenderedPageBreak/>
        <w:t xml:space="preserve">Burrai, F., Micheluzzi, V., &amp; Apuzzo, L. (2021). </w:t>
      </w:r>
      <w:r>
        <w:rPr>
          <w:rFonts w:ascii="Times New Roman" w:eastAsia="Times New Roman" w:hAnsi="Times New Roman" w:cs="Times New Roman"/>
          <w:color w:val="000000"/>
        </w:rPr>
        <w:t xml:space="preserve">Innovation Governance: Digital Health, Mobile Health, Big Data, Virtual Reality. </w:t>
      </w:r>
      <w:r w:rsidRPr="00570167">
        <w:rPr>
          <w:rFonts w:ascii="Times New Roman" w:eastAsia="Times New Roman" w:hAnsi="Times New Roman" w:cs="Times New Roman"/>
          <w:color w:val="000000"/>
          <w:lang w:val="it-IT"/>
        </w:rPr>
        <w:t>Giornale Di Clinica Nefrologica E Dialisi, 33(1), 42–50. https://doi.org/10.33393/gcnd.2021.2240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Trowman R, Powers A, Ollendorf DA. Considering and communicating uncertainty in health technology assessment. Int J Technol Assess Health Care. 2021 Jul 15;37(1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74. doi: 10.1017/S0266462321000453. PMID: 34261561.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Miglietta A, de Waure C, Chronaki C, Wild C, Favaretti C, Timen A, Edelstein M, Petelos E. Health technology assessment applied to emergency preparedness: a new perspective. Int J Technol Assess Health Care. 2021 Jul 16;37(1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77. doi: 10.1017/S0266462321000465. PMID: 34269171.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Durosini I, Janssens R, Arnou R, Veldwijk J, Smith MY, Monzani D, Smith I, Galli G, Garassino M, Katz EG, Bailo L, Louis E, Vandevelde M, Nackaerts K, de Wit GA, Pravettoni G, Huys I. Patient Preferences for Lung Cancer Treatment: A Qualitative Study Protocol Among Advanced Lung Cancer Patients. Front Public Health. 2021 Feb </w:t>
      </w:r>
      <w:proofErr w:type="gramStart"/>
      <w:r>
        <w:rPr>
          <w:rFonts w:ascii="Times New Roman" w:eastAsia="Times New Roman" w:hAnsi="Times New Roman" w:cs="Times New Roman"/>
          <w:color w:val="000000"/>
        </w:rPr>
        <w:t>5;9:622154</w:t>
      </w:r>
      <w:proofErr w:type="gramEnd"/>
      <w:r>
        <w:rPr>
          <w:rFonts w:ascii="Times New Roman" w:eastAsia="Times New Roman" w:hAnsi="Times New Roman" w:cs="Times New Roman"/>
          <w:color w:val="000000"/>
        </w:rPr>
        <w:t>. doi: 10.3389/fpubh.2021.622154. PMID: 33634069; PMCID: PMC7900128.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Wei Fang Dai et al., Real-world cost-effectiveness of pertuzumab (P) with trastuzumab + chemo (T+Chemo) in patients (pts) with metastatic breast cancer (MBC): A population-based retrospective cohort study by the Canadian Real-world Evidence for Value in Cancer Drugs (CanREValue) </w:t>
      </w:r>
      <w:proofErr w:type="gramStart"/>
      <w:r>
        <w:rPr>
          <w:rFonts w:ascii="Times New Roman" w:eastAsia="Times New Roman" w:hAnsi="Times New Roman" w:cs="Times New Roman"/>
          <w:color w:val="000000"/>
        </w:rPr>
        <w:t>collaboration..</w:t>
      </w:r>
      <w:proofErr w:type="gramEnd"/>
      <w:r>
        <w:rPr>
          <w:rFonts w:ascii="Times New Roman" w:eastAsia="Times New Roman" w:hAnsi="Times New Roman" w:cs="Times New Roman"/>
          <w:color w:val="000000"/>
        </w:rPr>
        <w:t xml:space="preserve"> JCO 39, 1048-1048(2021). </w:t>
      </w:r>
      <w:proofErr w:type="gramStart"/>
      <w:r>
        <w:rPr>
          <w:rFonts w:ascii="Times New Roman" w:eastAsia="Times New Roman" w:hAnsi="Times New Roman" w:cs="Times New Roman"/>
          <w:color w:val="000000"/>
        </w:rPr>
        <w:t>DOI:10.1200/JCO.2021.39.15_suppl</w:t>
      </w:r>
      <w:proofErr w:type="gramEnd"/>
      <w:r>
        <w:rPr>
          <w:rFonts w:ascii="Times New Roman" w:eastAsia="Times New Roman" w:hAnsi="Times New Roman" w:cs="Times New Roman"/>
          <w:color w:val="000000"/>
        </w:rPr>
        <w:t>.1048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Hu J, Fan H, Li Y, Li H, Tang M, Wen J, Huang C, Wang C, Gao Y, Kan H, Lin J, Chen R. Fine particulate matter constituents and heart rate variability: A panel study in Shanghai, China. Sci Total Environ. 2020 Dec </w:t>
      </w:r>
      <w:proofErr w:type="gramStart"/>
      <w:r>
        <w:rPr>
          <w:rFonts w:ascii="Times New Roman" w:eastAsia="Times New Roman" w:hAnsi="Times New Roman" w:cs="Times New Roman"/>
          <w:color w:val="000000"/>
        </w:rPr>
        <w:t>10;747:141199</w:t>
      </w:r>
      <w:proofErr w:type="gramEnd"/>
      <w:r>
        <w:rPr>
          <w:rFonts w:ascii="Times New Roman" w:eastAsia="Times New Roman" w:hAnsi="Times New Roman" w:cs="Times New Roman"/>
          <w:color w:val="000000"/>
        </w:rPr>
        <w:t>. doi: 10.1016/j.scitotenv.2020.141199. Epub 2020 Jul 25. PMID: 32771785.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PNS193 Capturing Environmental IMPACT in Health Technology Assessment of Medical Devices, Dimmock, P. et al. Value in Health, Volume 23, S673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PNS164 Payer Assessments of CELL and GENE Therapies: WHEN Is a Drug NOT a Drug? Gugliemini, O. et al. Value in Health, Volume 23, S668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Schlatter RP, Coutinho AP, Rodrigues JAP, et al. PP498 Decision Support Tool </w:t>
      </w:r>
      <w:proofErr w:type="gramStart"/>
      <w:r>
        <w:rPr>
          <w:rFonts w:ascii="Times New Roman" w:eastAsia="Times New Roman" w:hAnsi="Times New Roman" w:cs="Times New Roman"/>
          <w:color w:val="000000"/>
        </w:rPr>
        <w:t>For</w:t>
      </w:r>
      <w:proofErr w:type="gramEnd"/>
      <w:r>
        <w:rPr>
          <w:rFonts w:ascii="Times New Roman" w:eastAsia="Times New Roman" w:hAnsi="Times New Roman" w:cs="Times New Roman"/>
          <w:color w:val="000000"/>
        </w:rPr>
        <w:t xml:space="preserve"> Investments In Health Technology Replacement: Experience Of A Public Teaching Hospital In Brazil. International </w:t>
      </w:r>
      <w:r>
        <w:rPr>
          <w:rFonts w:ascii="Times New Roman" w:eastAsia="Times New Roman" w:hAnsi="Times New Roman" w:cs="Times New Roman"/>
          <w:color w:val="000000"/>
        </w:rPr>
        <w:lastRenderedPageBreak/>
        <w:t>Journal of Technology Assessment in Health Care. 2020;36(S1):38-39. doi:10.1017/S0266462320001841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Miller FA, Lehoux P, Rac VE, Bytautas JP, Krahn M, Peacock S. Modes of coordination for health technology adoption: Health Technology Assessment agencies and Group Procurement Organizations in a polycentric regulatory regime. Soc Sci Med. 2020 </w:t>
      </w:r>
      <w:proofErr w:type="gramStart"/>
      <w:r>
        <w:rPr>
          <w:rFonts w:ascii="Times New Roman" w:eastAsia="Times New Roman" w:hAnsi="Times New Roman" w:cs="Times New Roman"/>
          <w:color w:val="000000"/>
        </w:rPr>
        <w:t>Nov;265:113528</w:t>
      </w:r>
      <w:proofErr w:type="gramEnd"/>
      <w:r>
        <w:rPr>
          <w:rFonts w:ascii="Times New Roman" w:eastAsia="Times New Roman" w:hAnsi="Times New Roman" w:cs="Times New Roman"/>
          <w:color w:val="000000"/>
        </w:rPr>
        <w:t>. doi: 10.1016/j.socscimed.2020.113528. Epub 2020 Nov 17. PMID: 33261901.</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Niu Y, Chen R, Wang C, Wang W, Jiang J, Wu W, Cai J, Zhao Z, Xu X, Kan H. Ozone exposure leads to changes in airway permeability, microbiota and metabolome: a randomised, double-blind, crossover trial. Eur Respir J. 2020 Sep 3;56(3):2000165. doi: 10.1183/13993003.00165-2020. PMID: 32299865.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Facey KM, Rannanheimo P, Batchelor L, Borchardt M, de Cock J. Real-world evidence to support Payer/HTA decisions about highly innovative technologies in the EU-actions for stakeholders. Int J Technol Assess Health Care. 2020 Sep 3:1-10. doi: 10.1017/S026646232000063X. Epub ahead of print. PMID: 32878663.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Suwantika AA, Kautsar AP, Supadmi W, Zakiyah N, Abdulah R, Ali M, Postma MJ. Cost-Effectiveness of Dengue Vaccination in Indonesia: Considering Integrated Programs with Wolbachia-Infected Mosquitos and Health Education. Int J Environ Res Public Health. 2020 Jun 12;17(12):4217. doi: 10.3390/ijerph17124217. PMID: 32545688; PMCID: PMC7345186.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PNS138 MULTI-CRITERIA DECISION ANALYSIS (MCDA) FOR A BRAZILIAN HOSPITAL BASED HEALTH TECHNOLOGY ASSESSMENT UNIT Antonio, A.C. et al. Value in Health, Volume 23, S309 - S310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PRS10 COST-UTILITY ANALYSIS OF MEPOLIZUMAB VERSUS BENRALIZUMAB FOR SEVERE EOSINOPHILIC ASTHMA IN THE COLOMBIAN HEALTHCARE SYSTEM Rodríguez, E. et al. Value in Health, Volume 23, S350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do Nascimento DM, Machado KC, Bock PM, Saffi MAL, Goldraich LA, Silveira AD, Clausell N, Schaan BD. Cardiopulmonary exercise capacity and quality of life of patients with heart failure undergoing a functional training program: study protocol for a randomized clinical trial. BMC Cardiovasc Disord. </w:t>
      </w:r>
      <w:r>
        <w:rPr>
          <w:rFonts w:ascii="Times New Roman" w:eastAsia="Times New Roman" w:hAnsi="Times New Roman" w:cs="Times New Roman"/>
          <w:color w:val="000000"/>
        </w:rPr>
        <w:lastRenderedPageBreak/>
        <w:t>2020 Apr 25;20(1):200. doi: 10.1186/s12872-020-01481-6. PMID: 32334527; PMCID: PMC7183632.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Veličković VM, Chadwick P, Rippon MG, Ilić I, McGlone ER, Gebreslassie M, Csernus M, Streit I, Bordeanu A, Kaspar D, Linder J, Smola H. Cost-effectiveness of superabsorbent wound dressing versus standard of care in patients with moderate-to-highly exuding leg ulcers. J Wound Care. 2020 Apr 2;29(4):235-246. doi: 10.12968/jowc.2020.29.4.235. PMID: 32281509.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Cho E, Yoo SL, Kang Y, Lee JH. Reimbursement and pricing of regenerative medicine in South Korea: key factors for achieving reimbursement. Regen Med. 2020 Apr;15(4):1550-1560. doi: 10.2217/rme-2020-0035. Epub 2020 May 1. PMID: 32356480.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Wang C, Hao L, Liu C, Chen R, Wang W, Chen Y, Yang Y, Meng X, Fu Q, Ying Z, Kan H. Associations between fine particulate matter constituents and daily cardiovascular mortality in Shanghai, China. Ecotoxicol Environ Saf. 2020 Mar </w:t>
      </w:r>
      <w:proofErr w:type="gramStart"/>
      <w:r>
        <w:rPr>
          <w:rFonts w:ascii="Times New Roman" w:eastAsia="Times New Roman" w:hAnsi="Times New Roman" w:cs="Times New Roman"/>
          <w:color w:val="000000"/>
        </w:rPr>
        <w:t>15;191:110154</w:t>
      </w:r>
      <w:proofErr w:type="gramEnd"/>
      <w:r>
        <w:rPr>
          <w:rFonts w:ascii="Times New Roman" w:eastAsia="Times New Roman" w:hAnsi="Times New Roman" w:cs="Times New Roman"/>
          <w:color w:val="000000"/>
        </w:rPr>
        <w:t>. doi: 10.1016/j.ecoenv.2019.110154. Epub 2020 Jan 15. PMID: 31954217.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Rawson NSB. Alignment of health technology assessments and price negotiations for new drugs for rare disorders in Canada: Does it lead to improved patient access? J Popul Ther Clin Pharmacol. 2020 Feb 13;27(1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48-e64. doi: 10.15586/</w:t>
      </w:r>
      <w:proofErr w:type="gramStart"/>
      <w:r>
        <w:rPr>
          <w:rFonts w:ascii="Times New Roman" w:eastAsia="Times New Roman" w:hAnsi="Times New Roman" w:cs="Times New Roman"/>
          <w:color w:val="000000"/>
        </w:rPr>
        <w:t>jptcp.v</w:t>
      </w:r>
      <w:proofErr w:type="gramEnd"/>
      <w:r>
        <w:rPr>
          <w:rFonts w:ascii="Times New Roman" w:eastAsia="Times New Roman" w:hAnsi="Times New Roman" w:cs="Times New Roman"/>
          <w:color w:val="000000"/>
        </w:rPr>
        <w:t>27i1.658. PMID: 32124580.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Surr CA, Holloway I, Walwyn RE, Griffiths AW, Meads D, Kelley R, Martin A, McLellan V, Ballard C, Fossey J, Burnley N, Chenoweth L, Creese B, Downs M, Garrod L, Graham EH, Lilley-Kelley A, McDermid J, Millard H, Perfect D, Robinson L, Robinson O, Shoesmith E, Siddiqi N, Stokes G, Wallace D, Farrin AJ. Dementia Care Mapping™ to reduce agitation in care home residents with dementia: the EPIC cluster RCT. Health Technol Assess. 2020 Mar;24(16):1-172. doi: 10.3310/hta24160. PMID: 32216870; PMCID: PMC7132533.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Balijepalli C, Gullapalli L, Druyts E, Yan K, Desai K, Barakat S, Locklin J. Can Standard Health Technology Assessment Approaches Help Guide the Price of Orphan Drugs in Canada? A Review of Submissions to the Canadian Agency for Drugs and Technologies in Health Common Drug Review. Clinicoecon Outcomes Res. 2020 Aug </w:t>
      </w:r>
      <w:proofErr w:type="gramStart"/>
      <w:r>
        <w:rPr>
          <w:rFonts w:ascii="Times New Roman" w:eastAsia="Times New Roman" w:hAnsi="Times New Roman" w:cs="Times New Roman"/>
          <w:color w:val="000000"/>
        </w:rPr>
        <w:t>24;12:445</w:t>
      </w:r>
      <w:proofErr w:type="gramEnd"/>
      <w:r>
        <w:rPr>
          <w:rFonts w:ascii="Times New Roman" w:eastAsia="Times New Roman" w:hAnsi="Times New Roman" w:cs="Times New Roman"/>
          <w:color w:val="000000"/>
        </w:rPr>
        <w:t>-457. doi: 10.2147/CEOR.S264589. PMID: 32922050; PMCID: PMC7455764.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Earl H, Hiller L, Vallier AL, Loi S, McAdam K, Hughes-Davies L, Rea D, Howe D, Raynes K, Higgins HB, Wilcox M, Plummer C, Mahler-Araujo B, Provenzano E, Chhabra A, Gasson S, Balmer C, Abraham JE, Caldas C, Hall P, Shinkins B, McCabe C, Hulme C, Miles D, Wardley AM, Cameron DA, Dunn JA. Six versus 12 months' adjuvant trastuzumab in patients with HER2-positive early breast cancer: the PERSEPHONE non-inferiority RCT. Health Technol Assess. 2020 Aug;24(40):1-190. doi: 10.3310/hta24400. PMID: 32880572; PMCID: PMC7505360.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Tarricone R, Ciani O, Torbica A, Brouwer W, Chaloutsos G, Drummond MF, Martelli N, Persson U, Leidl R, Levin L, Sampietro-Colom L, Taylor RS. Lifecycle evidence requirements for high-risk implantable medical devices: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European perspective. Expert Rev Med Devices. 2020 Oct;17(10):993-1006. doi: 10.1080/17434440.2020.1825074. Epub 2020 Oct 23. PMID: 32975149.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Olson MS. Can real-world evidence save pharma US$1 billion per year? A framework for an integrated evidence generation strategy. J Comp Eff Res. 2020 Jan;9(2):79-82. doi: 10.2217/cer-2019-0162. Epub 2019 Nov 27. PMID: 31774337.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Vreman RA, Geenen JW, Hövels AM, Goettsch WG, Leufkens HGM, Al MJ. Phase I/II Clinical Trial-Based Early Economic Evaluation of Acalabrutinib for Relapsed Chronic Lymphocytic Leukaemia. Appl Health Econ Health Policy. 2019 Dec;17(6):883-893. doi: 10.1007/s40258-019-00496-1. PMID: 31317510; PMCID: PMC6885502.</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Booth N. VP08 Can Health-Economic Evaluation Provide a Representation of ‘Value </w:t>
      </w:r>
      <w:proofErr w:type="gramStart"/>
      <w:r>
        <w:rPr>
          <w:rFonts w:ascii="Times New Roman" w:eastAsia="Times New Roman" w:hAnsi="Times New Roman" w:cs="Times New Roman"/>
          <w:color w:val="000000"/>
        </w:rPr>
        <w:t>For</w:t>
      </w:r>
      <w:proofErr w:type="gramEnd"/>
      <w:r>
        <w:rPr>
          <w:rFonts w:ascii="Times New Roman" w:eastAsia="Times New Roman" w:hAnsi="Times New Roman" w:cs="Times New Roman"/>
          <w:color w:val="000000"/>
        </w:rPr>
        <w:t xml:space="preserve"> Money’ For HTA? International Journal of Technology Assessment in Health Care. 2019;35(S1):77-77. doi:10.1017/S0266462319002885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sidRPr="00570167">
        <w:rPr>
          <w:rFonts w:ascii="Times New Roman" w:eastAsia="Times New Roman" w:hAnsi="Times New Roman" w:cs="Times New Roman"/>
          <w:color w:val="000000"/>
          <w:lang w:val="it-IT"/>
        </w:rPr>
        <w:t xml:space="preserve">Varela-Lema L, Zapata-Cachafeiro M, Pego YT, Vallés MJF. </w:t>
      </w:r>
      <w:r>
        <w:rPr>
          <w:rFonts w:ascii="Times New Roman" w:eastAsia="Times New Roman" w:hAnsi="Times New Roman" w:cs="Times New Roman"/>
          <w:color w:val="000000"/>
        </w:rPr>
        <w:t xml:space="preserve">PP28 Adoption </w:t>
      </w:r>
      <w:proofErr w:type="gramStart"/>
      <w:r>
        <w:rPr>
          <w:rFonts w:ascii="Times New Roman" w:eastAsia="Times New Roman" w:hAnsi="Times New Roman" w:cs="Times New Roman"/>
          <w:color w:val="000000"/>
        </w:rPr>
        <w:t>Of</w:t>
      </w:r>
      <w:proofErr w:type="gramEnd"/>
      <w:r>
        <w:rPr>
          <w:rFonts w:ascii="Times New Roman" w:eastAsia="Times New Roman" w:hAnsi="Times New Roman" w:cs="Times New Roman"/>
          <w:color w:val="000000"/>
        </w:rPr>
        <w:t xml:space="preserve"> Non-Pharmaceuticals In Galicia: Beyond Conventional Health Technology Assessment. International Journal of Technology Assessment in Health Care. 2019;35(S1):41-42. doi:10.1017/S0266462319001934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Schnell-Inderst P, Wild C. PP32 Joint Early Dialogs Between Medical Device Regulation and Health Technology Assessment. International Journal of Technology Assessment in Health Care. 2019;35(S1):43-43. doi:10.1017/S026646231900196X</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Houyez F, Camp R. OP27 Engaging Patients: The EuroCAB Programme. International Journal of Technology Assessment in Health Care. 2019;35(S1):6-6. doi:10.1017/S0266462319000989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Clearfield E, Naber JA, Tunis S, Messner D. OP163 Health Technology Assessment Participation </w:t>
      </w:r>
      <w:proofErr w:type="gramStart"/>
      <w:r>
        <w:rPr>
          <w:rFonts w:ascii="Times New Roman" w:eastAsia="Times New Roman" w:hAnsi="Times New Roman" w:cs="Times New Roman"/>
          <w:color w:val="000000"/>
        </w:rPr>
        <w:t>And</w:t>
      </w:r>
      <w:proofErr w:type="gramEnd"/>
      <w:r>
        <w:rPr>
          <w:rFonts w:ascii="Times New Roman" w:eastAsia="Times New Roman" w:hAnsi="Times New Roman" w:cs="Times New Roman"/>
          <w:color w:val="000000"/>
        </w:rPr>
        <w:t xml:space="preserve"> Prioritization In Core Outcome Set Development. International Journal of Technology Assessment in Health Care. 2019;35(S1):35-35. doi:10.1017/S0266462319001764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PCN56 A MEA IS A MEA IS A MEA? ANALYSIS OF THE SEQUENTIAL DECISION MAKING AND THE IMPACT OF DIFFERENT OPTIMIZED MANAGED ENTRY AGREEMENTS AT THE MANUFACTURER &amp;PAYER LEVEL, USING A CASE STUDY OF AN ONCOLOGY DRUG IN THE UK Buyukkaramikli, N.C. et al. Value in Health, Volume 22, S446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PNS214 STEPS OF THE CREATION OF A HTA-INFORMED HEALTH CARE DECISION-MAKING ECOSYSTEM IN UKRAINE Piniazhko, O. et al. Value in Health, Volume 22, S797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Janssens R, Huys I, van Overbeeke E, Whichello C, Harding S, Kübler J, Juhaeri J, Ciaglia A, Simoens S, Stevens H, Smith M, Levitan B, Cleemput I, de Bekker-Grob E, Veldwijk J. Opportunities and challenges for the inclusion of patient preferences in the medical product life cycle: a systematic review. BMC Med Inform Decis Mak. 2019 Oct 4;19(1):189. doi: 10.1186/s12911-019-0875-z. PMID: 31585538; PMCID: PMC6778383.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Janssens R, Russo S, van Overbeeke E, Whichello C, Harding S, Kübler J, Juhaeri J, Bywall KS, Comanescu A, Hueber A, Englbrecht M, Nikolenko N, Pravettoni G, Simoens S, Stevens H, Hermann R, Levitan B, Cleemput I, de Bekker-Grob E, Veldwijk J, Huys I. Patient Preferences in the Medical Product Life Cycle: What do Stakeholders Think? Semi-Structured Qualitative Interviews in Europe and the USA. Patient. 2019 Oct;12(5):513-526. doi: 10.1007/s40271-019-00367-w. PMID: 31222436; PMCID: PMC6697755.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Jahn B, Kurzthaler C, Chhatwal J, Elbasha EH, Conrads-Frank A, Rochau U, Sroczynski G, Urach C, Bundo M, Popper N, Siebert U. Alternative Conversion Methods for Transition Probabilities in State-Transition Models: Validity and Impact on Comparative Effectiveness and Cost-Effectiveness. Med Decis Making. 2019 Jul;39(5):509-522. doi: 10.1177/0272989X19851095. Epub 2019 Jun 28. PMID: 31253053.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Naujokienė V, Šarauskis E, Bleizgys R, Sasnauskienė J. Soil biotreatment effectiveness for reducing global warming potential from main polluting tillage operations in life cycle assessment phase. Sci Total </w:t>
      </w:r>
      <w:r>
        <w:rPr>
          <w:rFonts w:ascii="Times New Roman" w:eastAsia="Times New Roman" w:hAnsi="Times New Roman" w:cs="Times New Roman"/>
          <w:color w:val="000000"/>
        </w:rPr>
        <w:lastRenderedPageBreak/>
        <w:t xml:space="preserve">Environ. 2019 Jun </w:t>
      </w:r>
      <w:proofErr w:type="gramStart"/>
      <w:r>
        <w:rPr>
          <w:rFonts w:ascii="Times New Roman" w:eastAsia="Times New Roman" w:hAnsi="Times New Roman" w:cs="Times New Roman"/>
          <w:color w:val="000000"/>
        </w:rPr>
        <w:t>25;671:805</w:t>
      </w:r>
      <w:proofErr w:type="gramEnd"/>
      <w:r>
        <w:rPr>
          <w:rFonts w:ascii="Times New Roman" w:eastAsia="Times New Roman" w:hAnsi="Times New Roman" w:cs="Times New Roman"/>
          <w:color w:val="000000"/>
        </w:rPr>
        <w:t>-817. doi: 10.1016/j.scitotenv.2019.03.338. Epub 2019 Mar 28. PMID: 30947054.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Pearce F, Lin L, Teo E, Ng K, Khoo D. Health Technology Assessment and Its Use in Drug Policies: Singapore. Value Health Reg Issues. 2019 </w:t>
      </w:r>
      <w:proofErr w:type="gramStart"/>
      <w:r>
        <w:rPr>
          <w:rFonts w:ascii="Times New Roman" w:eastAsia="Times New Roman" w:hAnsi="Times New Roman" w:cs="Times New Roman"/>
          <w:color w:val="000000"/>
        </w:rPr>
        <w:t>May;18:176</w:t>
      </w:r>
      <w:proofErr w:type="gramEnd"/>
      <w:r>
        <w:rPr>
          <w:rFonts w:ascii="Times New Roman" w:eastAsia="Times New Roman" w:hAnsi="Times New Roman" w:cs="Times New Roman"/>
          <w:color w:val="000000"/>
        </w:rPr>
        <w:t>-183. doi: 10.1016/j.vhri.2018.03.007. Epub 2018 Jun 25. PMID: 29954696.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Mambrey V, Wermuth I, Böse-O'Reilly S. Auswirkungen von Extremwetterereignissen auf die psychische Gesundheit von Kindern und Jugendlichen [Extreme weather events and their impact on the mental health of children and adolescents]. Bundesgesundheitsblatt Gesundheitsforschung Gesundheitsschutz. 2019 May;62(5):599-604. German. doi: 10.1007/s00103-019-02937-7. PMID: 30976819.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Landrigan PJ, Fuller R, Fisher S, Suk WA, Sly P, Chiles TC, Bose-O'Reilly S. Pollution and children's health. Sci Total Environ. 2019 Feb 10;650(Pt 2):2389-2394. doi: 10.1016/j.scitotenv.2018.09.375. Epub 2018 Oct 2. PMID: 30292994.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Nicod E, Annemans L, Bucsics A, Lee A, Upadhyaya S, Facey K. HTA programme response to the challenges of dealing with orphan medicinal products: Process evaluation in selected European countries. Health Policy. 2019 Feb;123(2):140-151. doi: 10.1016/j.healthpol.2017.03.009. Epub 2017 Mar 28. PMID: 28400128.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Cox, Peter &amp; Williamson, Paula &amp; Dodd, Susanna. (2021). A pilot study assessing the uptake of core outcome sets in health technology assessments. F1000Research. 10. 1084. 10.12688/f1000research.73647.1. </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Bujar M, McAuslane N, Walker SR, Salek S. Quality Decision Making in Health Technology Assessment: Issues Facing Companies and Agencies. Ther Innov Regul Sci. 2020 Mar;54(2):275-282. doi: 10.1007/s43441-019-00054-w. Epub 2020 Jan 8. PMID: 32072598.</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Christiansen H, Bauer A, Fatima B, Goodyear M, Lund IO, Zechmeister-Koss I, Paul JL. Improving Identification and Child-Focused Collaborative Care for Children of Parents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a Mental Illness in Tyrol, Austria. Front Psychiatry. 2019 Apr </w:t>
      </w:r>
      <w:proofErr w:type="gramStart"/>
      <w:r>
        <w:rPr>
          <w:rFonts w:ascii="Times New Roman" w:eastAsia="Times New Roman" w:hAnsi="Times New Roman" w:cs="Times New Roman"/>
          <w:color w:val="000000"/>
        </w:rPr>
        <w:t>17;10:233</w:t>
      </w:r>
      <w:proofErr w:type="gramEnd"/>
      <w:r>
        <w:rPr>
          <w:rFonts w:ascii="Times New Roman" w:eastAsia="Times New Roman" w:hAnsi="Times New Roman" w:cs="Times New Roman"/>
          <w:color w:val="000000"/>
        </w:rPr>
        <w:t>. doi: 10.3389/fpsyt.2019.00233. PMID: 31057440; PMCID: PMC6478760.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Whichello C, van Overbeeke E, Janssens R, Schölin Bywall K, Russo S, Veldwijk J, Cleemput I, Juhaeri J, Levitan B, Kübler J, Smith M, Hermann R, Englbrecht M, Hueber AJ, Comanescu A, Harding S, Simoens S, Huys I, de Bekker-Grob EW. Factors and Situations Affecting the Value of Patient Preference Studies: Semi-Structured Interviews in Europe and the US. Front Pharmacol. 2019 Sep </w:t>
      </w:r>
      <w:proofErr w:type="gramStart"/>
      <w:r>
        <w:rPr>
          <w:rFonts w:ascii="Times New Roman" w:eastAsia="Times New Roman" w:hAnsi="Times New Roman" w:cs="Times New Roman"/>
          <w:color w:val="000000"/>
        </w:rPr>
        <w:t>18;10:1009</w:t>
      </w:r>
      <w:proofErr w:type="gramEnd"/>
      <w:r>
        <w:rPr>
          <w:rFonts w:ascii="Times New Roman" w:eastAsia="Times New Roman" w:hAnsi="Times New Roman" w:cs="Times New Roman"/>
          <w:color w:val="000000"/>
        </w:rPr>
        <w:t>. doi: 10.3389/fphar.2019.01009. PMID: 31619989; PMCID: PMC6759933.</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van Overbeeke E, Janssens R, Whichello C, Schölin Bywall K, Sharpe J, Nikolenko N, Phillips BS, Guiddi P, Pravettoni G, Vergani L, Marton G, Cleemput I, Simoens S, Kübler J, Juhaeri J, Levitan B, de Bekker-Grob EW, Veldwijk J, Huys I. Design, Conduct, and Use of Patient Preference Studies in the Medical Product Life Cycle: A Multi-Method Study. Front Pharmacol. 2019 Dec </w:t>
      </w:r>
      <w:proofErr w:type="gramStart"/>
      <w:r>
        <w:rPr>
          <w:rFonts w:ascii="Times New Roman" w:eastAsia="Times New Roman" w:hAnsi="Times New Roman" w:cs="Times New Roman"/>
          <w:color w:val="000000"/>
        </w:rPr>
        <w:t>3;10:1395</w:t>
      </w:r>
      <w:proofErr w:type="gramEnd"/>
      <w:r>
        <w:rPr>
          <w:rFonts w:ascii="Times New Roman" w:eastAsia="Times New Roman" w:hAnsi="Times New Roman" w:cs="Times New Roman"/>
          <w:color w:val="000000"/>
        </w:rPr>
        <w:t>. doi: 10.3389/fphar.2019.01395. PMID: 31849657; PMCID: PMC6902285.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Alzaabi A, Bell JP, Montero-Arias F, Price DB, Jackson DJ, Wang HC, Budgen N, Farouk H, Maslova E. Greenhouse Gas Emissions from Respiratory Treatments: Results from the SABA CARBON International Study. Adv Ther. 2023 Nov;40(11):4836-4856. doi: 10.1007/s12325-023-02663-2. Epub 2023 Sep 9. PMID: 37684493; PMCID: PMC10567885.</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Agrawal R, Vieira J, Ryan J, Negi H, Rajput T, Corbin R, Viana R. A Systematic Literature Review of the Economic Evaluations of Treatments for Patients with Chronic Myeloid Leukemia. Pharmacoeconomics. 2022 Dec;40(12):1159-1186. doi: 10.1007/s40273-022-01189-9. Epub 2022 Sep 30. PMID: 36175789.</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Caskey FJ, Procter S, MacNeill SJ, Wade J, Taylor J, Rooshenas L, Liu Y, Annaw A, Alloway K, Davenport A, Power A, Farrington K, Mitra S, Wheeler DC, Law K, Lewis-White H, Ben-Shlomo Y, Hollingworth W, Donovan J, Lane JA. The high-volume haemodiafiltration vs high-flux haemodialysis registry trial (H4RT): a multi-centre, unblinded, randomised, parallel-group, superiority study to compare the effectiveness and cost-effectiveness of high-volume haemodiafiltration and high-flux haemodialysis in people with kidney failure on maintenance dialysis using linkage to routine healthcare databases for outcomes. Trials. 2022 Jun 27;23(1):532. doi: 10.1186/s13063-022-06357-y. PMID: 35761367; PMCID: PMC9235280.</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Bagepally BS, Chaikledkaew U, Youngkong S, Anothaisintawee T, Thavorncharoensap M, Dejthevaporn C, Thakkinstian A. Cost-Utility Analysis of Dapagliflozin Compared to Sulfonylureas for Type 2 </w:t>
      </w:r>
      <w:r>
        <w:rPr>
          <w:rFonts w:ascii="Times New Roman" w:eastAsia="Times New Roman" w:hAnsi="Times New Roman" w:cs="Times New Roman"/>
          <w:color w:val="000000"/>
        </w:rPr>
        <w:lastRenderedPageBreak/>
        <w:t xml:space="preserve">Diabetes as Second-Line Treatment in Indian Healthcare Payer's Perspective. Clinicoecon Outcomes Res. 2021 Oct </w:t>
      </w:r>
      <w:proofErr w:type="gramStart"/>
      <w:r>
        <w:rPr>
          <w:rFonts w:ascii="Times New Roman" w:eastAsia="Times New Roman" w:hAnsi="Times New Roman" w:cs="Times New Roman"/>
          <w:color w:val="000000"/>
        </w:rPr>
        <w:t>22;13:897</w:t>
      </w:r>
      <w:proofErr w:type="gramEnd"/>
      <w:r>
        <w:rPr>
          <w:rFonts w:ascii="Times New Roman" w:eastAsia="Times New Roman" w:hAnsi="Times New Roman" w:cs="Times New Roman"/>
          <w:color w:val="000000"/>
        </w:rPr>
        <w:t>-907. doi: 10.2147/CEOR.S328433. PMID: 34712053; PMCID: PMC8548256.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Chan KKW, Cheung MC, Regier DA, Hay A, Louie AV, Cheung WY, Tarride JE, Udayakumar S, Mittmann N. The Past, Present, and Future of Economic Evaluations of Precision Medicine at the Committee for Economic Analyses of the Canadian Cancer Trials Group. Curr Oncol. 2021 Sep 21;28(5):3649-3658. doi: 10.3390/curroncol28050311. PMID: 34590616; PMCID: PMC8482104.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Mueller V, Wardley A, Paplomata E, Hamilton E, Zelnak A, Fehrenbacher L, Jakobsen E, Curtit E, Boyle F, Harder Brix E, Brenner A, Crouzet L, Ferrario C, Muñoz-Mateu M, Arkenau HT, Iqbal N, Aithal S, Block M, Cold S, Cancel M, Hahn O, Poosarla T, Stringer-Reasor E, Colleoni M, Cameron D, Curigliano G, Siadak M, DeBusk K, Ramos J, Feng W, Gelmon K. Preservation of quality of life in patients with human epidermal growth factor receptor 2-positive metastatic breast cancer treated with tucatinib or placebo when added to trastuzumab and capecitabine (HER2CLIMB trial). Eur J Cancer. 2021 </w:t>
      </w:r>
      <w:proofErr w:type="gramStart"/>
      <w:r>
        <w:rPr>
          <w:rFonts w:ascii="Times New Roman" w:eastAsia="Times New Roman" w:hAnsi="Times New Roman" w:cs="Times New Roman"/>
          <w:color w:val="000000"/>
        </w:rPr>
        <w:t>Aug;153:223</w:t>
      </w:r>
      <w:proofErr w:type="gramEnd"/>
      <w:r>
        <w:rPr>
          <w:rFonts w:ascii="Times New Roman" w:eastAsia="Times New Roman" w:hAnsi="Times New Roman" w:cs="Times New Roman"/>
          <w:color w:val="000000"/>
        </w:rPr>
        <w:t>-233. doi: 10.1016/j.ejca.2021.05.025. Epub 2021 Jun 29. PMID: 34214937.</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van Overbeeke E, Michelsen S, Hauber B, Peerlinck K, Hermans C, Lambert C, Goldman M, Simoens S, Huys I. Patient perspectives regarding gene therapy in haemophilia: Interviews from the PAVING study. Haemophilia. 2021 Jan;27(1):129-136. doi: 10.1111/hae.14190. Epub 2020 Nov 7. PMID: 33161616; PMCID: PMC7894464.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Lei X, Liu B. Tapetum-Dependent Male Meiosis Progression in Plants: Increasing Evidence Emerges. Front Plant Sci. 2020 Jan </w:t>
      </w:r>
      <w:proofErr w:type="gramStart"/>
      <w:r>
        <w:rPr>
          <w:rFonts w:ascii="Times New Roman" w:eastAsia="Times New Roman" w:hAnsi="Times New Roman" w:cs="Times New Roman"/>
          <w:color w:val="000000"/>
        </w:rPr>
        <w:t>16;10:1667</w:t>
      </w:r>
      <w:proofErr w:type="gramEnd"/>
      <w:r>
        <w:rPr>
          <w:rFonts w:ascii="Times New Roman" w:eastAsia="Times New Roman" w:hAnsi="Times New Roman" w:cs="Times New Roman"/>
          <w:color w:val="000000"/>
        </w:rPr>
        <w:t>. doi: 10.3389/fpls.2019.01667. PMID: 32010157; PMCID: PMC6979054.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Cook N, Gey J, Oezel B, Mackay AJ, Kumari C, Kaur VP, Larkin N, Harte J, Vergara-Muro S, Gutzwiller FS. Impact of cough and mucus on COPD patients: primary insights from an exploratory study with an Online Patient Community. Int J Chron Obstruct Pulmon Dis. 2019 Jun </w:t>
      </w:r>
      <w:proofErr w:type="gramStart"/>
      <w:r>
        <w:rPr>
          <w:rFonts w:ascii="Times New Roman" w:eastAsia="Times New Roman" w:hAnsi="Times New Roman" w:cs="Times New Roman"/>
          <w:color w:val="000000"/>
        </w:rPr>
        <w:t>24;14:1365</w:t>
      </w:r>
      <w:proofErr w:type="gramEnd"/>
      <w:r>
        <w:rPr>
          <w:rFonts w:ascii="Times New Roman" w:eastAsia="Times New Roman" w:hAnsi="Times New Roman" w:cs="Times New Roman"/>
          <w:color w:val="000000"/>
        </w:rPr>
        <w:t>-1376. doi: 10.2147/COPD.S202580. PMID: 31417250; PMCID: PMC6599966.</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Sehnalová I, Říhová B, Demlová R. Bevacizumab treatment in metastatic colorectal carcinoma - an economic perspective. Ceska Slov Farm. 2019 Summer;68(2):43-47. English. PMID: 31331174.</w:t>
      </w:r>
    </w:p>
    <w:p w:rsidR="00C65BDB" w:rsidRDefault="00DF011C">
      <w:pPr>
        <w:pBdr>
          <w:top w:val="nil"/>
          <w:left w:val="nil"/>
          <w:bottom w:val="nil"/>
          <w:right w:val="nil"/>
          <w:between w:val="nil"/>
        </w:pBdr>
        <w:spacing w:after="0"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Magwood O, Kpadé V, Thavorn K, Oliver S, Mayhew AD, Pottie K. Effectiveness of home-based records on maternal, newborn and child health outcomes: A systematic review and meta-analysis. PLoS One. 2019 Jan 2;14(1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0209278. doi: 10.1371/journal.pone.0209278. Erratum in: PLoS One. 2019 Feb 14;14(2</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0212698. doi: 10.1371/journal.pone.0212698. PMID: 30601847; PMCID: PMC6314587.</w:t>
      </w:r>
    </w:p>
    <w:p w:rsidR="00C65BDB" w:rsidRDefault="00C65BDB">
      <w:pPr>
        <w:widowControl w:val="0"/>
        <w:spacing w:after="0" w:line="276" w:lineRule="auto"/>
        <w:ind w:left="720"/>
        <w:rPr>
          <w:rFonts w:ascii="Times New Roman" w:eastAsia="Times New Roman" w:hAnsi="Times New Roman" w:cs="Times New Roman"/>
          <w:sz w:val="24"/>
          <w:szCs w:val="24"/>
        </w:rPr>
        <w:sectPr w:rsidR="00C65BDB">
          <w:pgSz w:w="11906" w:h="16838"/>
          <w:pgMar w:top="1417" w:right="1134" w:bottom="1134" w:left="1134" w:header="708" w:footer="708" w:gutter="0"/>
          <w:cols w:space="720"/>
        </w:sectPr>
      </w:pPr>
    </w:p>
    <w:p w:rsidR="00C65BDB" w:rsidRDefault="00DF011C">
      <w:pPr>
        <w:keepNext/>
        <w:keepLines/>
        <w:spacing w:line="240" w:lineRule="auto"/>
        <w:rPr>
          <w:b/>
        </w:rPr>
      </w:pPr>
      <w:r>
        <w:rPr>
          <w:rFonts w:ascii="Arial" w:eastAsia="Arial" w:hAnsi="Arial" w:cs="Arial"/>
          <w:b/>
        </w:rPr>
        <w:lastRenderedPageBreak/>
        <w:t>Preferred Reporting Items for Systematic reviews and Meta-Analyses extension for Scoping Reviews (PRISMA-ScR) Checklist</w:t>
      </w:r>
    </w:p>
    <w:tbl>
      <w:tblPr>
        <w:tblStyle w:val="ae"/>
        <w:tblW w:w="9585" w:type="dxa"/>
        <w:tblInd w:w="-1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25"/>
        <w:gridCol w:w="810"/>
        <w:gridCol w:w="5265"/>
        <w:gridCol w:w="1485"/>
      </w:tblGrid>
      <w:tr w:rsidR="00C65BDB">
        <w:trPr>
          <w:tblHeader/>
        </w:trPr>
        <w:tc>
          <w:tcPr>
            <w:tcW w:w="2025" w:type="dxa"/>
            <w:shd w:val="clear" w:color="auto" w:fill="2E5D8B"/>
            <w:vAlign w:val="center"/>
          </w:tcPr>
          <w:p w:rsidR="00C65BDB" w:rsidRDefault="00DF011C">
            <w:pPr>
              <w:rPr>
                <w:b/>
                <w:color w:val="F2F2F2"/>
                <w:sz w:val="20"/>
                <w:szCs w:val="20"/>
              </w:rPr>
            </w:pPr>
            <w:r>
              <w:rPr>
                <w:rFonts w:ascii="Arial" w:eastAsia="Arial" w:hAnsi="Arial" w:cs="Arial"/>
                <w:b/>
                <w:color w:val="F2F2F2"/>
                <w:sz w:val="20"/>
                <w:szCs w:val="20"/>
              </w:rPr>
              <w:t>SECTION</w:t>
            </w:r>
          </w:p>
        </w:tc>
        <w:tc>
          <w:tcPr>
            <w:tcW w:w="810" w:type="dxa"/>
            <w:shd w:val="clear" w:color="auto" w:fill="2E5D8B"/>
            <w:vAlign w:val="center"/>
          </w:tcPr>
          <w:p w:rsidR="00C65BDB" w:rsidRDefault="00DF011C">
            <w:pPr>
              <w:jc w:val="center"/>
              <w:rPr>
                <w:b/>
                <w:color w:val="F2F2F2"/>
                <w:sz w:val="20"/>
                <w:szCs w:val="20"/>
              </w:rPr>
            </w:pPr>
            <w:r>
              <w:rPr>
                <w:rFonts w:ascii="Arial" w:eastAsia="Arial" w:hAnsi="Arial" w:cs="Arial"/>
                <w:b/>
                <w:color w:val="F2F2F2"/>
                <w:sz w:val="20"/>
                <w:szCs w:val="20"/>
              </w:rPr>
              <w:t>ITEM</w:t>
            </w:r>
          </w:p>
        </w:tc>
        <w:tc>
          <w:tcPr>
            <w:tcW w:w="5265" w:type="dxa"/>
            <w:shd w:val="clear" w:color="auto" w:fill="2E5D8B"/>
            <w:vAlign w:val="center"/>
          </w:tcPr>
          <w:p w:rsidR="00C65BDB" w:rsidRDefault="00DF011C">
            <w:pPr>
              <w:rPr>
                <w:b/>
                <w:color w:val="F2F2F2"/>
                <w:sz w:val="20"/>
                <w:szCs w:val="20"/>
              </w:rPr>
            </w:pPr>
            <w:r>
              <w:rPr>
                <w:rFonts w:ascii="Arial" w:eastAsia="Arial" w:hAnsi="Arial" w:cs="Arial"/>
                <w:b/>
                <w:color w:val="F2F2F2"/>
                <w:sz w:val="20"/>
                <w:szCs w:val="20"/>
              </w:rPr>
              <w:t>PRISMA-ScR CHECKLIST ITEM</w:t>
            </w:r>
          </w:p>
        </w:tc>
        <w:tc>
          <w:tcPr>
            <w:tcW w:w="1485" w:type="dxa"/>
            <w:shd w:val="clear" w:color="auto" w:fill="2E5D8B"/>
            <w:vAlign w:val="center"/>
          </w:tcPr>
          <w:p w:rsidR="00C65BDB" w:rsidRDefault="00DF011C">
            <w:pPr>
              <w:rPr>
                <w:b/>
                <w:color w:val="F2F2F2"/>
                <w:sz w:val="20"/>
                <w:szCs w:val="20"/>
              </w:rPr>
            </w:pPr>
            <w:r>
              <w:rPr>
                <w:rFonts w:ascii="Arial" w:eastAsia="Arial" w:hAnsi="Arial" w:cs="Arial"/>
                <w:b/>
                <w:color w:val="F2F2F2"/>
                <w:sz w:val="20"/>
                <w:szCs w:val="20"/>
              </w:rPr>
              <w:t>REPORTED ON PAGE #</w:t>
            </w:r>
          </w:p>
        </w:tc>
      </w:tr>
      <w:tr w:rsidR="00C65BDB">
        <w:tc>
          <w:tcPr>
            <w:tcW w:w="9585" w:type="dxa"/>
            <w:gridSpan w:val="4"/>
            <w:shd w:val="clear" w:color="auto" w:fill="CEDEEE"/>
            <w:vAlign w:val="center"/>
          </w:tcPr>
          <w:p w:rsidR="00C65BDB" w:rsidRDefault="00DF011C">
            <w:pPr>
              <w:rPr>
                <w:b/>
                <w:sz w:val="20"/>
                <w:szCs w:val="20"/>
              </w:rPr>
            </w:pPr>
            <w:r>
              <w:rPr>
                <w:rFonts w:ascii="Arial" w:eastAsia="Arial" w:hAnsi="Arial" w:cs="Arial"/>
                <w:b/>
                <w:sz w:val="20"/>
                <w:szCs w:val="20"/>
              </w:rPr>
              <w:t>TITLE</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Title</w:t>
            </w:r>
          </w:p>
        </w:tc>
        <w:tc>
          <w:tcPr>
            <w:tcW w:w="810" w:type="dxa"/>
            <w:vAlign w:val="center"/>
          </w:tcPr>
          <w:p w:rsidR="00C65BDB" w:rsidRDefault="00DF011C">
            <w:pPr>
              <w:jc w:val="center"/>
              <w:rPr>
                <w:sz w:val="20"/>
                <w:szCs w:val="20"/>
              </w:rPr>
            </w:pPr>
            <w:r>
              <w:rPr>
                <w:rFonts w:ascii="Arial" w:eastAsia="Arial" w:hAnsi="Arial" w:cs="Arial"/>
                <w:sz w:val="20"/>
                <w:szCs w:val="20"/>
              </w:rPr>
              <w:t>1</w:t>
            </w:r>
          </w:p>
        </w:tc>
        <w:tc>
          <w:tcPr>
            <w:tcW w:w="5265" w:type="dxa"/>
            <w:vAlign w:val="center"/>
          </w:tcPr>
          <w:p w:rsidR="00C65BDB" w:rsidRDefault="00DF011C">
            <w:pPr>
              <w:rPr>
                <w:sz w:val="20"/>
                <w:szCs w:val="20"/>
              </w:rPr>
            </w:pPr>
            <w:r>
              <w:rPr>
                <w:rFonts w:ascii="Arial" w:eastAsia="Arial" w:hAnsi="Arial" w:cs="Arial"/>
                <w:sz w:val="20"/>
                <w:szCs w:val="20"/>
              </w:rPr>
              <w:t>Identify the report as a scoping review.</w:t>
            </w:r>
          </w:p>
        </w:tc>
        <w:tc>
          <w:tcPr>
            <w:tcW w:w="1485" w:type="dxa"/>
            <w:vAlign w:val="center"/>
          </w:tcPr>
          <w:p w:rsidR="00C65BDB" w:rsidRDefault="00DF011C">
            <w:pPr>
              <w:rPr>
                <w:sz w:val="20"/>
                <w:szCs w:val="20"/>
              </w:rPr>
            </w:pPr>
            <w:r>
              <w:rPr>
                <w:color w:val="808080"/>
              </w:rPr>
              <w:t>1</w:t>
            </w:r>
          </w:p>
        </w:tc>
      </w:tr>
      <w:tr w:rsidR="00C65BDB">
        <w:tc>
          <w:tcPr>
            <w:tcW w:w="9585" w:type="dxa"/>
            <w:gridSpan w:val="4"/>
            <w:shd w:val="clear" w:color="auto" w:fill="CEDEEE"/>
            <w:vAlign w:val="center"/>
          </w:tcPr>
          <w:p w:rsidR="00C65BDB" w:rsidRDefault="00DF011C">
            <w:pPr>
              <w:rPr>
                <w:b/>
                <w:sz w:val="20"/>
                <w:szCs w:val="20"/>
              </w:rPr>
            </w:pPr>
            <w:r>
              <w:rPr>
                <w:rFonts w:ascii="Arial" w:eastAsia="Arial" w:hAnsi="Arial" w:cs="Arial"/>
                <w:b/>
                <w:sz w:val="20"/>
                <w:szCs w:val="20"/>
              </w:rPr>
              <w:t>ABSTRACT</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Structured summary</w:t>
            </w:r>
          </w:p>
        </w:tc>
        <w:tc>
          <w:tcPr>
            <w:tcW w:w="810" w:type="dxa"/>
            <w:vAlign w:val="center"/>
          </w:tcPr>
          <w:p w:rsidR="00C65BDB" w:rsidRDefault="00DF011C">
            <w:pPr>
              <w:jc w:val="center"/>
              <w:rPr>
                <w:sz w:val="20"/>
                <w:szCs w:val="20"/>
              </w:rPr>
            </w:pPr>
            <w:r>
              <w:rPr>
                <w:rFonts w:ascii="Arial" w:eastAsia="Arial" w:hAnsi="Arial" w:cs="Arial"/>
                <w:sz w:val="20"/>
                <w:szCs w:val="20"/>
              </w:rPr>
              <w:t>2</w:t>
            </w:r>
          </w:p>
        </w:tc>
        <w:tc>
          <w:tcPr>
            <w:tcW w:w="5265" w:type="dxa"/>
            <w:vAlign w:val="center"/>
          </w:tcPr>
          <w:p w:rsidR="00C65BDB" w:rsidRDefault="00DF011C">
            <w:pPr>
              <w:rPr>
                <w:sz w:val="20"/>
                <w:szCs w:val="20"/>
              </w:rPr>
            </w:pPr>
            <w:r>
              <w:rPr>
                <w:rFonts w:ascii="Arial" w:eastAsia="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tc>
          <w:tcPr>
            <w:tcW w:w="1485" w:type="dxa"/>
            <w:vAlign w:val="center"/>
          </w:tcPr>
          <w:p w:rsidR="00C65BDB" w:rsidRDefault="00DF011C">
            <w:pPr>
              <w:rPr>
                <w:sz w:val="20"/>
                <w:szCs w:val="20"/>
              </w:rPr>
            </w:pPr>
            <w:r>
              <w:rPr>
                <w:color w:val="808080"/>
              </w:rPr>
              <w:t>2</w:t>
            </w:r>
          </w:p>
        </w:tc>
      </w:tr>
      <w:tr w:rsidR="00C65BDB">
        <w:tc>
          <w:tcPr>
            <w:tcW w:w="9585" w:type="dxa"/>
            <w:gridSpan w:val="4"/>
            <w:shd w:val="clear" w:color="auto" w:fill="CEDEEE"/>
            <w:vAlign w:val="center"/>
          </w:tcPr>
          <w:p w:rsidR="00C65BDB" w:rsidRDefault="00DF011C">
            <w:pPr>
              <w:tabs>
                <w:tab w:val="left" w:pos="1774"/>
              </w:tabs>
              <w:rPr>
                <w:b/>
                <w:sz w:val="20"/>
                <w:szCs w:val="20"/>
              </w:rPr>
            </w:pPr>
            <w:r>
              <w:rPr>
                <w:rFonts w:ascii="Arial" w:eastAsia="Arial" w:hAnsi="Arial" w:cs="Arial"/>
                <w:b/>
                <w:sz w:val="20"/>
                <w:szCs w:val="20"/>
              </w:rPr>
              <w:t>INTRODUCTION</w:t>
            </w:r>
          </w:p>
        </w:tc>
      </w:tr>
      <w:tr w:rsidR="00C65BDB">
        <w:trPr>
          <w:trHeight w:val="530"/>
        </w:trPr>
        <w:tc>
          <w:tcPr>
            <w:tcW w:w="2025" w:type="dxa"/>
            <w:vAlign w:val="center"/>
          </w:tcPr>
          <w:p w:rsidR="00C65BDB" w:rsidRDefault="00DF011C">
            <w:pPr>
              <w:ind w:left="180"/>
              <w:rPr>
                <w:sz w:val="20"/>
                <w:szCs w:val="20"/>
              </w:rPr>
            </w:pPr>
            <w:r>
              <w:rPr>
                <w:rFonts w:ascii="Arial" w:eastAsia="Arial" w:hAnsi="Arial" w:cs="Arial"/>
                <w:sz w:val="20"/>
                <w:szCs w:val="20"/>
              </w:rPr>
              <w:t>Rationale</w:t>
            </w:r>
          </w:p>
        </w:tc>
        <w:tc>
          <w:tcPr>
            <w:tcW w:w="810" w:type="dxa"/>
            <w:vAlign w:val="center"/>
          </w:tcPr>
          <w:p w:rsidR="00C65BDB" w:rsidRDefault="00DF011C">
            <w:pPr>
              <w:jc w:val="center"/>
              <w:rPr>
                <w:sz w:val="20"/>
                <w:szCs w:val="20"/>
              </w:rPr>
            </w:pPr>
            <w:r>
              <w:rPr>
                <w:rFonts w:ascii="Arial" w:eastAsia="Arial" w:hAnsi="Arial" w:cs="Arial"/>
                <w:sz w:val="20"/>
                <w:szCs w:val="20"/>
              </w:rPr>
              <w:t>3</w:t>
            </w:r>
          </w:p>
        </w:tc>
        <w:tc>
          <w:tcPr>
            <w:tcW w:w="5265" w:type="dxa"/>
            <w:vAlign w:val="center"/>
          </w:tcPr>
          <w:p w:rsidR="00C65BDB" w:rsidRDefault="00DF011C">
            <w:pPr>
              <w:rPr>
                <w:sz w:val="20"/>
                <w:szCs w:val="20"/>
              </w:rPr>
            </w:pPr>
            <w:r>
              <w:rPr>
                <w:rFonts w:ascii="Arial" w:eastAsia="Arial" w:hAnsi="Arial" w:cs="Arial"/>
                <w:sz w:val="20"/>
                <w:szCs w:val="20"/>
              </w:rPr>
              <w:t>Describe the rationale for the review in the context of what is already known. Explain why the review questions/objectives lend themselves to a scoping review approach.</w:t>
            </w:r>
          </w:p>
        </w:tc>
        <w:tc>
          <w:tcPr>
            <w:tcW w:w="1485" w:type="dxa"/>
            <w:vAlign w:val="center"/>
          </w:tcPr>
          <w:p w:rsidR="00C65BDB" w:rsidRDefault="00D90B5A">
            <w:pPr>
              <w:rPr>
                <w:sz w:val="20"/>
                <w:szCs w:val="20"/>
              </w:rPr>
            </w:pPr>
            <w:r>
              <w:rPr>
                <w:color w:val="808080"/>
              </w:rPr>
              <w:t>4-5</w:t>
            </w:r>
          </w:p>
        </w:tc>
      </w:tr>
      <w:tr w:rsidR="00C65BDB">
        <w:trPr>
          <w:trHeight w:val="800"/>
        </w:trPr>
        <w:tc>
          <w:tcPr>
            <w:tcW w:w="2025" w:type="dxa"/>
            <w:vAlign w:val="center"/>
          </w:tcPr>
          <w:p w:rsidR="00C65BDB" w:rsidRDefault="00DF011C">
            <w:pPr>
              <w:ind w:left="180"/>
              <w:rPr>
                <w:sz w:val="20"/>
                <w:szCs w:val="20"/>
              </w:rPr>
            </w:pPr>
            <w:r>
              <w:rPr>
                <w:rFonts w:ascii="Arial" w:eastAsia="Arial" w:hAnsi="Arial" w:cs="Arial"/>
                <w:sz w:val="20"/>
                <w:szCs w:val="20"/>
              </w:rPr>
              <w:t>Objectives</w:t>
            </w:r>
          </w:p>
        </w:tc>
        <w:tc>
          <w:tcPr>
            <w:tcW w:w="810" w:type="dxa"/>
            <w:vAlign w:val="center"/>
          </w:tcPr>
          <w:p w:rsidR="00C65BDB" w:rsidRDefault="00DF011C">
            <w:pPr>
              <w:jc w:val="center"/>
              <w:rPr>
                <w:sz w:val="20"/>
                <w:szCs w:val="20"/>
              </w:rPr>
            </w:pPr>
            <w:r>
              <w:rPr>
                <w:rFonts w:ascii="Arial" w:eastAsia="Arial" w:hAnsi="Arial" w:cs="Arial"/>
                <w:sz w:val="20"/>
                <w:szCs w:val="20"/>
              </w:rPr>
              <w:t>4</w:t>
            </w:r>
          </w:p>
        </w:tc>
        <w:tc>
          <w:tcPr>
            <w:tcW w:w="5265" w:type="dxa"/>
            <w:vAlign w:val="center"/>
          </w:tcPr>
          <w:p w:rsidR="00C65BDB" w:rsidRDefault="00DF011C">
            <w:pPr>
              <w:rPr>
                <w:sz w:val="20"/>
                <w:szCs w:val="20"/>
              </w:rPr>
            </w:pPr>
            <w:r>
              <w:rPr>
                <w:rFonts w:ascii="Arial" w:eastAsia="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485" w:type="dxa"/>
            <w:vAlign w:val="center"/>
          </w:tcPr>
          <w:p w:rsidR="00C65BDB" w:rsidRDefault="00DF011C">
            <w:pPr>
              <w:rPr>
                <w:sz w:val="20"/>
                <w:szCs w:val="20"/>
              </w:rPr>
            </w:pPr>
            <w:r>
              <w:rPr>
                <w:color w:val="808080"/>
              </w:rPr>
              <w:t>4</w:t>
            </w:r>
            <w:r w:rsidR="00D90B5A">
              <w:rPr>
                <w:color w:val="808080"/>
              </w:rPr>
              <w:t>-5</w:t>
            </w:r>
          </w:p>
        </w:tc>
      </w:tr>
      <w:tr w:rsidR="00C65BDB">
        <w:tc>
          <w:tcPr>
            <w:tcW w:w="9585" w:type="dxa"/>
            <w:gridSpan w:val="4"/>
            <w:shd w:val="clear" w:color="auto" w:fill="CEDEEE"/>
            <w:vAlign w:val="center"/>
          </w:tcPr>
          <w:p w:rsidR="00C65BDB" w:rsidRDefault="00DF011C">
            <w:pPr>
              <w:rPr>
                <w:b/>
                <w:sz w:val="20"/>
                <w:szCs w:val="20"/>
              </w:rPr>
            </w:pPr>
            <w:r>
              <w:rPr>
                <w:rFonts w:ascii="Arial" w:eastAsia="Arial" w:hAnsi="Arial" w:cs="Arial"/>
                <w:b/>
                <w:sz w:val="20"/>
                <w:szCs w:val="20"/>
              </w:rPr>
              <w:t>METHODS</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Protocol and registration</w:t>
            </w:r>
          </w:p>
        </w:tc>
        <w:tc>
          <w:tcPr>
            <w:tcW w:w="810" w:type="dxa"/>
            <w:vAlign w:val="center"/>
          </w:tcPr>
          <w:p w:rsidR="00C65BDB" w:rsidRDefault="00DF011C">
            <w:pPr>
              <w:jc w:val="center"/>
              <w:rPr>
                <w:sz w:val="20"/>
                <w:szCs w:val="20"/>
              </w:rPr>
            </w:pPr>
            <w:r>
              <w:rPr>
                <w:rFonts w:ascii="Arial" w:eastAsia="Arial" w:hAnsi="Arial" w:cs="Arial"/>
                <w:sz w:val="20"/>
                <w:szCs w:val="20"/>
              </w:rPr>
              <w:t>5</w:t>
            </w:r>
          </w:p>
        </w:tc>
        <w:tc>
          <w:tcPr>
            <w:tcW w:w="5265" w:type="dxa"/>
            <w:vAlign w:val="center"/>
          </w:tcPr>
          <w:p w:rsidR="00C65BDB" w:rsidRDefault="00DF011C">
            <w:pPr>
              <w:rPr>
                <w:sz w:val="20"/>
                <w:szCs w:val="20"/>
              </w:rPr>
            </w:pPr>
            <w:r>
              <w:rPr>
                <w:rFonts w:ascii="Arial" w:eastAsia="Arial" w:hAnsi="Arial" w:cs="Arial"/>
                <w:sz w:val="20"/>
                <w:szCs w:val="20"/>
              </w:rPr>
              <w:t>Indicate whether a review protocol exists; state if and where it can be accessed (e.g., a Web address); and if available, provide registration information, including the registration number.</w:t>
            </w:r>
          </w:p>
        </w:tc>
        <w:tc>
          <w:tcPr>
            <w:tcW w:w="1485" w:type="dxa"/>
            <w:vAlign w:val="center"/>
          </w:tcPr>
          <w:p w:rsidR="00C65BDB" w:rsidRDefault="00D90B5A">
            <w:pPr>
              <w:rPr>
                <w:sz w:val="20"/>
                <w:szCs w:val="20"/>
              </w:rPr>
            </w:pPr>
            <w:r>
              <w:rPr>
                <w:color w:val="808080"/>
              </w:rPr>
              <w:t>6</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Eligibility criteria</w:t>
            </w:r>
          </w:p>
        </w:tc>
        <w:tc>
          <w:tcPr>
            <w:tcW w:w="810" w:type="dxa"/>
            <w:vAlign w:val="center"/>
          </w:tcPr>
          <w:p w:rsidR="00C65BDB" w:rsidRDefault="00DF011C">
            <w:pPr>
              <w:jc w:val="center"/>
              <w:rPr>
                <w:sz w:val="20"/>
                <w:szCs w:val="20"/>
              </w:rPr>
            </w:pPr>
            <w:r>
              <w:rPr>
                <w:rFonts w:ascii="Arial" w:eastAsia="Arial" w:hAnsi="Arial" w:cs="Arial"/>
                <w:sz w:val="20"/>
                <w:szCs w:val="20"/>
              </w:rPr>
              <w:t>6</w:t>
            </w:r>
          </w:p>
        </w:tc>
        <w:tc>
          <w:tcPr>
            <w:tcW w:w="5265" w:type="dxa"/>
            <w:vAlign w:val="center"/>
          </w:tcPr>
          <w:p w:rsidR="00C65BDB" w:rsidRDefault="00DF011C">
            <w:pPr>
              <w:rPr>
                <w:sz w:val="20"/>
                <w:szCs w:val="20"/>
              </w:rPr>
            </w:pPr>
            <w:r>
              <w:rPr>
                <w:rFonts w:ascii="Arial" w:eastAsia="Arial" w:hAnsi="Arial" w:cs="Arial"/>
                <w:sz w:val="20"/>
                <w:szCs w:val="20"/>
              </w:rPr>
              <w:t>Specify characteristics of the sources of evidence used as eligibility criteria (e.g., years considered, language, and publication status), and provide a rationale.</w:t>
            </w:r>
          </w:p>
        </w:tc>
        <w:tc>
          <w:tcPr>
            <w:tcW w:w="1485" w:type="dxa"/>
            <w:vAlign w:val="center"/>
          </w:tcPr>
          <w:p w:rsidR="00C65BDB" w:rsidRDefault="00D90B5A">
            <w:pPr>
              <w:rPr>
                <w:sz w:val="20"/>
                <w:szCs w:val="20"/>
              </w:rPr>
            </w:pPr>
            <w:r>
              <w:rPr>
                <w:color w:val="808080"/>
              </w:rPr>
              <w:t>6</w:t>
            </w:r>
          </w:p>
        </w:tc>
      </w:tr>
      <w:tr w:rsidR="00C65BDB">
        <w:trPr>
          <w:trHeight w:val="260"/>
        </w:trPr>
        <w:tc>
          <w:tcPr>
            <w:tcW w:w="2025" w:type="dxa"/>
            <w:vAlign w:val="center"/>
          </w:tcPr>
          <w:p w:rsidR="00C65BDB" w:rsidRDefault="00DF011C">
            <w:pPr>
              <w:ind w:left="180"/>
              <w:rPr>
                <w:sz w:val="20"/>
                <w:szCs w:val="20"/>
              </w:rPr>
            </w:pPr>
            <w:r>
              <w:rPr>
                <w:rFonts w:ascii="Arial" w:eastAsia="Arial" w:hAnsi="Arial" w:cs="Arial"/>
                <w:sz w:val="20"/>
                <w:szCs w:val="20"/>
              </w:rPr>
              <w:t>Information sources*</w:t>
            </w:r>
          </w:p>
        </w:tc>
        <w:tc>
          <w:tcPr>
            <w:tcW w:w="810" w:type="dxa"/>
            <w:vAlign w:val="center"/>
          </w:tcPr>
          <w:p w:rsidR="00C65BDB" w:rsidRDefault="00DF011C">
            <w:pPr>
              <w:jc w:val="center"/>
              <w:rPr>
                <w:sz w:val="20"/>
                <w:szCs w:val="20"/>
              </w:rPr>
            </w:pPr>
            <w:r>
              <w:rPr>
                <w:rFonts w:ascii="Arial" w:eastAsia="Arial" w:hAnsi="Arial" w:cs="Arial"/>
                <w:sz w:val="20"/>
                <w:szCs w:val="20"/>
              </w:rPr>
              <w:t>7</w:t>
            </w:r>
          </w:p>
        </w:tc>
        <w:tc>
          <w:tcPr>
            <w:tcW w:w="5265" w:type="dxa"/>
            <w:vAlign w:val="center"/>
          </w:tcPr>
          <w:p w:rsidR="00C65BDB" w:rsidRDefault="00DF011C">
            <w:pPr>
              <w:rPr>
                <w:sz w:val="20"/>
                <w:szCs w:val="20"/>
              </w:rPr>
            </w:pPr>
            <w:r>
              <w:rPr>
                <w:rFonts w:ascii="Arial" w:eastAsia="Arial" w:hAnsi="Arial" w:cs="Arial"/>
                <w:sz w:val="20"/>
                <w:szCs w:val="20"/>
              </w:rPr>
              <w:t>Describe all information sources in the search (e.g., databases with dates of coverage and contact with authors to identify additional sources), as well as the date the most recent search was executed.</w:t>
            </w:r>
          </w:p>
        </w:tc>
        <w:tc>
          <w:tcPr>
            <w:tcW w:w="1485" w:type="dxa"/>
            <w:vAlign w:val="center"/>
          </w:tcPr>
          <w:p w:rsidR="00C65BDB" w:rsidRDefault="00D90B5A">
            <w:pPr>
              <w:rPr>
                <w:sz w:val="20"/>
                <w:szCs w:val="20"/>
              </w:rPr>
            </w:pPr>
            <w:r>
              <w:rPr>
                <w:color w:val="808080"/>
              </w:rPr>
              <w:t>6</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Search</w:t>
            </w:r>
          </w:p>
        </w:tc>
        <w:tc>
          <w:tcPr>
            <w:tcW w:w="810" w:type="dxa"/>
            <w:vAlign w:val="center"/>
          </w:tcPr>
          <w:p w:rsidR="00C65BDB" w:rsidRDefault="00DF011C">
            <w:pPr>
              <w:jc w:val="center"/>
              <w:rPr>
                <w:sz w:val="20"/>
                <w:szCs w:val="20"/>
              </w:rPr>
            </w:pPr>
            <w:r>
              <w:rPr>
                <w:rFonts w:ascii="Arial" w:eastAsia="Arial" w:hAnsi="Arial" w:cs="Arial"/>
                <w:sz w:val="20"/>
                <w:szCs w:val="20"/>
              </w:rPr>
              <w:t>8</w:t>
            </w:r>
          </w:p>
        </w:tc>
        <w:tc>
          <w:tcPr>
            <w:tcW w:w="5265" w:type="dxa"/>
            <w:vAlign w:val="center"/>
          </w:tcPr>
          <w:p w:rsidR="00C65BDB" w:rsidRDefault="00DF011C">
            <w:pPr>
              <w:rPr>
                <w:sz w:val="20"/>
                <w:szCs w:val="20"/>
              </w:rPr>
            </w:pPr>
            <w:r>
              <w:rPr>
                <w:rFonts w:ascii="Arial" w:eastAsia="Arial" w:hAnsi="Arial" w:cs="Arial"/>
                <w:sz w:val="20"/>
                <w:szCs w:val="20"/>
              </w:rPr>
              <w:t>Present the full electronic search strategy for at least 1 database, including any limits used, such that it could be repeated.</w:t>
            </w:r>
          </w:p>
        </w:tc>
        <w:tc>
          <w:tcPr>
            <w:tcW w:w="1485" w:type="dxa"/>
            <w:vAlign w:val="center"/>
          </w:tcPr>
          <w:p w:rsidR="00C65BDB" w:rsidRDefault="00DF011C">
            <w:pPr>
              <w:rPr>
                <w:sz w:val="20"/>
                <w:szCs w:val="20"/>
              </w:rPr>
            </w:pPr>
            <w:r>
              <w:rPr>
                <w:color w:val="808080"/>
              </w:rPr>
              <w:t>Supplementary Material</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Selection of sources of evidence†</w:t>
            </w:r>
          </w:p>
        </w:tc>
        <w:tc>
          <w:tcPr>
            <w:tcW w:w="810" w:type="dxa"/>
            <w:vAlign w:val="center"/>
          </w:tcPr>
          <w:p w:rsidR="00C65BDB" w:rsidRDefault="00DF011C">
            <w:pPr>
              <w:jc w:val="center"/>
              <w:rPr>
                <w:sz w:val="20"/>
                <w:szCs w:val="20"/>
              </w:rPr>
            </w:pPr>
            <w:r>
              <w:rPr>
                <w:rFonts w:ascii="Arial" w:eastAsia="Arial" w:hAnsi="Arial" w:cs="Arial"/>
                <w:sz w:val="20"/>
                <w:szCs w:val="20"/>
              </w:rPr>
              <w:t>9</w:t>
            </w:r>
          </w:p>
        </w:tc>
        <w:tc>
          <w:tcPr>
            <w:tcW w:w="5265" w:type="dxa"/>
            <w:vAlign w:val="center"/>
          </w:tcPr>
          <w:p w:rsidR="00C65BDB" w:rsidRDefault="00DF011C">
            <w:pPr>
              <w:rPr>
                <w:sz w:val="20"/>
                <w:szCs w:val="20"/>
              </w:rPr>
            </w:pPr>
            <w:r>
              <w:rPr>
                <w:rFonts w:ascii="Arial" w:eastAsia="Arial" w:hAnsi="Arial" w:cs="Arial"/>
                <w:sz w:val="20"/>
                <w:szCs w:val="20"/>
              </w:rPr>
              <w:t>State the process for selecting sources of evidence (i.e., screening and eligibility) included in the scoping review.</w:t>
            </w:r>
          </w:p>
        </w:tc>
        <w:tc>
          <w:tcPr>
            <w:tcW w:w="1485" w:type="dxa"/>
            <w:vAlign w:val="center"/>
          </w:tcPr>
          <w:p w:rsidR="00C65BDB" w:rsidRDefault="00D90B5A">
            <w:pPr>
              <w:rPr>
                <w:sz w:val="20"/>
                <w:szCs w:val="20"/>
              </w:rPr>
            </w:pPr>
            <w:r>
              <w:rPr>
                <w:color w:val="808080"/>
              </w:rPr>
              <w:t>6</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Data charting process‡</w:t>
            </w:r>
          </w:p>
        </w:tc>
        <w:tc>
          <w:tcPr>
            <w:tcW w:w="810" w:type="dxa"/>
            <w:vAlign w:val="center"/>
          </w:tcPr>
          <w:p w:rsidR="00C65BDB" w:rsidRDefault="00DF011C">
            <w:pPr>
              <w:jc w:val="center"/>
              <w:rPr>
                <w:sz w:val="20"/>
                <w:szCs w:val="20"/>
              </w:rPr>
            </w:pPr>
            <w:r>
              <w:rPr>
                <w:rFonts w:ascii="Arial" w:eastAsia="Arial" w:hAnsi="Arial" w:cs="Arial"/>
                <w:sz w:val="20"/>
                <w:szCs w:val="20"/>
              </w:rPr>
              <w:t>10</w:t>
            </w:r>
          </w:p>
        </w:tc>
        <w:tc>
          <w:tcPr>
            <w:tcW w:w="5265" w:type="dxa"/>
            <w:vAlign w:val="center"/>
          </w:tcPr>
          <w:p w:rsidR="00C65BDB" w:rsidRDefault="00DF011C">
            <w:pPr>
              <w:rPr>
                <w:sz w:val="20"/>
                <w:szCs w:val="20"/>
              </w:rPr>
            </w:pPr>
            <w:r>
              <w:rPr>
                <w:rFonts w:ascii="Arial" w:eastAsia="Arial" w:hAnsi="Arial" w:cs="Arial"/>
                <w:sz w:val="20"/>
                <w:szCs w:val="20"/>
              </w:rPr>
              <w:t xml:space="preserve">Describe the methods of charting data from the included sources of evidence (e.g., calibrated forms or forms that have been tested by the team before their use, and whether data charting was done independently or in </w:t>
            </w:r>
            <w:r>
              <w:rPr>
                <w:rFonts w:ascii="Arial" w:eastAsia="Arial" w:hAnsi="Arial" w:cs="Arial"/>
                <w:sz w:val="20"/>
                <w:szCs w:val="20"/>
              </w:rPr>
              <w:lastRenderedPageBreak/>
              <w:t>duplicate) and any processes for obtaining and confirming data from investigators.</w:t>
            </w:r>
          </w:p>
        </w:tc>
        <w:tc>
          <w:tcPr>
            <w:tcW w:w="1485" w:type="dxa"/>
            <w:vAlign w:val="center"/>
          </w:tcPr>
          <w:p w:rsidR="00C65BDB" w:rsidRDefault="00D90B5A">
            <w:pPr>
              <w:rPr>
                <w:sz w:val="20"/>
                <w:szCs w:val="20"/>
              </w:rPr>
            </w:pPr>
            <w:r>
              <w:rPr>
                <w:color w:val="808080"/>
              </w:rPr>
              <w:lastRenderedPageBreak/>
              <w:t>6</w:t>
            </w:r>
          </w:p>
        </w:tc>
      </w:tr>
      <w:tr w:rsidR="00C65BDB">
        <w:trPr>
          <w:trHeight w:val="260"/>
        </w:trPr>
        <w:tc>
          <w:tcPr>
            <w:tcW w:w="2025" w:type="dxa"/>
            <w:vAlign w:val="center"/>
          </w:tcPr>
          <w:p w:rsidR="00C65BDB" w:rsidRDefault="00DF011C">
            <w:pPr>
              <w:ind w:left="180"/>
              <w:rPr>
                <w:sz w:val="20"/>
                <w:szCs w:val="20"/>
              </w:rPr>
            </w:pPr>
            <w:r>
              <w:rPr>
                <w:rFonts w:ascii="Arial" w:eastAsia="Arial" w:hAnsi="Arial" w:cs="Arial"/>
                <w:sz w:val="20"/>
                <w:szCs w:val="20"/>
              </w:rPr>
              <w:lastRenderedPageBreak/>
              <w:t>Data items</w:t>
            </w:r>
          </w:p>
        </w:tc>
        <w:tc>
          <w:tcPr>
            <w:tcW w:w="810" w:type="dxa"/>
            <w:vAlign w:val="center"/>
          </w:tcPr>
          <w:p w:rsidR="00C65BDB" w:rsidRDefault="00DF011C">
            <w:pPr>
              <w:jc w:val="center"/>
              <w:rPr>
                <w:sz w:val="20"/>
                <w:szCs w:val="20"/>
              </w:rPr>
            </w:pPr>
            <w:r>
              <w:rPr>
                <w:rFonts w:ascii="Arial" w:eastAsia="Arial" w:hAnsi="Arial" w:cs="Arial"/>
                <w:sz w:val="20"/>
                <w:szCs w:val="20"/>
              </w:rPr>
              <w:t>11</w:t>
            </w:r>
          </w:p>
        </w:tc>
        <w:tc>
          <w:tcPr>
            <w:tcW w:w="5265" w:type="dxa"/>
            <w:vAlign w:val="center"/>
          </w:tcPr>
          <w:p w:rsidR="00C65BDB" w:rsidRDefault="00DF011C">
            <w:pPr>
              <w:rPr>
                <w:sz w:val="20"/>
                <w:szCs w:val="20"/>
              </w:rPr>
            </w:pPr>
            <w:r>
              <w:rPr>
                <w:rFonts w:ascii="Arial" w:eastAsia="Arial" w:hAnsi="Arial" w:cs="Arial"/>
                <w:sz w:val="20"/>
                <w:szCs w:val="20"/>
              </w:rPr>
              <w:t>List and define all variables for which data were sought and any assumptions and simplifications made.</w:t>
            </w:r>
          </w:p>
        </w:tc>
        <w:tc>
          <w:tcPr>
            <w:tcW w:w="1485" w:type="dxa"/>
            <w:vAlign w:val="center"/>
          </w:tcPr>
          <w:p w:rsidR="00C65BDB" w:rsidRDefault="00D90B5A">
            <w:pPr>
              <w:rPr>
                <w:sz w:val="20"/>
                <w:szCs w:val="20"/>
              </w:rPr>
            </w:pPr>
            <w:r>
              <w:rPr>
                <w:color w:val="808080"/>
              </w:rPr>
              <w:t>6</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Critical appraisal of individual sources of evidence§</w:t>
            </w:r>
          </w:p>
        </w:tc>
        <w:tc>
          <w:tcPr>
            <w:tcW w:w="810" w:type="dxa"/>
            <w:vAlign w:val="center"/>
          </w:tcPr>
          <w:p w:rsidR="00C65BDB" w:rsidRDefault="00DF011C">
            <w:pPr>
              <w:jc w:val="center"/>
              <w:rPr>
                <w:sz w:val="20"/>
                <w:szCs w:val="20"/>
              </w:rPr>
            </w:pPr>
            <w:r>
              <w:rPr>
                <w:rFonts w:ascii="Arial" w:eastAsia="Arial" w:hAnsi="Arial" w:cs="Arial"/>
                <w:sz w:val="20"/>
                <w:szCs w:val="20"/>
              </w:rPr>
              <w:t>12</w:t>
            </w:r>
          </w:p>
        </w:tc>
        <w:tc>
          <w:tcPr>
            <w:tcW w:w="5265" w:type="dxa"/>
            <w:vAlign w:val="center"/>
          </w:tcPr>
          <w:p w:rsidR="00C65BDB" w:rsidRDefault="00DF011C">
            <w:pPr>
              <w:rPr>
                <w:sz w:val="20"/>
                <w:szCs w:val="20"/>
              </w:rPr>
            </w:pPr>
            <w:r>
              <w:rPr>
                <w:rFonts w:ascii="Arial" w:eastAsia="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1485" w:type="dxa"/>
            <w:vAlign w:val="center"/>
          </w:tcPr>
          <w:p w:rsidR="00C65BDB" w:rsidRDefault="00D90B5A">
            <w:pPr>
              <w:rPr>
                <w:sz w:val="20"/>
                <w:szCs w:val="20"/>
              </w:rPr>
            </w:pPr>
            <w:r>
              <w:rPr>
                <w:color w:val="808080"/>
              </w:rPr>
              <w:t>6-7</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Synthesis of results</w:t>
            </w:r>
          </w:p>
        </w:tc>
        <w:tc>
          <w:tcPr>
            <w:tcW w:w="810" w:type="dxa"/>
            <w:vAlign w:val="center"/>
          </w:tcPr>
          <w:p w:rsidR="00C65BDB" w:rsidRDefault="00DF011C">
            <w:pPr>
              <w:jc w:val="center"/>
              <w:rPr>
                <w:sz w:val="20"/>
                <w:szCs w:val="20"/>
              </w:rPr>
            </w:pPr>
            <w:r>
              <w:rPr>
                <w:rFonts w:ascii="Arial" w:eastAsia="Arial" w:hAnsi="Arial" w:cs="Arial"/>
                <w:sz w:val="20"/>
                <w:szCs w:val="20"/>
              </w:rPr>
              <w:t>13</w:t>
            </w:r>
          </w:p>
        </w:tc>
        <w:tc>
          <w:tcPr>
            <w:tcW w:w="5265" w:type="dxa"/>
            <w:vAlign w:val="center"/>
          </w:tcPr>
          <w:p w:rsidR="00C65BDB" w:rsidRDefault="00DF011C">
            <w:pPr>
              <w:rPr>
                <w:sz w:val="20"/>
                <w:szCs w:val="20"/>
              </w:rPr>
            </w:pPr>
            <w:r>
              <w:rPr>
                <w:rFonts w:ascii="Arial" w:eastAsia="Arial" w:hAnsi="Arial" w:cs="Arial"/>
                <w:sz w:val="20"/>
                <w:szCs w:val="20"/>
              </w:rPr>
              <w:t>Describe the methods of handling and summarizing the data that were charted.</w:t>
            </w:r>
          </w:p>
        </w:tc>
        <w:tc>
          <w:tcPr>
            <w:tcW w:w="1485" w:type="dxa"/>
            <w:vAlign w:val="center"/>
          </w:tcPr>
          <w:p w:rsidR="00C65BDB" w:rsidRDefault="00D90B5A">
            <w:pPr>
              <w:rPr>
                <w:sz w:val="20"/>
                <w:szCs w:val="20"/>
              </w:rPr>
            </w:pPr>
            <w:r>
              <w:rPr>
                <w:color w:val="808080"/>
              </w:rPr>
              <w:t>6-7</w:t>
            </w:r>
          </w:p>
        </w:tc>
      </w:tr>
      <w:tr w:rsidR="00C65BDB">
        <w:tc>
          <w:tcPr>
            <w:tcW w:w="9585" w:type="dxa"/>
            <w:gridSpan w:val="4"/>
            <w:shd w:val="clear" w:color="auto" w:fill="CEDEEE"/>
            <w:vAlign w:val="center"/>
          </w:tcPr>
          <w:p w:rsidR="00C65BDB" w:rsidRDefault="00DF011C">
            <w:pPr>
              <w:rPr>
                <w:b/>
                <w:sz w:val="20"/>
                <w:szCs w:val="20"/>
              </w:rPr>
            </w:pPr>
            <w:r>
              <w:rPr>
                <w:rFonts w:ascii="Arial" w:eastAsia="Arial" w:hAnsi="Arial" w:cs="Arial"/>
                <w:b/>
                <w:sz w:val="20"/>
                <w:szCs w:val="20"/>
              </w:rPr>
              <w:t>RESULTS</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Selection of sources of evidence</w:t>
            </w:r>
          </w:p>
        </w:tc>
        <w:tc>
          <w:tcPr>
            <w:tcW w:w="810" w:type="dxa"/>
            <w:vAlign w:val="center"/>
          </w:tcPr>
          <w:p w:rsidR="00C65BDB" w:rsidRDefault="00DF011C">
            <w:pPr>
              <w:jc w:val="center"/>
              <w:rPr>
                <w:sz w:val="20"/>
                <w:szCs w:val="20"/>
              </w:rPr>
            </w:pPr>
            <w:r>
              <w:rPr>
                <w:rFonts w:ascii="Arial" w:eastAsia="Arial" w:hAnsi="Arial" w:cs="Arial"/>
                <w:sz w:val="20"/>
                <w:szCs w:val="20"/>
              </w:rPr>
              <w:t>14</w:t>
            </w:r>
          </w:p>
        </w:tc>
        <w:tc>
          <w:tcPr>
            <w:tcW w:w="5265" w:type="dxa"/>
            <w:vAlign w:val="center"/>
          </w:tcPr>
          <w:p w:rsidR="00C65BDB" w:rsidRDefault="00DF011C">
            <w:pPr>
              <w:rPr>
                <w:sz w:val="20"/>
                <w:szCs w:val="20"/>
              </w:rPr>
            </w:pPr>
            <w:r>
              <w:rPr>
                <w:rFonts w:ascii="Arial" w:eastAsia="Arial" w:hAnsi="Arial" w:cs="Arial"/>
                <w:sz w:val="20"/>
                <w:szCs w:val="20"/>
              </w:rPr>
              <w:t>Give numbers of sources of evidence screened, assessed for eligibility, and included in the review, with reasons for exclusions at each stage, ideally using a flow diagram.</w:t>
            </w:r>
          </w:p>
        </w:tc>
        <w:tc>
          <w:tcPr>
            <w:tcW w:w="1485" w:type="dxa"/>
            <w:vAlign w:val="center"/>
          </w:tcPr>
          <w:p w:rsidR="00C65BDB" w:rsidRDefault="00D90B5A">
            <w:pPr>
              <w:rPr>
                <w:sz w:val="20"/>
                <w:szCs w:val="20"/>
              </w:rPr>
            </w:pPr>
            <w:r>
              <w:rPr>
                <w:color w:val="808080"/>
              </w:rPr>
              <w:t>8</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Characteristics of sources of evidence</w:t>
            </w:r>
          </w:p>
        </w:tc>
        <w:tc>
          <w:tcPr>
            <w:tcW w:w="810" w:type="dxa"/>
            <w:vAlign w:val="center"/>
          </w:tcPr>
          <w:p w:rsidR="00C65BDB" w:rsidRDefault="00DF011C">
            <w:pPr>
              <w:jc w:val="center"/>
              <w:rPr>
                <w:sz w:val="20"/>
                <w:szCs w:val="20"/>
              </w:rPr>
            </w:pPr>
            <w:r>
              <w:rPr>
                <w:rFonts w:ascii="Arial" w:eastAsia="Arial" w:hAnsi="Arial" w:cs="Arial"/>
                <w:sz w:val="20"/>
                <w:szCs w:val="20"/>
              </w:rPr>
              <w:t>15</w:t>
            </w:r>
          </w:p>
        </w:tc>
        <w:tc>
          <w:tcPr>
            <w:tcW w:w="5265" w:type="dxa"/>
            <w:vAlign w:val="center"/>
          </w:tcPr>
          <w:p w:rsidR="00C65BDB" w:rsidRDefault="00DF011C">
            <w:pPr>
              <w:rPr>
                <w:sz w:val="20"/>
                <w:szCs w:val="20"/>
              </w:rPr>
            </w:pPr>
            <w:r>
              <w:rPr>
                <w:rFonts w:ascii="Arial" w:eastAsia="Arial" w:hAnsi="Arial" w:cs="Arial"/>
                <w:sz w:val="20"/>
                <w:szCs w:val="20"/>
              </w:rPr>
              <w:t>For each source of evidence, present characteristics for which data were charted and provide the citations.</w:t>
            </w:r>
          </w:p>
        </w:tc>
        <w:tc>
          <w:tcPr>
            <w:tcW w:w="1485" w:type="dxa"/>
            <w:vAlign w:val="center"/>
          </w:tcPr>
          <w:p w:rsidR="00C65BDB" w:rsidRDefault="00D90B5A">
            <w:pPr>
              <w:rPr>
                <w:sz w:val="20"/>
                <w:szCs w:val="20"/>
              </w:rPr>
            </w:pPr>
            <w:r>
              <w:rPr>
                <w:color w:val="808080"/>
              </w:rPr>
              <w:t>8-15</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Critical appraisal within sources of evidence</w:t>
            </w:r>
          </w:p>
        </w:tc>
        <w:tc>
          <w:tcPr>
            <w:tcW w:w="810" w:type="dxa"/>
            <w:vAlign w:val="center"/>
          </w:tcPr>
          <w:p w:rsidR="00C65BDB" w:rsidRDefault="00DF011C">
            <w:pPr>
              <w:jc w:val="center"/>
              <w:rPr>
                <w:sz w:val="20"/>
                <w:szCs w:val="20"/>
              </w:rPr>
            </w:pPr>
            <w:r>
              <w:rPr>
                <w:rFonts w:ascii="Arial" w:eastAsia="Arial" w:hAnsi="Arial" w:cs="Arial"/>
                <w:sz w:val="20"/>
                <w:szCs w:val="20"/>
              </w:rPr>
              <w:t>16</w:t>
            </w:r>
          </w:p>
        </w:tc>
        <w:tc>
          <w:tcPr>
            <w:tcW w:w="5265" w:type="dxa"/>
            <w:vAlign w:val="center"/>
          </w:tcPr>
          <w:p w:rsidR="00C65BDB" w:rsidRDefault="00DF011C">
            <w:pPr>
              <w:rPr>
                <w:sz w:val="20"/>
                <w:szCs w:val="20"/>
              </w:rPr>
            </w:pPr>
            <w:r>
              <w:rPr>
                <w:rFonts w:ascii="Arial" w:eastAsia="Arial" w:hAnsi="Arial" w:cs="Arial"/>
                <w:sz w:val="20"/>
                <w:szCs w:val="20"/>
              </w:rPr>
              <w:t>If done, present data on critical appraisal of included sources of evidence (see item 12).</w:t>
            </w:r>
          </w:p>
        </w:tc>
        <w:tc>
          <w:tcPr>
            <w:tcW w:w="1485" w:type="dxa"/>
            <w:vAlign w:val="center"/>
          </w:tcPr>
          <w:p w:rsidR="00C65BDB" w:rsidRDefault="00D90B5A">
            <w:pPr>
              <w:rPr>
                <w:sz w:val="20"/>
                <w:szCs w:val="20"/>
              </w:rPr>
            </w:pPr>
            <w:r>
              <w:rPr>
                <w:color w:val="808080"/>
              </w:rPr>
              <w:t>8-15</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Results of individual sources of evidence</w:t>
            </w:r>
          </w:p>
        </w:tc>
        <w:tc>
          <w:tcPr>
            <w:tcW w:w="810" w:type="dxa"/>
            <w:vAlign w:val="center"/>
          </w:tcPr>
          <w:p w:rsidR="00C65BDB" w:rsidRDefault="00DF011C">
            <w:pPr>
              <w:jc w:val="center"/>
              <w:rPr>
                <w:sz w:val="20"/>
                <w:szCs w:val="20"/>
              </w:rPr>
            </w:pPr>
            <w:r>
              <w:rPr>
                <w:rFonts w:ascii="Arial" w:eastAsia="Arial" w:hAnsi="Arial" w:cs="Arial"/>
                <w:sz w:val="20"/>
                <w:szCs w:val="20"/>
              </w:rPr>
              <w:t>17</w:t>
            </w:r>
          </w:p>
        </w:tc>
        <w:tc>
          <w:tcPr>
            <w:tcW w:w="5265" w:type="dxa"/>
            <w:vAlign w:val="center"/>
          </w:tcPr>
          <w:p w:rsidR="00C65BDB" w:rsidRDefault="00DF011C">
            <w:pPr>
              <w:rPr>
                <w:sz w:val="20"/>
                <w:szCs w:val="20"/>
              </w:rPr>
            </w:pPr>
            <w:r>
              <w:rPr>
                <w:rFonts w:ascii="Arial" w:eastAsia="Arial" w:hAnsi="Arial" w:cs="Arial"/>
                <w:sz w:val="20"/>
                <w:szCs w:val="20"/>
              </w:rPr>
              <w:t>For each included source of evidence, present the relevant data that were charted that relate to the review questions and objectives.</w:t>
            </w:r>
          </w:p>
        </w:tc>
        <w:tc>
          <w:tcPr>
            <w:tcW w:w="1485" w:type="dxa"/>
            <w:vAlign w:val="center"/>
          </w:tcPr>
          <w:p w:rsidR="00C65BDB" w:rsidRDefault="00D90B5A">
            <w:pPr>
              <w:rPr>
                <w:sz w:val="20"/>
                <w:szCs w:val="20"/>
              </w:rPr>
            </w:pPr>
            <w:r>
              <w:rPr>
                <w:color w:val="808080"/>
              </w:rPr>
              <w:t>8-15</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Synthesis of results</w:t>
            </w:r>
          </w:p>
        </w:tc>
        <w:tc>
          <w:tcPr>
            <w:tcW w:w="810" w:type="dxa"/>
            <w:vAlign w:val="center"/>
          </w:tcPr>
          <w:p w:rsidR="00C65BDB" w:rsidRDefault="00DF011C">
            <w:pPr>
              <w:jc w:val="center"/>
              <w:rPr>
                <w:sz w:val="20"/>
                <w:szCs w:val="20"/>
              </w:rPr>
            </w:pPr>
            <w:r>
              <w:rPr>
                <w:rFonts w:ascii="Arial" w:eastAsia="Arial" w:hAnsi="Arial" w:cs="Arial"/>
                <w:sz w:val="20"/>
                <w:szCs w:val="20"/>
              </w:rPr>
              <w:t>18</w:t>
            </w:r>
          </w:p>
        </w:tc>
        <w:tc>
          <w:tcPr>
            <w:tcW w:w="5265" w:type="dxa"/>
            <w:vAlign w:val="center"/>
          </w:tcPr>
          <w:p w:rsidR="00C65BDB" w:rsidRDefault="00DF011C">
            <w:pPr>
              <w:rPr>
                <w:sz w:val="20"/>
                <w:szCs w:val="20"/>
              </w:rPr>
            </w:pPr>
            <w:r>
              <w:rPr>
                <w:rFonts w:ascii="Arial" w:eastAsia="Arial" w:hAnsi="Arial" w:cs="Arial"/>
                <w:sz w:val="20"/>
                <w:szCs w:val="20"/>
              </w:rPr>
              <w:t>Summarize and/or present the charting results as they relate to the review questions and objectives.</w:t>
            </w:r>
          </w:p>
        </w:tc>
        <w:tc>
          <w:tcPr>
            <w:tcW w:w="1485" w:type="dxa"/>
            <w:vAlign w:val="center"/>
          </w:tcPr>
          <w:p w:rsidR="00C65BDB" w:rsidRDefault="00D90B5A">
            <w:pPr>
              <w:rPr>
                <w:sz w:val="20"/>
                <w:szCs w:val="20"/>
              </w:rPr>
            </w:pPr>
            <w:r>
              <w:rPr>
                <w:color w:val="808080"/>
              </w:rPr>
              <w:t>8-15</w:t>
            </w:r>
          </w:p>
        </w:tc>
      </w:tr>
      <w:tr w:rsidR="00C65BDB">
        <w:tc>
          <w:tcPr>
            <w:tcW w:w="9585" w:type="dxa"/>
            <w:gridSpan w:val="4"/>
            <w:shd w:val="clear" w:color="auto" w:fill="CEDEEE"/>
            <w:vAlign w:val="center"/>
          </w:tcPr>
          <w:p w:rsidR="00C65BDB" w:rsidRDefault="00DF011C">
            <w:pPr>
              <w:rPr>
                <w:b/>
                <w:sz w:val="20"/>
                <w:szCs w:val="20"/>
              </w:rPr>
            </w:pPr>
            <w:r>
              <w:rPr>
                <w:rFonts w:ascii="Arial" w:eastAsia="Arial" w:hAnsi="Arial" w:cs="Arial"/>
                <w:b/>
                <w:sz w:val="20"/>
                <w:szCs w:val="20"/>
              </w:rPr>
              <w:t>DISCUSSION</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Summary of evidence</w:t>
            </w:r>
          </w:p>
        </w:tc>
        <w:tc>
          <w:tcPr>
            <w:tcW w:w="810" w:type="dxa"/>
            <w:vAlign w:val="center"/>
          </w:tcPr>
          <w:p w:rsidR="00C65BDB" w:rsidRDefault="00DF011C">
            <w:pPr>
              <w:jc w:val="center"/>
              <w:rPr>
                <w:sz w:val="20"/>
                <w:szCs w:val="20"/>
              </w:rPr>
            </w:pPr>
            <w:r>
              <w:rPr>
                <w:rFonts w:ascii="Arial" w:eastAsia="Arial" w:hAnsi="Arial" w:cs="Arial"/>
                <w:sz w:val="20"/>
                <w:szCs w:val="20"/>
              </w:rPr>
              <w:t>19</w:t>
            </w:r>
          </w:p>
        </w:tc>
        <w:tc>
          <w:tcPr>
            <w:tcW w:w="5265" w:type="dxa"/>
            <w:vAlign w:val="center"/>
          </w:tcPr>
          <w:p w:rsidR="00C65BDB" w:rsidRDefault="00DF011C">
            <w:pPr>
              <w:rPr>
                <w:sz w:val="20"/>
                <w:szCs w:val="20"/>
              </w:rPr>
            </w:pPr>
            <w:r>
              <w:rPr>
                <w:rFonts w:ascii="Arial" w:eastAsia="Arial" w:hAnsi="Arial" w:cs="Arial"/>
                <w:sz w:val="20"/>
                <w:szCs w:val="20"/>
              </w:rPr>
              <w:t>Summarize the main results (including an overview of concepts, themes, and types of evidence available), link to the review questions and objectives, and consider the relevance to key groups.</w:t>
            </w:r>
          </w:p>
        </w:tc>
        <w:tc>
          <w:tcPr>
            <w:tcW w:w="1485" w:type="dxa"/>
            <w:vAlign w:val="center"/>
          </w:tcPr>
          <w:p w:rsidR="00C65BDB" w:rsidRDefault="00DF011C">
            <w:pPr>
              <w:rPr>
                <w:sz w:val="20"/>
                <w:szCs w:val="20"/>
              </w:rPr>
            </w:pPr>
            <w:r>
              <w:rPr>
                <w:color w:val="808080"/>
              </w:rPr>
              <w:t>16</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Limitations</w:t>
            </w:r>
          </w:p>
        </w:tc>
        <w:tc>
          <w:tcPr>
            <w:tcW w:w="810" w:type="dxa"/>
            <w:vAlign w:val="center"/>
          </w:tcPr>
          <w:p w:rsidR="00C65BDB" w:rsidRDefault="00DF011C">
            <w:pPr>
              <w:jc w:val="center"/>
              <w:rPr>
                <w:sz w:val="20"/>
                <w:szCs w:val="20"/>
              </w:rPr>
            </w:pPr>
            <w:r>
              <w:rPr>
                <w:rFonts w:ascii="Arial" w:eastAsia="Arial" w:hAnsi="Arial" w:cs="Arial"/>
                <w:sz w:val="20"/>
                <w:szCs w:val="20"/>
              </w:rPr>
              <w:t>20</w:t>
            </w:r>
          </w:p>
        </w:tc>
        <w:tc>
          <w:tcPr>
            <w:tcW w:w="5265" w:type="dxa"/>
            <w:vAlign w:val="center"/>
          </w:tcPr>
          <w:p w:rsidR="00C65BDB" w:rsidRDefault="00DF011C">
            <w:pPr>
              <w:rPr>
                <w:b/>
                <w:i/>
                <w:sz w:val="20"/>
                <w:szCs w:val="20"/>
              </w:rPr>
            </w:pPr>
            <w:r>
              <w:rPr>
                <w:rFonts w:ascii="Arial" w:eastAsia="Arial" w:hAnsi="Arial" w:cs="Arial"/>
                <w:sz w:val="20"/>
                <w:szCs w:val="20"/>
              </w:rPr>
              <w:t>Discuss the limitations of the scoping review process.</w:t>
            </w:r>
          </w:p>
        </w:tc>
        <w:tc>
          <w:tcPr>
            <w:tcW w:w="1485" w:type="dxa"/>
            <w:vAlign w:val="center"/>
          </w:tcPr>
          <w:p w:rsidR="00C65BDB" w:rsidRDefault="00D90B5A">
            <w:pPr>
              <w:rPr>
                <w:sz w:val="20"/>
                <w:szCs w:val="20"/>
              </w:rPr>
            </w:pPr>
            <w:r>
              <w:rPr>
                <w:color w:val="808080"/>
              </w:rPr>
              <w:t>19</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Conclusions</w:t>
            </w:r>
          </w:p>
        </w:tc>
        <w:tc>
          <w:tcPr>
            <w:tcW w:w="810" w:type="dxa"/>
            <w:vAlign w:val="center"/>
          </w:tcPr>
          <w:p w:rsidR="00C65BDB" w:rsidRDefault="00DF011C">
            <w:pPr>
              <w:jc w:val="center"/>
              <w:rPr>
                <w:sz w:val="20"/>
                <w:szCs w:val="20"/>
              </w:rPr>
            </w:pPr>
            <w:r>
              <w:rPr>
                <w:rFonts w:ascii="Arial" w:eastAsia="Arial" w:hAnsi="Arial" w:cs="Arial"/>
                <w:sz w:val="20"/>
                <w:szCs w:val="20"/>
              </w:rPr>
              <w:t>21</w:t>
            </w:r>
          </w:p>
        </w:tc>
        <w:tc>
          <w:tcPr>
            <w:tcW w:w="5265" w:type="dxa"/>
            <w:vAlign w:val="center"/>
          </w:tcPr>
          <w:p w:rsidR="00C65BDB" w:rsidRDefault="00DF011C">
            <w:pPr>
              <w:rPr>
                <w:sz w:val="20"/>
                <w:szCs w:val="20"/>
              </w:rPr>
            </w:pPr>
            <w:r>
              <w:rPr>
                <w:rFonts w:ascii="Arial" w:eastAsia="Arial" w:hAnsi="Arial" w:cs="Arial"/>
                <w:sz w:val="20"/>
                <w:szCs w:val="20"/>
              </w:rPr>
              <w:t>Provide a general interpretation of the results with respect to the review questions and objectives, as well as potential implications and/or next steps.</w:t>
            </w:r>
          </w:p>
        </w:tc>
        <w:tc>
          <w:tcPr>
            <w:tcW w:w="1485" w:type="dxa"/>
            <w:vAlign w:val="center"/>
          </w:tcPr>
          <w:p w:rsidR="00C65BDB" w:rsidRDefault="00D90B5A">
            <w:pPr>
              <w:rPr>
                <w:sz w:val="20"/>
                <w:szCs w:val="20"/>
              </w:rPr>
            </w:pPr>
            <w:r>
              <w:rPr>
                <w:color w:val="808080"/>
              </w:rPr>
              <w:t>19-20</w:t>
            </w:r>
          </w:p>
        </w:tc>
      </w:tr>
      <w:tr w:rsidR="00C65BDB">
        <w:tc>
          <w:tcPr>
            <w:tcW w:w="9585" w:type="dxa"/>
            <w:gridSpan w:val="4"/>
            <w:shd w:val="clear" w:color="auto" w:fill="CEDEEE"/>
            <w:vAlign w:val="center"/>
          </w:tcPr>
          <w:p w:rsidR="00C65BDB" w:rsidRDefault="00DF011C">
            <w:pPr>
              <w:rPr>
                <w:b/>
                <w:sz w:val="20"/>
                <w:szCs w:val="20"/>
              </w:rPr>
            </w:pPr>
            <w:r>
              <w:rPr>
                <w:rFonts w:ascii="Arial" w:eastAsia="Arial" w:hAnsi="Arial" w:cs="Arial"/>
                <w:b/>
                <w:sz w:val="20"/>
                <w:szCs w:val="20"/>
              </w:rPr>
              <w:t>FUNDING</w:t>
            </w:r>
          </w:p>
        </w:tc>
      </w:tr>
      <w:tr w:rsidR="00C65BDB">
        <w:tc>
          <w:tcPr>
            <w:tcW w:w="2025" w:type="dxa"/>
            <w:vAlign w:val="center"/>
          </w:tcPr>
          <w:p w:rsidR="00C65BDB" w:rsidRDefault="00DF011C">
            <w:pPr>
              <w:ind w:left="180"/>
              <w:rPr>
                <w:sz w:val="20"/>
                <w:szCs w:val="20"/>
              </w:rPr>
            </w:pPr>
            <w:r>
              <w:rPr>
                <w:rFonts w:ascii="Arial" w:eastAsia="Arial" w:hAnsi="Arial" w:cs="Arial"/>
                <w:sz w:val="20"/>
                <w:szCs w:val="20"/>
              </w:rPr>
              <w:t>Funding</w:t>
            </w:r>
          </w:p>
        </w:tc>
        <w:tc>
          <w:tcPr>
            <w:tcW w:w="810" w:type="dxa"/>
            <w:vAlign w:val="center"/>
          </w:tcPr>
          <w:p w:rsidR="00C65BDB" w:rsidRDefault="00DF011C">
            <w:pPr>
              <w:jc w:val="center"/>
              <w:rPr>
                <w:sz w:val="20"/>
                <w:szCs w:val="20"/>
              </w:rPr>
            </w:pPr>
            <w:r>
              <w:rPr>
                <w:rFonts w:ascii="Arial" w:eastAsia="Arial" w:hAnsi="Arial" w:cs="Arial"/>
                <w:sz w:val="20"/>
                <w:szCs w:val="20"/>
              </w:rPr>
              <w:t>22</w:t>
            </w:r>
          </w:p>
        </w:tc>
        <w:tc>
          <w:tcPr>
            <w:tcW w:w="5265" w:type="dxa"/>
            <w:vAlign w:val="center"/>
          </w:tcPr>
          <w:p w:rsidR="00C65BDB" w:rsidRDefault="00DF011C">
            <w:pPr>
              <w:rPr>
                <w:sz w:val="20"/>
                <w:szCs w:val="20"/>
              </w:rPr>
            </w:pPr>
            <w:r>
              <w:rPr>
                <w:rFonts w:ascii="Arial" w:eastAsia="Arial" w:hAnsi="Arial" w:cs="Arial"/>
                <w:sz w:val="20"/>
                <w:szCs w:val="20"/>
              </w:rPr>
              <w:t>Describe sources of funding for the included sources of evidence, as well as sources of funding for the scoping review. Describe the role of the funders of the scoping review.</w:t>
            </w:r>
          </w:p>
        </w:tc>
        <w:tc>
          <w:tcPr>
            <w:tcW w:w="1485" w:type="dxa"/>
            <w:vAlign w:val="center"/>
          </w:tcPr>
          <w:p w:rsidR="00C65BDB" w:rsidRDefault="00D90B5A">
            <w:pPr>
              <w:rPr>
                <w:sz w:val="20"/>
                <w:szCs w:val="20"/>
              </w:rPr>
            </w:pPr>
            <w:r>
              <w:rPr>
                <w:color w:val="808080"/>
              </w:rPr>
              <w:t>21</w:t>
            </w:r>
            <w:bookmarkStart w:id="1" w:name="_GoBack"/>
            <w:bookmarkEnd w:id="1"/>
          </w:p>
        </w:tc>
      </w:tr>
    </w:tbl>
    <w:p w:rsidR="00C65BDB" w:rsidRDefault="00DF011C">
      <w:pPr>
        <w:spacing w:after="0" w:line="240" w:lineRule="auto"/>
        <w:rPr>
          <w:sz w:val="18"/>
          <w:szCs w:val="18"/>
        </w:rPr>
      </w:pPr>
      <w:r>
        <w:rPr>
          <w:rFonts w:ascii="Arial" w:eastAsia="Arial" w:hAnsi="Arial" w:cs="Arial"/>
          <w:sz w:val="18"/>
          <w:szCs w:val="18"/>
        </w:rPr>
        <w:t>JBI = Joanna Briggs Institute; PRISMA-ScR = Preferred Reporting Items for Systematic reviews and Meta-Analyses extension for Scoping Reviews.</w:t>
      </w:r>
    </w:p>
    <w:p w:rsidR="00C65BDB" w:rsidRDefault="00DF011C">
      <w:pPr>
        <w:spacing w:after="0" w:line="240" w:lineRule="auto"/>
        <w:rPr>
          <w:sz w:val="18"/>
          <w:szCs w:val="18"/>
        </w:rPr>
      </w:pPr>
      <w:r>
        <w:rPr>
          <w:rFonts w:ascii="Arial" w:eastAsia="Arial" w:hAnsi="Arial" w:cs="Arial"/>
          <w:sz w:val="18"/>
          <w:szCs w:val="18"/>
        </w:rPr>
        <w:lastRenderedPageBreak/>
        <w:t xml:space="preserve">* Where </w:t>
      </w:r>
      <w:r>
        <w:rPr>
          <w:rFonts w:ascii="Arial" w:eastAsia="Arial" w:hAnsi="Arial" w:cs="Arial"/>
          <w:i/>
          <w:sz w:val="18"/>
          <w:szCs w:val="18"/>
        </w:rPr>
        <w:t>sources of evidence</w:t>
      </w:r>
      <w:r>
        <w:rPr>
          <w:rFonts w:ascii="Arial" w:eastAsia="Arial" w:hAnsi="Arial" w:cs="Arial"/>
          <w:sz w:val="18"/>
          <w:szCs w:val="18"/>
        </w:rPr>
        <w:t xml:space="preserve"> (see second footnote) are compiled from, such as bibliographic databases, social media platforms, and Web sites.</w:t>
      </w:r>
    </w:p>
    <w:p w:rsidR="00C65BDB" w:rsidRDefault="00DF011C">
      <w:pPr>
        <w:spacing w:after="0" w:line="240" w:lineRule="auto"/>
        <w:rPr>
          <w:sz w:val="18"/>
          <w:szCs w:val="18"/>
        </w:rPr>
      </w:pPr>
      <w:r>
        <w:rPr>
          <w:rFonts w:ascii="Arial" w:eastAsia="Arial" w:hAnsi="Arial" w:cs="Arial"/>
          <w:sz w:val="18"/>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eastAsia="Arial" w:hAnsi="Arial" w:cs="Arial"/>
          <w:i/>
          <w:sz w:val="18"/>
          <w:szCs w:val="18"/>
        </w:rPr>
        <w:t>information sources</w:t>
      </w:r>
      <w:r>
        <w:rPr>
          <w:rFonts w:ascii="Arial" w:eastAsia="Arial" w:hAnsi="Arial" w:cs="Arial"/>
          <w:sz w:val="18"/>
          <w:szCs w:val="18"/>
        </w:rPr>
        <w:t xml:space="preserve"> (see first footnote).</w:t>
      </w:r>
    </w:p>
    <w:p w:rsidR="00C65BDB" w:rsidRDefault="00DF011C">
      <w:pPr>
        <w:spacing w:after="0" w:line="240" w:lineRule="auto"/>
        <w:rPr>
          <w:sz w:val="18"/>
          <w:szCs w:val="18"/>
        </w:rPr>
      </w:pPr>
      <w:bookmarkStart w:id="2" w:name="_heading=h.gjdgxs" w:colFirst="0" w:colLast="0"/>
      <w:bookmarkEnd w:id="2"/>
      <w:r>
        <w:rPr>
          <w:rFonts w:ascii="Arial" w:eastAsia="Arial" w:hAnsi="Arial" w:cs="Arial"/>
          <w:sz w:val="18"/>
          <w:szCs w:val="18"/>
        </w:rPr>
        <w:t>‡ The frameworks by Arksey and O’Malley (6) and Levac and colleagues (7) and the JBI guidance (4, 5) refer to the process of data extraction in a scoping review as data charting</w:t>
      </w:r>
      <w:r>
        <w:rPr>
          <w:rFonts w:ascii="Arial" w:eastAsia="Arial" w:hAnsi="Arial" w:cs="Arial"/>
          <w:i/>
          <w:sz w:val="18"/>
          <w:szCs w:val="18"/>
        </w:rPr>
        <w:t>.</w:t>
      </w:r>
    </w:p>
    <w:p w:rsidR="00C65BDB" w:rsidRDefault="00DF011C">
      <w:pPr>
        <w:spacing w:after="0" w:line="240" w:lineRule="auto"/>
        <w:rPr>
          <w:sz w:val="18"/>
          <w:szCs w:val="18"/>
        </w:rPr>
      </w:pPr>
      <w:r>
        <w:rPr>
          <w:rFonts w:ascii="Arial" w:eastAsia="Arial" w:hAnsi="Arial" w:cs="Arial"/>
          <w:sz w:val="18"/>
          <w:szCs w:val="18"/>
        </w:rPr>
        <w:t>§</w:t>
      </w:r>
      <w:r>
        <w:rPr>
          <w:rFonts w:ascii="Arial" w:eastAsia="Arial" w:hAnsi="Arial" w:cs="Arial"/>
          <w:i/>
          <w:sz w:val="18"/>
          <w:szCs w:val="18"/>
        </w:rPr>
        <w:t xml:space="preserve"> </w:t>
      </w:r>
      <w:r>
        <w:rPr>
          <w:rFonts w:ascii="Arial" w:eastAsia="Arial" w:hAnsi="Arial" w:cs="Arial"/>
          <w:sz w:val="18"/>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C65BDB" w:rsidRDefault="00C65BDB">
      <w:pPr>
        <w:spacing w:after="0" w:line="240" w:lineRule="auto"/>
        <w:rPr>
          <w:sz w:val="18"/>
          <w:szCs w:val="18"/>
        </w:rPr>
      </w:pPr>
    </w:p>
    <w:p w:rsidR="00C65BDB" w:rsidRDefault="00C65BDB">
      <w:pPr>
        <w:spacing w:after="0" w:line="240" w:lineRule="auto"/>
        <w:rPr>
          <w:sz w:val="18"/>
          <w:szCs w:val="18"/>
        </w:rPr>
      </w:pPr>
    </w:p>
    <w:p w:rsidR="00C65BDB" w:rsidRDefault="00DF011C">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w:t>
      </w:r>
      <w:proofErr w:type="gramStart"/>
      <w:r>
        <w:rPr>
          <w:sz w:val="16"/>
          <w:szCs w:val="16"/>
        </w:rPr>
        <w:t>2018;169:467</w:t>
      </w:r>
      <w:proofErr w:type="gramEnd"/>
      <w:r>
        <w:rPr>
          <w:sz w:val="16"/>
          <w:szCs w:val="16"/>
        </w:rPr>
        <w:t xml:space="preserve">–473. </w:t>
      </w:r>
      <w:hyperlink r:id="rId8">
        <w:r>
          <w:rPr>
            <w:color w:val="2E5D8B"/>
            <w:sz w:val="16"/>
            <w:szCs w:val="16"/>
            <w:u w:val="single"/>
          </w:rPr>
          <w:t>doi: 10.7326/M18-0850</w:t>
        </w:r>
      </w:hyperlink>
      <w:r>
        <w:rPr>
          <w:sz w:val="16"/>
          <w:szCs w:val="16"/>
        </w:rPr>
        <w:t>.</w:t>
      </w:r>
    </w:p>
    <w:p w:rsidR="00C65BDB" w:rsidRDefault="00C65BDB">
      <w:pPr>
        <w:jc w:val="both"/>
        <w:rPr>
          <w:rFonts w:ascii="Times New Roman" w:eastAsia="Times New Roman" w:hAnsi="Times New Roman" w:cs="Times New Roman"/>
          <w:b/>
          <w:sz w:val="24"/>
          <w:szCs w:val="24"/>
        </w:rPr>
      </w:pPr>
      <w:bookmarkStart w:id="3" w:name="_heading=h.vma79idajeia" w:colFirst="0" w:colLast="0"/>
      <w:bookmarkEnd w:id="3"/>
    </w:p>
    <w:sectPr w:rsidR="00C65BDB">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19C" w:rsidRDefault="0074519C">
      <w:pPr>
        <w:spacing w:after="0" w:line="240" w:lineRule="auto"/>
      </w:pPr>
      <w:r>
        <w:separator/>
      </w:r>
    </w:p>
  </w:endnote>
  <w:endnote w:type="continuationSeparator" w:id="0">
    <w:p w:rsidR="0074519C" w:rsidRDefault="00745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BDB" w:rsidRDefault="00DF011C">
    <w:pPr>
      <w:pBdr>
        <w:top w:val="nil"/>
        <w:left w:val="nil"/>
        <w:bottom w:val="nil"/>
        <w:right w:val="nil"/>
        <w:between w:val="nil"/>
      </w:pBdr>
      <w:tabs>
        <w:tab w:val="center" w:pos="4680"/>
        <w:tab w:val="right" w:pos="9360"/>
        <w:tab w:val="left" w:pos="330"/>
      </w:tabs>
      <w:spacing w:after="0" w:line="240" w:lineRule="auto"/>
      <w:rPr>
        <w:b/>
        <w:color w:val="000000"/>
      </w:rPr>
    </w:pPr>
    <w:r>
      <w:rPr>
        <w:rFonts w:ascii="Arial" w:eastAsia="Arial" w:hAnsi="Arial" w:cs="Arial"/>
        <w:color w:val="000000"/>
      </w:rPr>
      <w:tab/>
      <w:t xml:space="preserve"> </w:t>
    </w:r>
    <w:r>
      <w:rPr>
        <w:rFonts w:ascii="Arial" w:eastAsia="Arial" w:hAnsi="Arial" w:cs="Arial"/>
        <w:b/>
        <w:color w:val="000000"/>
      </w:rPr>
      <w:tab/>
    </w:r>
    <w:r>
      <w:rPr>
        <w:noProof/>
      </w:rPr>
      <w:drawing>
        <wp:anchor distT="0" distB="0" distL="114300" distR="114300" simplePos="0" relativeHeight="251660288" behindDoc="0" locked="0" layoutInCell="1" hidden="0" allowOverlap="1">
          <wp:simplePos x="0" y="0"/>
          <wp:positionH relativeFrom="column">
            <wp:posOffset>-445768</wp:posOffset>
          </wp:positionH>
          <wp:positionV relativeFrom="paragraph">
            <wp:posOffset>-2538</wp:posOffset>
          </wp:positionV>
          <wp:extent cx="495300" cy="499745"/>
          <wp:effectExtent l="0" t="0" r="0" b="0"/>
          <wp:wrapSquare wrapText="bothSides" distT="0" distB="0" distL="114300" distR="114300"/>
          <wp:docPr id="1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95300" cy="49974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simplePos x="0" y="0"/>
              <wp:positionH relativeFrom="column">
                <wp:posOffset>228600</wp:posOffset>
              </wp:positionH>
              <wp:positionV relativeFrom="paragraph">
                <wp:posOffset>-21588</wp:posOffset>
              </wp:positionV>
              <wp:extent cx="1352550" cy="590550"/>
              <wp:effectExtent l="0" t="0" r="0" b="0"/>
              <wp:wrapNone/>
              <wp:docPr id="104" name="Casella di testo 104"/>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20945" w:rsidRDefault="00DF011C">
                          <w:r>
                            <w:rPr>
                              <w:noProof/>
                            </w:rPr>
                            <w:drawing>
                              <wp:inline distT="0" distB="0" distL="0" distR="0">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sella di testo 104" o:spid="_x0000_s1028" type="#_x0000_t202" style="position:absolute;margin-left:18pt;margin-top:-1.7pt;width:106.5pt;height:4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LkkgIAAJ0FAAAOAAAAZHJzL2Uyb0RvYy54bWysVE1v2zAMvQ/YfxB0X52kSbcGdYosRYcB&#10;RVusHXpWZKkRJouaxCTOfv0o2U6yrpcOu9iU+EiKjx8Xl01t2UaFaMCVfHgy4Ew5CZVxzyX//nj9&#10;4RNnEYWrhAWnSr5TkV/O3r+72PqpGsEKbKUCIycuTre+5CtEPy2KKFeqFvEEvHKk1BBqgXQMz0UV&#10;xJa817YYDQZnxRZC5QNIFSPdXrVKPsv+tVYS77SOCpktOb0N8zfk7zJ9i9mFmD4H4VdGds8Q//CK&#10;WhhHQfeurgQKtg7mL1e1kQEiaDyRUBegtZEq50DZDAcvsnlYCa9yLkRO9Hua4v9zK28394GZimo3&#10;GHPmRE1FWoiorBWsMgxVRGBJR0xtfZySwYMnE2w+Q0NW/X2ky0RAo0Od/pQaIz1xvtvzrBpkMhmd&#10;TkaTCakk6SbngyST++Jg7UPELwpqloSSB6pjpldsbiK20B6SgkWwpro21uZD6h21sIFtBFXdYn4j&#10;Of8DZR3blvzslEInIwfJvPVsXbpRuXu6cCnzNsMs4c6qhLHum9LEXk70ldhCSuX28TM6oTSFeoth&#10;hz+86i3GbR5kkSODw71xbRyEnH0etwNl1Y+eMt3iqTZHeScRm2WT22bUN8ASqh31RYB2xqKX14aK&#10;dyMi3otAQ0X1pkWBd/TRFoh86CTOVhB+vXaf8NTrpOVsS0Na8vhzLYLizH51NAXnw/E4TXU+jCcf&#10;R3QIx5rlscat6wVQRwxpJXmZxYRH24s6QP1E+2SeopJKOEmxS469uMB2ddA+kmo+zyCaYy/wxj14&#10;mVwnllNrPjZPIviuf5E6/xb6cRbTF23cYpOlg/kaQZvc44nnltWOf9oBeUq6fZWWzPE5ow5bdfYb&#10;AAD//wMAUEsDBBQABgAIAAAAIQAZyeEC4AAAAAgBAAAPAAAAZHJzL2Rvd25yZXYueG1sTI/BTsMw&#10;EETvSPyDtUhcUOvQlNCGbCqEgErc2hQQNzdekojYjmI3CX/PcoLj7Kxm3mSbybRioN43ziJczyMQ&#10;ZEunG1shHIqn2QqED8pq1TpLCN/kYZOfn2Uq1W60Oxr2oRIcYn2qEOoQulRKX9ZklJ+7jix7n643&#10;KrDsK6l7NXK4aeUiihJpVGO5oVYdPdRUfu1PBuHjqnp/8dPz6xjfxN3jdihu33SBeHkx3d+BCDSF&#10;v2f4xWd0yJnp6E5We9EixAlPCQizeAmC/cVyzYcjwmqdgMwz+X9A/gMAAP//AwBQSwECLQAUAAYA&#10;CAAAACEAtoM4kv4AAADhAQAAEwAAAAAAAAAAAAAAAAAAAAAAW0NvbnRlbnRfVHlwZXNdLnhtbFBL&#10;AQItABQABgAIAAAAIQA4/SH/1gAAAJQBAAALAAAAAAAAAAAAAAAAAC8BAABfcmVscy8ucmVsc1BL&#10;AQItABQABgAIAAAAIQBralLkkgIAAJ0FAAAOAAAAAAAAAAAAAAAAAC4CAABkcnMvZTJvRG9jLnht&#10;bFBLAQItABQABgAIAAAAIQAZyeEC4AAAAAgBAAAPAAAAAAAAAAAAAAAAAOwEAABkcnMvZG93bnJl&#10;di54bWxQSwUGAAAAAAQABADzAAAA+QUAAAAA&#10;" fillcolor="white [3201]" stroked="f" strokeweight=".5pt">
              <v:textbox>
                <w:txbxContent>
                  <w:p w:rsidR="00A20945" w:rsidRDefault="00DF011C">
                    <w:r>
                      <w:rPr>
                        <w:noProof/>
                      </w:rPr>
                      <w:drawing>
                        <wp:inline distT="0" distB="0" distL="0" distR="0">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3">
                                    <a:extLst/>
                                  </a:blip>
                                  <a:stretch>
                                    <a:fillRect/>
                                  </a:stretch>
                                </pic:blipFill>
                                <pic:spPr>
                                  <a:xfrm>
                                    <a:off x="0" y="0"/>
                                    <a:ext cx="769451" cy="437048"/>
                                  </a:xfrm>
                                  <a:prstGeom prst="rect">
                                    <a:avLst/>
                                  </a:prstGeom>
                                </pic:spPr>
                              </pic:pic>
                            </a:graphicData>
                          </a:graphic>
                        </wp:inline>
                      </w:drawing>
                    </w:r>
                  </w:p>
                </w:txbxContent>
              </v:textbox>
            </v:shape>
          </w:pict>
        </mc:Fallback>
      </mc:AlternateContent>
    </w:r>
  </w:p>
  <w:p w:rsidR="00C65BDB" w:rsidRDefault="00DF011C">
    <w:pPr>
      <w:pBdr>
        <w:top w:val="nil"/>
        <w:left w:val="nil"/>
        <w:bottom w:val="nil"/>
        <w:right w:val="nil"/>
        <w:between w:val="nil"/>
      </w:pBdr>
      <w:tabs>
        <w:tab w:val="center" w:pos="4680"/>
        <w:tab w:val="right" w:pos="9360"/>
        <w:tab w:val="left" w:pos="643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90B5A">
      <w:rPr>
        <w:noProof/>
        <w:color w:val="000000"/>
      </w:rPr>
      <w:t>1</w:t>
    </w:r>
    <w:r>
      <w:rPr>
        <w:color w:val="000000"/>
      </w:rPr>
      <w:fldChar w:fldCharType="end"/>
    </w:r>
    <w:r>
      <w:rPr>
        <w:noProof/>
      </w:rPr>
      <mc:AlternateContent>
        <mc:Choice Requires="wps">
          <w:drawing>
            <wp:anchor distT="0" distB="0" distL="114300" distR="114300" simplePos="0" relativeHeight="251662336" behindDoc="0" locked="0" layoutInCell="1" hidden="0" allowOverlap="1">
              <wp:simplePos x="0" y="0"/>
              <wp:positionH relativeFrom="column">
                <wp:posOffset>-1536699</wp:posOffset>
              </wp:positionH>
              <wp:positionV relativeFrom="paragraph">
                <wp:posOffset>660400</wp:posOffset>
              </wp:positionV>
              <wp:extent cx="9905365" cy="247650"/>
              <wp:effectExtent l="0" t="0" r="0" b="0"/>
              <wp:wrapNone/>
              <wp:docPr id="107" name="Figura a mano libera 107"/>
              <wp:cNvGraphicFramePr/>
              <a:graphic xmlns:a="http://schemas.openxmlformats.org/drawingml/2006/main">
                <a:graphicData uri="http://schemas.microsoft.com/office/word/2010/wordprocessingShape">
                  <wps:wsp>
                    <wps:cNvSpPr/>
                    <wps:spPr>
                      <a:xfrm>
                        <a:off x="402843" y="3665700"/>
                        <a:ext cx="9886315" cy="228600"/>
                      </a:xfrm>
                      <a:custGeom>
                        <a:avLst/>
                        <a:gdLst/>
                        <a:ahLst/>
                        <a:cxnLst/>
                        <a:rect l="l" t="t" r="r" b="b"/>
                        <a:pathLst>
                          <a:path w="8686896" h="228844" extrusionOk="0">
                            <a:moveTo>
                              <a:pt x="861333" y="244"/>
                            </a:moveTo>
                            <a:lnTo>
                              <a:pt x="8686896" y="244"/>
                            </a:lnTo>
                            <a:lnTo>
                              <a:pt x="8686896" y="228844"/>
                            </a:lnTo>
                            <a:lnTo>
                              <a:pt x="96" y="228844"/>
                            </a:lnTo>
                            <a:cubicBezTo>
                              <a:pt x="-10536" y="227072"/>
                              <a:pt x="861333" y="-8617"/>
                              <a:pt x="861333" y="244"/>
                            </a:cubicBezTo>
                            <a:close/>
                          </a:path>
                        </a:pathLst>
                      </a:custGeom>
                      <a:gradFill>
                        <a:gsLst>
                          <a:gs pos="0">
                            <a:schemeClr val="accent3"/>
                          </a:gs>
                          <a:gs pos="100000">
                            <a:srgbClr val="2E5D8C"/>
                          </a:gs>
                        </a:gsLst>
                        <a:path path="circle">
                          <a:fillToRect r="100000" b="100000"/>
                        </a:path>
                        <a:tileRect l="-100000" t="-100000"/>
                      </a:gradFill>
                      <a:ln>
                        <a:noFill/>
                      </a:ln>
                    </wps:spPr>
                    <wps:txbx>
                      <w:txbxContent>
                        <w:p w:rsidR="00C65BDB" w:rsidRDefault="00C65B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igura a mano libera 107" o:spid="_x0000_s1029" style="position:absolute;left:0;text-align:left;margin-left:-121pt;margin-top:52pt;width:779.9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Bd4wIAADYGAAAOAAAAZHJzL2Uyb0RvYy54bWysVG1v2yAQ/j5p/wHxvfVLEseN6lRbu0yT&#10;qrVaux+AMbbRMHhAEne/fgfYidt+m5ZINmfujud57o7rm6ET6MC04UoWOLmMMWKSqorLpsA/n3cX&#10;OUbGElkRoSQr8Asz+Gb78cP1sd+wVLVKVEwjSCLN5tgXuLW230SRoS3riLlUPZOwWSvdEQumbqJK&#10;kyNk70SUxnEWHZWueq0oMwa+3oVNvPX565pR+1DXhlkkCgzYrH9q/yzdM9pek02jSd9yOsIg/4Ci&#10;I1zCoadUd8QStNf8XaqOU62Mqu0lVV2k6ppT5jkAmyR+w+apJT3zXEAc059kMv8vLf1+eNSIV1C7&#10;eI2RJB0UacebvSaIoI5IhQQvGVhuH9Q69mYDQU/9ox4tA0tHfah1595ACg0FXsZpvlxg9FLgRZat&#10;1vEoNhssorB/lefZIllhRMEjTfMsOETnRHRv7FemfFJyuDc2FKuaVqSdVnSQ01JDyV2xhS+2xQiK&#10;rTGCYpeh2D2xLs4hdUt0LHCewf8qw6j1SPLlErp4sHrvuvrhl+sT596pA3tWPtA6hnmWLBaBYQoh&#10;gA7An52EfO08nuHYnrwnn+ndj4lnvmnu8ITkk9v0Du4OedDwvSfdl5x+Zn/mUC6SeLWYYtbxOh2F&#10;eUvqAgj6moNSb/fOFF6fQIUyLIB16npJToqDPPOawthVOy6EU7QxY00ag3oFDR4k9/cAuxUaHQgU&#10;lVDKpF2MajQmRIaAJHY/Xyijm/IUk35Z3eW3sxBAcTrNd4B7FJhyTYWbNrKpAdSz+uE6CbpnTOxa&#10;aFzO+ZGN5YJ5XwAI0noU7qKZ1sF7TlZId4pUjvxUWFDKjVYYJreyQzn4wfR03ZdSVS8wrKanO66N&#10;vSfGPhIN11WC0RGusAKb33uiGUbimwQJr5JlCvNl54aeG+XcIJK2CuhSC+MSjFsLdpBUqk97q2ru&#10;ZtADDWBGAy4nX+nxInW339z2XufrfvsXAAD//wMAUEsDBBQABgAIAAAAIQDtj30d4gAAAA0BAAAP&#10;AAAAZHJzL2Rvd25yZXYueG1sTI/BTsMwEETvSPyDtUhcUGs3jQqEOBU09AA3CqJXN17iiNiOYicN&#10;/Xq2J7jNakazb/L1ZFs2Yh8a7yQs5gIYusrrxtUSPt63sztgISqnVesdSvjBAOvi8iJXmfZH94bj&#10;LtaMSlzIlAQTY5dxHiqDVoW579CR9+V7qyKdfc11r45UblueCLHiVjWOPhjV4cZg9b0brITx9Lxf&#10;DeWNHsr9p92WG/P6cnqS8vpqenwAFnGKf2E44xM6FMR08IPTgbUSZkma0JhIjkhJnCPLxe09sAOp&#10;dCmAFzn/v6L4BQAA//8DAFBLAQItABQABgAIAAAAIQC2gziS/gAAAOEBAAATAAAAAAAAAAAAAAAA&#10;AAAAAABbQ29udGVudF9UeXBlc10ueG1sUEsBAi0AFAAGAAgAAAAhADj9If/WAAAAlAEAAAsAAAAA&#10;AAAAAAAAAAAALwEAAF9yZWxzLy5yZWxzUEsBAi0AFAAGAAgAAAAhABO1oF3jAgAANgYAAA4AAAAA&#10;AAAAAAAAAAAALgIAAGRycy9lMm9Eb2MueG1sUEsBAi0AFAAGAAgAAAAhAO2PfR3iAAAADQEAAA8A&#10;AAAAAAAAAAAAAAAAPQUAAGRycy9kb3ducmV2LnhtbFBLBQYAAAAABAAEAPMAAABMBgAAAAA=&#10;" adj="-11796480,,5400" path="m861333,244r7825563,l8686896,228844,96,228844c-10536,227072,861333,-8617,861333,244xe" fillcolor="#a5a5a5 [3206]" stroked="f">
              <v:fill color2="#2e5d8c" focus="100%" type="gradientRadial"/>
              <v:stroke joinstyle="miter"/>
              <v:formulas/>
              <v:path arrowok="t" o:extrusionok="f" o:connecttype="custom" textboxrect="0,0,8686896,228844"/>
              <v:textbox inset="2.53958mm,2.53958mm,2.53958mm,2.53958mm">
                <w:txbxContent>
                  <w:p w:rsidR="00C65BDB" w:rsidRDefault="00C65BDB">
                    <w:pPr>
                      <w:spacing w:after="0" w:line="240" w:lineRule="auto"/>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19C" w:rsidRDefault="0074519C">
      <w:pPr>
        <w:spacing w:after="0" w:line="240" w:lineRule="auto"/>
      </w:pPr>
      <w:r>
        <w:separator/>
      </w:r>
    </w:p>
  </w:footnote>
  <w:footnote w:type="continuationSeparator" w:id="0">
    <w:p w:rsidR="0074519C" w:rsidRDefault="00745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BDB" w:rsidRDefault="00DF011C">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-914399</wp:posOffset>
              </wp:positionH>
              <wp:positionV relativeFrom="paragraph">
                <wp:posOffset>-457199</wp:posOffset>
              </wp:positionV>
              <wp:extent cx="10450195" cy="247650"/>
              <wp:effectExtent l="0" t="0" r="0" b="0"/>
              <wp:wrapNone/>
              <wp:docPr id="105" name="Rettangolo 105"/>
              <wp:cNvGraphicFramePr/>
              <a:graphic xmlns:a="http://schemas.openxmlformats.org/drawingml/2006/main">
                <a:graphicData uri="http://schemas.microsoft.com/office/word/2010/wordprocessingShape">
                  <wps:wsp>
                    <wps:cNvSpPr/>
                    <wps:spPr>
                      <a:xfrm>
                        <a:off x="130428" y="3665700"/>
                        <a:ext cx="10431145" cy="228600"/>
                      </a:xfrm>
                      <a:prstGeom prst="rect">
                        <a:avLst/>
                      </a:prstGeom>
                      <a:gradFill>
                        <a:gsLst>
                          <a:gs pos="0">
                            <a:schemeClr val="accent1"/>
                          </a:gs>
                          <a:gs pos="100000">
                            <a:srgbClr val="162E45"/>
                          </a:gs>
                        </a:gsLst>
                        <a:path path="circle">
                          <a:fillToRect l="100000" t="100000"/>
                        </a:path>
                        <a:tileRect r="-100000" b="-100000"/>
                      </a:gradFill>
                      <a:ln>
                        <a:noFill/>
                      </a:ln>
                    </wps:spPr>
                    <wps:txbx>
                      <w:txbxContent>
                        <w:p w:rsidR="00C65BDB" w:rsidRDefault="00C65B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ttangolo 105" o:spid="_x0000_s1026" style="position:absolute;margin-left:-1in;margin-top:-36pt;width:822.85pt;height:1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38NgIAAHUEAAAOAAAAZHJzL2Uyb0RvYy54bWysVMlu2zAQvRfoPxC8x1rsuKlgOSiSuigQ&#10;NEaSfgBNURIBimSHtCX/fYeUvKC5BfWBnuG8Wd9Qq/uhU+QgwEmjS5rNUkqE5qaSuinp77fNzR0l&#10;zjNdMWW0KOlROHq//vxp1dtC5KY1qhJAMIh2RW9L2npviyRxvBUdczNjhUZjbaBjHlVokgpYj9E7&#10;leRpukx6A5UFw4VzePs4Guk6xq9rwf1zXTvhiSop1ubjCfHchTNZr1jRALOt5FMZ7ANVdExqTHoO&#10;9cg8I3uQ70J1koNxpvYzbrrE1LXkIvaA3WTpP928tsyK2AsOx9nzmNz/C8t/HbZAZIXcpbeUaNYh&#10;SS/CI2WNUYaEW5xRb12B0Fe7hUlzKIaGhxq68I+tkAGjzNNFjpwfSzpfLm+/pNOIxeAJD/Z0Mc+y&#10;BabiCMnzu+WISC6RLDj/Q5iOBKGkgBzG0bLDk/OYHaEnyDTxaiOVirJDyCgQa3BMafSM2yQeFJAD&#10;wz1gnAvts9AXxmrctUOWht/oBc3u7JMt8+9Y9cUlek7ZLPMtCUdJuQSuAmesqLGoN/OC5YflmwKH&#10;DZzEqRV0C2gvlYhYXM6bExhX9CRPmYGdm1U6+GkTmh+t4SYJVI3kBMkPuwGNQdyZ6ohcO8s3Eif7&#10;xJzfMsBtzyjp8QWU1P3ZMxCUqJ8aZ/c1W+TIk79W4FrZXStM89Zg7dwDJaPy4FEfZ6nNt703tYz8&#10;XYqZysXdHqkY32F4PNd6RF2+Fuu/AAAA//8DAFBLAwQUAAYACAAAACEAS2mVHeEAAAANAQAADwAA&#10;AGRycy9kb3ducmV2LnhtbEyPwU7DMBBE70j8g7VIXFBrpyk0hDgVQuqFGwWJHp3YJBHxOrLdOvD1&#10;bE/0Nrs7mn1TbWc7spPxYXAoIVsKYAZbpwfsJHy87xYFsBAVajU6NBJ+TIBtfX1VqVK7hG/mtI8d&#10;oxAMpZLQxziVnIe2N1aFpZsM0u3Leasijb7j2qtE4XbkKyEeuFUD0odeTealN+33/mglpLsipck/&#10;vjaHYv7cHVTehF+U8vZmfn4CFs0c/81wxid0qImpcUfUgY0SFtl6TWUiqc2KxNlyL7INsIZWeS6A&#10;1xW/bFH/AQAA//8DAFBLAQItABQABgAIAAAAIQC2gziS/gAAAOEBAAATAAAAAAAAAAAAAAAAAAAA&#10;AABbQ29udGVudF9UeXBlc10ueG1sUEsBAi0AFAAGAAgAAAAhADj9If/WAAAAlAEAAAsAAAAAAAAA&#10;AAAAAAAALwEAAF9yZWxzLy5yZWxzUEsBAi0AFAAGAAgAAAAhAAt4Tfw2AgAAdQQAAA4AAAAAAAAA&#10;AAAAAAAALgIAAGRycy9lMm9Eb2MueG1sUEsBAi0AFAAGAAgAAAAhAEtplR3hAAAADQEAAA8AAAAA&#10;AAAAAAAAAAAAkAQAAGRycy9kb3ducmV2LnhtbFBLBQYAAAAABAAEAPMAAACeBQAAAAA=&#10;" fillcolor="#5b9bd5 [3204]" stroked="f">
              <v:fill color2="#162e45" focusposition="1,1" focussize="" focus="100%" type="gradientRadial"/>
              <v:textbox inset="2.53958mm,2.53958mm,2.53958mm,2.53958mm">
                <w:txbxContent>
                  <w:p w:rsidR="00C65BDB" w:rsidRDefault="00C65BD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-393699</wp:posOffset>
              </wp:positionH>
              <wp:positionV relativeFrom="paragraph">
                <wp:posOffset>-457199</wp:posOffset>
              </wp:positionV>
              <wp:extent cx="9905365" cy="247650"/>
              <wp:effectExtent l="0" t="0" r="0" b="0"/>
              <wp:wrapNone/>
              <wp:docPr id="106" name="Figura a mano libera 106"/>
              <wp:cNvGraphicFramePr/>
              <a:graphic xmlns:a="http://schemas.openxmlformats.org/drawingml/2006/main">
                <a:graphicData uri="http://schemas.microsoft.com/office/word/2010/wordprocessingShape">
                  <wps:wsp>
                    <wps:cNvSpPr/>
                    <wps:spPr>
                      <a:xfrm>
                        <a:off x="402843" y="3665700"/>
                        <a:ext cx="9886315" cy="228600"/>
                      </a:xfrm>
                      <a:custGeom>
                        <a:avLst/>
                        <a:gdLst/>
                        <a:ahLst/>
                        <a:cxnLst/>
                        <a:rect l="l" t="t" r="r" b="b"/>
                        <a:pathLst>
                          <a:path w="8686896" h="228844" extrusionOk="0">
                            <a:moveTo>
                              <a:pt x="861333" y="244"/>
                            </a:moveTo>
                            <a:lnTo>
                              <a:pt x="8686896" y="244"/>
                            </a:lnTo>
                            <a:lnTo>
                              <a:pt x="8686896" y="228844"/>
                            </a:lnTo>
                            <a:lnTo>
                              <a:pt x="96" y="228844"/>
                            </a:lnTo>
                            <a:cubicBezTo>
                              <a:pt x="-10536" y="227072"/>
                              <a:pt x="861333" y="-8617"/>
                              <a:pt x="861333" y="244"/>
                            </a:cubicBezTo>
                            <a:close/>
                          </a:path>
                        </a:pathLst>
                      </a:custGeom>
                      <a:gradFill>
                        <a:gsLst>
                          <a:gs pos="0">
                            <a:schemeClr val="accent3"/>
                          </a:gs>
                          <a:gs pos="100000">
                            <a:srgbClr val="2E5D8C"/>
                          </a:gs>
                        </a:gsLst>
                        <a:path path="circle">
                          <a:fillToRect r="100000" b="100000"/>
                        </a:path>
                        <a:tileRect l="-100000" t="-100000"/>
                      </a:gradFill>
                      <a:ln>
                        <a:noFill/>
                      </a:ln>
                    </wps:spPr>
                    <wps:txbx>
                      <w:txbxContent>
                        <w:p w:rsidR="00C65BDB" w:rsidRDefault="00C65B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igura a mano libera 106" o:spid="_x0000_s1027" style="position:absolute;margin-left:-31pt;margin-top:-36pt;width:779.9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FeM4QIAADYGAAAOAAAAZHJzL2Uyb0RvYy54bWysVG1v2yAQ/j5p/wHxvfVLEseN6lRbu0yT&#10;qrVaux+AMbbRMHhAEne/fgfYidtpX6Ylks2Zu+N5nrvj+mboBDowbbiSBU4uY4yYpKrisinw9+fd&#10;RY6RsURWRCjJCvzCDL7Zvn93few3LFWtEhXTCJJIszn2BW6t7TdRZGjLOmIuVc8kbNZKd8SCqZuo&#10;0uQI2TsRpXGcRUelq14ryoyBr3dhE299/rpm1D7UtWEWiQIDNuuf2j9L94y212TTaNK3nI4wyD+g&#10;6AiXcOgp1R2xBO01/yNVx6lWRtX2kqouUnXNKfMcgE0Sv2Hz1JKeeS4gjulPMpn/l5Z+PTxqxCuo&#10;XZxhJEkHRdrxZq8JIqgjUiHBSwaW2we1jr3ZQNBT/6hHy8DSUR9q3bk3kEJDgZdxmi8XGL0UeJFl&#10;q3U8is0GiyjsX+V5tkhWGFHwSNM8Cw7RORHdG/uZKZ+UHO6NDcWqphVppxUd5LTUUHJXbOGLbTGC&#10;YmuMoNhlKHZPrItzSN0SHQucZ/C/AvqtR5Ivl9DFg9V719UPP1yfOPdOHdiz8oHWMcyzZLEIDFMI&#10;AXQA/uwk5Gvn8QzH9uQ9+Uzvfkw8801zhyckn9ymd3B3yIOGf3rSfcnpR/ZrDuUiiVeLKWYdr9NR&#10;mLekLoDg+i97ZwqvT6BCGRbAOnW9JCfFQZ55TWHsqh0XwinamLEmjUG9ggYPkvt7gN0KjQ4Eikoo&#10;ZdIuRjUaEyJDQBK7ny+U0U15ikk/re7y21kIoDid5jvAPQpMuabCTRvZ1ADqWX1znQTdMyZ2LTQu&#10;5/zIxnLBvC8ABGk9CnfRTOvgPScrpDtFKkd+Kiwo5UYrDJNb2aEcwmA67O5LqaoXGFbT0x3Xxt4T&#10;Yx+JhusqwegIV1iBzc890Qwj8UWChFfJMoX5snNDz41ybhBJWwV0qYVxCcatBTtIKtWHvVU1dzPo&#10;gQYwowGXk6/0eJG6229ue6/zdb/9DQAA//8DAFBLAwQUAAYACAAAACEAxK2B/uEAAAAMAQAADwAA&#10;AGRycy9kb3ducmV2LnhtbEyPQU/DMAyF70j8h8hIXNCWsqGOlaYTrOwANwZi16wxbUXjVE3alf16&#10;3BPcnu2n5++lm9E2YsDO144U3M4jEEiFMzWVCj7ed7N7ED5oMrpxhAp+0MMmu7xIdWLcid5w2IdS&#10;cAj5RCuoQmgTKX1RodV+7lokvn25zurAY1dK0+kTh9tGLqIollbXxB8q3eK2wuJ731sFw/n5EPf5&#10;jenzw6fd5dvq9eX8pNT11fj4ACLgGP7MMOEzOmTMdHQ9GS8aBbN4wV0Ci9UkJsfderUGceTVchmB&#10;zFL5v0T2CwAA//8DAFBLAQItABQABgAIAAAAIQC2gziS/gAAAOEBAAATAAAAAAAAAAAAAAAAAAAA&#10;AABbQ29udGVudF9UeXBlc10ueG1sUEsBAi0AFAAGAAgAAAAhADj9If/WAAAAlAEAAAsAAAAAAAAA&#10;AAAAAAAALwEAAF9yZWxzLy5yZWxzUEsBAi0AFAAGAAgAAAAhALZsV4zhAgAANgYAAA4AAAAAAAAA&#10;AAAAAAAALgIAAGRycy9lMm9Eb2MueG1sUEsBAi0AFAAGAAgAAAAhAMStgf7hAAAADAEAAA8AAAAA&#10;AAAAAAAAAAAAOwUAAGRycy9kb3ducmV2LnhtbFBLBQYAAAAABAAEAPMAAABJBgAAAAA=&#10;" adj="-11796480,,5400" path="m861333,244r7825563,l8686896,228844,96,228844c-10536,227072,861333,-8617,861333,244xe" fillcolor="#a5a5a5 [3206]" stroked="f">
              <v:fill color2="#2e5d8c" focus="100%" type="gradientRadial"/>
              <v:stroke joinstyle="miter"/>
              <v:formulas/>
              <v:path arrowok="t" o:extrusionok="f" o:connecttype="custom" textboxrect="0,0,8686896,228844"/>
              <v:textbox inset="2.53958mm,2.53958mm,2.53958mm,2.53958mm">
                <w:txbxContent>
                  <w:p w:rsidR="00C65BDB" w:rsidRDefault="00C65BDB">
                    <w:pPr>
                      <w:spacing w:after="0" w:line="240" w:lineRule="auto"/>
                      <w:textDirection w:val="btL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4952"/>
    <w:multiLevelType w:val="multilevel"/>
    <w:tmpl w:val="2CA89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A962CB"/>
    <w:multiLevelType w:val="multilevel"/>
    <w:tmpl w:val="8ECA4BC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2A22C94"/>
    <w:multiLevelType w:val="multilevel"/>
    <w:tmpl w:val="C612442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3A160D07"/>
    <w:multiLevelType w:val="multilevel"/>
    <w:tmpl w:val="D84A43A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44E83650"/>
    <w:multiLevelType w:val="multilevel"/>
    <w:tmpl w:val="D17C3868"/>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BDB"/>
    <w:rsid w:val="00570167"/>
    <w:rsid w:val="0074519C"/>
    <w:rsid w:val="00C65BDB"/>
    <w:rsid w:val="00D90B5A"/>
    <w:rsid w:val="00DF0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8659"/>
  <w15:docId w15:val="{E11C1651-6C8F-4512-9A72-CF4713E5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Paragrafoelenco">
    <w:name w:val="List Paragraph"/>
    <w:basedOn w:val="Normale"/>
    <w:uiPriority w:val="34"/>
    <w:qFormat/>
    <w:rsid w:val="001F063C"/>
    <w:pPr>
      <w:ind w:left="720"/>
      <w:contextualSpacing/>
    </w:pPr>
    <w:rPr>
      <w:lang w:val="it-IT"/>
    </w:rPr>
  </w:style>
  <w:style w:type="character" w:styleId="Rimandocommento">
    <w:name w:val="annotation reference"/>
    <w:basedOn w:val="Carpredefinitoparagrafo"/>
    <w:uiPriority w:val="99"/>
    <w:semiHidden/>
    <w:unhideWhenUsed/>
    <w:rsid w:val="00583DF4"/>
    <w:rPr>
      <w:sz w:val="16"/>
      <w:szCs w:val="16"/>
    </w:rPr>
  </w:style>
  <w:style w:type="paragraph" w:styleId="Testocommento">
    <w:name w:val="annotation text"/>
    <w:basedOn w:val="Normale"/>
    <w:link w:val="TestocommentoCarattere"/>
    <w:uiPriority w:val="99"/>
    <w:unhideWhenUsed/>
    <w:rsid w:val="00583DF4"/>
    <w:pPr>
      <w:spacing w:line="240" w:lineRule="auto"/>
    </w:pPr>
    <w:rPr>
      <w:sz w:val="20"/>
      <w:szCs w:val="20"/>
    </w:rPr>
  </w:style>
  <w:style w:type="character" w:customStyle="1" w:styleId="TestocommentoCarattere">
    <w:name w:val="Testo commento Carattere"/>
    <w:basedOn w:val="Carpredefinitoparagrafo"/>
    <w:link w:val="Testocommento"/>
    <w:uiPriority w:val="99"/>
    <w:rsid w:val="00583DF4"/>
    <w:rPr>
      <w:sz w:val="20"/>
      <w:szCs w:val="20"/>
    </w:rPr>
  </w:style>
  <w:style w:type="paragraph" w:styleId="Soggettocommento">
    <w:name w:val="annotation subject"/>
    <w:basedOn w:val="Testocommento"/>
    <w:next w:val="Testocommento"/>
    <w:link w:val="SoggettocommentoCarattere"/>
    <w:uiPriority w:val="99"/>
    <w:semiHidden/>
    <w:unhideWhenUsed/>
    <w:rsid w:val="00583DF4"/>
    <w:rPr>
      <w:b/>
      <w:bCs/>
    </w:rPr>
  </w:style>
  <w:style w:type="character" w:customStyle="1" w:styleId="SoggettocommentoCarattere">
    <w:name w:val="Soggetto commento Carattere"/>
    <w:basedOn w:val="TestocommentoCarattere"/>
    <w:link w:val="Soggettocommento"/>
    <w:uiPriority w:val="99"/>
    <w:semiHidden/>
    <w:rsid w:val="00583DF4"/>
    <w:rPr>
      <w:b/>
      <w:bCs/>
      <w:sz w:val="20"/>
      <w:szCs w:val="20"/>
    </w:rPr>
  </w:style>
  <w:style w:type="paragraph" w:styleId="Testofumetto">
    <w:name w:val="Balloon Text"/>
    <w:basedOn w:val="Normale"/>
    <w:link w:val="TestofumettoCarattere"/>
    <w:uiPriority w:val="99"/>
    <w:semiHidden/>
    <w:unhideWhenUsed/>
    <w:rsid w:val="00583DF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83DF4"/>
    <w:rPr>
      <w:rFonts w:ascii="Segoe UI" w:hAnsi="Segoe UI" w:cs="Segoe UI"/>
      <w:sz w:val="18"/>
      <w:szCs w:val="18"/>
    </w:rPr>
  </w:style>
  <w:style w:type="paragraph" w:customStyle="1" w:styleId="Default">
    <w:name w:val="Default"/>
    <w:rsid w:val="0029686C"/>
    <w:pPr>
      <w:autoSpaceDE w:val="0"/>
      <w:autoSpaceDN w:val="0"/>
      <w:adjustRightInd w:val="0"/>
      <w:spacing w:after="0" w:line="240" w:lineRule="auto"/>
    </w:pPr>
    <w:rPr>
      <w:rFonts w:ascii="Myriad Pro" w:hAnsi="Myriad Pro" w:cs="Myriad Pro"/>
      <w:color w:val="000000"/>
      <w:sz w:val="24"/>
      <w:szCs w:val="24"/>
    </w:rPr>
  </w:style>
  <w:style w:type="character" w:styleId="Collegamentoipertestuale">
    <w:name w:val="Hyperlink"/>
    <w:basedOn w:val="Carpredefinitoparagrafo"/>
    <w:uiPriority w:val="99"/>
    <w:unhideWhenUsed/>
    <w:rsid w:val="00E028DA"/>
    <w:rPr>
      <w:color w:val="0000FF"/>
      <w:u w:val="singl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Didascalia">
    <w:name w:val="caption"/>
    <w:basedOn w:val="Normale"/>
    <w:next w:val="Normale"/>
    <w:uiPriority w:val="35"/>
    <w:unhideWhenUsed/>
    <w:qFormat/>
    <w:rsid w:val="001B3A7F"/>
    <w:pPr>
      <w:spacing w:after="200" w:line="240" w:lineRule="auto"/>
    </w:pPr>
    <w:rPr>
      <w:i/>
      <w:iCs/>
      <w:color w:val="44546A" w:themeColor="text2"/>
      <w:sz w:val="18"/>
      <w:szCs w:val="18"/>
    </w:rPr>
  </w:style>
  <w:style w:type="table" w:styleId="Grigliatabella">
    <w:name w:val="Table Grid"/>
    <w:basedOn w:val="Tabellanormale"/>
    <w:uiPriority w:val="39"/>
    <w:rsid w:val="00FA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ellanormale"/>
    <w:pPr>
      <w:spacing w:after="0" w:line="240" w:lineRule="auto"/>
    </w:pPr>
    <w:tblPr>
      <w:tblStyleRowBandSize w:val="1"/>
      <w:tblStyleColBandSize w:val="1"/>
    </w:tblPr>
  </w:style>
  <w:style w:type="table" w:customStyle="1" w:styleId="5">
    <w:name w:val="5"/>
    <w:basedOn w:val="Tabellanormale"/>
    <w:pPr>
      <w:spacing w:after="0" w:line="240" w:lineRule="auto"/>
    </w:pPr>
    <w:tblPr>
      <w:tblStyleRowBandSize w:val="1"/>
      <w:tblStyleColBandSize w:val="1"/>
    </w:tblPr>
  </w:style>
  <w:style w:type="table" w:customStyle="1" w:styleId="4">
    <w:name w:val="4"/>
    <w:basedOn w:val="Tabellanormale"/>
    <w:pPr>
      <w:spacing w:after="0" w:line="240" w:lineRule="auto"/>
    </w:pPr>
    <w:tblPr>
      <w:tblStyleRowBandSize w:val="1"/>
      <w:tblStyleColBandSize w:val="1"/>
    </w:tblPr>
  </w:style>
  <w:style w:type="table" w:customStyle="1" w:styleId="3">
    <w:name w:val="3"/>
    <w:basedOn w:val="Tabellanormale"/>
    <w:pPr>
      <w:spacing w:after="0" w:line="240" w:lineRule="auto"/>
    </w:pPr>
    <w:tblPr>
      <w:tblStyleRowBandSize w:val="1"/>
      <w:tblStyleColBandSize w:val="1"/>
    </w:tblPr>
  </w:style>
  <w:style w:type="paragraph" w:styleId="Bibliografia">
    <w:name w:val="Bibliography"/>
    <w:basedOn w:val="Normale"/>
    <w:next w:val="Normale"/>
    <w:uiPriority w:val="37"/>
    <w:unhideWhenUsed/>
    <w:rsid w:val="009F06F4"/>
    <w:pPr>
      <w:tabs>
        <w:tab w:val="left" w:pos="384"/>
      </w:tabs>
      <w:spacing w:after="240" w:line="240" w:lineRule="auto"/>
      <w:ind w:left="384" w:hanging="384"/>
    </w:pPr>
  </w:style>
  <w:style w:type="table" w:customStyle="1" w:styleId="2">
    <w:name w:val="2"/>
    <w:basedOn w:val="Tabellanormale"/>
    <w:pPr>
      <w:spacing w:after="0" w:line="240" w:lineRule="auto"/>
    </w:pPr>
    <w:tblPr>
      <w:tblStyleRowBandSize w:val="1"/>
      <w:tblStyleColBandSize w:val="1"/>
    </w:tblPr>
  </w:style>
  <w:style w:type="table" w:customStyle="1" w:styleId="1">
    <w:name w:val="1"/>
    <w:basedOn w:val="Tabellanormale"/>
    <w:pPr>
      <w:spacing w:after="0" w:line="240" w:lineRule="auto"/>
    </w:pPr>
    <w:tblPr>
      <w:tblStyleRowBandSize w:val="1"/>
      <w:tblStyleColBandSize w:val="1"/>
    </w:tblPr>
  </w:style>
  <w:style w:type="table" w:customStyle="1" w:styleId="a">
    <w:basedOn w:val="TableNormal4"/>
    <w:pPr>
      <w:spacing w:after="0" w:line="240" w:lineRule="auto"/>
    </w:pPr>
    <w:tblPr>
      <w:tblStyleRowBandSize w:val="1"/>
      <w:tblStyleColBandSize w:val="1"/>
      <w:tblCellMar>
        <w:left w:w="108" w:type="dxa"/>
        <w:right w:w="108" w:type="dxa"/>
      </w:tblCellMar>
    </w:tblPr>
  </w:style>
  <w:style w:type="table" w:customStyle="1" w:styleId="a0">
    <w:basedOn w:val="TableNormal4"/>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paragraph" w:styleId="NormaleWeb">
    <w:name w:val="Normal (Web)"/>
    <w:basedOn w:val="Normale"/>
    <w:uiPriority w:val="99"/>
    <w:semiHidden/>
    <w:unhideWhenUsed/>
    <w:rsid w:val="00254BE7"/>
    <w:pPr>
      <w:spacing w:before="100" w:beforeAutospacing="1" w:after="100" w:afterAutospacing="1" w:line="240" w:lineRule="auto"/>
    </w:pPr>
    <w:rPr>
      <w:rFonts w:ascii="Times New Roman" w:eastAsia="Times New Roman" w:hAnsi="Times New Roman" w:cs="Times New Roman"/>
      <w:sz w:val="24"/>
      <w:szCs w:val="24"/>
    </w:rPr>
  </w:style>
  <w:style w:type="paragraph" w:styleId="Revisione">
    <w:name w:val="Revision"/>
    <w:hidden/>
    <w:uiPriority w:val="99"/>
    <w:semiHidden/>
    <w:rsid w:val="002C5114"/>
    <w:pPr>
      <w:spacing w:after="0" w:line="240" w:lineRule="auto"/>
    </w:p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top w:w="15" w:type="dxa"/>
        <w:left w:w="15" w:type="dxa"/>
        <w:bottom w:w="15" w:type="dxa"/>
        <w:right w:w="15" w:type="dxa"/>
      </w:tblCellMar>
    </w:tblPr>
  </w:style>
  <w:style w:type="table" w:customStyle="1" w:styleId="a7">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8">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9">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a">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b">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c">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f/kwvZwVbqan1vkQ9evAZqdRyA==">CgMxLjAaJQoBMBIgCh4IB0IaCg9UaW1lcyBOZXcgUm9tYW4SB0d1bmdzdWgyCWguMzBqMHpsbDIIaC5namRneHMyDmgudm1hNzlpZGFqZWlhOAByITFGbF9CRHllQS1sODJ1YXRkV3RNR2xvRHNmRjhrUndiRQ==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17527</Words>
  <Characters>99906</Characters>
  <Application>Microsoft Office Word</Application>
  <DocSecurity>0</DocSecurity>
  <Lines>832</Lines>
  <Paragraphs>234</Paragraphs>
  <ScaleCrop>false</ScaleCrop>
  <Company/>
  <LinksUpToDate>false</LinksUpToDate>
  <CharactersWithSpaces>117199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ippazio.antonazzo</dc:creator>
  <cp:lastModifiedBy>ippazio.antonazzo</cp:lastModifiedBy>
  <cp:revision>3</cp:revision>
  <dcterms:created xsi:type="dcterms:W3CDTF">2025-01-15T08:45:00Z</dcterms:created>
  <dcterms:modified xsi:type="dcterms:W3CDTF">2025-05-23T13:10:00Z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id="CVBJnptg"/&gt;&lt;style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