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55AEC" w14:textId="77777777" w:rsidR="00D9416A" w:rsidRPr="00D9416A" w:rsidRDefault="00D9416A" w:rsidP="00D9416A">
      <w:pPr>
        <w:pStyle w:val="NormalWeb"/>
        <w:jc w:val="center"/>
        <w:rPr>
          <w:sz w:val="22"/>
          <w:szCs w:val="22"/>
        </w:rPr>
      </w:pPr>
      <w:bookmarkStart w:id="0" w:name="_GoBack"/>
      <w:bookmarkEnd w:id="0"/>
      <w:r w:rsidRPr="00D9416A">
        <w:rPr>
          <w:rStyle w:val="Strong"/>
          <w:rFonts w:eastAsiaTheme="majorEastAsia"/>
          <w:sz w:val="22"/>
          <w:szCs w:val="22"/>
        </w:rPr>
        <w:t>Cover Page</w:t>
      </w:r>
    </w:p>
    <w:p w14:paraId="491DD9B0" w14:textId="51B9471B" w:rsidR="00D9416A" w:rsidRPr="00D9416A" w:rsidRDefault="00D9416A" w:rsidP="00D9416A">
      <w:pPr>
        <w:pStyle w:val="NormalWeb"/>
        <w:jc w:val="center"/>
        <w:rPr>
          <w:sz w:val="22"/>
          <w:szCs w:val="22"/>
        </w:rPr>
      </w:pPr>
      <w:r w:rsidRPr="6AE866A4">
        <w:rPr>
          <w:rStyle w:val="Strong"/>
          <w:rFonts w:eastAsiaTheme="majorEastAsia"/>
          <w:sz w:val="22"/>
          <w:szCs w:val="22"/>
        </w:rPr>
        <w:t>Manuscript Title:</w:t>
      </w:r>
      <w:r>
        <w:br/>
      </w:r>
      <w:r w:rsidR="2468E6A6" w:rsidRPr="6AE866A4">
        <w:rPr>
          <w:sz w:val="22"/>
          <w:szCs w:val="22"/>
        </w:rPr>
        <w:t xml:space="preserve"> </w:t>
      </w:r>
      <w:r w:rsidR="00CF7101" w:rsidRPr="00CF7101">
        <w:rPr>
          <w:sz w:val="22"/>
          <w:szCs w:val="22"/>
        </w:rPr>
        <w:t xml:space="preserve">Enhancing naloxone distribution for opioid users in the United States: a cost-utility analysis of academic detailing to clinicians </w:t>
      </w:r>
    </w:p>
    <w:p w14:paraId="1935197E" w14:textId="77777777" w:rsidR="00D9416A" w:rsidRPr="00D9416A" w:rsidRDefault="00D9416A" w:rsidP="00D9416A">
      <w:pPr>
        <w:pStyle w:val="NormalWeb"/>
        <w:jc w:val="center"/>
        <w:rPr>
          <w:sz w:val="22"/>
          <w:szCs w:val="22"/>
        </w:rPr>
      </w:pPr>
      <w:r w:rsidRPr="00D9416A">
        <w:rPr>
          <w:rStyle w:val="Strong"/>
          <w:rFonts w:eastAsiaTheme="majorEastAsia"/>
          <w:sz w:val="22"/>
          <w:szCs w:val="22"/>
        </w:rPr>
        <w:t>Running Title:</w:t>
      </w:r>
      <w:r w:rsidRPr="00D9416A">
        <w:rPr>
          <w:sz w:val="22"/>
          <w:szCs w:val="22"/>
        </w:rPr>
        <w:br/>
        <w:t>Cost-Utility Analysis of Academic Detailing on Naloxone Distribution</w:t>
      </w:r>
    </w:p>
    <w:p w14:paraId="251FC779" w14:textId="4BE9AE1A" w:rsidR="00D9416A" w:rsidRPr="00D9416A" w:rsidRDefault="00D9416A" w:rsidP="00D9416A">
      <w:pPr>
        <w:pStyle w:val="NormalWeb"/>
        <w:jc w:val="center"/>
        <w:rPr>
          <w:sz w:val="22"/>
          <w:szCs w:val="22"/>
        </w:rPr>
      </w:pPr>
      <w:r w:rsidRPr="6AE866A4">
        <w:rPr>
          <w:rStyle w:val="Strong"/>
          <w:rFonts w:eastAsiaTheme="majorEastAsia"/>
          <w:sz w:val="22"/>
          <w:szCs w:val="22"/>
        </w:rPr>
        <w:t>Journal Name:</w:t>
      </w:r>
      <w:r>
        <w:br/>
      </w:r>
      <w:r w:rsidR="0C7F4445" w:rsidRPr="6AE866A4">
        <w:rPr>
          <w:i/>
          <w:iCs/>
          <w:sz w:val="22"/>
          <w:szCs w:val="22"/>
        </w:rPr>
        <w:t xml:space="preserve"> Applied Health Economics and Health Policy</w:t>
      </w:r>
    </w:p>
    <w:p w14:paraId="4F34387C" w14:textId="77777777" w:rsidR="00D9416A" w:rsidRPr="00D9416A" w:rsidRDefault="00D9416A" w:rsidP="00D9416A">
      <w:pPr>
        <w:pStyle w:val="NormalWeb"/>
        <w:jc w:val="center"/>
        <w:rPr>
          <w:sz w:val="22"/>
          <w:szCs w:val="22"/>
        </w:rPr>
      </w:pPr>
      <w:r w:rsidRPr="00D9416A">
        <w:rPr>
          <w:rStyle w:val="Strong"/>
          <w:rFonts w:eastAsiaTheme="majorEastAsia"/>
          <w:sz w:val="22"/>
          <w:szCs w:val="22"/>
        </w:rPr>
        <w:t>Authors and Author Affiliations:</w:t>
      </w:r>
    </w:p>
    <w:p w14:paraId="2167CA7C" w14:textId="77777777" w:rsidR="00D9416A" w:rsidRPr="00D9416A" w:rsidRDefault="00D9416A" w:rsidP="00D9416A">
      <w:pPr>
        <w:pStyle w:val="NormalWeb"/>
        <w:jc w:val="center"/>
        <w:rPr>
          <w:sz w:val="22"/>
          <w:szCs w:val="22"/>
        </w:rPr>
      </w:pPr>
      <w:r w:rsidRPr="00D9416A">
        <w:rPr>
          <w:sz w:val="22"/>
          <w:szCs w:val="22"/>
        </w:rPr>
        <w:t>Olivia Yip, PharmD</w:t>
      </w:r>
      <w:r w:rsidRPr="00D9416A">
        <w:rPr>
          <w:sz w:val="22"/>
          <w:szCs w:val="22"/>
        </w:rPr>
        <w:br/>
        <w:t>The Comparative Health Outcomes, Policy, and Economics (CHOICE) Institute, School of Pharmacy, University of Washington, Seattle, Washington, USA</w:t>
      </w:r>
      <w:r w:rsidRPr="00D9416A">
        <w:rPr>
          <w:sz w:val="22"/>
          <w:szCs w:val="22"/>
        </w:rPr>
        <w:br/>
        <w:t>ORCID: 0009-0009-0090-8530</w:t>
      </w:r>
    </w:p>
    <w:p w14:paraId="0112E5D9" w14:textId="5EC8E65F" w:rsidR="00593839" w:rsidRDefault="00D9416A" w:rsidP="6AE866A4">
      <w:pPr>
        <w:pStyle w:val="NormalWeb"/>
        <w:spacing w:before="0" w:beforeAutospacing="0" w:after="0" w:afterAutospacing="0"/>
        <w:jc w:val="center"/>
        <w:rPr>
          <w:sz w:val="22"/>
          <w:szCs w:val="22"/>
        </w:rPr>
      </w:pPr>
      <w:r w:rsidRPr="6AE866A4">
        <w:rPr>
          <w:sz w:val="22"/>
          <w:szCs w:val="22"/>
        </w:rPr>
        <w:t>Mark Bounthavong, PharmD, PhD</w:t>
      </w:r>
      <w:r>
        <w:br/>
      </w:r>
      <w:r w:rsidRPr="6AE866A4">
        <w:rPr>
          <w:sz w:val="22"/>
          <w:szCs w:val="22"/>
        </w:rPr>
        <w:t>University of California San Diego Skaggs School of Pharmacy and Pharmaceutical Sciences, La Jolla, California</w:t>
      </w:r>
    </w:p>
    <w:p w14:paraId="25CFBDEE" w14:textId="3783C099" w:rsidR="00D9416A" w:rsidRPr="00D9416A" w:rsidRDefault="00593839" w:rsidP="6AE866A4">
      <w:pPr>
        <w:pStyle w:val="NormalWeb"/>
        <w:spacing w:before="0" w:beforeAutospacing="0" w:after="0" w:afterAutospacing="0"/>
        <w:jc w:val="center"/>
        <w:rPr>
          <w:sz w:val="22"/>
          <w:szCs w:val="22"/>
        </w:rPr>
      </w:pPr>
      <w:r w:rsidRPr="6AE866A4">
        <w:rPr>
          <w:color w:val="000000" w:themeColor="text1"/>
          <w:sz w:val="22"/>
          <w:szCs w:val="22"/>
          <w:lang w:val="en" w:bidi="en-US"/>
        </w:rPr>
        <w:t>U.S. Department of Veterans Affairs (VA) Health Economic</w:t>
      </w:r>
      <w:r w:rsidR="0056579C" w:rsidRPr="6AE866A4">
        <w:rPr>
          <w:color w:val="000000" w:themeColor="text1"/>
          <w:sz w:val="22"/>
          <w:szCs w:val="22"/>
          <w:lang w:val="en" w:bidi="en-US"/>
        </w:rPr>
        <w:t>s</w:t>
      </w:r>
      <w:r w:rsidRPr="6AE866A4">
        <w:rPr>
          <w:color w:val="000000" w:themeColor="text1"/>
          <w:sz w:val="22"/>
          <w:szCs w:val="22"/>
          <w:lang w:val="en" w:bidi="en-US"/>
        </w:rPr>
        <w:t xml:space="preserve"> Resource Center, Menlo Park, California</w:t>
      </w:r>
      <w:r>
        <w:br/>
      </w:r>
      <w:r w:rsidR="00D9416A" w:rsidRPr="6AE866A4">
        <w:rPr>
          <w:sz w:val="22"/>
          <w:szCs w:val="22"/>
        </w:rPr>
        <w:t>ORCID: 0000-0002-7343-9458</w:t>
      </w:r>
    </w:p>
    <w:p w14:paraId="2DB626DC" w14:textId="77777777" w:rsidR="00D9416A" w:rsidRPr="00D9416A" w:rsidRDefault="00D9416A" w:rsidP="00D9416A">
      <w:pPr>
        <w:pStyle w:val="NormalWeb"/>
        <w:jc w:val="center"/>
        <w:rPr>
          <w:sz w:val="22"/>
          <w:szCs w:val="22"/>
        </w:rPr>
      </w:pPr>
      <w:r w:rsidRPr="00D9416A">
        <w:rPr>
          <w:rStyle w:val="Strong"/>
          <w:rFonts w:eastAsiaTheme="majorEastAsia"/>
          <w:sz w:val="22"/>
          <w:szCs w:val="22"/>
        </w:rPr>
        <w:t>Corresponding Author:</w:t>
      </w:r>
      <w:r w:rsidRPr="00D9416A">
        <w:rPr>
          <w:sz w:val="22"/>
          <w:szCs w:val="22"/>
        </w:rPr>
        <w:br/>
        <w:t>Mark Bounthavong, PharmD, PhD</w:t>
      </w:r>
      <w:r w:rsidRPr="00D9416A">
        <w:rPr>
          <w:sz w:val="22"/>
          <w:szCs w:val="22"/>
        </w:rPr>
        <w:br/>
        <w:t>Email: mbounthavong@health.ucsd.edu</w:t>
      </w:r>
    </w:p>
    <w:p w14:paraId="20292773" w14:textId="77777777" w:rsidR="00D9416A" w:rsidRPr="00D9416A" w:rsidRDefault="00D9416A" w:rsidP="00D9416A">
      <w:pPr>
        <w:spacing w:line="480" w:lineRule="auto"/>
        <w:rPr>
          <w:rFonts w:ascii="Times New Roman" w:hAnsi="Times New Roman" w:cs="Times New Roman"/>
          <w:b/>
          <w:sz w:val="22"/>
          <w:szCs w:val="22"/>
          <w:lang w:bidi="en-US"/>
        </w:rPr>
      </w:pPr>
    </w:p>
    <w:p w14:paraId="25D949AD" w14:textId="77777777" w:rsidR="00D9416A" w:rsidRPr="00D9416A" w:rsidRDefault="00D9416A" w:rsidP="00D9416A">
      <w:pPr>
        <w:spacing w:line="480" w:lineRule="auto"/>
        <w:rPr>
          <w:rFonts w:ascii="Times New Roman" w:hAnsi="Times New Roman" w:cs="Times New Roman"/>
          <w:b/>
          <w:sz w:val="22"/>
          <w:szCs w:val="22"/>
          <w:lang w:bidi="en-US"/>
        </w:rPr>
      </w:pPr>
    </w:p>
    <w:p w14:paraId="1897B356" w14:textId="77777777" w:rsidR="00D9416A" w:rsidRPr="00D9416A" w:rsidRDefault="00D9416A" w:rsidP="00D9416A">
      <w:pPr>
        <w:spacing w:line="480" w:lineRule="auto"/>
        <w:rPr>
          <w:rFonts w:ascii="Times New Roman" w:hAnsi="Times New Roman" w:cs="Times New Roman"/>
          <w:b/>
          <w:sz w:val="22"/>
          <w:szCs w:val="22"/>
          <w:lang w:bidi="en-US"/>
        </w:rPr>
      </w:pPr>
    </w:p>
    <w:p w14:paraId="466176C6" w14:textId="77777777" w:rsidR="00D9416A" w:rsidRPr="00D9416A" w:rsidRDefault="00D9416A" w:rsidP="00D9416A">
      <w:pPr>
        <w:spacing w:line="480" w:lineRule="auto"/>
        <w:rPr>
          <w:rFonts w:ascii="Times New Roman" w:hAnsi="Times New Roman" w:cs="Times New Roman"/>
          <w:b/>
          <w:sz w:val="22"/>
          <w:szCs w:val="22"/>
          <w:lang w:bidi="en-US"/>
        </w:rPr>
      </w:pPr>
    </w:p>
    <w:p w14:paraId="73F285C6" w14:textId="77777777" w:rsidR="00D9416A" w:rsidRDefault="00D9416A" w:rsidP="00D9416A">
      <w:pPr>
        <w:spacing w:line="480" w:lineRule="auto"/>
        <w:rPr>
          <w:rFonts w:ascii="Times New Roman" w:hAnsi="Times New Roman" w:cs="Times New Roman"/>
          <w:b/>
          <w:sz w:val="22"/>
          <w:szCs w:val="22"/>
          <w:lang w:bidi="en-US"/>
        </w:rPr>
      </w:pPr>
    </w:p>
    <w:p w14:paraId="763A33C5" w14:textId="77777777" w:rsidR="00D9416A" w:rsidRDefault="00D9416A" w:rsidP="00D9416A">
      <w:pPr>
        <w:spacing w:line="480" w:lineRule="auto"/>
        <w:rPr>
          <w:rFonts w:ascii="Times New Roman" w:hAnsi="Times New Roman" w:cs="Times New Roman"/>
          <w:b/>
          <w:sz w:val="22"/>
          <w:szCs w:val="22"/>
          <w:lang w:bidi="en-US"/>
        </w:rPr>
      </w:pPr>
    </w:p>
    <w:p w14:paraId="3E7E417D" w14:textId="77777777" w:rsidR="00D9416A" w:rsidRDefault="00D9416A" w:rsidP="00D9416A">
      <w:pPr>
        <w:spacing w:line="480" w:lineRule="auto"/>
        <w:rPr>
          <w:rFonts w:ascii="Times New Roman" w:hAnsi="Times New Roman" w:cs="Times New Roman"/>
          <w:b/>
          <w:sz w:val="22"/>
          <w:szCs w:val="22"/>
          <w:lang w:bidi="en-US"/>
        </w:rPr>
      </w:pPr>
    </w:p>
    <w:p w14:paraId="1E7648F5" w14:textId="77777777" w:rsidR="00D9416A" w:rsidRDefault="00D9416A" w:rsidP="00D9416A">
      <w:pPr>
        <w:spacing w:line="480" w:lineRule="auto"/>
        <w:rPr>
          <w:rFonts w:ascii="Times New Roman" w:hAnsi="Times New Roman" w:cs="Times New Roman"/>
          <w:b/>
          <w:sz w:val="22"/>
          <w:szCs w:val="22"/>
          <w:lang w:bidi="en-US"/>
        </w:rPr>
      </w:pPr>
    </w:p>
    <w:p w14:paraId="350F6C09" w14:textId="77777777" w:rsidR="00D9416A" w:rsidRDefault="00D9416A" w:rsidP="00D9416A">
      <w:pPr>
        <w:spacing w:line="480" w:lineRule="auto"/>
        <w:rPr>
          <w:rFonts w:ascii="Times New Roman" w:hAnsi="Times New Roman" w:cs="Times New Roman"/>
          <w:b/>
          <w:sz w:val="22"/>
          <w:szCs w:val="22"/>
          <w:lang w:bidi="en-US"/>
        </w:rPr>
      </w:pPr>
    </w:p>
    <w:p w14:paraId="533616B5" w14:textId="77777777" w:rsidR="00D9416A" w:rsidRDefault="00D9416A" w:rsidP="00D9416A">
      <w:pPr>
        <w:spacing w:line="480" w:lineRule="auto"/>
        <w:rPr>
          <w:rFonts w:ascii="Times New Roman" w:hAnsi="Times New Roman" w:cs="Times New Roman"/>
          <w:b/>
          <w:sz w:val="22"/>
          <w:szCs w:val="22"/>
          <w:lang w:bidi="en-US"/>
        </w:rPr>
      </w:pPr>
    </w:p>
    <w:p w14:paraId="4B5BB28C" w14:textId="77777777" w:rsidR="00B45A5A" w:rsidRDefault="00B45A5A">
      <w:pPr>
        <w:spacing w:after="160" w:line="278" w:lineRule="auto"/>
        <w:rPr>
          <w:rFonts w:ascii="Times New Roman" w:hAnsi="Times New Roman" w:cs="Times New Roman"/>
          <w:b/>
          <w:sz w:val="22"/>
          <w:szCs w:val="22"/>
          <w:lang w:bidi="en-US"/>
        </w:rPr>
      </w:pPr>
      <w:r>
        <w:rPr>
          <w:rFonts w:ascii="Times New Roman" w:hAnsi="Times New Roman" w:cs="Times New Roman"/>
          <w:b/>
          <w:sz w:val="22"/>
          <w:szCs w:val="22"/>
          <w:lang w:bidi="en-US"/>
        </w:rPr>
        <w:br w:type="page"/>
      </w:r>
    </w:p>
    <w:p w14:paraId="7AAD090D" w14:textId="345566F6" w:rsidR="00D9416A" w:rsidRPr="00D9416A" w:rsidRDefault="00D9416A" w:rsidP="00D9416A">
      <w:pPr>
        <w:spacing w:line="480" w:lineRule="auto"/>
        <w:rPr>
          <w:rFonts w:ascii="Times New Roman" w:hAnsi="Times New Roman" w:cs="Times New Roman"/>
          <w:b/>
          <w:sz w:val="22"/>
          <w:szCs w:val="22"/>
          <w:lang w:bidi="en-US"/>
        </w:rPr>
      </w:pPr>
      <w:r w:rsidRPr="00D9416A">
        <w:rPr>
          <w:rFonts w:ascii="Times New Roman" w:hAnsi="Times New Roman" w:cs="Times New Roman"/>
          <w:b/>
          <w:sz w:val="22"/>
          <w:szCs w:val="22"/>
          <w:lang w:bidi="en-US"/>
        </w:rPr>
        <w:lastRenderedPageBreak/>
        <w:t>Supplements</w:t>
      </w:r>
    </w:p>
    <w:p w14:paraId="5B413D6E" w14:textId="77777777" w:rsidR="00D9416A" w:rsidRPr="00D9416A" w:rsidRDefault="00D9416A" w:rsidP="00D9416A">
      <w:pPr>
        <w:rPr>
          <w:rFonts w:ascii="Times New Roman" w:hAnsi="Times New Roman" w:cs="Times New Roman"/>
          <w:b/>
          <w:sz w:val="22"/>
          <w:szCs w:val="22"/>
          <w:lang w:bidi="en-US"/>
        </w:rPr>
      </w:pPr>
      <w:r w:rsidRPr="00D9416A">
        <w:rPr>
          <w:rFonts w:ascii="Times New Roman" w:hAnsi="Times New Roman" w:cs="Times New Roman"/>
          <w:b/>
          <w:sz w:val="22"/>
          <w:szCs w:val="22"/>
          <w:lang w:bidi="en-US"/>
        </w:rPr>
        <w:t xml:space="preserve">Supplement S1 CHEERS Statement </w:t>
      </w:r>
    </w:p>
    <w:p w14:paraId="70DE9739" w14:textId="77777777" w:rsidR="00D9416A" w:rsidRPr="00D9416A" w:rsidRDefault="00D9416A" w:rsidP="00D9416A">
      <w:pPr>
        <w:rPr>
          <w:rFonts w:ascii="Times New Roman" w:hAnsi="Times New Roman" w:cs="Times New Roman"/>
          <w:b/>
          <w:sz w:val="22"/>
          <w:szCs w:val="22"/>
          <w:lang w:bidi="en-US"/>
        </w:rPr>
      </w:pPr>
    </w:p>
    <w:tbl>
      <w:tblPr>
        <w:tblW w:w="0" w:type="auto"/>
        <w:jc w:val="center"/>
        <w:tblLook w:val="0420" w:firstRow="1" w:lastRow="0" w:firstColumn="0" w:lastColumn="0" w:noHBand="0" w:noVBand="1"/>
      </w:tblPr>
      <w:tblGrid>
        <w:gridCol w:w="2691"/>
        <w:gridCol w:w="524"/>
        <w:gridCol w:w="4190"/>
        <w:gridCol w:w="1935"/>
      </w:tblGrid>
      <w:tr w:rsidR="00D9416A" w:rsidRPr="00D9416A" w14:paraId="2F05184A" w14:textId="77777777" w:rsidTr="00CB05C3">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65C65F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1C14D3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b/>
                <w:sz w:val="22"/>
                <w:szCs w:val="22"/>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FBAFFB5"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3F0915B"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b/>
                <w:sz w:val="22"/>
                <w:szCs w:val="22"/>
              </w:rPr>
              <w:t>Location where item is reported</w:t>
            </w:r>
          </w:p>
        </w:tc>
      </w:tr>
      <w:tr w:rsidR="00D9416A" w:rsidRPr="00D9416A" w14:paraId="1A5D3BEC" w14:textId="77777777" w:rsidTr="00CB05C3">
        <w:trPr>
          <w:cantSplit/>
          <w:jc w:val="center"/>
        </w:trPr>
        <w:tc>
          <w:tcPr>
            <w:tcW w:w="0" w:type="auto"/>
            <w:vMerge w:val="restart"/>
            <w:tcBorders>
              <w:left w:val="single" w:sz="8" w:space="0" w:color="000000"/>
            </w:tcBorders>
            <w:shd w:val="clear" w:color="auto" w:fill="FFFFCC"/>
            <w:tcMar>
              <w:top w:w="0" w:type="dxa"/>
              <w:left w:w="0" w:type="dxa"/>
              <w:bottom w:w="0" w:type="dxa"/>
              <w:right w:w="0" w:type="dxa"/>
            </w:tcMar>
          </w:tcPr>
          <w:p w14:paraId="7181AC9E"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Title</w:t>
            </w:r>
          </w:p>
        </w:tc>
        <w:tc>
          <w:tcPr>
            <w:tcW w:w="0" w:type="auto"/>
            <w:shd w:val="clear" w:color="auto" w:fill="FFFFCC"/>
            <w:tcMar>
              <w:top w:w="0" w:type="dxa"/>
              <w:left w:w="0" w:type="dxa"/>
              <w:bottom w:w="0" w:type="dxa"/>
              <w:right w:w="0" w:type="dxa"/>
            </w:tcMar>
          </w:tcPr>
          <w:p w14:paraId="16C80C28"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13871D72"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418159C2"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5AF417BA" w14:textId="77777777" w:rsidTr="00CB05C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5D09B6A"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2EE6DA58"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w:t>
            </w:r>
          </w:p>
        </w:tc>
        <w:tc>
          <w:tcPr>
            <w:tcW w:w="0" w:type="auto"/>
            <w:shd w:val="clear" w:color="auto" w:fill="FFFFFF"/>
            <w:tcMar>
              <w:top w:w="0" w:type="dxa"/>
              <w:left w:w="0" w:type="dxa"/>
              <w:bottom w:w="0" w:type="dxa"/>
              <w:right w:w="0" w:type="dxa"/>
            </w:tcMar>
          </w:tcPr>
          <w:p w14:paraId="69533B95"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Identify the study as an economic evaluation and specify the interventions being compared.</w:t>
            </w:r>
          </w:p>
        </w:tc>
        <w:tc>
          <w:tcPr>
            <w:tcW w:w="0" w:type="auto"/>
            <w:tcBorders>
              <w:right w:val="single" w:sz="8" w:space="0" w:color="000000"/>
            </w:tcBorders>
            <w:shd w:val="clear" w:color="auto" w:fill="FFFFFF"/>
            <w:tcMar>
              <w:top w:w="0" w:type="dxa"/>
              <w:left w:w="0" w:type="dxa"/>
              <w:bottom w:w="0" w:type="dxa"/>
              <w:right w:w="0" w:type="dxa"/>
            </w:tcMar>
          </w:tcPr>
          <w:p w14:paraId="3921A643"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Title, Page 1</w:t>
            </w:r>
          </w:p>
        </w:tc>
      </w:tr>
      <w:tr w:rsidR="00D9416A" w:rsidRPr="00D9416A" w14:paraId="5A89EF9E" w14:textId="77777777" w:rsidTr="00CB05C3">
        <w:trPr>
          <w:cantSplit/>
          <w:jc w:val="center"/>
        </w:trPr>
        <w:tc>
          <w:tcPr>
            <w:tcW w:w="0" w:type="auto"/>
            <w:vMerge w:val="restart"/>
            <w:tcBorders>
              <w:left w:val="single" w:sz="8" w:space="0" w:color="000000"/>
            </w:tcBorders>
            <w:shd w:val="clear" w:color="auto" w:fill="FFFFCC"/>
            <w:tcMar>
              <w:top w:w="0" w:type="dxa"/>
              <w:left w:w="0" w:type="dxa"/>
              <w:bottom w:w="0" w:type="dxa"/>
              <w:right w:w="0" w:type="dxa"/>
            </w:tcMar>
          </w:tcPr>
          <w:p w14:paraId="613F2E08"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Abstract</w:t>
            </w:r>
          </w:p>
        </w:tc>
        <w:tc>
          <w:tcPr>
            <w:tcW w:w="0" w:type="auto"/>
            <w:shd w:val="clear" w:color="auto" w:fill="FFFFCC"/>
            <w:tcMar>
              <w:top w:w="0" w:type="dxa"/>
              <w:left w:w="0" w:type="dxa"/>
              <w:bottom w:w="0" w:type="dxa"/>
              <w:right w:w="0" w:type="dxa"/>
            </w:tcMar>
          </w:tcPr>
          <w:p w14:paraId="4FD5E596"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5BD58EEC"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2AD8CF00"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0436386E" w14:textId="77777777" w:rsidTr="00CB05C3">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8BA5836"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shd w:val="clear" w:color="auto" w:fill="FFFFFF"/>
            <w:tcMar>
              <w:top w:w="0" w:type="dxa"/>
              <w:left w:w="0" w:type="dxa"/>
              <w:bottom w:w="0" w:type="dxa"/>
              <w:right w:w="0" w:type="dxa"/>
            </w:tcMar>
          </w:tcPr>
          <w:p w14:paraId="1FD70B53"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w:t>
            </w:r>
          </w:p>
        </w:tc>
        <w:tc>
          <w:tcPr>
            <w:tcW w:w="0" w:type="auto"/>
            <w:shd w:val="clear" w:color="auto" w:fill="FFFFFF"/>
            <w:tcMar>
              <w:top w:w="0" w:type="dxa"/>
              <w:left w:w="0" w:type="dxa"/>
              <w:bottom w:w="0" w:type="dxa"/>
              <w:right w:w="0" w:type="dxa"/>
            </w:tcMar>
          </w:tcPr>
          <w:p w14:paraId="17DA44C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Provide a structured summary that highlights context, key methods, results, and alternative analyses.</w:t>
            </w:r>
          </w:p>
        </w:tc>
        <w:tc>
          <w:tcPr>
            <w:tcW w:w="0" w:type="auto"/>
            <w:tcBorders>
              <w:right w:val="single" w:sz="8" w:space="0" w:color="000000"/>
            </w:tcBorders>
            <w:shd w:val="clear" w:color="auto" w:fill="FFFFFF"/>
            <w:tcMar>
              <w:top w:w="0" w:type="dxa"/>
              <w:left w:w="0" w:type="dxa"/>
              <w:bottom w:w="0" w:type="dxa"/>
              <w:right w:w="0" w:type="dxa"/>
            </w:tcMar>
          </w:tcPr>
          <w:p w14:paraId="2B8E113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Abstract, Page 2</w:t>
            </w:r>
          </w:p>
        </w:tc>
      </w:tr>
      <w:tr w:rsidR="00D9416A" w:rsidRPr="00D9416A" w14:paraId="6CF0B88C" w14:textId="77777777" w:rsidTr="00CB05C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F1F8D35"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Introduction</w:t>
            </w:r>
          </w:p>
        </w:tc>
        <w:tc>
          <w:tcPr>
            <w:tcW w:w="0" w:type="auto"/>
            <w:shd w:val="clear" w:color="auto" w:fill="FFFFCC"/>
            <w:tcMar>
              <w:top w:w="0" w:type="dxa"/>
              <w:left w:w="0" w:type="dxa"/>
              <w:bottom w:w="0" w:type="dxa"/>
              <w:right w:w="0" w:type="dxa"/>
            </w:tcMar>
          </w:tcPr>
          <w:p w14:paraId="6878FB66"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04516D65"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42DE8067"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0B26C72D"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E4B77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Background and objectives</w:t>
            </w:r>
          </w:p>
        </w:tc>
        <w:tc>
          <w:tcPr>
            <w:tcW w:w="0" w:type="auto"/>
            <w:shd w:val="clear" w:color="auto" w:fill="FFFFFF"/>
            <w:tcMar>
              <w:top w:w="0" w:type="dxa"/>
              <w:left w:w="0" w:type="dxa"/>
              <w:bottom w:w="0" w:type="dxa"/>
              <w:right w:w="0" w:type="dxa"/>
            </w:tcMar>
          </w:tcPr>
          <w:p w14:paraId="06600E28"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3</w:t>
            </w:r>
          </w:p>
        </w:tc>
        <w:tc>
          <w:tcPr>
            <w:tcW w:w="0" w:type="auto"/>
            <w:shd w:val="clear" w:color="auto" w:fill="FFFFFF"/>
            <w:tcMar>
              <w:top w:w="0" w:type="dxa"/>
              <w:left w:w="0" w:type="dxa"/>
              <w:bottom w:w="0" w:type="dxa"/>
              <w:right w:w="0" w:type="dxa"/>
            </w:tcMar>
          </w:tcPr>
          <w:p w14:paraId="2E0BBC8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Give the context for the study, the study question, and its practical relevance for decision making in policy or practice.</w:t>
            </w:r>
          </w:p>
        </w:tc>
        <w:tc>
          <w:tcPr>
            <w:tcW w:w="0" w:type="auto"/>
            <w:tcBorders>
              <w:right w:val="single" w:sz="8" w:space="0" w:color="000000"/>
            </w:tcBorders>
            <w:shd w:val="clear" w:color="auto" w:fill="FFFFFF"/>
            <w:tcMar>
              <w:top w:w="0" w:type="dxa"/>
              <w:left w:w="0" w:type="dxa"/>
              <w:bottom w:w="0" w:type="dxa"/>
              <w:right w:w="0" w:type="dxa"/>
            </w:tcMar>
          </w:tcPr>
          <w:p w14:paraId="134CFA3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Introduction</w:t>
            </w:r>
          </w:p>
        </w:tc>
      </w:tr>
      <w:tr w:rsidR="00D9416A" w:rsidRPr="00D9416A" w14:paraId="3A41DA56" w14:textId="77777777" w:rsidTr="00CB05C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9B3C49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Methods</w:t>
            </w:r>
          </w:p>
        </w:tc>
        <w:tc>
          <w:tcPr>
            <w:tcW w:w="0" w:type="auto"/>
            <w:shd w:val="clear" w:color="auto" w:fill="FFFFCC"/>
            <w:tcMar>
              <w:top w:w="0" w:type="dxa"/>
              <w:left w:w="0" w:type="dxa"/>
              <w:bottom w:w="0" w:type="dxa"/>
              <w:right w:w="0" w:type="dxa"/>
            </w:tcMar>
          </w:tcPr>
          <w:p w14:paraId="308AAEE0"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53639A2B"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2F1E58CF"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4A9AE125"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B61E69E"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Health economic analysis plan</w:t>
            </w:r>
          </w:p>
        </w:tc>
        <w:tc>
          <w:tcPr>
            <w:tcW w:w="0" w:type="auto"/>
            <w:shd w:val="clear" w:color="auto" w:fill="FFFFFF"/>
            <w:tcMar>
              <w:top w:w="0" w:type="dxa"/>
              <w:left w:w="0" w:type="dxa"/>
              <w:bottom w:w="0" w:type="dxa"/>
              <w:right w:w="0" w:type="dxa"/>
            </w:tcMar>
          </w:tcPr>
          <w:p w14:paraId="45D8F8EA"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4</w:t>
            </w:r>
          </w:p>
        </w:tc>
        <w:tc>
          <w:tcPr>
            <w:tcW w:w="0" w:type="auto"/>
            <w:shd w:val="clear" w:color="auto" w:fill="FFFFFF"/>
            <w:tcMar>
              <w:top w:w="0" w:type="dxa"/>
              <w:left w:w="0" w:type="dxa"/>
              <w:bottom w:w="0" w:type="dxa"/>
              <w:right w:w="0" w:type="dxa"/>
            </w:tcMar>
          </w:tcPr>
          <w:p w14:paraId="2FD207B8"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Indicate whether a health economic analysis plan was developed and where available.</w:t>
            </w:r>
          </w:p>
        </w:tc>
        <w:tc>
          <w:tcPr>
            <w:tcW w:w="0" w:type="auto"/>
            <w:tcBorders>
              <w:right w:val="single" w:sz="8" w:space="0" w:color="000000"/>
            </w:tcBorders>
            <w:shd w:val="clear" w:color="auto" w:fill="FFFFFF"/>
            <w:tcMar>
              <w:top w:w="0" w:type="dxa"/>
              <w:left w:w="0" w:type="dxa"/>
              <w:bottom w:w="0" w:type="dxa"/>
              <w:right w:w="0" w:type="dxa"/>
            </w:tcMar>
          </w:tcPr>
          <w:p w14:paraId="277EE819"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Not Reported</w:t>
            </w:r>
          </w:p>
        </w:tc>
      </w:tr>
      <w:tr w:rsidR="00D9416A" w:rsidRPr="00D9416A" w14:paraId="51892814"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2BC2F05"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Study population</w:t>
            </w:r>
          </w:p>
        </w:tc>
        <w:tc>
          <w:tcPr>
            <w:tcW w:w="0" w:type="auto"/>
            <w:shd w:val="clear" w:color="auto" w:fill="FFFFFF"/>
            <w:tcMar>
              <w:top w:w="0" w:type="dxa"/>
              <w:left w:w="0" w:type="dxa"/>
              <w:bottom w:w="0" w:type="dxa"/>
              <w:right w:w="0" w:type="dxa"/>
            </w:tcMar>
          </w:tcPr>
          <w:p w14:paraId="78649FD7"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5</w:t>
            </w:r>
          </w:p>
        </w:tc>
        <w:tc>
          <w:tcPr>
            <w:tcW w:w="0" w:type="auto"/>
            <w:shd w:val="clear" w:color="auto" w:fill="FFFFFF"/>
            <w:tcMar>
              <w:top w:w="0" w:type="dxa"/>
              <w:left w:w="0" w:type="dxa"/>
              <w:bottom w:w="0" w:type="dxa"/>
              <w:right w:w="0" w:type="dxa"/>
            </w:tcMar>
          </w:tcPr>
          <w:p w14:paraId="4754F0D1"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characteristics of the study population (such as age range, demographics, socioeconomic, or clinical characteristics).</w:t>
            </w:r>
          </w:p>
        </w:tc>
        <w:tc>
          <w:tcPr>
            <w:tcW w:w="0" w:type="auto"/>
            <w:tcBorders>
              <w:right w:val="single" w:sz="8" w:space="0" w:color="000000"/>
            </w:tcBorders>
            <w:shd w:val="clear" w:color="auto" w:fill="FFFFFF"/>
            <w:tcMar>
              <w:top w:w="0" w:type="dxa"/>
              <w:left w:w="0" w:type="dxa"/>
              <w:bottom w:w="0" w:type="dxa"/>
              <w:right w:w="0" w:type="dxa"/>
            </w:tcMar>
          </w:tcPr>
          <w:p w14:paraId="20A7698E"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Methods; Outcomes, Study Design</w:t>
            </w:r>
          </w:p>
        </w:tc>
      </w:tr>
      <w:tr w:rsidR="00D9416A" w:rsidRPr="00D9416A" w14:paraId="66407A55"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5D369A6"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Setting and location</w:t>
            </w:r>
          </w:p>
        </w:tc>
        <w:tc>
          <w:tcPr>
            <w:tcW w:w="0" w:type="auto"/>
            <w:shd w:val="clear" w:color="auto" w:fill="FFFFFF"/>
            <w:tcMar>
              <w:top w:w="0" w:type="dxa"/>
              <w:left w:w="0" w:type="dxa"/>
              <w:bottom w:w="0" w:type="dxa"/>
              <w:right w:w="0" w:type="dxa"/>
            </w:tcMar>
          </w:tcPr>
          <w:p w14:paraId="6A88CBB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6</w:t>
            </w:r>
          </w:p>
        </w:tc>
        <w:tc>
          <w:tcPr>
            <w:tcW w:w="0" w:type="auto"/>
            <w:shd w:val="clear" w:color="auto" w:fill="FFFFFF"/>
            <w:tcMar>
              <w:top w:w="0" w:type="dxa"/>
              <w:left w:w="0" w:type="dxa"/>
              <w:bottom w:w="0" w:type="dxa"/>
              <w:right w:w="0" w:type="dxa"/>
            </w:tcMar>
          </w:tcPr>
          <w:p w14:paraId="1CFCE19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Provide relevant contextual information that may influence findings.</w:t>
            </w:r>
          </w:p>
        </w:tc>
        <w:tc>
          <w:tcPr>
            <w:tcW w:w="0" w:type="auto"/>
            <w:tcBorders>
              <w:right w:val="single" w:sz="8" w:space="0" w:color="000000"/>
            </w:tcBorders>
            <w:shd w:val="clear" w:color="auto" w:fill="FFFFFF"/>
            <w:tcMar>
              <w:top w:w="0" w:type="dxa"/>
              <w:left w:w="0" w:type="dxa"/>
              <w:bottom w:w="0" w:type="dxa"/>
              <w:right w:w="0" w:type="dxa"/>
            </w:tcMar>
          </w:tcPr>
          <w:p w14:paraId="2C67F03F"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 xml:space="preserve">Methods; </w:t>
            </w:r>
          </w:p>
          <w:p w14:paraId="2A785ACF"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Study Design</w:t>
            </w:r>
          </w:p>
        </w:tc>
      </w:tr>
      <w:tr w:rsidR="00D9416A" w:rsidRPr="00D9416A" w14:paraId="5F68629C"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2A2057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Comparators</w:t>
            </w:r>
          </w:p>
        </w:tc>
        <w:tc>
          <w:tcPr>
            <w:tcW w:w="0" w:type="auto"/>
            <w:shd w:val="clear" w:color="auto" w:fill="FFFFFF"/>
            <w:tcMar>
              <w:top w:w="0" w:type="dxa"/>
              <w:left w:w="0" w:type="dxa"/>
              <w:bottom w:w="0" w:type="dxa"/>
              <w:right w:w="0" w:type="dxa"/>
            </w:tcMar>
          </w:tcPr>
          <w:p w14:paraId="2CB97ADB"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7</w:t>
            </w:r>
          </w:p>
        </w:tc>
        <w:tc>
          <w:tcPr>
            <w:tcW w:w="0" w:type="auto"/>
            <w:shd w:val="clear" w:color="auto" w:fill="FFFFFF"/>
            <w:tcMar>
              <w:top w:w="0" w:type="dxa"/>
              <w:left w:w="0" w:type="dxa"/>
              <w:bottom w:w="0" w:type="dxa"/>
              <w:right w:w="0" w:type="dxa"/>
            </w:tcMar>
          </w:tcPr>
          <w:p w14:paraId="62AAF35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the interventions or strategies being compared and why chosen.</w:t>
            </w:r>
          </w:p>
        </w:tc>
        <w:tc>
          <w:tcPr>
            <w:tcW w:w="0" w:type="auto"/>
            <w:tcBorders>
              <w:right w:val="single" w:sz="8" w:space="0" w:color="000000"/>
            </w:tcBorders>
            <w:shd w:val="clear" w:color="auto" w:fill="FFFFFF"/>
            <w:tcMar>
              <w:top w:w="0" w:type="dxa"/>
              <w:left w:w="0" w:type="dxa"/>
              <w:bottom w:w="0" w:type="dxa"/>
              <w:right w:w="0" w:type="dxa"/>
            </w:tcMar>
          </w:tcPr>
          <w:p w14:paraId="5346D50E"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Methods; Hybrid decision tree and Markov model</w:t>
            </w:r>
          </w:p>
        </w:tc>
      </w:tr>
      <w:tr w:rsidR="00D9416A" w:rsidRPr="00D9416A" w14:paraId="7337E8A9"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9BE36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Perspective</w:t>
            </w:r>
          </w:p>
        </w:tc>
        <w:tc>
          <w:tcPr>
            <w:tcW w:w="0" w:type="auto"/>
            <w:shd w:val="clear" w:color="auto" w:fill="FFFFFF"/>
            <w:tcMar>
              <w:top w:w="0" w:type="dxa"/>
              <w:left w:w="0" w:type="dxa"/>
              <w:bottom w:w="0" w:type="dxa"/>
              <w:right w:w="0" w:type="dxa"/>
            </w:tcMar>
          </w:tcPr>
          <w:p w14:paraId="71707D86"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8</w:t>
            </w:r>
          </w:p>
        </w:tc>
        <w:tc>
          <w:tcPr>
            <w:tcW w:w="0" w:type="auto"/>
            <w:shd w:val="clear" w:color="auto" w:fill="FFFFFF"/>
            <w:tcMar>
              <w:top w:w="0" w:type="dxa"/>
              <w:left w:w="0" w:type="dxa"/>
              <w:bottom w:w="0" w:type="dxa"/>
              <w:right w:w="0" w:type="dxa"/>
            </w:tcMar>
          </w:tcPr>
          <w:p w14:paraId="038C6EF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State the perspective(s) adopted by the study and why chosen.</w:t>
            </w:r>
          </w:p>
        </w:tc>
        <w:tc>
          <w:tcPr>
            <w:tcW w:w="0" w:type="auto"/>
            <w:tcBorders>
              <w:right w:val="single" w:sz="8" w:space="0" w:color="000000"/>
            </w:tcBorders>
            <w:shd w:val="clear" w:color="auto" w:fill="FFFFFF"/>
            <w:tcMar>
              <w:top w:w="0" w:type="dxa"/>
              <w:left w:w="0" w:type="dxa"/>
              <w:bottom w:w="0" w:type="dxa"/>
              <w:right w:w="0" w:type="dxa"/>
            </w:tcMar>
          </w:tcPr>
          <w:p w14:paraId="3D8A1282"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74F4ED13"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Study design</w:t>
            </w:r>
          </w:p>
        </w:tc>
      </w:tr>
      <w:tr w:rsidR="00D9416A" w:rsidRPr="00D9416A" w14:paraId="67D723B2"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2E597D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Time horizon</w:t>
            </w:r>
          </w:p>
        </w:tc>
        <w:tc>
          <w:tcPr>
            <w:tcW w:w="0" w:type="auto"/>
            <w:shd w:val="clear" w:color="auto" w:fill="FFFFFF"/>
            <w:tcMar>
              <w:top w:w="0" w:type="dxa"/>
              <w:left w:w="0" w:type="dxa"/>
              <w:bottom w:w="0" w:type="dxa"/>
              <w:right w:w="0" w:type="dxa"/>
            </w:tcMar>
          </w:tcPr>
          <w:p w14:paraId="7CFF54CB"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9</w:t>
            </w:r>
          </w:p>
        </w:tc>
        <w:tc>
          <w:tcPr>
            <w:tcW w:w="0" w:type="auto"/>
            <w:shd w:val="clear" w:color="auto" w:fill="FFFFFF"/>
            <w:tcMar>
              <w:top w:w="0" w:type="dxa"/>
              <w:left w:w="0" w:type="dxa"/>
              <w:bottom w:w="0" w:type="dxa"/>
              <w:right w:w="0" w:type="dxa"/>
            </w:tcMar>
          </w:tcPr>
          <w:p w14:paraId="6A64DE57"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State the time horizon for the study and why appropriate.</w:t>
            </w:r>
          </w:p>
        </w:tc>
        <w:tc>
          <w:tcPr>
            <w:tcW w:w="0" w:type="auto"/>
            <w:tcBorders>
              <w:right w:val="single" w:sz="8" w:space="0" w:color="000000"/>
            </w:tcBorders>
            <w:shd w:val="clear" w:color="auto" w:fill="FFFFFF"/>
            <w:tcMar>
              <w:top w:w="0" w:type="dxa"/>
              <w:left w:w="0" w:type="dxa"/>
              <w:bottom w:w="0" w:type="dxa"/>
              <w:right w:w="0" w:type="dxa"/>
            </w:tcMar>
          </w:tcPr>
          <w:p w14:paraId="3AB28D57"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 xml:space="preserve">Methods; </w:t>
            </w:r>
          </w:p>
          <w:p w14:paraId="6EE5255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Survival curve fitting</w:t>
            </w:r>
          </w:p>
        </w:tc>
      </w:tr>
      <w:tr w:rsidR="00D9416A" w:rsidRPr="00D9416A" w14:paraId="03CF9922"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814572"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Discount rate</w:t>
            </w:r>
          </w:p>
        </w:tc>
        <w:tc>
          <w:tcPr>
            <w:tcW w:w="0" w:type="auto"/>
            <w:shd w:val="clear" w:color="auto" w:fill="FFFFFF"/>
            <w:tcMar>
              <w:top w:w="0" w:type="dxa"/>
              <w:left w:w="0" w:type="dxa"/>
              <w:bottom w:w="0" w:type="dxa"/>
              <w:right w:w="0" w:type="dxa"/>
            </w:tcMar>
          </w:tcPr>
          <w:p w14:paraId="515201D3"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10</w:t>
            </w:r>
          </w:p>
        </w:tc>
        <w:tc>
          <w:tcPr>
            <w:tcW w:w="0" w:type="auto"/>
            <w:shd w:val="clear" w:color="auto" w:fill="FFFFFF"/>
            <w:tcMar>
              <w:top w:w="0" w:type="dxa"/>
              <w:left w:w="0" w:type="dxa"/>
              <w:bottom w:w="0" w:type="dxa"/>
              <w:right w:w="0" w:type="dxa"/>
            </w:tcMar>
          </w:tcPr>
          <w:p w14:paraId="521CEC92"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the discount rate(s) and reason chosen.</w:t>
            </w:r>
          </w:p>
        </w:tc>
        <w:tc>
          <w:tcPr>
            <w:tcW w:w="0" w:type="auto"/>
            <w:tcBorders>
              <w:right w:val="single" w:sz="8" w:space="0" w:color="000000"/>
            </w:tcBorders>
            <w:shd w:val="clear" w:color="auto" w:fill="FFFFFF"/>
            <w:tcMar>
              <w:top w:w="0" w:type="dxa"/>
              <w:left w:w="0" w:type="dxa"/>
              <w:bottom w:w="0" w:type="dxa"/>
              <w:right w:w="0" w:type="dxa"/>
            </w:tcMar>
          </w:tcPr>
          <w:p w14:paraId="3AAC6C9D"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Methods, Outcomes</w:t>
            </w:r>
          </w:p>
        </w:tc>
      </w:tr>
      <w:tr w:rsidR="00D9416A" w:rsidRPr="00D9416A" w14:paraId="380B9F0F"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325583"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lastRenderedPageBreak/>
              <w:t>Selection of outcomes</w:t>
            </w:r>
          </w:p>
        </w:tc>
        <w:tc>
          <w:tcPr>
            <w:tcW w:w="0" w:type="auto"/>
            <w:shd w:val="clear" w:color="auto" w:fill="FFFFFF"/>
            <w:tcMar>
              <w:top w:w="0" w:type="dxa"/>
              <w:left w:w="0" w:type="dxa"/>
              <w:bottom w:w="0" w:type="dxa"/>
              <w:right w:w="0" w:type="dxa"/>
            </w:tcMar>
          </w:tcPr>
          <w:p w14:paraId="7C076A36"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11</w:t>
            </w:r>
          </w:p>
        </w:tc>
        <w:tc>
          <w:tcPr>
            <w:tcW w:w="0" w:type="auto"/>
            <w:shd w:val="clear" w:color="auto" w:fill="FFFFFF"/>
            <w:tcMar>
              <w:top w:w="0" w:type="dxa"/>
              <w:left w:w="0" w:type="dxa"/>
              <w:bottom w:w="0" w:type="dxa"/>
              <w:right w:w="0" w:type="dxa"/>
            </w:tcMar>
          </w:tcPr>
          <w:p w14:paraId="4382A1D6"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what outcomes were used as the measure(s) of benefit(s) and harm(s).</w:t>
            </w:r>
          </w:p>
        </w:tc>
        <w:tc>
          <w:tcPr>
            <w:tcW w:w="0" w:type="auto"/>
            <w:tcBorders>
              <w:right w:val="single" w:sz="8" w:space="0" w:color="000000"/>
            </w:tcBorders>
            <w:shd w:val="clear" w:color="auto" w:fill="FFFFFF"/>
            <w:tcMar>
              <w:top w:w="0" w:type="dxa"/>
              <w:left w:w="0" w:type="dxa"/>
              <w:bottom w:w="0" w:type="dxa"/>
              <w:right w:w="0" w:type="dxa"/>
            </w:tcMar>
          </w:tcPr>
          <w:p w14:paraId="05877120"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 Outcomes</w:t>
            </w:r>
          </w:p>
        </w:tc>
      </w:tr>
      <w:tr w:rsidR="00D9416A" w:rsidRPr="00D9416A" w14:paraId="1BABE068"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0E1D266"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Measurement of outcomes</w:t>
            </w:r>
          </w:p>
        </w:tc>
        <w:tc>
          <w:tcPr>
            <w:tcW w:w="0" w:type="auto"/>
            <w:shd w:val="clear" w:color="auto" w:fill="FFFFFF"/>
            <w:tcMar>
              <w:top w:w="0" w:type="dxa"/>
              <w:left w:w="0" w:type="dxa"/>
              <w:bottom w:w="0" w:type="dxa"/>
              <w:right w:w="0" w:type="dxa"/>
            </w:tcMar>
          </w:tcPr>
          <w:p w14:paraId="625165A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12</w:t>
            </w:r>
          </w:p>
        </w:tc>
        <w:tc>
          <w:tcPr>
            <w:tcW w:w="0" w:type="auto"/>
            <w:shd w:val="clear" w:color="auto" w:fill="FFFFFF"/>
            <w:tcMar>
              <w:top w:w="0" w:type="dxa"/>
              <w:left w:w="0" w:type="dxa"/>
              <w:bottom w:w="0" w:type="dxa"/>
              <w:right w:w="0" w:type="dxa"/>
            </w:tcMar>
          </w:tcPr>
          <w:p w14:paraId="67B48B68"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how outcomes used to capture benefit(s) and harm(s) were measured.</w:t>
            </w:r>
          </w:p>
        </w:tc>
        <w:tc>
          <w:tcPr>
            <w:tcW w:w="0" w:type="auto"/>
            <w:tcBorders>
              <w:right w:val="single" w:sz="8" w:space="0" w:color="000000"/>
            </w:tcBorders>
            <w:shd w:val="clear" w:color="auto" w:fill="FFFFFF"/>
            <w:tcMar>
              <w:top w:w="0" w:type="dxa"/>
              <w:left w:w="0" w:type="dxa"/>
              <w:bottom w:w="0" w:type="dxa"/>
              <w:right w:w="0" w:type="dxa"/>
            </w:tcMar>
          </w:tcPr>
          <w:p w14:paraId="1454FE49"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Methods; Outcomes</w:t>
            </w:r>
          </w:p>
        </w:tc>
      </w:tr>
      <w:tr w:rsidR="00D9416A" w:rsidRPr="00D9416A" w14:paraId="48D6FE61"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CCBDD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Valuation of outcomes</w:t>
            </w:r>
          </w:p>
        </w:tc>
        <w:tc>
          <w:tcPr>
            <w:tcW w:w="0" w:type="auto"/>
            <w:shd w:val="clear" w:color="auto" w:fill="FFFFFF"/>
            <w:tcMar>
              <w:top w:w="0" w:type="dxa"/>
              <w:left w:w="0" w:type="dxa"/>
              <w:bottom w:w="0" w:type="dxa"/>
              <w:right w:w="0" w:type="dxa"/>
            </w:tcMar>
          </w:tcPr>
          <w:p w14:paraId="689C9715"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13</w:t>
            </w:r>
          </w:p>
        </w:tc>
        <w:tc>
          <w:tcPr>
            <w:tcW w:w="0" w:type="auto"/>
            <w:shd w:val="clear" w:color="auto" w:fill="FFFFFF"/>
            <w:tcMar>
              <w:top w:w="0" w:type="dxa"/>
              <w:left w:w="0" w:type="dxa"/>
              <w:bottom w:w="0" w:type="dxa"/>
              <w:right w:w="0" w:type="dxa"/>
            </w:tcMar>
          </w:tcPr>
          <w:p w14:paraId="5A5CEBA0"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the population and methods used to measure and value outcomes.</w:t>
            </w:r>
          </w:p>
        </w:tc>
        <w:tc>
          <w:tcPr>
            <w:tcW w:w="0" w:type="auto"/>
            <w:tcBorders>
              <w:right w:val="single" w:sz="8" w:space="0" w:color="000000"/>
            </w:tcBorders>
            <w:shd w:val="clear" w:color="auto" w:fill="FFFFFF"/>
            <w:tcMar>
              <w:top w:w="0" w:type="dxa"/>
              <w:left w:w="0" w:type="dxa"/>
              <w:bottom w:w="0" w:type="dxa"/>
              <w:right w:w="0" w:type="dxa"/>
            </w:tcMar>
          </w:tcPr>
          <w:p w14:paraId="39C841A7" w14:textId="0850A615"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528B660E"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Outcomes</w:t>
            </w:r>
          </w:p>
        </w:tc>
      </w:tr>
      <w:tr w:rsidR="00D9416A" w:rsidRPr="00D9416A" w14:paraId="6984E43B"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AE99A2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Measurement and valuation of resources and costs</w:t>
            </w:r>
          </w:p>
        </w:tc>
        <w:tc>
          <w:tcPr>
            <w:tcW w:w="0" w:type="auto"/>
            <w:shd w:val="clear" w:color="auto" w:fill="FFFFFF"/>
            <w:tcMar>
              <w:top w:w="0" w:type="dxa"/>
              <w:left w:w="0" w:type="dxa"/>
              <w:bottom w:w="0" w:type="dxa"/>
              <w:right w:w="0" w:type="dxa"/>
            </w:tcMar>
          </w:tcPr>
          <w:p w14:paraId="6ECC2FA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14</w:t>
            </w:r>
          </w:p>
        </w:tc>
        <w:tc>
          <w:tcPr>
            <w:tcW w:w="0" w:type="auto"/>
            <w:shd w:val="clear" w:color="auto" w:fill="FFFFFF"/>
            <w:tcMar>
              <w:top w:w="0" w:type="dxa"/>
              <w:left w:w="0" w:type="dxa"/>
              <w:bottom w:w="0" w:type="dxa"/>
              <w:right w:w="0" w:type="dxa"/>
            </w:tcMar>
          </w:tcPr>
          <w:p w14:paraId="2A4DC169"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how costs were valued.</w:t>
            </w:r>
          </w:p>
        </w:tc>
        <w:tc>
          <w:tcPr>
            <w:tcW w:w="0" w:type="auto"/>
            <w:tcBorders>
              <w:right w:val="single" w:sz="8" w:space="0" w:color="000000"/>
            </w:tcBorders>
            <w:shd w:val="clear" w:color="auto" w:fill="FFFFFF"/>
            <w:tcMar>
              <w:top w:w="0" w:type="dxa"/>
              <w:left w:w="0" w:type="dxa"/>
              <w:bottom w:w="0" w:type="dxa"/>
              <w:right w:w="0" w:type="dxa"/>
            </w:tcMar>
          </w:tcPr>
          <w:p w14:paraId="0401B097"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4FE0435B"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Costs</w:t>
            </w:r>
          </w:p>
        </w:tc>
      </w:tr>
      <w:tr w:rsidR="00D9416A" w:rsidRPr="00D9416A" w14:paraId="14203B62"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A349409"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Currency, price date, and conversion</w:t>
            </w:r>
          </w:p>
        </w:tc>
        <w:tc>
          <w:tcPr>
            <w:tcW w:w="0" w:type="auto"/>
            <w:shd w:val="clear" w:color="auto" w:fill="FFFFFF"/>
            <w:tcMar>
              <w:top w:w="0" w:type="dxa"/>
              <w:left w:w="0" w:type="dxa"/>
              <w:bottom w:w="0" w:type="dxa"/>
              <w:right w:w="0" w:type="dxa"/>
            </w:tcMar>
          </w:tcPr>
          <w:p w14:paraId="3E1FE6A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15</w:t>
            </w:r>
          </w:p>
        </w:tc>
        <w:tc>
          <w:tcPr>
            <w:tcW w:w="0" w:type="auto"/>
            <w:shd w:val="clear" w:color="auto" w:fill="FFFFFF"/>
            <w:tcMar>
              <w:top w:w="0" w:type="dxa"/>
              <w:left w:w="0" w:type="dxa"/>
              <w:bottom w:w="0" w:type="dxa"/>
              <w:right w:w="0" w:type="dxa"/>
            </w:tcMar>
          </w:tcPr>
          <w:p w14:paraId="68DF5B4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the dates of the estimated resource quantities and unit costs, plus the currency and year of conversion.</w:t>
            </w:r>
          </w:p>
        </w:tc>
        <w:tc>
          <w:tcPr>
            <w:tcW w:w="0" w:type="auto"/>
            <w:tcBorders>
              <w:right w:val="single" w:sz="8" w:space="0" w:color="000000"/>
            </w:tcBorders>
            <w:shd w:val="clear" w:color="auto" w:fill="FFFFFF"/>
            <w:tcMar>
              <w:top w:w="0" w:type="dxa"/>
              <w:left w:w="0" w:type="dxa"/>
              <w:bottom w:w="0" w:type="dxa"/>
              <w:right w:w="0" w:type="dxa"/>
            </w:tcMar>
          </w:tcPr>
          <w:p w14:paraId="5BBE3DE9"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2C5A028A"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Costs</w:t>
            </w:r>
          </w:p>
        </w:tc>
      </w:tr>
      <w:tr w:rsidR="00D9416A" w:rsidRPr="00D9416A" w14:paraId="3BCEBBF8"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392CA83"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Rationale and description of model</w:t>
            </w:r>
          </w:p>
        </w:tc>
        <w:tc>
          <w:tcPr>
            <w:tcW w:w="0" w:type="auto"/>
            <w:shd w:val="clear" w:color="auto" w:fill="FFFFFF"/>
            <w:tcMar>
              <w:top w:w="0" w:type="dxa"/>
              <w:left w:w="0" w:type="dxa"/>
              <w:bottom w:w="0" w:type="dxa"/>
              <w:right w:w="0" w:type="dxa"/>
            </w:tcMar>
          </w:tcPr>
          <w:p w14:paraId="216FC80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16</w:t>
            </w:r>
          </w:p>
        </w:tc>
        <w:tc>
          <w:tcPr>
            <w:tcW w:w="0" w:type="auto"/>
            <w:shd w:val="clear" w:color="auto" w:fill="FFFFFF"/>
            <w:tcMar>
              <w:top w:w="0" w:type="dxa"/>
              <w:left w:w="0" w:type="dxa"/>
              <w:bottom w:w="0" w:type="dxa"/>
              <w:right w:w="0" w:type="dxa"/>
            </w:tcMar>
          </w:tcPr>
          <w:p w14:paraId="58587B9E"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If modelling is used, describe in detail and why used. Report if the model is publicly available and where it can be accessed.</w:t>
            </w:r>
          </w:p>
        </w:tc>
        <w:tc>
          <w:tcPr>
            <w:tcW w:w="0" w:type="auto"/>
            <w:tcBorders>
              <w:right w:val="single" w:sz="8" w:space="0" w:color="000000"/>
            </w:tcBorders>
            <w:shd w:val="clear" w:color="auto" w:fill="FFFFFF"/>
            <w:tcMar>
              <w:top w:w="0" w:type="dxa"/>
              <w:left w:w="0" w:type="dxa"/>
              <w:bottom w:w="0" w:type="dxa"/>
              <w:right w:w="0" w:type="dxa"/>
            </w:tcMar>
          </w:tcPr>
          <w:p w14:paraId="558B5183"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5CC2E4C2"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Hybrid decision tree and Markov model</w:t>
            </w:r>
          </w:p>
        </w:tc>
      </w:tr>
      <w:tr w:rsidR="00D9416A" w:rsidRPr="00D9416A" w14:paraId="71E2536B"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50DFC9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Analytics and assumptions</w:t>
            </w:r>
          </w:p>
        </w:tc>
        <w:tc>
          <w:tcPr>
            <w:tcW w:w="0" w:type="auto"/>
            <w:shd w:val="clear" w:color="auto" w:fill="FFFFFF"/>
            <w:tcMar>
              <w:top w:w="0" w:type="dxa"/>
              <w:left w:w="0" w:type="dxa"/>
              <w:bottom w:w="0" w:type="dxa"/>
              <w:right w:w="0" w:type="dxa"/>
            </w:tcMar>
          </w:tcPr>
          <w:p w14:paraId="04A05BD1"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17</w:t>
            </w:r>
          </w:p>
        </w:tc>
        <w:tc>
          <w:tcPr>
            <w:tcW w:w="0" w:type="auto"/>
            <w:shd w:val="clear" w:color="auto" w:fill="FFFFFF"/>
            <w:tcMar>
              <w:top w:w="0" w:type="dxa"/>
              <w:left w:w="0" w:type="dxa"/>
              <w:bottom w:w="0" w:type="dxa"/>
              <w:right w:w="0" w:type="dxa"/>
            </w:tcMar>
          </w:tcPr>
          <w:p w14:paraId="16EF196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any methods for analysing or statistically transforming data, any extrapolation methods, and approaches for validating any model used.</w:t>
            </w:r>
          </w:p>
        </w:tc>
        <w:tc>
          <w:tcPr>
            <w:tcW w:w="0" w:type="auto"/>
            <w:tcBorders>
              <w:right w:val="single" w:sz="8" w:space="0" w:color="000000"/>
            </w:tcBorders>
            <w:shd w:val="clear" w:color="auto" w:fill="FFFFFF"/>
            <w:tcMar>
              <w:top w:w="0" w:type="dxa"/>
              <w:left w:w="0" w:type="dxa"/>
              <w:bottom w:w="0" w:type="dxa"/>
              <w:right w:w="0" w:type="dxa"/>
            </w:tcMar>
          </w:tcPr>
          <w:p w14:paraId="6DAF1C6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Methods</w:t>
            </w:r>
          </w:p>
        </w:tc>
      </w:tr>
      <w:tr w:rsidR="00D9416A" w:rsidRPr="00D9416A" w14:paraId="5DBF34E7"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A71733"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Characterising heterogeneity</w:t>
            </w:r>
          </w:p>
        </w:tc>
        <w:tc>
          <w:tcPr>
            <w:tcW w:w="0" w:type="auto"/>
            <w:shd w:val="clear" w:color="auto" w:fill="FFFFFF"/>
            <w:tcMar>
              <w:top w:w="0" w:type="dxa"/>
              <w:left w:w="0" w:type="dxa"/>
              <w:bottom w:w="0" w:type="dxa"/>
              <w:right w:w="0" w:type="dxa"/>
            </w:tcMar>
          </w:tcPr>
          <w:p w14:paraId="2F31C596"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18</w:t>
            </w:r>
          </w:p>
        </w:tc>
        <w:tc>
          <w:tcPr>
            <w:tcW w:w="0" w:type="auto"/>
            <w:shd w:val="clear" w:color="auto" w:fill="FFFFFF"/>
            <w:tcMar>
              <w:top w:w="0" w:type="dxa"/>
              <w:left w:w="0" w:type="dxa"/>
              <w:bottom w:w="0" w:type="dxa"/>
              <w:right w:w="0" w:type="dxa"/>
            </w:tcMar>
          </w:tcPr>
          <w:p w14:paraId="2375DEF7"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any methods used for estimating how the results of the study vary for subgroups.</w:t>
            </w:r>
          </w:p>
        </w:tc>
        <w:tc>
          <w:tcPr>
            <w:tcW w:w="0" w:type="auto"/>
            <w:tcBorders>
              <w:right w:val="single" w:sz="8" w:space="0" w:color="000000"/>
            </w:tcBorders>
            <w:shd w:val="clear" w:color="auto" w:fill="FFFFFF"/>
            <w:tcMar>
              <w:top w:w="0" w:type="dxa"/>
              <w:left w:w="0" w:type="dxa"/>
              <w:bottom w:w="0" w:type="dxa"/>
              <w:right w:w="0" w:type="dxa"/>
            </w:tcMar>
          </w:tcPr>
          <w:p w14:paraId="7BF76A8A"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Not Reported</w:t>
            </w:r>
          </w:p>
        </w:tc>
      </w:tr>
      <w:tr w:rsidR="00D9416A" w:rsidRPr="00D9416A" w14:paraId="7FACCDE9"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B5D7D07"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Characterising distributional effects</w:t>
            </w:r>
          </w:p>
        </w:tc>
        <w:tc>
          <w:tcPr>
            <w:tcW w:w="0" w:type="auto"/>
            <w:shd w:val="clear" w:color="auto" w:fill="FFFFFF"/>
            <w:tcMar>
              <w:top w:w="0" w:type="dxa"/>
              <w:left w:w="0" w:type="dxa"/>
              <w:bottom w:w="0" w:type="dxa"/>
              <w:right w:w="0" w:type="dxa"/>
            </w:tcMar>
          </w:tcPr>
          <w:p w14:paraId="1C9239BB"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19</w:t>
            </w:r>
          </w:p>
        </w:tc>
        <w:tc>
          <w:tcPr>
            <w:tcW w:w="0" w:type="auto"/>
            <w:shd w:val="clear" w:color="auto" w:fill="FFFFFF"/>
            <w:tcMar>
              <w:top w:w="0" w:type="dxa"/>
              <w:left w:w="0" w:type="dxa"/>
              <w:bottom w:w="0" w:type="dxa"/>
              <w:right w:w="0" w:type="dxa"/>
            </w:tcMar>
          </w:tcPr>
          <w:p w14:paraId="30BD79A6"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how impacts are distributed across different individuals or adjustments made to reflect priority populations.</w:t>
            </w:r>
          </w:p>
        </w:tc>
        <w:tc>
          <w:tcPr>
            <w:tcW w:w="0" w:type="auto"/>
            <w:tcBorders>
              <w:right w:val="single" w:sz="8" w:space="0" w:color="000000"/>
            </w:tcBorders>
            <w:shd w:val="clear" w:color="auto" w:fill="FFFFFF"/>
            <w:tcMar>
              <w:top w:w="0" w:type="dxa"/>
              <w:left w:w="0" w:type="dxa"/>
              <w:bottom w:w="0" w:type="dxa"/>
              <w:right w:w="0" w:type="dxa"/>
            </w:tcMar>
          </w:tcPr>
          <w:p w14:paraId="6FF0B06A"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Not Reported</w:t>
            </w:r>
          </w:p>
        </w:tc>
      </w:tr>
      <w:tr w:rsidR="00D9416A" w:rsidRPr="00D9416A" w14:paraId="194C8C69"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646A25"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Characterising uncertainty</w:t>
            </w:r>
          </w:p>
        </w:tc>
        <w:tc>
          <w:tcPr>
            <w:tcW w:w="0" w:type="auto"/>
            <w:shd w:val="clear" w:color="auto" w:fill="FFFFFF"/>
            <w:tcMar>
              <w:top w:w="0" w:type="dxa"/>
              <w:left w:w="0" w:type="dxa"/>
              <w:bottom w:w="0" w:type="dxa"/>
              <w:right w:w="0" w:type="dxa"/>
            </w:tcMar>
          </w:tcPr>
          <w:p w14:paraId="5E48C2B7"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20</w:t>
            </w:r>
          </w:p>
        </w:tc>
        <w:tc>
          <w:tcPr>
            <w:tcW w:w="0" w:type="auto"/>
            <w:shd w:val="clear" w:color="auto" w:fill="FFFFFF"/>
            <w:tcMar>
              <w:top w:w="0" w:type="dxa"/>
              <w:left w:w="0" w:type="dxa"/>
              <w:bottom w:w="0" w:type="dxa"/>
              <w:right w:w="0" w:type="dxa"/>
            </w:tcMar>
          </w:tcPr>
          <w:p w14:paraId="2862C5F1"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methods to characterise any sources of uncertainty in the analysis.</w:t>
            </w:r>
          </w:p>
        </w:tc>
        <w:tc>
          <w:tcPr>
            <w:tcW w:w="0" w:type="auto"/>
            <w:tcBorders>
              <w:right w:val="single" w:sz="8" w:space="0" w:color="000000"/>
            </w:tcBorders>
            <w:shd w:val="clear" w:color="auto" w:fill="FFFFFF"/>
            <w:tcMar>
              <w:top w:w="0" w:type="dxa"/>
              <w:left w:w="0" w:type="dxa"/>
              <w:bottom w:w="0" w:type="dxa"/>
              <w:right w:w="0" w:type="dxa"/>
            </w:tcMar>
          </w:tcPr>
          <w:p w14:paraId="705071C2" w14:textId="77777777" w:rsidR="00D9416A" w:rsidRPr="00D9416A" w:rsidRDefault="00D9416A" w:rsidP="00CB05C3">
            <w:pPr>
              <w:spacing w:before="100" w:after="100"/>
              <w:ind w:left="100" w:right="100"/>
              <w:jc w:val="center"/>
              <w:rPr>
                <w:rFonts w:ascii="Times New Roman" w:eastAsia="DejaVu Sans" w:hAnsi="Times New Roman" w:cs="Times New Roman"/>
                <w:sz w:val="22"/>
                <w:szCs w:val="22"/>
              </w:rPr>
            </w:pPr>
            <w:r w:rsidRPr="00D9416A">
              <w:rPr>
                <w:rFonts w:ascii="Times New Roman" w:eastAsia="DejaVu Sans" w:hAnsi="Times New Roman" w:cs="Times New Roman"/>
                <w:sz w:val="22"/>
                <w:szCs w:val="22"/>
              </w:rPr>
              <w:t>Methods;</w:t>
            </w:r>
          </w:p>
          <w:p w14:paraId="59291D0E"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Sensitivity Analysis</w:t>
            </w:r>
          </w:p>
        </w:tc>
      </w:tr>
      <w:tr w:rsidR="00D9416A" w:rsidRPr="00D9416A" w14:paraId="14243AD6"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8B36852"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Approach to engagement with patients and others affected by the study</w:t>
            </w:r>
          </w:p>
        </w:tc>
        <w:tc>
          <w:tcPr>
            <w:tcW w:w="0" w:type="auto"/>
            <w:shd w:val="clear" w:color="auto" w:fill="FFFFFF"/>
            <w:tcMar>
              <w:top w:w="0" w:type="dxa"/>
              <w:left w:w="0" w:type="dxa"/>
              <w:bottom w:w="0" w:type="dxa"/>
              <w:right w:w="0" w:type="dxa"/>
            </w:tcMar>
          </w:tcPr>
          <w:p w14:paraId="05B5D2E8"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21</w:t>
            </w:r>
          </w:p>
        </w:tc>
        <w:tc>
          <w:tcPr>
            <w:tcW w:w="0" w:type="auto"/>
            <w:shd w:val="clear" w:color="auto" w:fill="FFFFFF"/>
            <w:tcMar>
              <w:top w:w="0" w:type="dxa"/>
              <w:left w:w="0" w:type="dxa"/>
              <w:bottom w:w="0" w:type="dxa"/>
              <w:right w:w="0" w:type="dxa"/>
            </w:tcMar>
          </w:tcPr>
          <w:p w14:paraId="2B68BBD7"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any approaches to engage patients or service recipients, the general public, communities, or stakeholders (such as clinicians or payers) in the design of the study.</w:t>
            </w:r>
          </w:p>
        </w:tc>
        <w:tc>
          <w:tcPr>
            <w:tcW w:w="0" w:type="auto"/>
            <w:tcBorders>
              <w:right w:val="single" w:sz="8" w:space="0" w:color="000000"/>
            </w:tcBorders>
            <w:shd w:val="clear" w:color="auto" w:fill="FFFFFF"/>
            <w:tcMar>
              <w:top w:w="0" w:type="dxa"/>
              <w:left w:w="0" w:type="dxa"/>
              <w:bottom w:w="0" w:type="dxa"/>
              <w:right w:w="0" w:type="dxa"/>
            </w:tcMar>
          </w:tcPr>
          <w:p w14:paraId="6BFAEB5D"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Not Reported</w:t>
            </w:r>
          </w:p>
        </w:tc>
      </w:tr>
      <w:tr w:rsidR="00D9416A" w:rsidRPr="00D9416A" w14:paraId="067F7345" w14:textId="77777777" w:rsidTr="00CB05C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CF1D45F"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Results</w:t>
            </w:r>
          </w:p>
        </w:tc>
        <w:tc>
          <w:tcPr>
            <w:tcW w:w="0" w:type="auto"/>
            <w:shd w:val="clear" w:color="auto" w:fill="FFFFCC"/>
            <w:tcMar>
              <w:top w:w="0" w:type="dxa"/>
              <w:left w:w="0" w:type="dxa"/>
              <w:bottom w:w="0" w:type="dxa"/>
              <w:right w:w="0" w:type="dxa"/>
            </w:tcMar>
          </w:tcPr>
          <w:p w14:paraId="746D15ED"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17EF2800"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4CDE4810"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21DA111C"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75CF4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lastRenderedPageBreak/>
              <w:t>Study parameters</w:t>
            </w:r>
          </w:p>
        </w:tc>
        <w:tc>
          <w:tcPr>
            <w:tcW w:w="0" w:type="auto"/>
            <w:shd w:val="clear" w:color="auto" w:fill="FFFFFF"/>
            <w:tcMar>
              <w:top w:w="0" w:type="dxa"/>
              <w:left w:w="0" w:type="dxa"/>
              <w:bottom w:w="0" w:type="dxa"/>
              <w:right w:w="0" w:type="dxa"/>
            </w:tcMar>
          </w:tcPr>
          <w:p w14:paraId="5C9E570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22</w:t>
            </w:r>
          </w:p>
        </w:tc>
        <w:tc>
          <w:tcPr>
            <w:tcW w:w="0" w:type="auto"/>
            <w:shd w:val="clear" w:color="auto" w:fill="FFFFFF"/>
            <w:tcMar>
              <w:top w:w="0" w:type="dxa"/>
              <w:left w:w="0" w:type="dxa"/>
              <w:bottom w:w="0" w:type="dxa"/>
              <w:right w:w="0" w:type="dxa"/>
            </w:tcMar>
          </w:tcPr>
          <w:p w14:paraId="417E494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all analytic inputs (such as values, ranges, references) including uncertainty or distributional assumptions.</w:t>
            </w:r>
          </w:p>
        </w:tc>
        <w:tc>
          <w:tcPr>
            <w:tcW w:w="0" w:type="auto"/>
            <w:tcBorders>
              <w:right w:val="single" w:sz="8" w:space="0" w:color="000000"/>
            </w:tcBorders>
            <w:shd w:val="clear" w:color="auto" w:fill="FFFFFF"/>
            <w:tcMar>
              <w:top w:w="0" w:type="dxa"/>
              <w:left w:w="0" w:type="dxa"/>
              <w:bottom w:w="0" w:type="dxa"/>
              <w:right w:w="0" w:type="dxa"/>
            </w:tcMar>
          </w:tcPr>
          <w:p w14:paraId="24CE853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Results, Table 1</w:t>
            </w:r>
          </w:p>
        </w:tc>
      </w:tr>
      <w:tr w:rsidR="00D9416A" w:rsidRPr="00D9416A" w14:paraId="1E873749"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CF2F7F"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Summary of main results</w:t>
            </w:r>
          </w:p>
        </w:tc>
        <w:tc>
          <w:tcPr>
            <w:tcW w:w="0" w:type="auto"/>
            <w:shd w:val="clear" w:color="auto" w:fill="FFFFFF"/>
            <w:tcMar>
              <w:top w:w="0" w:type="dxa"/>
              <w:left w:w="0" w:type="dxa"/>
              <w:bottom w:w="0" w:type="dxa"/>
              <w:right w:w="0" w:type="dxa"/>
            </w:tcMar>
          </w:tcPr>
          <w:p w14:paraId="385DEA3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23</w:t>
            </w:r>
          </w:p>
        </w:tc>
        <w:tc>
          <w:tcPr>
            <w:tcW w:w="0" w:type="auto"/>
            <w:shd w:val="clear" w:color="auto" w:fill="FFFFFF"/>
            <w:tcMar>
              <w:top w:w="0" w:type="dxa"/>
              <w:left w:w="0" w:type="dxa"/>
              <w:bottom w:w="0" w:type="dxa"/>
              <w:right w:w="0" w:type="dxa"/>
            </w:tcMar>
          </w:tcPr>
          <w:p w14:paraId="05EDFF1E"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the mean values for the main categories of costs and outcomes of interest and summarise them in the most appropriate overall measure.</w:t>
            </w:r>
          </w:p>
        </w:tc>
        <w:tc>
          <w:tcPr>
            <w:tcW w:w="0" w:type="auto"/>
            <w:tcBorders>
              <w:right w:val="single" w:sz="8" w:space="0" w:color="000000"/>
            </w:tcBorders>
            <w:shd w:val="clear" w:color="auto" w:fill="FFFFFF"/>
            <w:tcMar>
              <w:top w:w="0" w:type="dxa"/>
              <w:left w:w="0" w:type="dxa"/>
              <w:bottom w:w="0" w:type="dxa"/>
              <w:right w:w="0" w:type="dxa"/>
            </w:tcMar>
          </w:tcPr>
          <w:p w14:paraId="1660E6E9"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Results, first paragraph</w:t>
            </w:r>
          </w:p>
        </w:tc>
      </w:tr>
      <w:tr w:rsidR="00D9416A" w:rsidRPr="00D9416A" w14:paraId="647D82C3"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460BFA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Effect of uncertainty</w:t>
            </w:r>
          </w:p>
        </w:tc>
        <w:tc>
          <w:tcPr>
            <w:tcW w:w="0" w:type="auto"/>
            <w:shd w:val="clear" w:color="auto" w:fill="FFFFFF"/>
            <w:tcMar>
              <w:top w:w="0" w:type="dxa"/>
              <w:left w:w="0" w:type="dxa"/>
              <w:bottom w:w="0" w:type="dxa"/>
              <w:right w:w="0" w:type="dxa"/>
            </w:tcMar>
          </w:tcPr>
          <w:p w14:paraId="4EA5B5EC"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24</w:t>
            </w:r>
          </w:p>
        </w:tc>
        <w:tc>
          <w:tcPr>
            <w:tcW w:w="0" w:type="auto"/>
            <w:shd w:val="clear" w:color="auto" w:fill="FFFFFF"/>
            <w:tcMar>
              <w:top w:w="0" w:type="dxa"/>
              <w:left w:w="0" w:type="dxa"/>
              <w:bottom w:w="0" w:type="dxa"/>
              <w:right w:w="0" w:type="dxa"/>
            </w:tcMar>
          </w:tcPr>
          <w:p w14:paraId="4640FE6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how uncertainty about analytic judgments, inputs, or projections affect findings. Report the effect of choice of discount rate and time horizon, if applicable.</w:t>
            </w:r>
          </w:p>
        </w:tc>
        <w:tc>
          <w:tcPr>
            <w:tcW w:w="0" w:type="auto"/>
            <w:tcBorders>
              <w:right w:val="single" w:sz="8" w:space="0" w:color="000000"/>
            </w:tcBorders>
            <w:shd w:val="clear" w:color="auto" w:fill="FFFFFF"/>
            <w:tcMar>
              <w:top w:w="0" w:type="dxa"/>
              <w:left w:w="0" w:type="dxa"/>
              <w:bottom w:w="0" w:type="dxa"/>
              <w:right w:w="0" w:type="dxa"/>
            </w:tcMar>
          </w:tcPr>
          <w:p w14:paraId="466D26FD"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Results, second to last paragraph</w:t>
            </w:r>
          </w:p>
        </w:tc>
      </w:tr>
      <w:tr w:rsidR="00D9416A" w:rsidRPr="00D9416A" w14:paraId="5D409E8A"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E0E5E4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Effect of engagement with patients and others affected by the study</w:t>
            </w:r>
          </w:p>
        </w:tc>
        <w:tc>
          <w:tcPr>
            <w:tcW w:w="0" w:type="auto"/>
            <w:shd w:val="clear" w:color="auto" w:fill="FFFFFF"/>
            <w:tcMar>
              <w:top w:w="0" w:type="dxa"/>
              <w:left w:w="0" w:type="dxa"/>
              <w:bottom w:w="0" w:type="dxa"/>
              <w:right w:w="0" w:type="dxa"/>
            </w:tcMar>
          </w:tcPr>
          <w:p w14:paraId="4844027E"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25</w:t>
            </w:r>
          </w:p>
        </w:tc>
        <w:tc>
          <w:tcPr>
            <w:tcW w:w="0" w:type="auto"/>
            <w:shd w:val="clear" w:color="auto" w:fill="FFFFFF"/>
            <w:tcMar>
              <w:top w:w="0" w:type="dxa"/>
              <w:left w:w="0" w:type="dxa"/>
              <w:bottom w:w="0" w:type="dxa"/>
              <w:right w:w="0" w:type="dxa"/>
            </w:tcMar>
          </w:tcPr>
          <w:p w14:paraId="74206BCB"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on any difference patient/service recipient, general public, community, or stakeholder involvement made to the approach or findings of the study</w:t>
            </w:r>
          </w:p>
        </w:tc>
        <w:tc>
          <w:tcPr>
            <w:tcW w:w="0" w:type="auto"/>
            <w:tcBorders>
              <w:right w:val="single" w:sz="8" w:space="0" w:color="000000"/>
            </w:tcBorders>
            <w:shd w:val="clear" w:color="auto" w:fill="FFFFFF"/>
            <w:tcMar>
              <w:top w:w="0" w:type="dxa"/>
              <w:left w:w="0" w:type="dxa"/>
              <w:bottom w:w="0" w:type="dxa"/>
              <w:right w:w="0" w:type="dxa"/>
            </w:tcMar>
          </w:tcPr>
          <w:p w14:paraId="1AD44AA7"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Not reported</w:t>
            </w:r>
          </w:p>
        </w:tc>
      </w:tr>
      <w:tr w:rsidR="00D9416A" w:rsidRPr="00D9416A" w14:paraId="37C60C57" w14:textId="77777777" w:rsidTr="00CB05C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30F04F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Discussion</w:t>
            </w:r>
          </w:p>
        </w:tc>
        <w:tc>
          <w:tcPr>
            <w:tcW w:w="0" w:type="auto"/>
            <w:shd w:val="clear" w:color="auto" w:fill="FFFFCC"/>
            <w:tcMar>
              <w:top w:w="0" w:type="dxa"/>
              <w:left w:w="0" w:type="dxa"/>
              <w:bottom w:w="0" w:type="dxa"/>
              <w:right w:w="0" w:type="dxa"/>
            </w:tcMar>
          </w:tcPr>
          <w:p w14:paraId="423EB36D"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7A7636CF"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242197B7"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4823D81D"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D43CAC"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Study findings, limitations, generalisability, and current knowledge</w:t>
            </w:r>
          </w:p>
        </w:tc>
        <w:tc>
          <w:tcPr>
            <w:tcW w:w="0" w:type="auto"/>
            <w:shd w:val="clear" w:color="auto" w:fill="FFFFFF"/>
            <w:tcMar>
              <w:top w:w="0" w:type="dxa"/>
              <w:left w:w="0" w:type="dxa"/>
              <w:bottom w:w="0" w:type="dxa"/>
              <w:right w:w="0" w:type="dxa"/>
            </w:tcMar>
          </w:tcPr>
          <w:p w14:paraId="40286EDF"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26</w:t>
            </w:r>
          </w:p>
        </w:tc>
        <w:tc>
          <w:tcPr>
            <w:tcW w:w="0" w:type="auto"/>
            <w:shd w:val="clear" w:color="auto" w:fill="FFFFFF"/>
            <w:tcMar>
              <w:top w:w="0" w:type="dxa"/>
              <w:left w:w="0" w:type="dxa"/>
              <w:bottom w:w="0" w:type="dxa"/>
              <w:right w:w="0" w:type="dxa"/>
            </w:tcMar>
          </w:tcPr>
          <w:p w14:paraId="6A32396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key findings, limitations, ethical or equity considerations not captured, and how these could affect patients, policy, or practice.</w:t>
            </w:r>
          </w:p>
        </w:tc>
        <w:tc>
          <w:tcPr>
            <w:tcW w:w="0" w:type="auto"/>
            <w:tcBorders>
              <w:right w:val="single" w:sz="8" w:space="0" w:color="000000"/>
            </w:tcBorders>
            <w:shd w:val="clear" w:color="auto" w:fill="FFFFFF"/>
            <w:tcMar>
              <w:top w:w="0" w:type="dxa"/>
              <w:left w:w="0" w:type="dxa"/>
              <w:bottom w:w="0" w:type="dxa"/>
              <w:right w:w="0" w:type="dxa"/>
            </w:tcMar>
          </w:tcPr>
          <w:p w14:paraId="23D1F154"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Discussion</w:t>
            </w:r>
          </w:p>
        </w:tc>
      </w:tr>
      <w:tr w:rsidR="00D9416A" w:rsidRPr="00D9416A" w14:paraId="550E71C0" w14:textId="77777777" w:rsidTr="00CB05C3">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226BE02"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Other relevant information</w:t>
            </w:r>
          </w:p>
        </w:tc>
        <w:tc>
          <w:tcPr>
            <w:tcW w:w="0" w:type="auto"/>
            <w:shd w:val="clear" w:color="auto" w:fill="FFFFCC"/>
            <w:tcMar>
              <w:top w:w="0" w:type="dxa"/>
              <w:left w:w="0" w:type="dxa"/>
              <w:bottom w:w="0" w:type="dxa"/>
              <w:right w:w="0" w:type="dxa"/>
            </w:tcMar>
          </w:tcPr>
          <w:p w14:paraId="435414AA"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c>
          <w:tcPr>
            <w:tcW w:w="0" w:type="auto"/>
            <w:shd w:val="clear" w:color="auto" w:fill="FFFFCC"/>
            <w:tcMar>
              <w:top w:w="0" w:type="dxa"/>
              <w:left w:w="0" w:type="dxa"/>
              <w:bottom w:w="0" w:type="dxa"/>
              <w:right w:w="0" w:type="dxa"/>
            </w:tcMar>
          </w:tcPr>
          <w:p w14:paraId="0BA9919B" w14:textId="77777777" w:rsidR="00D9416A" w:rsidRPr="00D9416A" w:rsidRDefault="00D9416A" w:rsidP="00CB05C3">
            <w:pPr>
              <w:spacing w:before="100" w:after="100"/>
              <w:ind w:left="100" w:right="100"/>
              <w:rPr>
                <w:rFonts w:ascii="Times New Roman" w:hAnsi="Times New Roman" w:cs="Times New Roman"/>
                <w:sz w:val="22"/>
                <w:szCs w:val="22"/>
              </w:rPr>
            </w:pPr>
          </w:p>
        </w:tc>
        <w:tc>
          <w:tcPr>
            <w:tcW w:w="0" w:type="auto"/>
            <w:tcBorders>
              <w:right w:val="single" w:sz="8" w:space="0" w:color="000000"/>
            </w:tcBorders>
            <w:shd w:val="clear" w:color="auto" w:fill="FFFFCC"/>
            <w:tcMar>
              <w:top w:w="0" w:type="dxa"/>
              <w:left w:w="0" w:type="dxa"/>
              <w:bottom w:w="0" w:type="dxa"/>
              <w:right w:w="0" w:type="dxa"/>
            </w:tcMar>
          </w:tcPr>
          <w:p w14:paraId="0343A49B" w14:textId="77777777" w:rsidR="00D9416A" w:rsidRPr="00D9416A" w:rsidRDefault="00D9416A" w:rsidP="00CB05C3">
            <w:pPr>
              <w:spacing w:before="100" w:after="100"/>
              <w:ind w:left="100" w:right="100"/>
              <w:jc w:val="center"/>
              <w:rPr>
                <w:rFonts w:ascii="Times New Roman" w:hAnsi="Times New Roman" w:cs="Times New Roman"/>
                <w:sz w:val="22"/>
                <w:szCs w:val="22"/>
              </w:rPr>
            </w:pPr>
          </w:p>
        </w:tc>
      </w:tr>
      <w:tr w:rsidR="00D9416A" w:rsidRPr="00D9416A" w14:paraId="71BFF85B" w14:textId="77777777" w:rsidTr="00CB05C3">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62EA95F"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Source of funding</w:t>
            </w:r>
          </w:p>
        </w:tc>
        <w:tc>
          <w:tcPr>
            <w:tcW w:w="0" w:type="auto"/>
            <w:shd w:val="clear" w:color="auto" w:fill="FFFFFF"/>
            <w:tcMar>
              <w:top w:w="0" w:type="dxa"/>
              <w:left w:w="0" w:type="dxa"/>
              <w:bottom w:w="0" w:type="dxa"/>
              <w:right w:w="0" w:type="dxa"/>
            </w:tcMar>
          </w:tcPr>
          <w:p w14:paraId="67246B17"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27</w:t>
            </w:r>
          </w:p>
        </w:tc>
        <w:tc>
          <w:tcPr>
            <w:tcW w:w="0" w:type="auto"/>
            <w:shd w:val="clear" w:color="auto" w:fill="FFFFFF"/>
            <w:tcMar>
              <w:top w:w="0" w:type="dxa"/>
              <w:left w:w="0" w:type="dxa"/>
              <w:bottom w:w="0" w:type="dxa"/>
              <w:right w:w="0" w:type="dxa"/>
            </w:tcMar>
          </w:tcPr>
          <w:p w14:paraId="7B2D396D"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Describe how the study was funded and any role of the funder in the identification, design, conduct, and reporting of the analysis</w:t>
            </w:r>
          </w:p>
        </w:tc>
        <w:tc>
          <w:tcPr>
            <w:tcW w:w="0" w:type="auto"/>
            <w:tcBorders>
              <w:right w:val="single" w:sz="8" w:space="0" w:color="000000"/>
            </w:tcBorders>
            <w:shd w:val="clear" w:color="auto" w:fill="FFFFFF"/>
            <w:tcMar>
              <w:top w:w="0" w:type="dxa"/>
              <w:left w:w="0" w:type="dxa"/>
              <w:bottom w:w="0" w:type="dxa"/>
              <w:right w:w="0" w:type="dxa"/>
            </w:tcMar>
          </w:tcPr>
          <w:p w14:paraId="11011644"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Title Page</w:t>
            </w:r>
          </w:p>
        </w:tc>
      </w:tr>
      <w:tr w:rsidR="00D9416A" w:rsidRPr="00D9416A" w14:paraId="23E4C7A9" w14:textId="77777777" w:rsidTr="00CB05C3">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6CA7AA1A"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b/>
                <w:sz w:val="22"/>
                <w:szCs w:val="22"/>
              </w:rPr>
              <w:t>Conflicts of interest</w:t>
            </w:r>
          </w:p>
        </w:tc>
        <w:tc>
          <w:tcPr>
            <w:tcW w:w="0" w:type="auto"/>
            <w:tcBorders>
              <w:bottom w:val="single" w:sz="8" w:space="0" w:color="000000"/>
            </w:tcBorders>
            <w:shd w:val="clear" w:color="auto" w:fill="FFFFFF"/>
            <w:tcMar>
              <w:top w:w="0" w:type="dxa"/>
              <w:left w:w="0" w:type="dxa"/>
              <w:bottom w:w="0" w:type="dxa"/>
              <w:right w:w="0" w:type="dxa"/>
            </w:tcMar>
          </w:tcPr>
          <w:p w14:paraId="773588A0"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28</w:t>
            </w:r>
          </w:p>
        </w:tc>
        <w:tc>
          <w:tcPr>
            <w:tcW w:w="0" w:type="auto"/>
            <w:tcBorders>
              <w:bottom w:val="single" w:sz="8" w:space="0" w:color="000000"/>
            </w:tcBorders>
            <w:shd w:val="clear" w:color="auto" w:fill="FFFFFF"/>
            <w:tcMar>
              <w:top w:w="0" w:type="dxa"/>
              <w:left w:w="0" w:type="dxa"/>
              <w:bottom w:w="0" w:type="dxa"/>
              <w:right w:w="0" w:type="dxa"/>
            </w:tcMar>
          </w:tcPr>
          <w:p w14:paraId="5BC75297" w14:textId="77777777" w:rsidR="00D9416A" w:rsidRPr="00D9416A" w:rsidRDefault="00D9416A" w:rsidP="00CB05C3">
            <w:pPr>
              <w:spacing w:before="100" w:after="100"/>
              <w:ind w:left="100" w:right="100"/>
              <w:rPr>
                <w:rFonts w:ascii="Times New Roman" w:hAnsi="Times New Roman" w:cs="Times New Roman"/>
                <w:sz w:val="22"/>
                <w:szCs w:val="22"/>
              </w:rPr>
            </w:pPr>
            <w:r w:rsidRPr="00D9416A">
              <w:rPr>
                <w:rFonts w:ascii="Times New Roman" w:eastAsia="DejaVu Sans" w:hAnsi="Times New Roman" w:cs="Times New Roman"/>
                <w:sz w:val="22"/>
                <w:szCs w:val="22"/>
              </w:rPr>
              <w:t>Report authors conflicts of interest according to journal or International Committee of Medical Journal Editors requirements.</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08B85D6D" w14:textId="77777777" w:rsidR="00D9416A" w:rsidRPr="00D9416A" w:rsidRDefault="00D9416A" w:rsidP="00CB05C3">
            <w:pPr>
              <w:spacing w:before="100" w:after="100"/>
              <w:ind w:left="100" w:right="100"/>
              <w:jc w:val="center"/>
              <w:rPr>
                <w:rFonts w:ascii="Times New Roman" w:hAnsi="Times New Roman" w:cs="Times New Roman"/>
                <w:sz w:val="22"/>
                <w:szCs w:val="22"/>
              </w:rPr>
            </w:pPr>
            <w:r w:rsidRPr="00D9416A">
              <w:rPr>
                <w:rFonts w:ascii="Times New Roman" w:eastAsia="DejaVu Sans" w:hAnsi="Times New Roman" w:cs="Times New Roman"/>
                <w:sz w:val="22"/>
                <w:szCs w:val="22"/>
              </w:rPr>
              <w:t>Title Page</w:t>
            </w:r>
          </w:p>
        </w:tc>
      </w:tr>
    </w:tbl>
    <w:p w14:paraId="1ACC668E" w14:textId="77777777" w:rsidR="00D9416A" w:rsidRPr="00D9416A" w:rsidRDefault="00D9416A" w:rsidP="00D9416A">
      <w:pPr>
        <w:spacing w:line="480" w:lineRule="auto"/>
        <w:rPr>
          <w:rFonts w:ascii="Times New Roman" w:hAnsi="Times New Roman" w:cs="Times New Roman"/>
          <w:b/>
          <w:sz w:val="22"/>
          <w:szCs w:val="22"/>
          <w:lang w:bidi="en-US"/>
        </w:rPr>
      </w:pPr>
    </w:p>
    <w:p w14:paraId="2E8705FE" w14:textId="77777777" w:rsidR="00D9416A" w:rsidRPr="00D9416A" w:rsidRDefault="00D9416A" w:rsidP="00D9416A">
      <w:pPr>
        <w:spacing w:line="480" w:lineRule="auto"/>
        <w:rPr>
          <w:rFonts w:ascii="Times New Roman" w:hAnsi="Times New Roman" w:cs="Times New Roman"/>
          <w:b/>
          <w:sz w:val="22"/>
          <w:szCs w:val="22"/>
          <w:lang w:bidi="en-US"/>
        </w:rPr>
      </w:pPr>
    </w:p>
    <w:p w14:paraId="0CFDA1CA" w14:textId="77777777" w:rsidR="00D9416A" w:rsidRPr="00D9416A" w:rsidRDefault="00D9416A" w:rsidP="00D9416A">
      <w:pPr>
        <w:rPr>
          <w:rFonts w:ascii="Times New Roman" w:hAnsi="Times New Roman" w:cs="Times New Roman"/>
          <w:b/>
          <w:sz w:val="22"/>
          <w:szCs w:val="22"/>
          <w:lang w:bidi="en-US"/>
        </w:rPr>
      </w:pPr>
      <w:r w:rsidRPr="00D9416A">
        <w:rPr>
          <w:rFonts w:ascii="Times New Roman" w:hAnsi="Times New Roman" w:cs="Times New Roman"/>
          <w:b/>
          <w:sz w:val="22"/>
          <w:szCs w:val="22"/>
          <w:lang w:bidi="en-US"/>
        </w:rPr>
        <w:br w:type="page"/>
      </w:r>
    </w:p>
    <w:p w14:paraId="793484EA" w14:textId="77777777" w:rsidR="00D9416A" w:rsidRPr="00D9416A" w:rsidRDefault="00D9416A" w:rsidP="00D9416A">
      <w:pPr>
        <w:rPr>
          <w:rFonts w:ascii="Times New Roman" w:hAnsi="Times New Roman" w:cs="Times New Roman"/>
          <w:b/>
          <w:sz w:val="22"/>
          <w:szCs w:val="22"/>
          <w:lang w:bidi="en-US"/>
        </w:rPr>
      </w:pPr>
      <w:r w:rsidRPr="00D9416A">
        <w:rPr>
          <w:rFonts w:ascii="Times New Roman" w:hAnsi="Times New Roman" w:cs="Times New Roman"/>
          <w:b/>
          <w:sz w:val="22"/>
          <w:szCs w:val="22"/>
          <w:lang w:bidi="en-US"/>
        </w:rPr>
        <w:lastRenderedPageBreak/>
        <w:t>Supplement S2. Impact Inventory</w:t>
      </w:r>
    </w:p>
    <w:tbl>
      <w:tblPr>
        <w:tblW w:w="9600" w:type="dxa"/>
        <w:tblLook w:val="04A0" w:firstRow="1" w:lastRow="0" w:firstColumn="1" w:lastColumn="0" w:noHBand="0" w:noVBand="1"/>
      </w:tblPr>
      <w:tblGrid>
        <w:gridCol w:w="3276"/>
        <w:gridCol w:w="4826"/>
        <w:gridCol w:w="1498"/>
      </w:tblGrid>
      <w:tr w:rsidR="00D9416A" w:rsidRPr="00D9416A" w14:paraId="1BA66E3D" w14:textId="77777777" w:rsidTr="00CB05C3">
        <w:trPr>
          <w:trHeight w:val="300"/>
        </w:trPr>
        <w:tc>
          <w:tcPr>
            <w:tcW w:w="3276" w:type="dxa"/>
            <w:tcBorders>
              <w:top w:val="nil"/>
              <w:left w:val="nil"/>
              <w:bottom w:val="single" w:sz="4" w:space="0" w:color="auto"/>
              <w:right w:val="nil"/>
            </w:tcBorders>
            <w:shd w:val="clear" w:color="000000" w:fill="FFFFFF"/>
            <w:noWrap/>
            <w:vAlign w:val="center"/>
            <w:hideMark/>
          </w:tcPr>
          <w:p w14:paraId="6EDC1099" w14:textId="77777777" w:rsidR="00D9416A" w:rsidRPr="00D9416A" w:rsidRDefault="00D9416A" w:rsidP="00CB05C3">
            <w:pPr>
              <w:rPr>
                <w:rFonts w:ascii="Times New Roman" w:eastAsia="Times New Roman" w:hAnsi="Times New Roman" w:cs="Times New Roman"/>
                <w:kern w:val="0"/>
                <w:sz w:val="22"/>
                <w:szCs w:val="22"/>
                <w14:ligatures w14:val="none"/>
              </w:rPr>
            </w:pPr>
          </w:p>
        </w:tc>
        <w:tc>
          <w:tcPr>
            <w:tcW w:w="4826" w:type="dxa"/>
            <w:tcBorders>
              <w:top w:val="nil"/>
              <w:left w:val="nil"/>
              <w:bottom w:val="single" w:sz="4" w:space="0" w:color="auto"/>
              <w:right w:val="nil"/>
            </w:tcBorders>
            <w:shd w:val="clear" w:color="000000" w:fill="FFFFFF"/>
            <w:vAlign w:val="center"/>
            <w:hideMark/>
          </w:tcPr>
          <w:p w14:paraId="0B75A6B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1498" w:type="dxa"/>
            <w:tcBorders>
              <w:top w:val="nil"/>
              <w:left w:val="nil"/>
              <w:bottom w:val="single" w:sz="4" w:space="0" w:color="auto"/>
              <w:right w:val="nil"/>
            </w:tcBorders>
            <w:shd w:val="clear" w:color="000000" w:fill="FFFFFF"/>
            <w:vAlign w:val="center"/>
            <w:hideMark/>
          </w:tcPr>
          <w:p w14:paraId="3B894199"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6D61F435" w14:textId="77777777" w:rsidTr="00CB05C3">
        <w:trPr>
          <w:trHeight w:val="90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5ADFE3F7"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Sector</w:t>
            </w:r>
          </w:p>
        </w:tc>
        <w:tc>
          <w:tcPr>
            <w:tcW w:w="4826" w:type="dxa"/>
            <w:tcBorders>
              <w:top w:val="nil"/>
              <w:left w:val="nil"/>
              <w:bottom w:val="single" w:sz="4" w:space="0" w:color="auto"/>
              <w:right w:val="single" w:sz="4" w:space="0" w:color="auto"/>
            </w:tcBorders>
            <w:shd w:val="clear" w:color="000000" w:fill="FFFFFF"/>
            <w:vAlign w:val="center"/>
            <w:hideMark/>
          </w:tcPr>
          <w:p w14:paraId="5A395159"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Type of impact (list category within each sector with unit of measure if relevant.</w:t>
            </w:r>
          </w:p>
        </w:tc>
        <w:tc>
          <w:tcPr>
            <w:tcW w:w="1498" w:type="dxa"/>
            <w:tcBorders>
              <w:top w:val="nil"/>
              <w:left w:val="nil"/>
              <w:bottom w:val="single" w:sz="4" w:space="0" w:color="auto"/>
              <w:right w:val="single" w:sz="4" w:space="0" w:color="auto"/>
            </w:tcBorders>
            <w:shd w:val="clear" w:color="000000" w:fill="FFFFFF"/>
            <w:vAlign w:val="center"/>
            <w:hideMark/>
          </w:tcPr>
          <w:p w14:paraId="63F29C45"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Perspective: Health Care Sector</w:t>
            </w:r>
          </w:p>
        </w:tc>
      </w:tr>
      <w:tr w:rsidR="00D9416A" w:rsidRPr="00D9416A" w14:paraId="19C70DC1" w14:textId="77777777" w:rsidTr="00CB05C3">
        <w:trPr>
          <w:trHeight w:val="300"/>
        </w:trPr>
        <w:tc>
          <w:tcPr>
            <w:tcW w:w="3276" w:type="dxa"/>
            <w:tcBorders>
              <w:top w:val="nil"/>
              <w:left w:val="single" w:sz="4" w:space="0" w:color="auto"/>
              <w:bottom w:val="single" w:sz="4" w:space="0" w:color="auto"/>
              <w:right w:val="nil"/>
            </w:tcBorders>
            <w:shd w:val="clear" w:color="000000" w:fill="D9D9D9"/>
            <w:noWrap/>
            <w:vAlign w:val="center"/>
            <w:hideMark/>
          </w:tcPr>
          <w:p w14:paraId="61E279BB"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Formal Health Care Sector</w:t>
            </w:r>
          </w:p>
        </w:tc>
        <w:tc>
          <w:tcPr>
            <w:tcW w:w="4826" w:type="dxa"/>
            <w:tcBorders>
              <w:top w:val="nil"/>
              <w:left w:val="nil"/>
              <w:bottom w:val="single" w:sz="4" w:space="0" w:color="auto"/>
              <w:right w:val="nil"/>
            </w:tcBorders>
            <w:shd w:val="clear" w:color="000000" w:fill="D9D9D9"/>
            <w:vAlign w:val="center"/>
            <w:hideMark/>
          </w:tcPr>
          <w:p w14:paraId="4864EB1A"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1498" w:type="dxa"/>
            <w:tcBorders>
              <w:top w:val="nil"/>
              <w:left w:val="nil"/>
              <w:bottom w:val="single" w:sz="4" w:space="0" w:color="auto"/>
              <w:right w:val="nil"/>
            </w:tcBorders>
            <w:shd w:val="clear" w:color="000000" w:fill="D9D9D9"/>
            <w:vAlign w:val="center"/>
            <w:hideMark/>
          </w:tcPr>
          <w:p w14:paraId="629C1B10"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43925D9C" w14:textId="77777777" w:rsidTr="00CB05C3">
        <w:trPr>
          <w:trHeight w:val="300"/>
        </w:trPr>
        <w:tc>
          <w:tcPr>
            <w:tcW w:w="3276" w:type="dxa"/>
            <w:tcBorders>
              <w:top w:val="nil"/>
              <w:left w:val="single" w:sz="4" w:space="0" w:color="auto"/>
              <w:bottom w:val="nil"/>
              <w:right w:val="single" w:sz="4" w:space="0" w:color="auto"/>
            </w:tcBorders>
            <w:shd w:val="clear" w:color="000000" w:fill="FFFFFF"/>
            <w:noWrap/>
            <w:vAlign w:val="center"/>
            <w:hideMark/>
          </w:tcPr>
          <w:p w14:paraId="04676FE5"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Health</w:t>
            </w:r>
          </w:p>
        </w:tc>
        <w:tc>
          <w:tcPr>
            <w:tcW w:w="4826" w:type="dxa"/>
            <w:tcBorders>
              <w:top w:val="nil"/>
              <w:left w:val="nil"/>
              <w:bottom w:val="single" w:sz="4" w:space="0" w:color="auto"/>
              <w:right w:val="single" w:sz="4" w:space="0" w:color="auto"/>
            </w:tcBorders>
            <w:shd w:val="clear" w:color="000000" w:fill="FFFFFF"/>
            <w:vAlign w:val="center"/>
            <w:hideMark/>
          </w:tcPr>
          <w:p w14:paraId="0F3C624F"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Health outcomes (effects)</w:t>
            </w:r>
          </w:p>
        </w:tc>
        <w:tc>
          <w:tcPr>
            <w:tcW w:w="1498" w:type="dxa"/>
            <w:tcBorders>
              <w:top w:val="nil"/>
              <w:left w:val="nil"/>
              <w:bottom w:val="single" w:sz="4" w:space="0" w:color="auto"/>
              <w:right w:val="single" w:sz="4" w:space="0" w:color="auto"/>
            </w:tcBorders>
            <w:shd w:val="clear" w:color="000000" w:fill="FFFFFF"/>
            <w:vAlign w:val="center"/>
            <w:hideMark/>
          </w:tcPr>
          <w:p w14:paraId="1A943A6E"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454C1DE1"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611E06BB"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57F524B3"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Longevity effects</w:t>
            </w:r>
          </w:p>
        </w:tc>
        <w:tc>
          <w:tcPr>
            <w:tcW w:w="1498" w:type="dxa"/>
            <w:tcBorders>
              <w:top w:val="nil"/>
              <w:left w:val="nil"/>
              <w:bottom w:val="single" w:sz="4" w:space="0" w:color="auto"/>
              <w:right w:val="single" w:sz="4" w:space="0" w:color="auto"/>
            </w:tcBorders>
            <w:shd w:val="clear" w:color="000000" w:fill="FFFFFF"/>
            <w:vAlign w:val="center"/>
            <w:hideMark/>
          </w:tcPr>
          <w:p w14:paraId="728DCF06"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x</w:t>
            </w:r>
          </w:p>
        </w:tc>
      </w:tr>
      <w:tr w:rsidR="00D9416A" w:rsidRPr="00D9416A" w14:paraId="6FEA400C"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14230E97"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1FF38622"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Health-related quality-of-life effects</w:t>
            </w:r>
          </w:p>
        </w:tc>
        <w:tc>
          <w:tcPr>
            <w:tcW w:w="1498" w:type="dxa"/>
            <w:tcBorders>
              <w:top w:val="nil"/>
              <w:left w:val="nil"/>
              <w:bottom w:val="single" w:sz="4" w:space="0" w:color="auto"/>
              <w:right w:val="single" w:sz="4" w:space="0" w:color="auto"/>
            </w:tcBorders>
            <w:shd w:val="clear" w:color="000000" w:fill="FFFFFF"/>
            <w:vAlign w:val="center"/>
            <w:hideMark/>
          </w:tcPr>
          <w:p w14:paraId="5C6D8092"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x</w:t>
            </w:r>
          </w:p>
        </w:tc>
      </w:tr>
      <w:tr w:rsidR="00D9416A" w:rsidRPr="00D9416A" w14:paraId="587F5DBD" w14:textId="77777777" w:rsidTr="00CB05C3">
        <w:trPr>
          <w:trHeight w:val="600"/>
        </w:trPr>
        <w:tc>
          <w:tcPr>
            <w:tcW w:w="3276" w:type="dxa"/>
            <w:tcBorders>
              <w:top w:val="nil"/>
              <w:left w:val="single" w:sz="4" w:space="0" w:color="auto"/>
              <w:bottom w:val="nil"/>
              <w:right w:val="single" w:sz="4" w:space="0" w:color="auto"/>
            </w:tcBorders>
            <w:shd w:val="clear" w:color="000000" w:fill="FFFFFF"/>
            <w:noWrap/>
            <w:vAlign w:val="center"/>
            <w:hideMark/>
          </w:tcPr>
          <w:p w14:paraId="08A7F27E"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2E0E6F11"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Other health effects (e.g., adverse events and secondary transmission of infection)</w:t>
            </w:r>
          </w:p>
        </w:tc>
        <w:tc>
          <w:tcPr>
            <w:tcW w:w="1498" w:type="dxa"/>
            <w:tcBorders>
              <w:top w:val="nil"/>
              <w:left w:val="nil"/>
              <w:bottom w:val="single" w:sz="4" w:space="0" w:color="auto"/>
              <w:right w:val="single" w:sz="4" w:space="0" w:color="auto"/>
            </w:tcBorders>
            <w:shd w:val="clear" w:color="000000" w:fill="FFFFFF"/>
            <w:vAlign w:val="center"/>
            <w:hideMark/>
          </w:tcPr>
          <w:p w14:paraId="7AC7A7DA"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38ABA469" w14:textId="77777777" w:rsidTr="00CB05C3">
        <w:trPr>
          <w:trHeight w:val="300"/>
        </w:trPr>
        <w:tc>
          <w:tcPr>
            <w:tcW w:w="3276" w:type="dxa"/>
            <w:tcBorders>
              <w:top w:val="nil"/>
              <w:left w:val="single" w:sz="4" w:space="0" w:color="auto"/>
              <w:bottom w:val="nil"/>
              <w:right w:val="single" w:sz="4" w:space="0" w:color="auto"/>
            </w:tcBorders>
            <w:shd w:val="clear" w:color="000000" w:fill="FFFFFF"/>
            <w:noWrap/>
            <w:vAlign w:val="center"/>
            <w:hideMark/>
          </w:tcPr>
          <w:p w14:paraId="293C0C21"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7FAA1A1D"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Medical costs</w:t>
            </w:r>
          </w:p>
        </w:tc>
        <w:tc>
          <w:tcPr>
            <w:tcW w:w="1498" w:type="dxa"/>
            <w:tcBorders>
              <w:top w:val="nil"/>
              <w:left w:val="nil"/>
              <w:bottom w:val="single" w:sz="4" w:space="0" w:color="auto"/>
              <w:right w:val="single" w:sz="4" w:space="0" w:color="auto"/>
            </w:tcBorders>
            <w:shd w:val="clear" w:color="000000" w:fill="FFFFFF"/>
            <w:vAlign w:val="center"/>
            <w:hideMark/>
          </w:tcPr>
          <w:p w14:paraId="3BB8B95B"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0FBCA70E"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2BCF2D82"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46119424"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Paid for by third-party payers</w:t>
            </w:r>
          </w:p>
        </w:tc>
        <w:tc>
          <w:tcPr>
            <w:tcW w:w="1498" w:type="dxa"/>
            <w:tcBorders>
              <w:top w:val="nil"/>
              <w:left w:val="nil"/>
              <w:bottom w:val="single" w:sz="4" w:space="0" w:color="auto"/>
              <w:right w:val="single" w:sz="4" w:space="0" w:color="auto"/>
            </w:tcBorders>
            <w:shd w:val="clear" w:color="000000" w:fill="FFFFFF"/>
            <w:vAlign w:val="center"/>
            <w:hideMark/>
          </w:tcPr>
          <w:p w14:paraId="2B6D0099"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x</w:t>
            </w:r>
          </w:p>
        </w:tc>
      </w:tr>
      <w:tr w:rsidR="00D9416A" w:rsidRPr="00D9416A" w14:paraId="01C42278" w14:textId="77777777" w:rsidTr="00CB05C3">
        <w:trPr>
          <w:trHeight w:val="300"/>
        </w:trPr>
        <w:tc>
          <w:tcPr>
            <w:tcW w:w="3276" w:type="dxa"/>
            <w:tcBorders>
              <w:top w:val="nil"/>
              <w:left w:val="single" w:sz="4" w:space="0" w:color="auto"/>
              <w:bottom w:val="nil"/>
              <w:right w:val="single" w:sz="4" w:space="0" w:color="auto"/>
            </w:tcBorders>
            <w:shd w:val="clear" w:color="000000" w:fill="FFFFFF"/>
            <w:noWrap/>
            <w:vAlign w:val="center"/>
            <w:hideMark/>
          </w:tcPr>
          <w:p w14:paraId="536183C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5F092BE7"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Paid for by patients out-of-pocket</w:t>
            </w:r>
          </w:p>
        </w:tc>
        <w:tc>
          <w:tcPr>
            <w:tcW w:w="1498" w:type="dxa"/>
            <w:tcBorders>
              <w:top w:val="nil"/>
              <w:left w:val="nil"/>
              <w:bottom w:val="single" w:sz="4" w:space="0" w:color="auto"/>
              <w:right w:val="single" w:sz="4" w:space="0" w:color="auto"/>
            </w:tcBorders>
            <w:shd w:val="clear" w:color="000000" w:fill="FFFFFF"/>
            <w:vAlign w:val="center"/>
            <w:hideMark/>
          </w:tcPr>
          <w:p w14:paraId="7DE6291C"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6E8E4F2E" w14:textId="77777777" w:rsidTr="00CB05C3">
        <w:trPr>
          <w:trHeight w:val="300"/>
        </w:trPr>
        <w:tc>
          <w:tcPr>
            <w:tcW w:w="3276" w:type="dxa"/>
            <w:tcBorders>
              <w:top w:val="nil"/>
              <w:left w:val="single" w:sz="4" w:space="0" w:color="auto"/>
              <w:bottom w:val="nil"/>
              <w:right w:val="single" w:sz="4" w:space="0" w:color="auto"/>
            </w:tcBorders>
            <w:shd w:val="clear" w:color="000000" w:fill="FFFFFF"/>
            <w:noWrap/>
            <w:vAlign w:val="center"/>
            <w:hideMark/>
          </w:tcPr>
          <w:p w14:paraId="5C6AFC7B"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0F64DEF1"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Future related medical costs (payers and patients)</w:t>
            </w:r>
          </w:p>
        </w:tc>
        <w:tc>
          <w:tcPr>
            <w:tcW w:w="1498" w:type="dxa"/>
            <w:tcBorders>
              <w:top w:val="nil"/>
              <w:left w:val="nil"/>
              <w:bottom w:val="single" w:sz="4" w:space="0" w:color="auto"/>
              <w:right w:val="single" w:sz="4" w:space="0" w:color="auto"/>
            </w:tcBorders>
            <w:shd w:val="clear" w:color="000000" w:fill="FFFFFF"/>
            <w:vAlign w:val="center"/>
            <w:hideMark/>
          </w:tcPr>
          <w:p w14:paraId="2BC98F61"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71DD3B13" w14:textId="77777777" w:rsidTr="00CB05C3">
        <w:trPr>
          <w:trHeight w:val="30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64809AD5"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34C0D8A3" w14:textId="77777777" w:rsidR="00D9416A" w:rsidRPr="00D9416A" w:rsidRDefault="00D9416A" w:rsidP="00CB05C3">
            <w:pPr>
              <w:jc w:val="right"/>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Future unrelated medical costs (payers and patients)</w:t>
            </w:r>
          </w:p>
        </w:tc>
        <w:tc>
          <w:tcPr>
            <w:tcW w:w="1498" w:type="dxa"/>
            <w:tcBorders>
              <w:top w:val="nil"/>
              <w:left w:val="nil"/>
              <w:bottom w:val="single" w:sz="4" w:space="0" w:color="auto"/>
              <w:right w:val="single" w:sz="4" w:space="0" w:color="auto"/>
            </w:tcBorders>
            <w:shd w:val="clear" w:color="000000" w:fill="FFFFFF"/>
            <w:vAlign w:val="center"/>
            <w:hideMark/>
          </w:tcPr>
          <w:p w14:paraId="6543B756"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25C1319B" w14:textId="77777777" w:rsidTr="00CB05C3">
        <w:trPr>
          <w:trHeight w:val="300"/>
        </w:trPr>
        <w:tc>
          <w:tcPr>
            <w:tcW w:w="3276" w:type="dxa"/>
            <w:tcBorders>
              <w:top w:val="nil"/>
              <w:left w:val="nil"/>
              <w:bottom w:val="single" w:sz="4" w:space="0" w:color="auto"/>
              <w:right w:val="nil"/>
            </w:tcBorders>
            <w:shd w:val="clear" w:color="000000" w:fill="D9D9D9"/>
            <w:noWrap/>
            <w:vAlign w:val="center"/>
            <w:hideMark/>
          </w:tcPr>
          <w:p w14:paraId="4F304A21"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Informal Health Care Sector</w:t>
            </w:r>
          </w:p>
        </w:tc>
        <w:tc>
          <w:tcPr>
            <w:tcW w:w="4826" w:type="dxa"/>
            <w:tcBorders>
              <w:top w:val="nil"/>
              <w:left w:val="nil"/>
              <w:bottom w:val="single" w:sz="4" w:space="0" w:color="auto"/>
              <w:right w:val="nil"/>
            </w:tcBorders>
            <w:shd w:val="clear" w:color="000000" w:fill="D9D9D9"/>
            <w:vAlign w:val="center"/>
            <w:hideMark/>
          </w:tcPr>
          <w:p w14:paraId="0A98A1FE"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1498" w:type="dxa"/>
            <w:tcBorders>
              <w:top w:val="nil"/>
              <w:left w:val="nil"/>
              <w:bottom w:val="single" w:sz="4" w:space="0" w:color="auto"/>
              <w:right w:val="nil"/>
            </w:tcBorders>
            <w:shd w:val="clear" w:color="000000" w:fill="D9D9D9"/>
            <w:vAlign w:val="center"/>
            <w:hideMark/>
          </w:tcPr>
          <w:p w14:paraId="1C8B4420"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0A50896B"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7F98C0B3"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Health</w:t>
            </w:r>
          </w:p>
        </w:tc>
        <w:tc>
          <w:tcPr>
            <w:tcW w:w="4826" w:type="dxa"/>
            <w:tcBorders>
              <w:top w:val="nil"/>
              <w:left w:val="nil"/>
              <w:bottom w:val="single" w:sz="4" w:space="0" w:color="auto"/>
              <w:right w:val="single" w:sz="4" w:space="0" w:color="auto"/>
            </w:tcBorders>
            <w:shd w:val="clear" w:color="000000" w:fill="FFFFFF"/>
            <w:vAlign w:val="center"/>
            <w:hideMark/>
          </w:tcPr>
          <w:p w14:paraId="2225987A"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Patient-time costs</w:t>
            </w:r>
          </w:p>
        </w:tc>
        <w:tc>
          <w:tcPr>
            <w:tcW w:w="1498" w:type="dxa"/>
            <w:tcBorders>
              <w:top w:val="nil"/>
              <w:left w:val="nil"/>
              <w:bottom w:val="single" w:sz="4" w:space="0" w:color="auto"/>
              <w:right w:val="single" w:sz="4" w:space="0" w:color="auto"/>
            </w:tcBorders>
            <w:shd w:val="clear" w:color="000000" w:fill="FFFFFF"/>
            <w:vAlign w:val="center"/>
            <w:hideMark/>
          </w:tcPr>
          <w:p w14:paraId="17574721"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7AD826CC"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4EB48BD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7F6572E5"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Unpaid caregiver time costs</w:t>
            </w:r>
          </w:p>
        </w:tc>
        <w:tc>
          <w:tcPr>
            <w:tcW w:w="1498" w:type="dxa"/>
            <w:tcBorders>
              <w:top w:val="nil"/>
              <w:left w:val="nil"/>
              <w:bottom w:val="single" w:sz="4" w:space="0" w:color="auto"/>
              <w:right w:val="single" w:sz="4" w:space="0" w:color="auto"/>
            </w:tcBorders>
            <w:shd w:val="clear" w:color="000000" w:fill="FFFFFF"/>
            <w:vAlign w:val="center"/>
            <w:hideMark/>
          </w:tcPr>
          <w:p w14:paraId="71F5B971"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74EF6367"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51555EF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5328F123"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Transportation costs</w:t>
            </w:r>
          </w:p>
        </w:tc>
        <w:tc>
          <w:tcPr>
            <w:tcW w:w="1498" w:type="dxa"/>
            <w:tcBorders>
              <w:top w:val="nil"/>
              <w:left w:val="nil"/>
              <w:bottom w:val="single" w:sz="4" w:space="0" w:color="auto"/>
              <w:right w:val="single" w:sz="4" w:space="0" w:color="auto"/>
            </w:tcBorders>
            <w:shd w:val="clear" w:color="000000" w:fill="FFFFFF"/>
            <w:vAlign w:val="center"/>
            <w:hideMark/>
          </w:tcPr>
          <w:p w14:paraId="64B7A986"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65EB302F" w14:textId="77777777" w:rsidTr="00CB05C3">
        <w:trPr>
          <w:trHeight w:val="300"/>
        </w:trPr>
        <w:tc>
          <w:tcPr>
            <w:tcW w:w="8102"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1EC54B93"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Non-Health Care Sectors (with examples of possible items)</w:t>
            </w:r>
          </w:p>
        </w:tc>
        <w:tc>
          <w:tcPr>
            <w:tcW w:w="1498" w:type="dxa"/>
            <w:tcBorders>
              <w:top w:val="nil"/>
              <w:left w:val="nil"/>
              <w:bottom w:val="single" w:sz="4" w:space="0" w:color="auto"/>
              <w:right w:val="nil"/>
            </w:tcBorders>
            <w:shd w:val="clear" w:color="000000" w:fill="D9D9D9"/>
            <w:vAlign w:val="center"/>
            <w:hideMark/>
          </w:tcPr>
          <w:p w14:paraId="11F10220"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r w:rsidR="00D9416A" w:rsidRPr="00D9416A" w14:paraId="04D34605"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0AA45B83"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Productivity</w:t>
            </w:r>
          </w:p>
        </w:tc>
        <w:tc>
          <w:tcPr>
            <w:tcW w:w="4826" w:type="dxa"/>
            <w:tcBorders>
              <w:top w:val="nil"/>
              <w:left w:val="nil"/>
              <w:bottom w:val="single" w:sz="4" w:space="0" w:color="auto"/>
              <w:right w:val="single" w:sz="4" w:space="0" w:color="auto"/>
            </w:tcBorders>
            <w:shd w:val="clear" w:color="000000" w:fill="FFFFFF"/>
            <w:vAlign w:val="center"/>
            <w:hideMark/>
          </w:tcPr>
          <w:p w14:paraId="5E575B4C"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Labor market earnings lost</w:t>
            </w:r>
          </w:p>
        </w:tc>
        <w:tc>
          <w:tcPr>
            <w:tcW w:w="1498" w:type="dxa"/>
            <w:tcBorders>
              <w:top w:val="nil"/>
              <w:left w:val="nil"/>
              <w:bottom w:val="single" w:sz="4" w:space="0" w:color="auto"/>
              <w:right w:val="single" w:sz="4" w:space="0" w:color="auto"/>
            </w:tcBorders>
            <w:shd w:val="clear" w:color="000000" w:fill="FFFFFF"/>
            <w:vAlign w:val="center"/>
            <w:hideMark/>
          </w:tcPr>
          <w:p w14:paraId="585660FA"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2C02CBD6"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3831D03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6A0D6967"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Costs of unpaid lost productivity due to illness</w:t>
            </w:r>
          </w:p>
        </w:tc>
        <w:tc>
          <w:tcPr>
            <w:tcW w:w="1498" w:type="dxa"/>
            <w:tcBorders>
              <w:top w:val="nil"/>
              <w:left w:val="nil"/>
              <w:bottom w:val="single" w:sz="4" w:space="0" w:color="auto"/>
              <w:right w:val="single" w:sz="4" w:space="0" w:color="auto"/>
            </w:tcBorders>
            <w:shd w:val="clear" w:color="000000" w:fill="FFFFFF"/>
            <w:vAlign w:val="center"/>
            <w:hideMark/>
          </w:tcPr>
          <w:p w14:paraId="1F9180B1"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2917E218"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025299CD"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35E304C5"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Cost of uncompensated household production</w:t>
            </w:r>
          </w:p>
        </w:tc>
        <w:tc>
          <w:tcPr>
            <w:tcW w:w="1498" w:type="dxa"/>
            <w:tcBorders>
              <w:top w:val="nil"/>
              <w:left w:val="nil"/>
              <w:bottom w:val="single" w:sz="4" w:space="0" w:color="auto"/>
              <w:right w:val="single" w:sz="4" w:space="0" w:color="auto"/>
            </w:tcBorders>
            <w:shd w:val="clear" w:color="000000" w:fill="FFFFFF"/>
            <w:vAlign w:val="center"/>
            <w:hideMark/>
          </w:tcPr>
          <w:p w14:paraId="613AD55B"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7A071E22"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14498AFD"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Consumption</w:t>
            </w:r>
          </w:p>
        </w:tc>
        <w:tc>
          <w:tcPr>
            <w:tcW w:w="4826" w:type="dxa"/>
            <w:tcBorders>
              <w:top w:val="nil"/>
              <w:left w:val="nil"/>
              <w:bottom w:val="single" w:sz="4" w:space="0" w:color="auto"/>
              <w:right w:val="single" w:sz="4" w:space="0" w:color="auto"/>
            </w:tcBorders>
            <w:shd w:val="clear" w:color="000000" w:fill="FFFFFF"/>
            <w:vAlign w:val="center"/>
            <w:hideMark/>
          </w:tcPr>
          <w:p w14:paraId="6465BE56"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Future consumption unrelated to health</w:t>
            </w:r>
          </w:p>
        </w:tc>
        <w:tc>
          <w:tcPr>
            <w:tcW w:w="1498" w:type="dxa"/>
            <w:tcBorders>
              <w:top w:val="nil"/>
              <w:left w:val="nil"/>
              <w:bottom w:val="single" w:sz="4" w:space="0" w:color="auto"/>
              <w:right w:val="single" w:sz="4" w:space="0" w:color="auto"/>
            </w:tcBorders>
            <w:shd w:val="clear" w:color="000000" w:fill="FFFFFF"/>
            <w:vAlign w:val="center"/>
            <w:hideMark/>
          </w:tcPr>
          <w:p w14:paraId="2E43CC73"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3C92869F"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7E1BEDB1"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Social services</w:t>
            </w:r>
          </w:p>
        </w:tc>
        <w:tc>
          <w:tcPr>
            <w:tcW w:w="4826" w:type="dxa"/>
            <w:tcBorders>
              <w:top w:val="nil"/>
              <w:left w:val="nil"/>
              <w:bottom w:val="single" w:sz="4" w:space="0" w:color="auto"/>
              <w:right w:val="single" w:sz="4" w:space="0" w:color="auto"/>
            </w:tcBorders>
            <w:shd w:val="clear" w:color="000000" w:fill="FFFFFF"/>
            <w:vAlign w:val="center"/>
            <w:hideMark/>
          </w:tcPr>
          <w:p w14:paraId="107A9C5C"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Cost of social services as part of intervention</w:t>
            </w:r>
          </w:p>
        </w:tc>
        <w:tc>
          <w:tcPr>
            <w:tcW w:w="1498" w:type="dxa"/>
            <w:tcBorders>
              <w:top w:val="nil"/>
              <w:left w:val="nil"/>
              <w:bottom w:val="single" w:sz="4" w:space="0" w:color="auto"/>
              <w:right w:val="single" w:sz="4" w:space="0" w:color="auto"/>
            </w:tcBorders>
            <w:shd w:val="clear" w:color="000000" w:fill="FFFFFF"/>
            <w:vAlign w:val="center"/>
            <w:hideMark/>
          </w:tcPr>
          <w:p w14:paraId="4ACD2F0B"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2A692844" w14:textId="77777777" w:rsidTr="00CB05C3">
        <w:trPr>
          <w:trHeight w:val="320"/>
        </w:trPr>
        <w:tc>
          <w:tcPr>
            <w:tcW w:w="3276" w:type="dxa"/>
            <w:tcBorders>
              <w:top w:val="nil"/>
              <w:left w:val="single" w:sz="4" w:space="0" w:color="auto"/>
              <w:bottom w:val="nil"/>
              <w:right w:val="single" w:sz="4" w:space="0" w:color="auto"/>
            </w:tcBorders>
            <w:shd w:val="clear" w:color="000000" w:fill="FFFFFF"/>
            <w:noWrap/>
            <w:vAlign w:val="center"/>
            <w:hideMark/>
          </w:tcPr>
          <w:p w14:paraId="5C43627E"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Legal of Criminal Justice</w:t>
            </w:r>
          </w:p>
        </w:tc>
        <w:tc>
          <w:tcPr>
            <w:tcW w:w="4826" w:type="dxa"/>
            <w:tcBorders>
              <w:top w:val="nil"/>
              <w:left w:val="nil"/>
              <w:bottom w:val="single" w:sz="4" w:space="0" w:color="auto"/>
              <w:right w:val="single" w:sz="4" w:space="0" w:color="auto"/>
            </w:tcBorders>
            <w:shd w:val="clear" w:color="000000" w:fill="FFFFFF"/>
            <w:vAlign w:val="center"/>
            <w:hideMark/>
          </w:tcPr>
          <w:p w14:paraId="202668B9"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Number of crimes related to intervention</w:t>
            </w:r>
          </w:p>
        </w:tc>
        <w:tc>
          <w:tcPr>
            <w:tcW w:w="1498" w:type="dxa"/>
            <w:tcBorders>
              <w:top w:val="nil"/>
              <w:left w:val="nil"/>
              <w:bottom w:val="single" w:sz="4" w:space="0" w:color="auto"/>
              <w:right w:val="single" w:sz="4" w:space="0" w:color="auto"/>
            </w:tcBorders>
            <w:shd w:val="clear" w:color="000000" w:fill="FFFFFF"/>
            <w:vAlign w:val="center"/>
            <w:hideMark/>
          </w:tcPr>
          <w:p w14:paraId="7C8C38BA"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255D5BF7"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1F3A7360"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c>
          <w:tcPr>
            <w:tcW w:w="4826" w:type="dxa"/>
            <w:tcBorders>
              <w:top w:val="nil"/>
              <w:left w:val="nil"/>
              <w:bottom w:val="single" w:sz="4" w:space="0" w:color="auto"/>
              <w:right w:val="single" w:sz="4" w:space="0" w:color="auto"/>
            </w:tcBorders>
            <w:shd w:val="clear" w:color="000000" w:fill="FFFFFF"/>
            <w:vAlign w:val="center"/>
            <w:hideMark/>
          </w:tcPr>
          <w:p w14:paraId="2068E5F8"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Cost of crimes related to intervention</w:t>
            </w:r>
          </w:p>
        </w:tc>
        <w:tc>
          <w:tcPr>
            <w:tcW w:w="1498" w:type="dxa"/>
            <w:tcBorders>
              <w:top w:val="nil"/>
              <w:left w:val="nil"/>
              <w:bottom w:val="single" w:sz="4" w:space="0" w:color="auto"/>
              <w:right w:val="single" w:sz="4" w:space="0" w:color="auto"/>
            </w:tcBorders>
            <w:shd w:val="clear" w:color="000000" w:fill="FFFFFF"/>
            <w:vAlign w:val="center"/>
            <w:hideMark/>
          </w:tcPr>
          <w:p w14:paraId="734B287E"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0BFE17CD" w14:textId="77777777" w:rsidTr="00CB05C3">
        <w:trPr>
          <w:trHeight w:val="60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099DE5AE"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Education</w:t>
            </w:r>
          </w:p>
        </w:tc>
        <w:tc>
          <w:tcPr>
            <w:tcW w:w="4826" w:type="dxa"/>
            <w:tcBorders>
              <w:top w:val="nil"/>
              <w:left w:val="nil"/>
              <w:bottom w:val="single" w:sz="4" w:space="0" w:color="auto"/>
              <w:right w:val="single" w:sz="4" w:space="0" w:color="auto"/>
            </w:tcBorders>
            <w:shd w:val="clear" w:color="000000" w:fill="FFFFFF"/>
            <w:vAlign w:val="center"/>
            <w:hideMark/>
          </w:tcPr>
          <w:p w14:paraId="0980FA9D"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Impact of intervention on educational achievement of population</w:t>
            </w:r>
          </w:p>
        </w:tc>
        <w:tc>
          <w:tcPr>
            <w:tcW w:w="1498" w:type="dxa"/>
            <w:tcBorders>
              <w:top w:val="nil"/>
              <w:left w:val="nil"/>
              <w:bottom w:val="single" w:sz="4" w:space="0" w:color="auto"/>
              <w:right w:val="single" w:sz="4" w:space="0" w:color="auto"/>
            </w:tcBorders>
            <w:shd w:val="clear" w:color="000000" w:fill="FFFFFF"/>
            <w:vAlign w:val="center"/>
            <w:hideMark/>
          </w:tcPr>
          <w:p w14:paraId="341B0791"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11437E76" w14:textId="77777777" w:rsidTr="00CB05C3">
        <w:trPr>
          <w:trHeight w:val="60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2DE3C9F2"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Housing</w:t>
            </w:r>
          </w:p>
        </w:tc>
        <w:tc>
          <w:tcPr>
            <w:tcW w:w="4826" w:type="dxa"/>
            <w:tcBorders>
              <w:top w:val="nil"/>
              <w:left w:val="nil"/>
              <w:bottom w:val="single" w:sz="4" w:space="0" w:color="auto"/>
              <w:right w:val="single" w:sz="4" w:space="0" w:color="auto"/>
            </w:tcBorders>
            <w:shd w:val="clear" w:color="000000" w:fill="FFFFFF"/>
            <w:vAlign w:val="center"/>
            <w:hideMark/>
          </w:tcPr>
          <w:p w14:paraId="16C724C7"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Cost of intervention on home improvements (e.g., removing lead paint)</w:t>
            </w:r>
          </w:p>
        </w:tc>
        <w:tc>
          <w:tcPr>
            <w:tcW w:w="1498" w:type="dxa"/>
            <w:tcBorders>
              <w:top w:val="nil"/>
              <w:left w:val="nil"/>
              <w:bottom w:val="single" w:sz="4" w:space="0" w:color="auto"/>
              <w:right w:val="single" w:sz="4" w:space="0" w:color="auto"/>
            </w:tcBorders>
            <w:shd w:val="clear" w:color="000000" w:fill="FFFFFF"/>
            <w:vAlign w:val="center"/>
            <w:hideMark/>
          </w:tcPr>
          <w:p w14:paraId="70DAB44A"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06F78144"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655726D8"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Environment</w:t>
            </w:r>
          </w:p>
        </w:tc>
        <w:tc>
          <w:tcPr>
            <w:tcW w:w="4826" w:type="dxa"/>
            <w:tcBorders>
              <w:top w:val="nil"/>
              <w:left w:val="nil"/>
              <w:bottom w:val="single" w:sz="4" w:space="0" w:color="auto"/>
              <w:right w:val="single" w:sz="4" w:space="0" w:color="auto"/>
            </w:tcBorders>
            <w:shd w:val="clear" w:color="000000" w:fill="FFFFFF"/>
            <w:vAlign w:val="center"/>
            <w:hideMark/>
          </w:tcPr>
          <w:p w14:paraId="5B7A0C3A"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Production of toxic waste pollution by intervention</w:t>
            </w:r>
          </w:p>
        </w:tc>
        <w:tc>
          <w:tcPr>
            <w:tcW w:w="1498" w:type="dxa"/>
            <w:tcBorders>
              <w:top w:val="nil"/>
              <w:left w:val="nil"/>
              <w:bottom w:val="single" w:sz="4" w:space="0" w:color="auto"/>
              <w:right w:val="single" w:sz="4" w:space="0" w:color="auto"/>
            </w:tcBorders>
            <w:shd w:val="clear" w:color="000000" w:fill="FFFFFF"/>
            <w:vAlign w:val="center"/>
            <w:hideMark/>
          </w:tcPr>
          <w:p w14:paraId="7433EC27"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76502229" w14:textId="77777777" w:rsidTr="00CB05C3">
        <w:trPr>
          <w:trHeight w:val="320"/>
        </w:trPr>
        <w:tc>
          <w:tcPr>
            <w:tcW w:w="3276" w:type="dxa"/>
            <w:tcBorders>
              <w:top w:val="nil"/>
              <w:left w:val="single" w:sz="4" w:space="0" w:color="auto"/>
              <w:bottom w:val="single" w:sz="4" w:space="0" w:color="auto"/>
              <w:right w:val="single" w:sz="4" w:space="0" w:color="auto"/>
            </w:tcBorders>
            <w:shd w:val="clear" w:color="000000" w:fill="FFFFFF"/>
            <w:noWrap/>
            <w:vAlign w:val="center"/>
            <w:hideMark/>
          </w:tcPr>
          <w:p w14:paraId="6026D329"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Other (specify)</w:t>
            </w:r>
          </w:p>
        </w:tc>
        <w:tc>
          <w:tcPr>
            <w:tcW w:w="4826" w:type="dxa"/>
            <w:tcBorders>
              <w:top w:val="nil"/>
              <w:left w:val="nil"/>
              <w:bottom w:val="single" w:sz="4" w:space="0" w:color="auto"/>
              <w:right w:val="single" w:sz="4" w:space="0" w:color="auto"/>
            </w:tcBorders>
            <w:shd w:val="clear" w:color="000000" w:fill="FFFFFF"/>
            <w:vAlign w:val="center"/>
            <w:hideMark/>
          </w:tcPr>
          <w:p w14:paraId="4C7FB458"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Other impacts</w:t>
            </w:r>
          </w:p>
        </w:tc>
        <w:tc>
          <w:tcPr>
            <w:tcW w:w="1498" w:type="dxa"/>
            <w:tcBorders>
              <w:top w:val="nil"/>
              <w:left w:val="nil"/>
              <w:bottom w:val="single" w:sz="4" w:space="0" w:color="auto"/>
              <w:right w:val="single" w:sz="4" w:space="0" w:color="auto"/>
            </w:tcBorders>
            <w:shd w:val="clear" w:color="000000" w:fill="FFFFFF"/>
            <w:vAlign w:val="center"/>
            <w:hideMark/>
          </w:tcPr>
          <w:p w14:paraId="5A3675C0"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N/A</w:t>
            </w:r>
          </w:p>
        </w:tc>
      </w:tr>
      <w:tr w:rsidR="00D9416A" w:rsidRPr="00D9416A" w14:paraId="74EE4AC0" w14:textId="77777777" w:rsidTr="00CB05C3">
        <w:trPr>
          <w:trHeight w:val="300"/>
        </w:trPr>
        <w:tc>
          <w:tcPr>
            <w:tcW w:w="8102" w:type="dxa"/>
            <w:gridSpan w:val="2"/>
            <w:tcBorders>
              <w:top w:val="nil"/>
              <w:left w:val="nil"/>
              <w:bottom w:val="nil"/>
              <w:right w:val="nil"/>
            </w:tcBorders>
            <w:shd w:val="clear" w:color="000000" w:fill="FFFFFF"/>
            <w:noWrap/>
            <w:vAlign w:val="center"/>
            <w:hideMark/>
          </w:tcPr>
          <w:p w14:paraId="7B3B6FCF" w14:textId="77777777" w:rsidR="00D9416A" w:rsidRPr="00D9416A" w:rsidRDefault="00D9416A" w:rsidP="00CB05C3">
            <w:pP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xml:space="preserve">x denotes being included in the manuscript/ model </w:t>
            </w:r>
          </w:p>
        </w:tc>
        <w:tc>
          <w:tcPr>
            <w:tcW w:w="1498" w:type="dxa"/>
            <w:tcBorders>
              <w:top w:val="nil"/>
              <w:left w:val="nil"/>
              <w:bottom w:val="nil"/>
              <w:right w:val="nil"/>
            </w:tcBorders>
            <w:shd w:val="clear" w:color="000000" w:fill="FFFFFF"/>
            <w:vAlign w:val="center"/>
            <w:hideMark/>
          </w:tcPr>
          <w:p w14:paraId="323D4E36" w14:textId="77777777" w:rsidR="00D9416A" w:rsidRPr="00D9416A" w:rsidRDefault="00D9416A" w:rsidP="00CB05C3">
            <w:pPr>
              <w:jc w:val="center"/>
              <w:rPr>
                <w:rFonts w:ascii="Times New Roman" w:eastAsia="Times New Roman" w:hAnsi="Times New Roman" w:cs="Times New Roman"/>
                <w:kern w:val="0"/>
                <w:sz w:val="22"/>
                <w:szCs w:val="22"/>
                <w14:ligatures w14:val="none"/>
              </w:rPr>
            </w:pPr>
            <w:r w:rsidRPr="00D9416A">
              <w:rPr>
                <w:rFonts w:ascii="Times New Roman" w:eastAsia="Times New Roman" w:hAnsi="Times New Roman" w:cs="Times New Roman"/>
                <w:kern w:val="0"/>
                <w:sz w:val="22"/>
                <w:szCs w:val="22"/>
                <w14:ligatures w14:val="none"/>
              </w:rPr>
              <w:t> </w:t>
            </w:r>
          </w:p>
        </w:tc>
      </w:tr>
    </w:tbl>
    <w:p w14:paraId="74B69F7C" w14:textId="77777777" w:rsidR="00D9416A" w:rsidRPr="00D9416A" w:rsidRDefault="00D9416A" w:rsidP="00D9416A">
      <w:pPr>
        <w:spacing w:line="480" w:lineRule="auto"/>
        <w:rPr>
          <w:rFonts w:ascii="Times New Roman" w:hAnsi="Times New Roman" w:cs="Times New Roman"/>
          <w:b/>
          <w:sz w:val="22"/>
          <w:szCs w:val="22"/>
          <w:lang w:bidi="en-US"/>
        </w:rPr>
      </w:pPr>
    </w:p>
    <w:p w14:paraId="1D113BEE" w14:textId="77777777" w:rsidR="00D9416A" w:rsidRPr="00D9416A" w:rsidRDefault="00D9416A" w:rsidP="00D9416A">
      <w:pPr>
        <w:spacing w:line="480" w:lineRule="auto"/>
        <w:rPr>
          <w:rFonts w:ascii="Times New Roman" w:hAnsi="Times New Roman" w:cs="Times New Roman"/>
          <w:b/>
          <w:sz w:val="22"/>
          <w:szCs w:val="22"/>
          <w:lang w:bidi="en-US"/>
        </w:rPr>
      </w:pPr>
    </w:p>
    <w:p w14:paraId="3934D1E2" w14:textId="77777777" w:rsidR="00D9416A" w:rsidRPr="00D9416A" w:rsidRDefault="00D9416A" w:rsidP="00D9416A">
      <w:pPr>
        <w:rPr>
          <w:rFonts w:ascii="Times New Roman" w:hAnsi="Times New Roman" w:cs="Times New Roman"/>
          <w:b/>
          <w:sz w:val="22"/>
          <w:szCs w:val="22"/>
          <w:lang w:bidi="en-US"/>
        </w:rPr>
      </w:pPr>
      <w:r w:rsidRPr="00D9416A">
        <w:rPr>
          <w:rFonts w:ascii="Times New Roman" w:hAnsi="Times New Roman" w:cs="Times New Roman"/>
          <w:b/>
          <w:sz w:val="22"/>
          <w:szCs w:val="22"/>
          <w:lang w:bidi="en-US"/>
        </w:rPr>
        <w:br w:type="page"/>
      </w:r>
    </w:p>
    <w:p w14:paraId="3A649C53" w14:textId="72BF9D74" w:rsidR="00D9416A" w:rsidRPr="00D9416A" w:rsidRDefault="00D9416A" w:rsidP="00D9416A">
      <w:pPr>
        <w:spacing w:line="480" w:lineRule="auto"/>
        <w:rPr>
          <w:rFonts w:ascii="Times New Roman" w:hAnsi="Times New Roman" w:cs="Times New Roman"/>
          <w:b/>
          <w:sz w:val="22"/>
          <w:szCs w:val="22"/>
          <w:lang w:bidi="en-US"/>
        </w:rPr>
      </w:pPr>
      <w:r w:rsidRPr="00D9416A">
        <w:rPr>
          <w:rFonts w:ascii="Times New Roman" w:hAnsi="Times New Roman" w:cs="Times New Roman"/>
          <w:b/>
          <w:sz w:val="22"/>
          <w:szCs w:val="22"/>
          <w:lang w:bidi="en-US"/>
        </w:rPr>
        <w:lastRenderedPageBreak/>
        <w:t>Supplement S3. Survival curve fit and extrapolation</w:t>
      </w:r>
      <w:r w:rsidR="00DF06E2">
        <w:rPr>
          <w:rFonts w:ascii="Times New Roman" w:hAnsi="Times New Roman" w:cs="Times New Roman"/>
          <w:b/>
          <w:sz w:val="22"/>
          <w:szCs w:val="22"/>
          <w:lang w:bidi="en-US"/>
        </w:rPr>
        <w:t>.</w:t>
      </w:r>
    </w:p>
    <w:p w14:paraId="40CDF218" w14:textId="77777777" w:rsidR="00D9416A" w:rsidRPr="00D9416A" w:rsidRDefault="00D9416A" w:rsidP="00D9416A">
      <w:pPr>
        <w:spacing w:line="480" w:lineRule="auto"/>
        <w:rPr>
          <w:rFonts w:ascii="Times New Roman" w:hAnsi="Times New Roman" w:cs="Times New Roman"/>
          <w:bCs/>
          <w:i/>
          <w:iCs/>
          <w:sz w:val="22"/>
          <w:szCs w:val="22"/>
          <w:lang w:bidi="en-US"/>
        </w:rPr>
      </w:pPr>
      <w:r w:rsidRPr="00D9416A">
        <w:rPr>
          <w:rFonts w:ascii="Times New Roman" w:hAnsi="Times New Roman" w:cs="Times New Roman"/>
          <w:bCs/>
          <w:i/>
          <w:iCs/>
          <w:sz w:val="22"/>
          <w:szCs w:val="22"/>
          <w:lang w:bidi="en-US"/>
        </w:rPr>
        <w:t>Data from the fitted Kaplan-Meier Curve</w:t>
      </w:r>
    </w:p>
    <w:p w14:paraId="37CD69AC" w14:textId="5C3ABCED" w:rsidR="00D9416A" w:rsidRP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bCs/>
          <w:sz w:val="22"/>
          <w:szCs w:val="22"/>
          <w:lang w:bidi="en-US"/>
        </w:rPr>
        <w:t xml:space="preserve">We used the study by Walley and colleagues </w:t>
      </w:r>
      <w:r w:rsidR="004F7762">
        <w:rPr>
          <w:rFonts w:ascii="Times New Roman" w:hAnsi="Times New Roman" w:cs="Times New Roman"/>
          <w:bCs/>
          <w:sz w:val="22"/>
          <w:szCs w:val="22"/>
          <w:lang w:bidi="en-US"/>
        </w:rPr>
        <w:fldChar w:fldCharType="begin"/>
      </w:r>
      <w:r w:rsidR="00446FA6">
        <w:rPr>
          <w:rFonts w:ascii="Times New Roman" w:hAnsi="Times New Roman" w:cs="Times New Roman"/>
          <w:bCs/>
          <w:sz w:val="22"/>
          <w:szCs w:val="22"/>
          <w:lang w:bidi="en-US"/>
        </w:rPr>
        <w:instrText xml:space="preserve"> ADDIN ZOTERO_ITEM CSL_CITATION {"citationID":"51QOeIft","properties":{"formattedCitation":"[1]","plainCitation":"[1]","noteIndex":0},"citationItems":[{"id":2365,"uris":["http://zotero.org/users/1342506/items/T4BST2UK"],"itemData":{"id":2365,"type":"article-journal","abstract":"OBJECTIVE: To evaluate the impact of state supported overdose education and nasal naloxone distribution (OEND) programs on rates of opioid related death from overdose and acute care utilization in Massachusetts.\nDESIGN: Interrupted time series analysis of opioid related overdose death and acute care utilization rates from 2002 to 2009 comparing community-year strata with high and low rates of OEND implementation to those with no implementation.\nSETTING: 19 Massachusetts communities (geographically distinct cities and towns) with at least five fatal opioid overdoses in each of the years 2004 to 2006.\nPARTICIPANTS: OEND was implemented among opioid users at risk for overdose, social service agency staff, family, and friends of opioid users.\nINTERVENTION: OEND programs equipped people at risk for overdose and bystanders with nasal naloxone rescue kits and trained them how to prevent, recognize, and respond to an overdose by engaging emergency medical services, providing rescue breathing, and delivering naloxone.\nMAIN OUTCOME MEASURES: Adjusted rate ratios for annual deaths related to opioid overdose and utilization of acute care hospitals.\nRESULTS: Among these communities, OEND programs trained 2912 potential bystanders who reported 327 rescues. Both community-year strata with 1-100 enrollments per 100,000 population (adjusted rate ratio 0.73, 95% confidence interval 0.57 to 0.91) and community-year strata with greater than 100 enrollments per 100,000 population (0.54, 0.39 to 0.76) had significantly reduced adjusted rate ratios compared with communities with no implementation. Differences in rates of acute care hospital utilization were not significant.\nCONCLUSIONS: Opioid overdose death rates were reduced in communities where OEND was implemented. This study provides observational evidence that by training potential bystanders to prevent, recognize, and respond to opioid overdoses, OEND is an effective intervention.","container-title":"BMJ (Clinical research ed.)","ISSN":"1756-1833","journalAbbreviation":"BMJ","language":"eng","note":"PMID: 23372174","page":"f174","source":"PubMed","title":"Opioid overdose rates and implementation of overdose education and nasal naloxone distribution in Massachusetts: interrupted time series analysis","title-short":"Opioid overdose rates and implementation of overdose education and nasal naloxone distribution in Massachusetts","volume":"346","author":[{"family":"Walley","given":"Alexander Y."},{"family":"Xuan","given":"Ziming"},{"family":"Hackman","given":"H. Holly"},{"family":"Quinn","given":"Emily"},{"family":"Doe-Simkins","given":"Maya"},{"family":"Sorensen-Alawad","given":"Amy"},{"family":"Ruiz","given":"Sarah"},{"family":"Ozonoff","given":"Al"}],"issued":{"date-parts":[["2013"]]}}}],"schema":"https://github.com/citation-style-language/schema/raw/master/csl-citation.json"} </w:instrText>
      </w:r>
      <w:r w:rsidR="004F7762">
        <w:rPr>
          <w:rFonts w:ascii="Times New Roman" w:hAnsi="Times New Roman" w:cs="Times New Roman"/>
          <w:bCs/>
          <w:sz w:val="22"/>
          <w:szCs w:val="22"/>
          <w:lang w:bidi="en-US"/>
        </w:rPr>
        <w:fldChar w:fldCharType="separate"/>
      </w:r>
      <w:r w:rsidR="00446FA6" w:rsidRPr="00446FA6">
        <w:rPr>
          <w:rFonts w:ascii="Times New Roman" w:hAnsi="Times New Roman" w:cs="Times New Roman"/>
          <w:sz w:val="22"/>
        </w:rPr>
        <w:t>[1]</w:t>
      </w:r>
      <w:r w:rsidR="004F7762">
        <w:rPr>
          <w:rFonts w:ascii="Times New Roman" w:hAnsi="Times New Roman" w:cs="Times New Roman"/>
          <w:bCs/>
          <w:sz w:val="22"/>
          <w:szCs w:val="22"/>
          <w:lang w:bidi="en-US"/>
        </w:rPr>
        <w:fldChar w:fldCharType="end"/>
      </w:r>
      <w:r w:rsidRPr="00D9416A">
        <w:rPr>
          <w:rFonts w:ascii="Times New Roman" w:hAnsi="Times New Roman" w:cs="Times New Roman"/>
          <w:bCs/>
          <w:sz w:val="22"/>
          <w:szCs w:val="22"/>
          <w:lang w:bidi="en-US"/>
        </w:rPr>
        <w:t xml:space="preserve"> to digitize the Kaplan-Meier curve for individuals with opioid use disorder who experienced all-cause mortality up to 12 months. Data from the digitized Kaplan-Meier curve is provided below:</w:t>
      </w:r>
    </w:p>
    <w:tbl>
      <w:tblPr>
        <w:tblW w:w="1396" w:type="dxa"/>
        <w:tblLook w:val="04A0" w:firstRow="1" w:lastRow="0" w:firstColumn="1" w:lastColumn="0" w:noHBand="0" w:noVBand="1"/>
      </w:tblPr>
      <w:tblGrid>
        <w:gridCol w:w="698"/>
        <w:gridCol w:w="1041"/>
      </w:tblGrid>
      <w:tr w:rsidR="00D9416A" w:rsidRPr="00D9416A" w14:paraId="1C8795E1" w14:textId="77777777" w:rsidTr="00CB05C3">
        <w:trPr>
          <w:trHeight w:val="256"/>
        </w:trPr>
        <w:tc>
          <w:tcPr>
            <w:tcW w:w="69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5BB4FD" w14:textId="77777777" w:rsidR="00D9416A" w:rsidRPr="00D9416A" w:rsidRDefault="00D9416A" w:rsidP="00CB05C3">
            <w:pPr>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x</w:t>
            </w:r>
          </w:p>
        </w:tc>
        <w:tc>
          <w:tcPr>
            <w:tcW w:w="698" w:type="dxa"/>
            <w:tcBorders>
              <w:top w:val="single" w:sz="4" w:space="0" w:color="auto"/>
              <w:left w:val="nil"/>
              <w:bottom w:val="single" w:sz="4" w:space="0" w:color="auto"/>
              <w:right w:val="single" w:sz="4" w:space="0" w:color="auto"/>
            </w:tcBorders>
            <w:shd w:val="clear" w:color="000000" w:fill="FFFFFF"/>
            <w:noWrap/>
            <w:vAlign w:val="bottom"/>
            <w:hideMark/>
          </w:tcPr>
          <w:p w14:paraId="7F3B2F04" w14:textId="77777777" w:rsidR="00D9416A" w:rsidRPr="00D9416A" w:rsidRDefault="00D9416A" w:rsidP="00CB05C3">
            <w:pPr>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Curve1</w:t>
            </w:r>
          </w:p>
        </w:tc>
      </w:tr>
      <w:tr w:rsidR="00D9416A" w:rsidRPr="00D9416A" w14:paraId="15D60722"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188DA219"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w:t>
            </w:r>
          </w:p>
        </w:tc>
        <w:tc>
          <w:tcPr>
            <w:tcW w:w="698" w:type="dxa"/>
            <w:tcBorders>
              <w:top w:val="nil"/>
              <w:left w:val="nil"/>
              <w:bottom w:val="single" w:sz="4" w:space="0" w:color="auto"/>
              <w:right w:val="single" w:sz="4" w:space="0" w:color="auto"/>
            </w:tcBorders>
            <w:shd w:val="clear" w:color="000000" w:fill="FFFFFF"/>
            <w:noWrap/>
            <w:vAlign w:val="bottom"/>
            <w:hideMark/>
          </w:tcPr>
          <w:p w14:paraId="0C9045E5"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w:t>
            </w:r>
          </w:p>
        </w:tc>
      </w:tr>
      <w:tr w:rsidR="00D9416A" w:rsidRPr="00D9416A" w14:paraId="6465789A"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4EDC6BE2"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0.5</w:t>
            </w:r>
          </w:p>
        </w:tc>
        <w:tc>
          <w:tcPr>
            <w:tcW w:w="698" w:type="dxa"/>
            <w:tcBorders>
              <w:top w:val="nil"/>
              <w:left w:val="nil"/>
              <w:bottom w:val="single" w:sz="4" w:space="0" w:color="auto"/>
              <w:right w:val="single" w:sz="4" w:space="0" w:color="auto"/>
            </w:tcBorders>
            <w:shd w:val="clear" w:color="000000" w:fill="FFFFFF"/>
            <w:noWrap/>
            <w:vAlign w:val="bottom"/>
            <w:hideMark/>
          </w:tcPr>
          <w:p w14:paraId="7923905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w:t>
            </w:r>
          </w:p>
        </w:tc>
      </w:tr>
      <w:tr w:rsidR="00D9416A" w:rsidRPr="00D9416A" w14:paraId="7F7377FA"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3D096B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w:t>
            </w:r>
          </w:p>
        </w:tc>
        <w:tc>
          <w:tcPr>
            <w:tcW w:w="698" w:type="dxa"/>
            <w:tcBorders>
              <w:top w:val="nil"/>
              <w:left w:val="nil"/>
              <w:bottom w:val="single" w:sz="4" w:space="0" w:color="auto"/>
              <w:right w:val="single" w:sz="4" w:space="0" w:color="auto"/>
            </w:tcBorders>
            <w:shd w:val="clear" w:color="000000" w:fill="FFFFFF"/>
            <w:noWrap/>
            <w:vAlign w:val="bottom"/>
            <w:hideMark/>
          </w:tcPr>
          <w:p w14:paraId="1432E47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0.999634</w:t>
            </w:r>
          </w:p>
        </w:tc>
      </w:tr>
      <w:tr w:rsidR="00D9416A" w:rsidRPr="00D9416A" w14:paraId="098C7CF2"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0BCEAE5B"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1.5</w:t>
            </w:r>
          </w:p>
        </w:tc>
        <w:tc>
          <w:tcPr>
            <w:tcW w:w="698" w:type="dxa"/>
            <w:tcBorders>
              <w:top w:val="nil"/>
              <w:left w:val="nil"/>
              <w:bottom w:val="single" w:sz="4" w:space="0" w:color="auto"/>
              <w:right w:val="single" w:sz="4" w:space="0" w:color="auto"/>
            </w:tcBorders>
            <w:shd w:val="clear" w:color="000000" w:fill="FFFFFF"/>
            <w:noWrap/>
            <w:vAlign w:val="bottom"/>
            <w:hideMark/>
          </w:tcPr>
          <w:p w14:paraId="13038831"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0.998972</w:t>
            </w:r>
          </w:p>
        </w:tc>
      </w:tr>
      <w:tr w:rsidR="00D9416A" w:rsidRPr="00D9416A" w14:paraId="40F45E25"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6DA20BC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2</w:t>
            </w:r>
          </w:p>
        </w:tc>
        <w:tc>
          <w:tcPr>
            <w:tcW w:w="698" w:type="dxa"/>
            <w:tcBorders>
              <w:top w:val="nil"/>
              <w:left w:val="nil"/>
              <w:bottom w:val="single" w:sz="4" w:space="0" w:color="auto"/>
              <w:right w:val="single" w:sz="4" w:space="0" w:color="auto"/>
            </w:tcBorders>
            <w:shd w:val="clear" w:color="000000" w:fill="FFFFFF"/>
            <w:noWrap/>
            <w:vAlign w:val="bottom"/>
            <w:hideMark/>
          </w:tcPr>
          <w:p w14:paraId="7CAAD683"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0.998009</w:t>
            </w:r>
          </w:p>
        </w:tc>
      </w:tr>
      <w:tr w:rsidR="00D9416A" w:rsidRPr="00D9416A" w14:paraId="23D237FF"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79CC8356"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2.5</w:t>
            </w:r>
          </w:p>
        </w:tc>
        <w:tc>
          <w:tcPr>
            <w:tcW w:w="698" w:type="dxa"/>
            <w:tcBorders>
              <w:top w:val="nil"/>
              <w:left w:val="nil"/>
              <w:bottom w:val="single" w:sz="4" w:space="0" w:color="auto"/>
              <w:right w:val="single" w:sz="4" w:space="0" w:color="auto"/>
            </w:tcBorders>
            <w:shd w:val="clear" w:color="000000" w:fill="FFFFFF"/>
            <w:noWrap/>
            <w:vAlign w:val="bottom"/>
            <w:hideMark/>
          </w:tcPr>
          <w:p w14:paraId="35D7688A"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0.99788</w:t>
            </w:r>
          </w:p>
        </w:tc>
      </w:tr>
      <w:tr w:rsidR="00D9416A" w:rsidRPr="00D9416A" w14:paraId="4E9A1294"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52BAFE83"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3</w:t>
            </w:r>
          </w:p>
        </w:tc>
        <w:tc>
          <w:tcPr>
            <w:tcW w:w="698" w:type="dxa"/>
            <w:tcBorders>
              <w:top w:val="nil"/>
              <w:left w:val="nil"/>
              <w:bottom w:val="single" w:sz="4" w:space="0" w:color="auto"/>
              <w:right w:val="single" w:sz="4" w:space="0" w:color="auto"/>
            </w:tcBorders>
            <w:shd w:val="clear" w:color="000000" w:fill="FFFFFF"/>
            <w:noWrap/>
            <w:vAlign w:val="bottom"/>
            <w:hideMark/>
          </w:tcPr>
          <w:p w14:paraId="6AC2CF5D"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0.99666</w:t>
            </w:r>
          </w:p>
        </w:tc>
      </w:tr>
      <w:tr w:rsidR="00D9416A" w:rsidRPr="00D9416A" w14:paraId="2AC3F623"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07C791E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3.5</w:t>
            </w:r>
          </w:p>
        </w:tc>
        <w:tc>
          <w:tcPr>
            <w:tcW w:w="698" w:type="dxa"/>
            <w:tcBorders>
              <w:top w:val="nil"/>
              <w:left w:val="nil"/>
              <w:bottom w:val="single" w:sz="4" w:space="0" w:color="auto"/>
              <w:right w:val="single" w:sz="4" w:space="0" w:color="auto"/>
            </w:tcBorders>
            <w:shd w:val="clear" w:color="000000" w:fill="FFFFFF"/>
            <w:noWrap/>
            <w:vAlign w:val="bottom"/>
            <w:hideMark/>
          </w:tcPr>
          <w:p w14:paraId="0E35387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0.99666</w:t>
            </w:r>
          </w:p>
        </w:tc>
      </w:tr>
      <w:tr w:rsidR="00D9416A" w:rsidRPr="00D9416A" w14:paraId="13FEA121"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3AC66C70"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4</w:t>
            </w:r>
          </w:p>
        </w:tc>
        <w:tc>
          <w:tcPr>
            <w:tcW w:w="698" w:type="dxa"/>
            <w:tcBorders>
              <w:top w:val="nil"/>
              <w:left w:val="nil"/>
              <w:bottom w:val="single" w:sz="4" w:space="0" w:color="auto"/>
              <w:right w:val="single" w:sz="4" w:space="0" w:color="auto"/>
            </w:tcBorders>
            <w:shd w:val="clear" w:color="000000" w:fill="FFFFFF"/>
            <w:noWrap/>
            <w:vAlign w:val="bottom"/>
            <w:hideMark/>
          </w:tcPr>
          <w:p w14:paraId="693AE8B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0.995311</w:t>
            </w:r>
          </w:p>
        </w:tc>
      </w:tr>
      <w:tr w:rsidR="00D9416A" w:rsidRPr="00D9416A" w14:paraId="7ABEB618"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A783100"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4.5</w:t>
            </w:r>
          </w:p>
        </w:tc>
        <w:tc>
          <w:tcPr>
            <w:tcW w:w="698" w:type="dxa"/>
            <w:tcBorders>
              <w:top w:val="nil"/>
              <w:left w:val="nil"/>
              <w:bottom w:val="single" w:sz="4" w:space="0" w:color="auto"/>
              <w:right w:val="single" w:sz="4" w:space="0" w:color="auto"/>
            </w:tcBorders>
            <w:shd w:val="clear" w:color="000000" w:fill="FFFFFF"/>
            <w:noWrap/>
            <w:vAlign w:val="bottom"/>
            <w:hideMark/>
          </w:tcPr>
          <w:p w14:paraId="5FFCA7D0"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0.994803</w:t>
            </w:r>
          </w:p>
        </w:tc>
      </w:tr>
      <w:tr w:rsidR="00D9416A" w:rsidRPr="00D9416A" w14:paraId="6943F505"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015CA744"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5</w:t>
            </w:r>
          </w:p>
        </w:tc>
        <w:tc>
          <w:tcPr>
            <w:tcW w:w="698" w:type="dxa"/>
            <w:tcBorders>
              <w:top w:val="nil"/>
              <w:left w:val="nil"/>
              <w:bottom w:val="single" w:sz="4" w:space="0" w:color="auto"/>
              <w:right w:val="single" w:sz="4" w:space="0" w:color="auto"/>
            </w:tcBorders>
            <w:shd w:val="clear" w:color="000000" w:fill="FFFFFF"/>
            <w:noWrap/>
            <w:vAlign w:val="bottom"/>
            <w:hideMark/>
          </w:tcPr>
          <w:p w14:paraId="5A89886F"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0.994347</w:t>
            </w:r>
          </w:p>
        </w:tc>
      </w:tr>
      <w:tr w:rsidR="00D9416A" w:rsidRPr="00D9416A" w14:paraId="43874764"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6F1BBF4B"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5.5</w:t>
            </w:r>
          </w:p>
        </w:tc>
        <w:tc>
          <w:tcPr>
            <w:tcW w:w="698" w:type="dxa"/>
            <w:tcBorders>
              <w:top w:val="nil"/>
              <w:left w:val="nil"/>
              <w:bottom w:val="single" w:sz="4" w:space="0" w:color="auto"/>
              <w:right w:val="single" w:sz="4" w:space="0" w:color="auto"/>
            </w:tcBorders>
            <w:shd w:val="clear" w:color="000000" w:fill="FFFFFF"/>
            <w:noWrap/>
            <w:vAlign w:val="bottom"/>
            <w:hideMark/>
          </w:tcPr>
          <w:p w14:paraId="1686917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0.993062</w:t>
            </w:r>
          </w:p>
        </w:tc>
      </w:tr>
      <w:tr w:rsidR="00D9416A" w:rsidRPr="00D9416A" w14:paraId="144F9FFE"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37CA93E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6</w:t>
            </w:r>
          </w:p>
        </w:tc>
        <w:tc>
          <w:tcPr>
            <w:tcW w:w="698" w:type="dxa"/>
            <w:tcBorders>
              <w:top w:val="nil"/>
              <w:left w:val="nil"/>
              <w:bottom w:val="single" w:sz="4" w:space="0" w:color="auto"/>
              <w:right w:val="single" w:sz="4" w:space="0" w:color="auto"/>
            </w:tcBorders>
            <w:shd w:val="clear" w:color="000000" w:fill="FFFFFF"/>
            <w:noWrap/>
            <w:vAlign w:val="bottom"/>
            <w:hideMark/>
          </w:tcPr>
          <w:p w14:paraId="7198F72E"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0.993062</w:t>
            </w:r>
          </w:p>
        </w:tc>
      </w:tr>
      <w:tr w:rsidR="00D9416A" w:rsidRPr="00D9416A" w14:paraId="39D47B60"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4DB9858D"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6.5</w:t>
            </w:r>
          </w:p>
        </w:tc>
        <w:tc>
          <w:tcPr>
            <w:tcW w:w="698" w:type="dxa"/>
            <w:tcBorders>
              <w:top w:val="nil"/>
              <w:left w:val="nil"/>
              <w:bottom w:val="single" w:sz="4" w:space="0" w:color="auto"/>
              <w:right w:val="single" w:sz="4" w:space="0" w:color="auto"/>
            </w:tcBorders>
            <w:shd w:val="clear" w:color="000000" w:fill="FFFFFF"/>
            <w:noWrap/>
            <w:vAlign w:val="bottom"/>
            <w:hideMark/>
          </w:tcPr>
          <w:p w14:paraId="6145477D"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0.991777</w:t>
            </w:r>
          </w:p>
        </w:tc>
      </w:tr>
      <w:tr w:rsidR="00D9416A" w:rsidRPr="00D9416A" w14:paraId="612E8640"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78DDA1C"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7</w:t>
            </w:r>
          </w:p>
        </w:tc>
        <w:tc>
          <w:tcPr>
            <w:tcW w:w="698" w:type="dxa"/>
            <w:tcBorders>
              <w:top w:val="nil"/>
              <w:left w:val="nil"/>
              <w:bottom w:val="single" w:sz="4" w:space="0" w:color="auto"/>
              <w:right w:val="single" w:sz="4" w:space="0" w:color="auto"/>
            </w:tcBorders>
            <w:shd w:val="clear" w:color="000000" w:fill="FFFFFF"/>
            <w:noWrap/>
            <w:vAlign w:val="bottom"/>
            <w:hideMark/>
          </w:tcPr>
          <w:p w14:paraId="07F51B8C"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0.991713</w:t>
            </w:r>
          </w:p>
        </w:tc>
      </w:tr>
      <w:tr w:rsidR="00D9416A" w:rsidRPr="00D9416A" w14:paraId="6C5C2668"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50E12E86"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7.5</w:t>
            </w:r>
          </w:p>
        </w:tc>
        <w:tc>
          <w:tcPr>
            <w:tcW w:w="698" w:type="dxa"/>
            <w:tcBorders>
              <w:top w:val="nil"/>
              <w:left w:val="nil"/>
              <w:bottom w:val="single" w:sz="4" w:space="0" w:color="auto"/>
              <w:right w:val="single" w:sz="4" w:space="0" w:color="auto"/>
            </w:tcBorders>
            <w:shd w:val="clear" w:color="000000" w:fill="FFFFFF"/>
            <w:noWrap/>
            <w:vAlign w:val="bottom"/>
            <w:hideMark/>
          </w:tcPr>
          <w:p w14:paraId="69C2AC62"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0.9903</w:t>
            </w:r>
          </w:p>
        </w:tc>
      </w:tr>
      <w:tr w:rsidR="00D9416A" w:rsidRPr="00D9416A" w14:paraId="4B867806"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63A58D2"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8</w:t>
            </w:r>
          </w:p>
        </w:tc>
        <w:tc>
          <w:tcPr>
            <w:tcW w:w="698" w:type="dxa"/>
            <w:tcBorders>
              <w:top w:val="nil"/>
              <w:left w:val="nil"/>
              <w:bottom w:val="single" w:sz="4" w:space="0" w:color="auto"/>
              <w:right w:val="single" w:sz="4" w:space="0" w:color="auto"/>
            </w:tcBorders>
            <w:shd w:val="clear" w:color="000000" w:fill="FFFFFF"/>
            <w:noWrap/>
            <w:vAlign w:val="bottom"/>
            <w:hideMark/>
          </w:tcPr>
          <w:p w14:paraId="276E3F7D"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0.990236</w:t>
            </w:r>
          </w:p>
        </w:tc>
      </w:tr>
      <w:tr w:rsidR="00D9416A" w:rsidRPr="00D9416A" w14:paraId="709AA43E"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00B76150"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8.5</w:t>
            </w:r>
          </w:p>
        </w:tc>
        <w:tc>
          <w:tcPr>
            <w:tcW w:w="698" w:type="dxa"/>
            <w:tcBorders>
              <w:top w:val="nil"/>
              <w:left w:val="nil"/>
              <w:bottom w:val="single" w:sz="4" w:space="0" w:color="auto"/>
              <w:right w:val="single" w:sz="4" w:space="0" w:color="auto"/>
            </w:tcBorders>
            <w:shd w:val="clear" w:color="000000" w:fill="FFFFFF"/>
            <w:noWrap/>
            <w:vAlign w:val="bottom"/>
            <w:hideMark/>
          </w:tcPr>
          <w:p w14:paraId="161CF974"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0.989336</w:t>
            </w:r>
          </w:p>
        </w:tc>
      </w:tr>
      <w:tr w:rsidR="00D9416A" w:rsidRPr="00D9416A" w14:paraId="74E47442"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779BC05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9</w:t>
            </w:r>
          </w:p>
        </w:tc>
        <w:tc>
          <w:tcPr>
            <w:tcW w:w="698" w:type="dxa"/>
            <w:tcBorders>
              <w:top w:val="nil"/>
              <w:left w:val="nil"/>
              <w:bottom w:val="single" w:sz="4" w:space="0" w:color="auto"/>
              <w:right w:val="single" w:sz="4" w:space="0" w:color="auto"/>
            </w:tcBorders>
            <w:shd w:val="clear" w:color="000000" w:fill="FFFFFF"/>
            <w:noWrap/>
            <w:vAlign w:val="bottom"/>
            <w:hideMark/>
          </w:tcPr>
          <w:p w14:paraId="2D2EBBB9"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0.988456</w:t>
            </w:r>
          </w:p>
        </w:tc>
      </w:tr>
      <w:tr w:rsidR="00D9416A" w:rsidRPr="00D9416A" w14:paraId="0547809B"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7B4CEFD3"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9.5</w:t>
            </w:r>
          </w:p>
        </w:tc>
        <w:tc>
          <w:tcPr>
            <w:tcW w:w="698" w:type="dxa"/>
            <w:tcBorders>
              <w:top w:val="nil"/>
              <w:left w:val="nil"/>
              <w:bottom w:val="single" w:sz="4" w:space="0" w:color="auto"/>
              <w:right w:val="single" w:sz="4" w:space="0" w:color="auto"/>
            </w:tcBorders>
            <w:shd w:val="clear" w:color="000000" w:fill="FFFFFF"/>
            <w:noWrap/>
            <w:vAlign w:val="bottom"/>
            <w:hideMark/>
          </w:tcPr>
          <w:p w14:paraId="5199686A"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0.988437</w:t>
            </w:r>
          </w:p>
        </w:tc>
      </w:tr>
      <w:tr w:rsidR="00D9416A" w:rsidRPr="00D9416A" w14:paraId="6C6BAF33"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31D6279"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10</w:t>
            </w:r>
          </w:p>
        </w:tc>
        <w:tc>
          <w:tcPr>
            <w:tcW w:w="698" w:type="dxa"/>
            <w:tcBorders>
              <w:top w:val="nil"/>
              <w:left w:val="nil"/>
              <w:bottom w:val="single" w:sz="4" w:space="0" w:color="auto"/>
              <w:right w:val="single" w:sz="4" w:space="0" w:color="auto"/>
            </w:tcBorders>
            <w:shd w:val="clear" w:color="000000" w:fill="FFFFFF"/>
            <w:noWrap/>
            <w:vAlign w:val="bottom"/>
            <w:hideMark/>
          </w:tcPr>
          <w:p w14:paraId="39577D3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0.986702</w:t>
            </w:r>
          </w:p>
        </w:tc>
      </w:tr>
      <w:tr w:rsidR="00D9416A" w:rsidRPr="00D9416A" w14:paraId="6F899D28"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7A2D19E8"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10.5</w:t>
            </w:r>
          </w:p>
        </w:tc>
        <w:tc>
          <w:tcPr>
            <w:tcW w:w="698" w:type="dxa"/>
            <w:tcBorders>
              <w:top w:val="nil"/>
              <w:left w:val="nil"/>
              <w:bottom w:val="single" w:sz="4" w:space="0" w:color="auto"/>
              <w:right w:val="single" w:sz="4" w:space="0" w:color="auto"/>
            </w:tcBorders>
            <w:shd w:val="clear" w:color="000000" w:fill="FFFFFF"/>
            <w:noWrap/>
            <w:vAlign w:val="bottom"/>
            <w:hideMark/>
          </w:tcPr>
          <w:p w14:paraId="2F47C627"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0.986702</w:t>
            </w:r>
          </w:p>
        </w:tc>
      </w:tr>
      <w:tr w:rsidR="00D9416A" w:rsidRPr="00D9416A" w14:paraId="053103F0"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0D5F0351"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11</w:t>
            </w:r>
          </w:p>
        </w:tc>
        <w:tc>
          <w:tcPr>
            <w:tcW w:w="698" w:type="dxa"/>
            <w:tcBorders>
              <w:top w:val="nil"/>
              <w:left w:val="nil"/>
              <w:bottom w:val="single" w:sz="4" w:space="0" w:color="auto"/>
              <w:right w:val="single" w:sz="4" w:space="0" w:color="auto"/>
            </w:tcBorders>
            <w:shd w:val="clear" w:color="000000" w:fill="FFFFFF"/>
            <w:noWrap/>
            <w:vAlign w:val="bottom"/>
            <w:hideMark/>
          </w:tcPr>
          <w:p w14:paraId="110EF09A"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0.985996</w:t>
            </w:r>
          </w:p>
        </w:tc>
      </w:tr>
      <w:tr w:rsidR="00D9416A" w:rsidRPr="00D9416A" w14:paraId="563AC292"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4470C64F"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11.5</w:t>
            </w:r>
          </w:p>
        </w:tc>
        <w:tc>
          <w:tcPr>
            <w:tcW w:w="698" w:type="dxa"/>
            <w:tcBorders>
              <w:top w:val="nil"/>
              <w:left w:val="nil"/>
              <w:bottom w:val="single" w:sz="4" w:space="0" w:color="auto"/>
              <w:right w:val="single" w:sz="4" w:space="0" w:color="auto"/>
            </w:tcBorders>
            <w:shd w:val="clear" w:color="000000" w:fill="FFFFFF"/>
            <w:noWrap/>
            <w:vAlign w:val="bottom"/>
            <w:hideMark/>
          </w:tcPr>
          <w:p w14:paraId="3574A06A"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0.985932</w:t>
            </w:r>
          </w:p>
        </w:tc>
      </w:tr>
      <w:tr w:rsidR="00D9416A" w:rsidRPr="00D9416A" w14:paraId="5C484B96" w14:textId="77777777" w:rsidTr="00CB05C3">
        <w:trPr>
          <w:trHeight w:val="256"/>
        </w:trPr>
        <w:tc>
          <w:tcPr>
            <w:tcW w:w="698" w:type="dxa"/>
            <w:tcBorders>
              <w:top w:val="nil"/>
              <w:left w:val="single" w:sz="4" w:space="0" w:color="auto"/>
              <w:bottom w:val="single" w:sz="4" w:space="0" w:color="auto"/>
              <w:right w:val="single" w:sz="4" w:space="0" w:color="auto"/>
            </w:tcBorders>
            <w:shd w:val="clear" w:color="000000" w:fill="FFFFFF"/>
            <w:noWrap/>
            <w:vAlign w:val="bottom"/>
            <w:hideMark/>
          </w:tcPr>
          <w:p w14:paraId="2747407E"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12</w:t>
            </w:r>
          </w:p>
        </w:tc>
        <w:tc>
          <w:tcPr>
            <w:tcW w:w="698" w:type="dxa"/>
            <w:tcBorders>
              <w:top w:val="nil"/>
              <w:left w:val="nil"/>
              <w:bottom w:val="single" w:sz="4" w:space="0" w:color="auto"/>
              <w:right w:val="single" w:sz="4" w:space="0" w:color="auto"/>
            </w:tcBorders>
            <w:shd w:val="clear" w:color="000000" w:fill="FFFFFF"/>
            <w:noWrap/>
            <w:vAlign w:val="bottom"/>
            <w:hideMark/>
          </w:tcPr>
          <w:p w14:paraId="7381F95D" w14:textId="77777777" w:rsidR="00D9416A" w:rsidRPr="00D9416A" w:rsidRDefault="00D9416A" w:rsidP="00CB05C3">
            <w:pPr>
              <w:jc w:val="right"/>
              <w:rPr>
                <w:rFonts w:ascii="Times New Roman" w:eastAsia="Times New Roman" w:hAnsi="Times New Roman" w:cs="Times New Roman"/>
                <w:kern w:val="0"/>
                <w:sz w:val="22"/>
                <w:szCs w:val="22"/>
                <w:lang w:eastAsia="en-US"/>
                <w14:ligatures w14:val="none"/>
              </w:rPr>
            </w:pPr>
            <w:r w:rsidRPr="00D9416A">
              <w:rPr>
                <w:rFonts w:ascii="Times New Roman" w:eastAsia="Times New Roman" w:hAnsi="Times New Roman" w:cs="Times New Roman"/>
                <w:kern w:val="0"/>
                <w:sz w:val="22"/>
                <w:szCs w:val="22"/>
                <w:lang w:eastAsia="en-US"/>
                <w14:ligatures w14:val="none"/>
              </w:rPr>
              <w:t>0.985546</w:t>
            </w:r>
          </w:p>
        </w:tc>
      </w:tr>
    </w:tbl>
    <w:p w14:paraId="5C889B6C" w14:textId="77777777" w:rsidR="00D9416A" w:rsidRPr="00D9416A" w:rsidRDefault="00D9416A" w:rsidP="00D9416A">
      <w:pPr>
        <w:spacing w:line="480" w:lineRule="auto"/>
        <w:rPr>
          <w:rFonts w:ascii="Times New Roman" w:hAnsi="Times New Roman" w:cs="Times New Roman"/>
          <w:bCs/>
          <w:sz w:val="22"/>
          <w:szCs w:val="22"/>
          <w:lang w:bidi="en-US"/>
        </w:rPr>
      </w:pPr>
    </w:p>
    <w:p w14:paraId="7FBF6794" w14:textId="77777777" w:rsidR="00D9416A" w:rsidRPr="00D9416A" w:rsidRDefault="00D9416A" w:rsidP="00D9416A">
      <w:pPr>
        <w:spacing w:line="480" w:lineRule="auto"/>
        <w:rPr>
          <w:rFonts w:ascii="Times New Roman" w:hAnsi="Times New Roman" w:cs="Times New Roman"/>
          <w:bCs/>
          <w:i/>
          <w:iCs/>
          <w:sz w:val="22"/>
          <w:szCs w:val="22"/>
          <w:lang w:bidi="en-US"/>
        </w:rPr>
      </w:pPr>
      <w:r w:rsidRPr="00D9416A">
        <w:rPr>
          <w:rFonts w:ascii="Times New Roman" w:hAnsi="Times New Roman" w:cs="Times New Roman"/>
          <w:bCs/>
          <w:i/>
          <w:iCs/>
          <w:sz w:val="22"/>
          <w:szCs w:val="22"/>
          <w:lang w:bidi="en-US"/>
        </w:rPr>
        <w:t>Generate the Individual Patient Data</w:t>
      </w:r>
    </w:p>
    <w:p w14:paraId="6CF5A7CD" w14:textId="3693B5AD" w:rsidR="00D9416A" w:rsidRP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bCs/>
          <w:sz w:val="22"/>
          <w:szCs w:val="22"/>
          <w:lang w:bidi="en-US"/>
        </w:rPr>
        <w:t>This was inputted into the Excel file provided by Tierney and colleagues</w:t>
      </w:r>
      <w:r w:rsidR="00943212">
        <w:rPr>
          <w:rFonts w:ascii="Times New Roman" w:hAnsi="Times New Roman" w:cs="Times New Roman"/>
          <w:bCs/>
          <w:sz w:val="22"/>
          <w:szCs w:val="22"/>
          <w:lang w:bidi="en-US"/>
        </w:rPr>
        <w:t xml:space="preserve"> </w:t>
      </w:r>
      <w:r w:rsidR="00943212">
        <w:rPr>
          <w:rFonts w:ascii="Times New Roman" w:hAnsi="Times New Roman" w:cs="Times New Roman"/>
          <w:bCs/>
          <w:sz w:val="22"/>
          <w:szCs w:val="22"/>
          <w:lang w:bidi="en-US"/>
        </w:rPr>
        <w:fldChar w:fldCharType="begin"/>
      </w:r>
      <w:r w:rsidR="00446FA6">
        <w:rPr>
          <w:rFonts w:ascii="Times New Roman" w:hAnsi="Times New Roman" w:cs="Times New Roman"/>
          <w:bCs/>
          <w:sz w:val="22"/>
          <w:szCs w:val="22"/>
          <w:lang w:bidi="en-US"/>
        </w:rPr>
        <w:instrText xml:space="preserve"> ADDIN ZOTERO_ITEM CSL_CITATION {"citationID":"R4lnTQ1H","properties":{"formattedCitation":"[2]","plainCitation":"[2]","noteIndex":0},"citationItems":[{"id":8564,"uris":["http://zotero.org/users/1342506/items/TJX6DQSB"],"itemData":{"id":8564,"type":"article-journal","abstract":"BACKGROUND: In systematic reviews and meta-analyses, time-to-event outcomes are most appropriately analysed using hazard ratios (HRs). In the absence of individual patient data (IPD), methods are available to obtain HRs and/or associated statistics by carefully manipulating published or other summary data. Awareness and adoption of these methods is somewhat limited, perhaps because they are published in the statistical literature using statistical notation.\nMETHODS: This paper aims to 'translate' the methods for estimating a HR and associated statistics from published time-to-event-analyses into less statistical and more practical guidance and provide a corresponding, easy-to-use calculations spreadsheet, to facilitate the computational aspects.\nRESULTS: A wider audience should be able to understand published time-to-event data in individual trial reports and use it more appropriately in meta-analysis. When faced with particular circumstances, readers can refer to the relevant sections of the paper. The spreadsheet can be used to assist them in carrying out the calculations.\nCONCLUSION: The methods cannot circumvent the potential biases associated with relying on published data for systematic reviews and meta-analysis. However, this practical guide should improve the quality of the analysis and subsequent interpretation of systematic reviews and meta-analyses that include time-to-event outcomes.","container-title":"Trials","DOI":"10.1186/1745-6215-8-16","ISSN":"1745-6215","journalAbbreviation":"Trials","language":"eng","note":"PMID: 17555582\nPMCID: PMC1920534","page":"16","source":"PubMed","title":"Practical methods for incorporating summary time-to-event data into meta-analysis","volume":"8","author":[{"family":"Tierney","given":"Jayne F."},{"family":"Stewart","given":"Lesley A."},{"family":"Ghersi","given":"Davina"},{"family":"Burdett","given":"Sarah"},{"family":"Sydes","given":"Matthew R."}],"issued":{"date-parts":[["2007",6,7]]}}}],"schema":"https://github.com/citation-style-language/schema/raw/master/csl-citation.json"} </w:instrText>
      </w:r>
      <w:r w:rsidR="00943212">
        <w:rPr>
          <w:rFonts w:ascii="Times New Roman" w:hAnsi="Times New Roman" w:cs="Times New Roman"/>
          <w:bCs/>
          <w:sz w:val="22"/>
          <w:szCs w:val="22"/>
          <w:lang w:bidi="en-US"/>
        </w:rPr>
        <w:fldChar w:fldCharType="separate"/>
      </w:r>
      <w:r w:rsidR="00446FA6" w:rsidRPr="00446FA6">
        <w:rPr>
          <w:rFonts w:ascii="Times New Roman" w:hAnsi="Times New Roman" w:cs="Times New Roman"/>
          <w:sz w:val="22"/>
        </w:rPr>
        <w:t>[2]</w:t>
      </w:r>
      <w:r w:rsidR="00943212">
        <w:rPr>
          <w:rFonts w:ascii="Times New Roman" w:hAnsi="Times New Roman" w:cs="Times New Roman"/>
          <w:bCs/>
          <w:sz w:val="22"/>
          <w:szCs w:val="22"/>
          <w:lang w:bidi="en-US"/>
        </w:rPr>
        <w:fldChar w:fldCharType="end"/>
      </w:r>
      <w:r w:rsidRPr="00D9416A">
        <w:rPr>
          <w:rFonts w:ascii="Times New Roman" w:hAnsi="Times New Roman" w:cs="Times New Roman"/>
          <w:bCs/>
          <w:sz w:val="22"/>
          <w:szCs w:val="22"/>
          <w:lang w:bidi="en-US"/>
        </w:rPr>
        <w:t xml:space="preserve"> to generate the number at risk. Then we manually inputted the number at risk into the R code supplied by Guyot and colleagues</w:t>
      </w:r>
      <w:r w:rsidR="00943212">
        <w:rPr>
          <w:rFonts w:ascii="Times New Roman" w:hAnsi="Times New Roman" w:cs="Times New Roman"/>
          <w:bCs/>
          <w:sz w:val="22"/>
          <w:szCs w:val="22"/>
          <w:lang w:bidi="en-US"/>
        </w:rPr>
        <w:t xml:space="preserve"> </w:t>
      </w:r>
      <w:r w:rsidR="00943212">
        <w:rPr>
          <w:rFonts w:ascii="Times New Roman" w:hAnsi="Times New Roman" w:cs="Times New Roman"/>
          <w:bCs/>
          <w:sz w:val="22"/>
          <w:szCs w:val="22"/>
          <w:lang w:bidi="en-US"/>
        </w:rPr>
        <w:fldChar w:fldCharType="begin"/>
      </w:r>
      <w:r w:rsidR="00446FA6">
        <w:rPr>
          <w:rFonts w:ascii="Times New Roman" w:hAnsi="Times New Roman" w:cs="Times New Roman"/>
          <w:bCs/>
          <w:sz w:val="22"/>
          <w:szCs w:val="22"/>
          <w:lang w:bidi="en-US"/>
        </w:rPr>
        <w:instrText xml:space="preserve"> ADDIN ZOTERO_ITEM CSL_CITATION {"citationID":"IyjkOUeW","properties":{"formattedCitation":"[3]","plainCitation":"[3]","noteIndex":0},"citationItems":[{"id":8567,"uris":["http://zotero.org/users/1342506/items/U6FBENJW"],"itemData":{"id":8567,"type":"article-journal","abstract":"BACKGROUND: Estimates of life expectancy are a key input to cost-effectiveness analysis (CEA) models for cancer treatments. Due to the limited follow-up in Randomized Controlled Trials (RCTs), parametric models are frequently used to extrapolate survival outcomes beyond the RCT period. However, different parametric models that fit the RCT data equally well may generate highly divergent predictions of treatment-related gain in life expectancy. Here, we investigate the use of information external to the RCT data to inform model choice and estimation of life expectancy.\nMETHODS: We used Bayesian multi-parameter evidence synthesis to combine the RCT data with external information on general population survival, conditional survival from cancer registry databases, and expert opinion. We illustrate with a 5-year follow-up RCT of cetuximab plus radiotherapy v. radiotherapy alone for head and neck cancer.\nRESULTS: Standard survival time distributions were insufficiently flexible to simultaneously fit both the RCT data and external data on general population survival. Using spline models, we were able to estimate a model that was consistent with the trial data and all external data. A model integrating all sources achieved an adequate fit and predicted a 4.7-month (95% CrL: 0.4; 9.1) gain in life expectancy due to cetuximab.\nCONCLUSIONS: Long-term extrapolation using parametric models based on RCT data alone is highly unreliable and these models are unlikely to be consistent with external data. External data can be integrated with RCT data using spline models to enable long-term extrapolation. Conditional survival data could be used for many cancers and general population survival may have a role in other conditions. The use of external data should be guided by knowledge of natural history and treatment mechanisms.","container-title":"Medical Decision Making: An International Journal of the Society for Medical Decision Making","DOI":"10.1177/0272989X16670604","ISSN":"1552-681X","issue":"4","journalAbbreviation":"Med Decis Making","language":"eng","note":"PMID: 27681990\nPMCID: PMC6190619","page":"353-366","source":"PubMed","title":"Extrapolation of Survival Curves from Cancer Trials Using External Information","volume":"37","author":[{"family":"Guyot","given":"Patricia"},{"family":"Ades","given":"Anthony E."},{"family":"Beasley","given":"Matthew"},{"family":"Lueza","given":"Béranger"},{"family":"Pignon","given":"Jean-Pierre"},{"family":"Welton","given":"Nicky J."}],"issued":{"date-parts":[["2017",5]]}}}],"schema":"https://github.com/citation-style-language/schema/raw/master/csl-citation.json"} </w:instrText>
      </w:r>
      <w:r w:rsidR="00943212">
        <w:rPr>
          <w:rFonts w:ascii="Times New Roman" w:hAnsi="Times New Roman" w:cs="Times New Roman"/>
          <w:bCs/>
          <w:sz w:val="22"/>
          <w:szCs w:val="22"/>
          <w:lang w:bidi="en-US"/>
        </w:rPr>
        <w:fldChar w:fldCharType="separate"/>
      </w:r>
      <w:r w:rsidR="00446FA6" w:rsidRPr="00446FA6">
        <w:rPr>
          <w:rFonts w:ascii="Times New Roman" w:hAnsi="Times New Roman" w:cs="Times New Roman"/>
          <w:sz w:val="22"/>
        </w:rPr>
        <w:t>[3]</w:t>
      </w:r>
      <w:r w:rsidR="00943212">
        <w:rPr>
          <w:rFonts w:ascii="Times New Roman" w:hAnsi="Times New Roman" w:cs="Times New Roman"/>
          <w:bCs/>
          <w:sz w:val="22"/>
          <w:szCs w:val="22"/>
          <w:lang w:bidi="en-US"/>
        </w:rPr>
        <w:fldChar w:fldCharType="end"/>
      </w:r>
      <w:r w:rsidRPr="00D9416A">
        <w:rPr>
          <w:rFonts w:ascii="Times New Roman" w:hAnsi="Times New Roman" w:cs="Times New Roman"/>
          <w:bCs/>
          <w:sz w:val="22"/>
          <w:szCs w:val="22"/>
          <w:lang w:bidi="en-US"/>
        </w:rPr>
        <w:t xml:space="preserve"> to generate the individual patient data (IPD). </w:t>
      </w:r>
    </w:p>
    <w:p w14:paraId="27335A3C" w14:textId="77777777" w:rsidR="00D9416A" w:rsidRPr="00D9416A" w:rsidRDefault="00D9416A" w:rsidP="00D9416A">
      <w:pPr>
        <w:spacing w:line="480" w:lineRule="auto"/>
        <w:rPr>
          <w:rFonts w:ascii="Times New Roman" w:hAnsi="Times New Roman" w:cs="Times New Roman"/>
          <w:bCs/>
          <w:sz w:val="22"/>
          <w:szCs w:val="22"/>
          <w:lang w:bidi="en-US"/>
        </w:rPr>
      </w:pPr>
    </w:p>
    <w:p w14:paraId="781985E3" w14:textId="77777777" w:rsidR="00D9416A" w:rsidRPr="00D9416A" w:rsidRDefault="00D9416A" w:rsidP="00D9416A">
      <w:pPr>
        <w:spacing w:line="480" w:lineRule="auto"/>
        <w:rPr>
          <w:rFonts w:ascii="Times New Roman" w:hAnsi="Times New Roman" w:cs="Times New Roman"/>
          <w:bCs/>
          <w:i/>
          <w:iCs/>
          <w:sz w:val="22"/>
          <w:szCs w:val="22"/>
          <w:lang w:bidi="en-US"/>
        </w:rPr>
      </w:pPr>
      <w:r w:rsidRPr="00D9416A">
        <w:rPr>
          <w:rFonts w:ascii="Times New Roman" w:hAnsi="Times New Roman" w:cs="Times New Roman"/>
          <w:bCs/>
          <w:i/>
          <w:iCs/>
          <w:sz w:val="22"/>
          <w:szCs w:val="22"/>
          <w:lang w:bidi="en-US"/>
        </w:rPr>
        <w:t>Survival curve fit and extrapolation</w:t>
      </w:r>
    </w:p>
    <w:p w14:paraId="06324A5B" w14:textId="77777777" w:rsidR="00D9416A" w:rsidRP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bCs/>
          <w:sz w:val="22"/>
          <w:szCs w:val="22"/>
          <w:lang w:bidi="en-US"/>
        </w:rPr>
        <w:lastRenderedPageBreak/>
        <w:t xml:space="preserve">We tested several parametric survival curve functions including the Weibull, Exponential, Generalized Gamma, Log-normal, and Gompertz survival curves. The Weibull had the best fit based on Akaike Information Criterion (AIC) values. </w:t>
      </w:r>
    </w:p>
    <w:p w14:paraId="525B4652" w14:textId="77777777" w:rsidR="00D9416A" w:rsidRPr="00D9416A" w:rsidRDefault="00D9416A" w:rsidP="00D9416A">
      <w:pPr>
        <w:spacing w:line="480" w:lineRule="auto"/>
        <w:rPr>
          <w:rFonts w:ascii="Times New Roman" w:hAnsi="Times New Roman" w:cs="Times New Roman"/>
          <w:bCs/>
          <w:sz w:val="22"/>
          <w:szCs w:val="22"/>
          <w:lang w:bidi="en-US"/>
        </w:rPr>
      </w:pPr>
    </w:p>
    <w:p w14:paraId="12A599A6" w14:textId="77777777" w:rsidR="00D9416A" w:rsidRP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bCs/>
          <w:sz w:val="22"/>
          <w:szCs w:val="22"/>
          <w:lang w:bidi="en-US"/>
        </w:rPr>
        <w:t>Image of the Weibull fit to the digitized Kaplan-Meier curve.</w:t>
      </w:r>
    </w:p>
    <w:p w14:paraId="76043152" w14:textId="77777777" w:rsidR="00D9416A" w:rsidRP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noProof/>
          <w:sz w:val="22"/>
          <w:szCs w:val="22"/>
          <w:lang w:val="en-IN" w:eastAsia="en-IN"/>
        </w:rPr>
        <w:drawing>
          <wp:inline distT="0" distB="0" distL="0" distR="0" wp14:anchorId="29B24C3E" wp14:editId="0CA8E3AA">
            <wp:extent cx="4166483" cy="2547964"/>
            <wp:effectExtent l="0" t="0" r="5715" b="5080"/>
            <wp:docPr id="1416868412" name="Picture 2"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68412" name="Picture 2" descr="A graph of a lin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4131" cy="2558756"/>
                    </a:xfrm>
                    <a:prstGeom prst="rect">
                      <a:avLst/>
                    </a:prstGeom>
                    <a:noFill/>
                    <a:ln>
                      <a:noFill/>
                    </a:ln>
                  </pic:spPr>
                </pic:pic>
              </a:graphicData>
            </a:graphic>
          </wp:inline>
        </w:drawing>
      </w:r>
    </w:p>
    <w:p w14:paraId="19E50396" w14:textId="77777777" w:rsidR="00D9416A" w:rsidRPr="00D9416A" w:rsidRDefault="00D9416A" w:rsidP="00D9416A">
      <w:pPr>
        <w:spacing w:line="480" w:lineRule="auto"/>
        <w:rPr>
          <w:rFonts w:ascii="Times New Roman" w:hAnsi="Times New Roman" w:cs="Times New Roman"/>
          <w:bCs/>
          <w:sz w:val="22"/>
          <w:szCs w:val="22"/>
          <w:lang w:bidi="en-US"/>
        </w:rPr>
      </w:pPr>
    </w:p>
    <w:p w14:paraId="01C76172" w14:textId="77777777" w:rsidR="00D9416A" w:rsidRDefault="00D9416A" w:rsidP="00D9416A">
      <w:pPr>
        <w:spacing w:line="480" w:lineRule="auto"/>
        <w:rPr>
          <w:rFonts w:ascii="Times New Roman" w:hAnsi="Times New Roman" w:cs="Times New Roman"/>
          <w:bCs/>
          <w:sz w:val="22"/>
          <w:szCs w:val="22"/>
          <w:lang w:bidi="en-US"/>
        </w:rPr>
      </w:pPr>
      <w:r w:rsidRPr="00D9416A">
        <w:rPr>
          <w:rFonts w:ascii="Times New Roman" w:hAnsi="Times New Roman" w:cs="Times New Roman"/>
          <w:bCs/>
          <w:sz w:val="22"/>
          <w:szCs w:val="22"/>
          <w:lang w:bidi="en-US"/>
        </w:rPr>
        <w:t xml:space="preserve">We generated the lambda and gamma parameters from the Weibull function and used those in our extrapolation beyond 12 months. We extrapolated survival for up to 65 cycles in the Markov model (equivalent to when the subjects reached 85 years old) at which point we assumed they reached the Death absorbing state. </w:t>
      </w:r>
    </w:p>
    <w:p w14:paraId="05B629B0" w14:textId="77777777" w:rsidR="00EF0F02" w:rsidRDefault="00EF0F02" w:rsidP="00D9416A">
      <w:pPr>
        <w:spacing w:line="480" w:lineRule="auto"/>
        <w:rPr>
          <w:rFonts w:ascii="Times New Roman" w:hAnsi="Times New Roman" w:cs="Times New Roman"/>
          <w:bCs/>
          <w:sz w:val="22"/>
          <w:szCs w:val="22"/>
          <w:lang w:bidi="en-US"/>
        </w:rPr>
      </w:pPr>
    </w:p>
    <w:p w14:paraId="37A41070" w14:textId="2356AA34" w:rsidR="0017290E" w:rsidRDefault="00FD7545" w:rsidP="00D9416A">
      <w:pPr>
        <w:spacing w:line="480" w:lineRule="auto"/>
        <w:rPr>
          <w:rFonts w:ascii="Times New Roman" w:hAnsi="Times New Roman" w:cs="Times New Roman"/>
          <w:bCs/>
          <w:sz w:val="22"/>
          <w:szCs w:val="22"/>
          <w:lang w:bidi="en-US"/>
        </w:rPr>
      </w:pPr>
      <w:r>
        <w:rPr>
          <w:rFonts w:ascii="Times New Roman" w:hAnsi="Times New Roman" w:cs="Times New Roman"/>
          <w:bCs/>
          <w:sz w:val="22"/>
          <w:szCs w:val="22"/>
          <w:lang w:bidi="en-US"/>
        </w:rPr>
        <w:t xml:space="preserve">Survival curve fittings and evaluations were performed using </w:t>
      </w:r>
      <w:r w:rsidRPr="00FD7545">
        <w:rPr>
          <w:rFonts w:ascii="Times New Roman" w:hAnsi="Times New Roman" w:cs="Times New Roman"/>
          <w:bCs/>
          <w:sz w:val="22"/>
          <w:szCs w:val="22"/>
          <w:lang w:bidi="en-US"/>
        </w:rPr>
        <w:t>R (version 4.4.2; R Core Team, 2024).</w:t>
      </w:r>
    </w:p>
    <w:p w14:paraId="7C403BE8" w14:textId="77777777" w:rsidR="00567486" w:rsidRPr="00D9416A" w:rsidRDefault="00567486" w:rsidP="00D9416A">
      <w:pPr>
        <w:spacing w:line="480" w:lineRule="auto"/>
        <w:rPr>
          <w:rFonts w:ascii="Times New Roman" w:hAnsi="Times New Roman" w:cs="Times New Roman"/>
          <w:bCs/>
          <w:sz w:val="22"/>
          <w:szCs w:val="22"/>
          <w:lang w:bidi="en-US"/>
        </w:rPr>
      </w:pPr>
    </w:p>
    <w:p w14:paraId="0DF1626C" w14:textId="77777777" w:rsidR="00DC4E58" w:rsidRDefault="00DC4E58">
      <w:pPr>
        <w:spacing w:after="160" w:line="278" w:lineRule="auto"/>
        <w:rPr>
          <w:rFonts w:ascii="Times New Roman" w:hAnsi="Times New Roman" w:cs="Times New Roman"/>
          <w:b/>
          <w:sz w:val="22"/>
          <w:szCs w:val="22"/>
          <w:lang w:bidi="en-US"/>
        </w:rPr>
      </w:pPr>
      <w:r>
        <w:rPr>
          <w:rFonts w:ascii="Times New Roman" w:hAnsi="Times New Roman" w:cs="Times New Roman"/>
          <w:b/>
          <w:sz w:val="22"/>
          <w:szCs w:val="22"/>
          <w:lang w:bidi="en-US"/>
        </w:rPr>
        <w:br w:type="page"/>
      </w:r>
    </w:p>
    <w:p w14:paraId="56C1FA0C" w14:textId="0E71D4F1" w:rsidR="00D9416A" w:rsidRPr="00D9416A" w:rsidRDefault="00D9416A" w:rsidP="00A446D1">
      <w:pPr>
        <w:rPr>
          <w:rFonts w:ascii="Times New Roman" w:hAnsi="Times New Roman" w:cs="Times New Roman"/>
          <w:b/>
          <w:sz w:val="22"/>
          <w:szCs w:val="22"/>
          <w:lang w:bidi="en-US"/>
        </w:rPr>
      </w:pPr>
      <w:r w:rsidRPr="00D9416A">
        <w:rPr>
          <w:rFonts w:ascii="Times New Roman" w:hAnsi="Times New Roman" w:cs="Times New Roman"/>
          <w:b/>
          <w:sz w:val="22"/>
          <w:szCs w:val="22"/>
          <w:lang w:bidi="en-US"/>
        </w:rPr>
        <w:lastRenderedPageBreak/>
        <w:t>Supplement S</w:t>
      </w:r>
      <w:r w:rsidR="00DC4E58">
        <w:rPr>
          <w:rFonts w:ascii="Times New Roman" w:hAnsi="Times New Roman" w:cs="Times New Roman"/>
          <w:b/>
          <w:sz w:val="22"/>
          <w:szCs w:val="22"/>
          <w:lang w:bidi="en-US"/>
        </w:rPr>
        <w:t>4</w:t>
      </w:r>
      <w:r w:rsidRPr="00D9416A">
        <w:rPr>
          <w:rFonts w:ascii="Times New Roman" w:hAnsi="Times New Roman" w:cs="Times New Roman"/>
          <w:b/>
          <w:sz w:val="22"/>
          <w:szCs w:val="22"/>
          <w:lang w:bidi="en-US"/>
        </w:rPr>
        <w:t>. Scenario analyses of varying academic detailing effectiveness.</w:t>
      </w:r>
    </w:p>
    <w:tbl>
      <w:tblPr>
        <w:tblStyle w:val="TableGrid"/>
        <w:tblW w:w="9105" w:type="dxa"/>
        <w:tblLook w:val="04A0" w:firstRow="1" w:lastRow="0" w:firstColumn="1" w:lastColumn="0" w:noHBand="0" w:noVBand="1"/>
      </w:tblPr>
      <w:tblGrid>
        <w:gridCol w:w="3534"/>
        <w:gridCol w:w="1344"/>
        <w:gridCol w:w="1344"/>
        <w:gridCol w:w="1344"/>
        <w:gridCol w:w="1539"/>
      </w:tblGrid>
      <w:tr w:rsidR="00446FA6" w:rsidRPr="00B45A5A" w14:paraId="0FBB32AF" w14:textId="550475C7" w:rsidTr="00A446D1">
        <w:trPr>
          <w:trHeight w:val="423"/>
        </w:trPr>
        <w:tc>
          <w:tcPr>
            <w:tcW w:w="3534" w:type="dxa"/>
            <w:noWrap/>
            <w:vAlign w:val="center"/>
            <w:hideMark/>
          </w:tcPr>
          <w:p w14:paraId="6AA2787F" w14:textId="3763D7BC" w:rsidR="00FB2C41" w:rsidRPr="00A446D1" w:rsidRDefault="00CE083A" w:rsidP="00A446D1">
            <w:pPr>
              <w:rPr>
                <w:rFonts w:ascii="Times New Roman" w:hAnsi="Times New Roman" w:cs="Times New Roman"/>
                <w:b/>
                <w:sz w:val="20"/>
                <w:szCs w:val="20"/>
                <w:lang w:bidi="en-US"/>
              </w:rPr>
            </w:pPr>
            <w:r w:rsidRPr="00A446D1">
              <w:rPr>
                <w:rFonts w:ascii="Times New Roman" w:hAnsi="Times New Roman" w:cs="Times New Roman"/>
                <w:b/>
                <w:sz w:val="20"/>
                <w:szCs w:val="20"/>
                <w:lang w:bidi="en-US"/>
              </w:rPr>
              <w:t>Scenario</w:t>
            </w:r>
            <w:r w:rsidR="00375B4A" w:rsidRPr="00A446D1">
              <w:rPr>
                <w:rFonts w:ascii="Times New Roman" w:hAnsi="Times New Roman" w:cs="Times New Roman"/>
                <w:b/>
                <w:sz w:val="20"/>
                <w:szCs w:val="20"/>
                <w:lang w:bidi="en-US"/>
              </w:rPr>
              <w:t xml:space="preserve"> 1</w:t>
            </w:r>
            <w:r w:rsidRPr="00A446D1">
              <w:rPr>
                <w:rFonts w:ascii="Times New Roman" w:hAnsi="Times New Roman" w:cs="Times New Roman"/>
                <w:b/>
                <w:sz w:val="20"/>
                <w:szCs w:val="20"/>
                <w:lang w:bidi="en-US"/>
              </w:rPr>
              <w:t xml:space="preserve"> - AD Effectiveness</w:t>
            </w:r>
          </w:p>
        </w:tc>
        <w:tc>
          <w:tcPr>
            <w:tcW w:w="1344" w:type="dxa"/>
            <w:noWrap/>
            <w:vAlign w:val="center"/>
            <w:hideMark/>
          </w:tcPr>
          <w:p w14:paraId="75F58DAE" w14:textId="7C3EAE97" w:rsidR="00FB2C41" w:rsidRPr="00A446D1" w:rsidRDefault="00FB2C41" w:rsidP="00A446D1">
            <w:pPr>
              <w:jc w:val="center"/>
              <w:rPr>
                <w:rFonts w:ascii="Times New Roman" w:hAnsi="Times New Roman" w:cs="Times New Roman"/>
                <w:b/>
                <w:sz w:val="20"/>
                <w:szCs w:val="20"/>
                <w:lang w:bidi="en-US"/>
              </w:rPr>
            </w:pPr>
            <w:r w:rsidRPr="00A446D1">
              <w:rPr>
                <w:rFonts w:ascii="Times New Roman" w:hAnsi="Times New Roman" w:cs="Times New Roman"/>
                <w:b/>
                <w:sz w:val="20"/>
                <w:szCs w:val="20"/>
                <w:lang w:bidi="en-US"/>
              </w:rPr>
              <w:t>Incremental Cost (US$)</w:t>
            </w:r>
          </w:p>
        </w:tc>
        <w:tc>
          <w:tcPr>
            <w:tcW w:w="1344" w:type="dxa"/>
            <w:noWrap/>
            <w:vAlign w:val="center"/>
            <w:hideMark/>
          </w:tcPr>
          <w:p w14:paraId="68493B7A" w14:textId="77777777" w:rsidR="00FB2C41" w:rsidRPr="00A446D1" w:rsidRDefault="00FB2C41" w:rsidP="00A446D1">
            <w:pPr>
              <w:jc w:val="center"/>
              <w:rPr>
                <w:rFonts w:ascii="Times New Roman" w:hAnsi="Times New Roman" w:cs="Times New Roman"/>
                <w:b/>
                <w:sz w:val="20"/>
                <w:szCs w:val="20"/>
                <w:lang w:bidi="en-US"/>
              </w:rPr>
            </w:pPr>
            <w:r w:rsidRPr="00A446D1">
              <w:rPr>
                <w:rFonts w:ascii="Times New Roman" w:hAnsi="Times New Roman" w:cs="Times New Roman"/>
                <w:b/>
                <w:sz w:val="20"/>
                <w:szCs w:val="20"/>
                <w:lang w:bidi="en-US"/>
              </w:rPr>
              <w:t>Incremental QALY</w:t>
            </w:r>
          </w:p>
        </w:tc>
        <w:tc>
          <w:tcPr>
            <w:tcW w:w="1344" w:type="dxa"/>
            <w:noWrap/>
            <w:vAlign w:val="center"/>
            <w:hideMark/>
          </w:tcPr>
          <w:p w14:paraId="5C7BAD7B" w14:textId="611796F7" w:rsidR="00FB2C41" w:rsidRPr="00A446D1" w:rsidRDefault="00FB2C41" w:rsidP="00A446D1">
            <w:pPr>
              <w:jc w:val="center"/>
              <w:rPr>
                <w:rFonts w:ascii="Times New Roman" w:hAnsi="Times New Roman" w:cs="Times New Roman"/>
                <w:b/>
                <w:sz w:val="20"/>
                <w:szCs w:val="20"/>
                <w:lang w:bidi="en-US"/>
              </w:rPr>
            </w:pPr>
            <w:r w:rsidRPr="00A446D1">
              <w:rPr>
                <w:rFonts w:ascii="Times New Roman" w:hAnsi="Times New Roman" w:cs="Times New Roman"/>
                <w:b/>
                <w:sz w:val="20"/>
                <w:szCs w:val="20"/>
                <w:lang w:bidi="en-US"/>
              </w:rPr>
              <w:t>ICER (US$ per QALY gained)</w:t>
            </w:r>
          </w:p>
        </w:tc>
        <w:tc>
          <w:tcPr>
            <w:tcW w:w="1539" w:type="dxa"/>
            <w:vAlign w:val="center"/>
          </w:tcPr>
          <w:p w14:paraId="27272F75" w14:textId="007E4897" w:rsidR="00FB2C41" w:rsidRPr="00A446D1" w:rsidRDefault="00FB2C41" w:rsidP="00A446D1">
            <w:pPr>
              <w:jc w:val="center"/>
              <w:rPr>
                <w:rFonts w:ascii="Times New Roman" w:hAnsi="Times New Roman" w:cs="Times New Roman"/>
                <w:b/>
                <w:sz w:val="20"/>
                <w:szCs w:val="20"/>
                <w:lang w:bidi="en-US"/>
              </w:rPr>
            </w:pPr>
            <w:r w:rsidRPr="00A446D1">
              <w:rPr>
                <w:rFonts w:ascii="Times New Roman" w:hAnsi="Times New Roman" w:cs="Times New Roman"/>
                <w:b/>
                <w:sz w:val="20"/>
                <w:szCs w:val="20"/>
                <w:lang w:bidi="en-US"/>
              </w:rPr>
              <w:t>iNMB (US$)</w:t>
            </w:r>
          </w:p>
        </w:tc>
      </w:tr>
      <w:tr w:rsidR="00446FA6" w:rsidRPr="00B45A5A" w14:paraId="6CC63FA2" w14:textId="6677638C" w:rsidTr="00A446D1">
        <w:trPr>
          <w:trHeight w:val="423"/>
        </w:trPr>
        <w:tc>
          <w:tcPr>
            <w:tcW w:w="3534" w:type="dxa"/>
            <w:noWrap/>
            <w:vAlign w:val="center"/>
            <w:hideMark/>
          </w:tcPr>
          <w:p w14:paraId="1B9425BD" w14:textId="4002E0B7" w:rsidR="00FB2C41" w:rsidRPr="00A446D1" w:rsidRDefault="00FB2C41"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Base</w:t>
            </w:r>
            <w:r w:rsidR="001E1294" w:rsidRPr="00A446D1">
              <w:rPr>
                <w:rFonts w:ascii="Times New Roman" w:hAnsi="Times New Roman" w:cs="Times New Roman"/>
                <w:bCs/>
                <w:sz w:val="20"/>
                <w:szCs w:val="20"/>
                <w:lang w:bidi="en-US"/>
              </w:rPr>
              <w:t>-c</w:t>
            </w:r>
            <w:r w:rsidRPr="00A446D1">
              <w:rPr>
                <w:rFonts w:ascii="Times New Roman" w:hAnsi="Times New Roman" w:cs="Times New Roman"/>
                <w:bCs/>
                <w:sz w:val="20"/>
                <w:szCs w:val="20"/>
                <w:lang w:bidi="en-US"/>
              </w:rPr>
              <w:t>ase*</w:t>
            </w:r>
            <w:r w:rsidR="0013760D" w:rsidRPr="00A446D1">
              <w:rPr>
                <w:rFonts w:ascii="Times New Roman" w:hAnsi="Times New Roman" w:cs="Times New Roman"/>
                <w:bCs/>
                <w:sz w:val="20"/>
                <w:szCs w:val="20"/>
                <w:lang w:bidi="en-US"/>
              </w:rPr>
              <w:t xml:space="preserve">: AD Effectiveness = </w:t>
            </w:r>
            <w:r w:rsidR="00555378" w:rsidRPr="00A446D1">
              <w:rPr>
                <w:rFonts w:ascii="Times New Roman" w:hAnsi="Times New Roman" w:cs="Times New Roman"/>
                <w:bCs/>
                <w:sz w:val="20"/>
                <w:szCs w:val="20"/>
                <w:lang w:bidi="en-US"/>
              </w:rPr>
              <w:t>80%</w:t>
            </w:r>
          </w:p>
        </w:tc>
        <w:tc>
          <w:tcPr>
            <w:tcW w:w="1344" w:type="dxa"/>
            <w:noWrap/>
            <w:vAlign w:val="center"/>
            <w:hideMark/>
          </w:tcPr>
          <w:p w14:paraId="1D78860D" w14:textId="4973AB0A"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309</w:t>
            </w:r>
          </w:p>
        </w:tc>
        <w:tc>
          <w:tcPr>
            <w:tcW w:w="1344" w:type="dxa"/>
            <w:noWrap/>
            <w:vAlign w:val="center"/>
            <w:hideMark/>
          </w:tcPr>
          <w:p w14:paraId="33BB51A7" w14:textId="7575814F"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0.6</w:t>
            </w:r>
            <w:r w:rsidR="00ED12D0" w:rsidRPr="00A446D1">
              <w:rPr>
                <w:rFonts w:ascii="Times New Roman" w:hAnsi="Times New Roman" w:cs="Times New Roman"/>
                <w:sz w:val="20"/>
                <w:szCs w:val="20"/>
              </w:rPr>
              <w:t>0</w:t>
            </w:r>
          </w:p>
        </w:tc>
        <w:tc>
          <w:tcPr>
            <w:tcW w:w="1344" w:type="dxa"/>
            <w:noWrap/>
            <w:vAlign w:val="center"/>
            <w:hideMark/>
          </w:tcPr>
          <w:p w14:paraId="34383E99" w14:textId="37EEBC5F"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514</w:t>
            </w:r>
          </w:p>
        </w:tc>
        <w:tc>
          <w:tcPr>
            <w:tcW w:w="1539" w:type="dxa"/>
            <w:vAlign w:val="center"/>
          </w:tcPr>
          <w:p w14:paraId="0D32E9E6" w14:textId="5CBD47F9" w:rsidR="00FB2C41" w:rsidRPr="00A446D1" w:rsidRDefault="00906ACD" w:rsidP="00A446D1">
            <w:pPr>
              <w:jc w:val="center"/>
              <w:rPr>
                <w:rFonts w:ascii="Times New Roman" w:hAnsi="Times New Roman" w:cs="Times New Roman"/>
                <w:sz w:val="20"/>
                <w:szCs w:val="20"/>
              </w:rPr>
            </w:pPr>
            <w:r w:rsidRPr="00A446D1">
              <w:rPr>
                <w:rFonts w:ascii="Times New Roman" w:hAnsi="Times New Roman" w:cs="Times New Roman"/>
                <w:sz w:val="20"/>
                <w:szCs w:val="20"/>
              </w:rPr>
              <w:t>US$29,</w:t>
            </w:r>
            <w:r w:rsidR="00ED12D0" w:rsidRPr="00A446D1">
              <w:rPr>
                <w:rFonts w:ascii="Times New Roman" w:hAnsi="Times New Roman" w:cs="Times New Roman"/>
                <w:sz w:val="20"/>
                <w:szCs w:val="20"/>
              </w:rPr>
              <w:t>739</w:t>
            </w:r>
          </w:p>
        </w:tc>
      </w:tr>
      <w:tr w:rsidR="00446FA6" w:rsidRPr="00B45A5A" w14:paraId="34AE9701" w14:textId="4A24581A" w:rsidTr="00A446D1">
        <w:trPr>
          <w:trHeight w:val="899"/>
        </w:trPr>
        <w:tc>
          <w:tcPr>
            <w:tcW w:w="3534" w:type="dxa"/>
            <w:noWrap/>
            <w:vAlign w:val="center"/>
            <w:hideMark/>
          </w:tcPr>
          <w:p w14:paraId="3C4A3B5F" w14:textId="647F15E3" w:rsidR="00FB2C41" w:rsidRPr="00A446D1" w:rsidRDefault="00FB2C41"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Scenario 1</w:t>
            </w:r>
            <w:r w:rsidR="00C86151" w:rsidRPr="00A446D1">
              <w:rPr>
                <w:rFonts w:ascii="Times New Roman" w:hAnsi="Times New Roman" w:cs="Times New Roman"/>
                <w:bCs/>
                <w:sz w:val="20"/>
                <w:szCs w:val="20"/>
                <w:lang w:bidi="en-US"/>
              </w:rPr>
              <w:t>a</w:t>
            </w:r>
            <w:r w:rsidR="002D0CB3" w:rsidRPr="00A446D1">
              <w:rPr>
                <w:rFonts w:ascii="Times New Roman" w:hAnsi="Times New Roman" w:cs="Times New Roman"/>
                <w:bCs/>
                <w:sz w:val="20"/>
                <w:szCs w:val="20"/>
                <w:lang w:bidi="en-US"/>
              </w:rPr>
              <w:t xml:space="preserve"> (Best</w:t>
            </w:r>
            <w:r w:rsidR="00374851" w:rsidRPr="00A446D1">
              <w:rPr>
                <w:rFonts w:ascii="Times New Roman" w:hAnsi="Times New Roman" w:cs="Times New Roman"/>
                <w:bCs/>
                <w:sz w:val="20"/>
                <w:szCs w:val="20"/>
                <w:lang w:bidi="en-US"/>
              </w:rPr>
              <w:t>-c</w:t>
            </w:r>
            <w:r w:rsidR="002D0CB3" w:rsidRPr="00A446D1">
              <w:rPr>
                <w:rFonts w:ascii="Times New Roman" w:hAnsi="Times New Roman" w:cs="Times New Roman"/>
                <w:bCs/>
                <w:sz w:val="20"/>
                <w:szCs w:val="20"/>
                <w:lang w:bidi="en-US"/>
              </w:rPr>
              <w:t>ase)</w:t>
            </w:r>
            <w:r w:rsidR="004D014D" w:rsidRPr="00A446D1">
              <w:rPr>
                <w:rFonts w:ascii="Times New Roman" w:hAnsi="Times New Roman" w:cs="Times New Roman"/>
                <w:bCs/>
                <w:sz w:val="20"/>
                <w:szCs w:val="20"/>
                <w:lang w:bidi="en-US"/>
              </w:rPr>
              <w:t xml:space="preserve">: </w:t>
            </w:r>
            <w:r w:rsidRPr="00A446D1">
              <w:rPr>
                <w:rFonts w:ascii="Times New Roman" w:hAnsi="Times New Roman" w:cs="Times New Roman"/>
                <w:bCs/>
                <w:sz w:val="20"/>
                <w:szCs w:val="20"/>
                <w:lang w:bidi="en-US"/>
              </w:rPr>
              <w:t>AD Effectiveness = 90%</w:t>
            </w:r>
          </w:p>
        </w:tc>
        <w:tc>
          <w:tcPr>
            <w:tcW w:w="1344" w:type="dxa"/>
            <w:noWrap/>
            <w:vAlign w:val="center"/>
            <w:hideMark/>
          </w:tcPr>
          <w:p w14:paraId="06D4916B" w14:textId="7A779E05"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$352</w:t>
            </w:r>
          </w:p>
        </w:tc>
        <w:tc>
          <w:tcPr>
            <w:tcW w:w="1344" w:type="dxa"/>
            <w:noWrap/>
            <w:vAlign w:val="center"/>
            <w:hideMark/>
          </w:tcPr>
          <w:p w14:paraId="23DB6A8C" w14:textId="77777777"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0.70</w:t>
            </w:r>
          </w:p>
        </w:tc>
        <w:tc>
          <w:tcPr>
            <w:tcW w:w="1344" w:type="dxa"/>
            <w:noWrap/>
            <w:vAlign w:val="center"/>
            <w:hideMark/>
          </w:tcPr>
          <w:p w14:paraId="33934AF0" w14:textId="59F62FFC"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500</w:t>
            </w:r>
          </w:p>
        </w:tc>
        <w:tc>
          <w:tcPr>
            <w:tcW w:w="1539" w:type="dxa"/>
            <w:vAlign w:val="center"/>
          </w:tcPr>
          <w:p w14:paraId="6F54A899" w14:textId="549BAE49" w:rsidR="00FB2C41" w:rsidRPr="00A446D1" w:rsidRDefault="00906ACD" w:rsidP="00A446D1">
            <w:pPr>
              <w:jc w:val="center"/>
              <w:rPr>
                <w:rFonts w:ascii="Times New Roman" w:hAnsi="Times New Roman" w:cs="Times New Roman"/>
                <w:sz w:val="20"/>
                <w:szCs w:val="20"/>
              </w:rPr>
            </w:pPr>
            <w:r w:rsidRPr="00A446D1">
              <w:rPr>
                <w:rFonts w:ascii="Times New Roman" w:hAnsi="Times New Roman" w:cs="Times New Roman"/>
                <w:sz w:val="20"/>
                <w:szCs w:val="20"/>
              </w:rPr>
              <w:t>US$34,</w:t>
            </w:r>
            <w:r w:rsidR="00ED12D0" w:rsidRPr="00A446D1">
              <w:rPr>
                <w:rFonts w:ascii="Times New Roman" w:hAnsi="Times New Roman" w:cs="Times New Roman"/>
                <w:sz w:val="20"/>
                <w:szCs w:val="20"/>
              </w:rPr>
              <w:t>781</w:t>
            </w:r>
          </w:p>
        </w:tc>
      </w:tr>
      <w:tr w:rsidR="00446FA6" w:rsidRPr="00B45A5A" w14:paraId="1EED177B" w14:textId="28C93007" w:rsidTr="00A446D1">
        <w:trPr>
          <w:trHeight w:val="423"/>
        </w:trPr>
        <w:tc>
          <w:tcPr>
            <w:tcW w:w="3534" w:type="dxa"/>
            <w:noWrap/>
            <w:vAlign w:val="center"/>
            <w:hideMark/>
          </w:tcPr>
          <w:p w14:paraId="28E3D596" w14:textId="2E748CAB" w:rsidR="00FB2C41" w:rsidRPr="00A446D1" w:rsidRDefault="00FB2C41"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 xml:space="preserve">Scenario </w:t>
            </w:r>
            <w:r w:rsidR="00C86151" w:rsidRPr="00A446D1">
              <w:rPr>
                <w:rFonts w:ascii="Times New Roman" w:hAnsi="Times New Roman" w:cs="Times New Roman"/>
                <w:bCs/>
                <w:sz w:val="20"/>
                <w:szCs w:val="20"/>
                <w:lang w:bidi="en-US"/>
              </w:rPr>
              <w:t>1b</w:t>
            </w:r>
            <w:r w:rsidRPr="00A446D1">
              <w:rPr>
                <w:rFonts w:ascii="Times New Roman" w:hAnsi="Times New Roman" w:cs="Times New Roman"/>
                <w:bCs/>
                <w:sz w:val="20"/>
                <w:szCs w:val="20"/>
                <w:lang w:bidi="en-US"/>
              </w:rPr>
              <w:t xml:space="preserve"> </w:t>
            </w:r>
            <w:r w:rsidR="002D0CB3" w:rsidRPr="00A446D1">
              <w:rPr>
                <w:rFonts w:ascii="Times New Roman" w:hAnsi="Times New Roman" w:cs="Times New Roman"/>
                <w:bCs/>
                <w:sz w:val="20"/>
                <w:szCs w:val="20"/>
                <w:lang w:bidi="en-US"/>
              </w:rPr>
              <w:t>(Worst</w:t>
            </w:r>
            <w:r w:rsidR="00374851" w:rsidRPr="00A446D1">
              <w:rPr>
                <w:rFonts w:ascii="Times New Roman" w:hAnsi="Times New Roman" w:cs="Times New Roman"/>
                <w:bCs/>
                <w:sz w:val="20"/>
                <w:szCs w:val="20"/>
                <w:lang w:bidi="en-US"/>
              </w:rPr>
              <w:t>-c</w:t>
            </w:r>
            <w:r w:rsidR="002D0CB3" w:rsidRPr="00A446D1">
              <w:rPr>
                <w:rFonts w:ascii="Times New Roman" w:hAnsi="Times New Roman" w:cs="Times New Roman"/>
                <w:bCs/>
                <w:sz w:val="20"/>
                <w:szCs w:val="20"/>
                <w:lang w:bidi="en-US"/>
              </w:rPr>
              <w:t>ase)</w:t>
            </w:r>
            <w:r w:rsidR="004D014D" w:rsidRPr="00A446D1">
              <w:rPr>
                <w:rFonts w:ascii="Times New Roman" w:hAnsi="Times New Roman" w:cs="Times New Roman"/>
                <w:bCs/>
                <w:sz w:val="20"/>
                <w:szCs w:val="20"/>
                <w:lang w:bidi="en-US"/>
              </w:rPr>
              <w:t xml:space="preserve">: </w:t>
            </w:r>
            <w:r w:rsidRPr="00A446D1">
              <w:rPr>
                <w:rFonts w:ascii="Times New Roman" w:hAnsi="Times New Roman" w:cs="Times New Roman"/>
                <w:bCs/>
                <w:sz w:val="20"/>
                <w:szCs w:val="20"/>
                <w:lang w:bidi="en-US"/>
              </w:rPr>
              <w:t>AD Effectiveness = 50%</w:t>
            </w:r>
          </w:p>
        </w:tc>
        <w:tc>
          <w:tcPr>
            <w:tcW w:w="1344" w:type="dxa"/>
            <w:noWrap/>
            <w:vAlign w:val="center"/>
            <w:hideMark/>
          </w:tcPr>
          <w:p w14:paraId="47859543" w14:textId="48453FEE"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185</w:t>
            </w:r>
          </w:p>
        </w:tc>
        <w:tc>
          <w:tcPr>
            <w:tcW w:w="1344" w:type="dxa"/>
            <w:noWrap/>
            <w:vAlign w:val="center"/>
            <w:hideMark/>
          </w:tcPr>
          <w:p w14:paraId="6ABC06E6" w14:textId="23B27610"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0.3</w:t>
            </w:r>
            <w:r w:rsidR="00ED12D0" w:rsidRPr="00A446D1">
              <w:rPr>
                <w:rFonts w:ascii="Times New Roman" w:hAnsi="Times New Roman" w:cs="Times New Roman"/>
                <w:sz w:val="20"/>
                <w:szCs w:val="20"/>
              </w:rPr>
              <w:t>1</w:t>
            </w:r>
          </w:p>
        </w:tc>
        <w:tc>
          <w:tcPr>
            <w:tcW w:w="1344" w:type="dxa"/>
            <w:noWrap/>
            <w:vAlign w:val="center"/>
            <w:hideMark/>
          </w:tcPr>
          <w:p w14:paraId="4A61A468" w14:textId="10680D2C" w:rsidR="00FB2C41" w:rsidRPr="00A446D1" w:rsidRDefault="00FB2C41" w:rsidP="00A446D1">
            <w:pPr>
              <w:jc w:val="center"/>
              <w:rPr>
                <w:rFonts w:ascii="Times New Roman" w:hAnsi="Times New Roman" w:cs="Times New Roman"/>
                <w:bCs/>
                <w:sz w:val="20"/>
                <w:szCs w:val="20"/>
                <w:lang w:bidi="en-US"/>
              </w:rPr>
            </w:pPr>
            <w:r w:rsidRPr="00A446D1">
              <w:rPr>
                <w:rFonts w:ascii="Times New Roman" w:hAnsi="Times New Roman" w:cs="Times New Roman"/>
                <w:sz w:val="20"/>
                <w:szCs w:val="20"/>
              </w:rPr>
              <w:t>US$</w:t>
            </w:r>
            <w:r w:rsidR="00ED12D0" w:rsidRPr="00A446D1">
              <w:rPr>
                <w:rFonts w:ascii="Times New Roman" w:hAnsi="Times New Roman" w:cs="Times New Roman"/>
                <w:sz w:val="20"/>
                <w:szCs w:val="20"/>
              </w:rPr>
              <w:t>604</w:t>
            </w:r>
          </w:p>
        </w:tc>
        <w:tc>
          <w:tcPr>
            <w:tcW w:w="1539" w:type="dxa"/>
            <w:vAlign w:val="center"/>
          </w:tcPr>
          <w:p w14:paraId="49443FC1" w14:textId="02CDFDCC" w:rsidR="00FB2C41" w:rsidRPr="00A446D1" w:rsidRDefault="00906ACD" w:rsidP="00A446D1">
            <w:pPr>
              <w:jc w:val="center"/>
              <w:rPr>
                <w:rFonts w:ascii="Times New Roman" w:hAnsi="Times New Roman" w:cs="Times New Roman"/>
                <w:sz w:val="20"/>
                <w:szCs w:val="20"/>
              </w:rPr>
            </w:pPr>
            <w:r w:rsidRPr="00A446D1">
              <w:rPr>
                <w:rFonts w:ascii="Times New Roman" w:hAnsi="Times New Roman" w:cs="Times New Roman"/>
                <w:sz w:val="20"/>
                <w:szCs w:val="20"/>
              </w:rPr>
              <w:t>US$1</w:t>
            </w:r>
            <w:r w:rsidR="00ED12D0" w:rsidRPr="00A446D1">
              <w:rPr>
                <w:rFonts w:ascii="Times New Roman" w:hAnsi="Times New Roman" w:cs="Times New Roman"/>
                <w:sz w:val="20"/>
                <w:szCs w:val="20"/>
              </w:rPr>
              <w:t>5,133</w:t>
            </w:r>
          </w:p>
        </w:tc>
      </w:tr>
      <w:tr w:rsidR="00446FA6" w:rsidRPr="00B45A5A" w14:paraId="554DED91" w14:textId="77777777" w:rsidTr="00A446D1">
        <w:trPr>
          <w:trHeight w:val="423"/>
        </w:trPr>
        <w:tc>
          <w:tcPr>
            <w:tcW w:w="3534" w:type="dxa"/>
            <w:noWrap/>
            <w:vAlign w:val="center"/>
          </w:tcPr>
          <w:p w14:paraId="311AAECE" w14:textId="0E6F4278" w:rsidR="00BE57A5" w:rsidRPr="00A446D1" w:rsidRDefault="00BE57A5" w:rsidP="00A446D1">
            <w:pPr>
              <w:rPr>
                <w:rFonts w:ascii="Times New Roman" w:hAnsi="Times New Roman" w:cs="Times New Roman"/>
                <w:b/>
                <w:sz w:val="20"/>
                <w:szCs w:val="20"/>
                <w:lang w:bidi="en-US"/>
              </w:rPr>
            </w:pPr>
            <w:r w:rsidRPr="00A446D1">
              <w:rPr>
                <w:rFonts w:ascii="Times New Roman" w:hAnsi="Times New Roman" w:cs="Times New Roman"/>
                <w:b/>
                <w:sz w:val="20"/>
                <w:szCs w:val="20"/>
                <w:lang w:bidi="en-US"/>
              </w:rPr>
              <w:t>Scenario</w:t>
            </w:r>
            <w:r w:rsidR="00375B4A" w:rsidRPr="00A446D1">
              <w:rPr>
                <w:rFonts w:ascii="Times New Roman" w:hAnsi="Times New Roman" w:cs="Times New Roman"/>
                <w:b/>
                <w:sz w:val="20"/>
                <w:szCs w:val="20"/>
                <w:lang w:bidi="en-US"/>
              </w:rPr>
              <w:t xml:space="preserve"> 2</w:t>
            </w:r>
            <w:r w:rsidRPr="00A446D1">
              <w:rPr>
                <w:rFonts w:ascii="Times New Roman" w:hAnsi="Times New Roman" w:cs="Times New Roman"/>
                <w:b/>
                <w:sz w:val="20"/>
                <w:szCs w:val="20"/>
                <w:lang w:bidi="en-US"/>
              </w:rPr>
              <w:t xml:space="preserve"> - Disutility</w:t>
            </w:r>
          </w:p>
        </w:tc>
        <w:tc>
          <w:tcPr>
            <w:tcW w:w="1344" w:type="dxa"/>
            <w:noWrap/>
            <w:vAlign w:val="center"/>
          </w:tcPr>
          <w:p w14:paraId="67B0EE99" w14:textId="65491592" w:rsidR="00BE57A5" w:rsidRPr="00A446D1" w:rsidRDefault="00BE57A5" w:rsidP="00A446D1">
            <w:pPr>
              <w:jc w:val="center"/>
              <w:rPr>
                <w:rFonts w:ascii="Times New Roman" w:hAnsi="Times New Roman" w:cs="Times New Roman"/>
                <w:b/>
                <w:sz w:val="20"/>
                <w:szCs w:val="20"/>
              </w:rPr>
            </w:pPr>
            <w:r w:rsidRPr="00A446D1">
              <w:rPr>
                <w:rFonts w:ascii="Times New Roman" w:hAnsi="Times New Roman" w:cs="Times New Roman"/>
                <w:b/>
                <w:sz w:val="20"/>
                <w:szCs w:val="20"/>
                <w:lang w:bidi="en-US"/>
              </w:rPr>
              <w:t>Incremental Cost (US$)</w:t>
            </w:r>
          </w:p>
        </w:tc>
        <w:tc>
          <w:tcPr>
            <w:tcW w:w="1344" w:type="dxa"/>
            <w:noWrap/>
            <w:vAlign w:val="center"/>
          </w:tcPr>
          <w:p w14:paraId="09BE54A7" w14:textId="3FCD622B" w:rsidR="00BE57A5" w:rsidRPr="00A446D1" w:rsidRDefault="00BE57A5" w:rsidP="00A446D1">
            <w:pPr>
              <w:jc w:val="center"/>
              <w:rPr>
                <w:rFonts w:ascii="Times New Roman" w:hAnsi="Times New Roman" w:cs="Times New Roman"/>
                <w:b/>
                <w:sz w:val="20"/>
                <w:szCs w:val="20"/>
              </w:rPr>
            </w:pPr>
            <w:r w:rsidRPr="00A446D1">
              <w:rPr>
                <w:rFonts w:ascii="Times New Roman" w:hAnsi="Times New Roman" w:cs="Times New Roman"/>
                <w:b/>
                <w:sz w:val="20"/>
                <w:szCs w:val="20"/>
                <w:lang w:bidi="en-US"/>
              </w:rPr>
              <w:t>Incremental QALY</w:t>
            </w:r>
          </w:p>
        </w:tc>
        <w:tc>
          <w:tcPr>
            <w:tcW w:w="1344" w:type="dxa"/>
            <w:noWrap/>
            <w:vAlign w:val="center"/>
          </w:tcPr>
          <w:p w14:paraId="65C241D0" w14:textId="453BDF8A" w:rsidR="00BE57A5" w:rsidRPr="00A446D1" w:rsidRDefault="00BE57A5" w:rsidP="00A446D1">
            <w:pPr>
              <w:jc w:val="center"/>
              <w:rPr>
                <w:rFonts w:ascii="Times New Roman" w:hAnsi="Times New Roman" w:cs="Times New Roman"/>
                <w:b/>
                <w:sz w:val="20"/>
                <w:szCs w:val="20"/>
              </w:rPr>
            </w:pPr>
            <w:r w:rsidRPr="00A446D1">
              <w:rPr>
                <w:rFonts w:ascii="Times New Roman" w:hAnsi="Times New Roman" w:cs="Times New Roman"/>
                <w:b/>
                <w:sz w:val="20"/>
                <w:szCs w:val="20"/>
                <w:lang w:bidi="en-US"/>
              </w:rPr>
              <w:t>ICER (US$ per QALY gained)</w:t>
            </w:r>
          </w:p>
        </w:tc>
        <w:tc>
          <w:tcPr>
            <w:tcW w:w="1539" w:type="dxa"/>
            <w:vAlign w:val="center"/>
          </w:tcPr>
          <w:p w14:paraId="6863BCC6" w14:textId="24FB9BC2" w:rsidR="00BE57A5" w:rsidRPr="00A446D1" w:rsidRDefault="00BE57A5" w:rsidP="00A446D1">
            <w:pPr>
              <w:jc w:val="center"/>
              <w:rPr>
                <w:rFonts w:ascii="Times New Roman" w:hAnsi="Times New Roman" w:cs="Times New Roman"/>
                <w:b/>
                <w:sz w:val="20"/>
                <w:szCs w:val="20"/>
              </w:rPr>
            </w:pPr>
            <w:r w:rsidRPr="00A446D1">
              <w:rPr>
                <w:rFonts w:ascii="Times New Roman" w:hAnsi="Times New Roman" w:cs="Times New Roman"/>
                <w:b/>
                <w:sz w:val="20"/>
                <w:szCs w:val="20"/>
                <w:lang w:bidi="en-US"/>
              </w:rPr>
              <w:t>iNMB (US$)</w:t>
            </w:r>
          </w:p>
        </w:tc>
      </w:tr>
      <w:tr w:rsidR="00B45A5A" w:rsidRPr="00B45A5A" w14:paraId="4B9D850D" w14:textId="77777777" w:rsidTr="00B45A5A">
        <w:trPr>
          <w:trHeight w:val="423"/>
        </w:trPr>
        <w:tc>
          <w:tcPr>
            <w:tcW w:w="3534" w:type="dxa"/>
            <w:noWrap/>
            <w:vAlign w:val="center"/>
          </w:tcPr>
          <w:p w14:paraId="29D8F593" w14:textId="6E705B41" w:rsidR="00BE57A5" w:rsidRPr="00A446D1" w:rsidRDefault="00BE57A5" w:rsidP="00446FA6">
            <w:pPr>
              <w:rPr>
                <w:rFonts w:ascii="Times New Roman" w:hAnsi="Times New Roman" w:cs="Times New Roman"/>
                <w:bCs/>
                <w:sz w:val="20"/>
                <w:szCs w:val="20"/>
                <w:lang w:bidi="en-US"/>
              </w:rPr>
            </w:pPr>
            <w:r w:rsidRPr="00A446D1">
              <w:rPr>
                <w:rFonts w:ascii="Times New Roman" w:hAnsi="Times New Roman" w:cs="Times New Roman"/>
                <w:sz w:val="20"/>
                <w:szCs w:val="20"/>
              </w:rPr>
              <w:t>Base Case**: Disutility due to long-term effects of severe hypoxia  = -0.119</w:t>
            </w:r>
          </w:p>
        </w:tc>
        <w:tc>
          <w:tcPr>
            <w:tcW w:w="1344" w:type="dxa"/>
            <w:noWrap/>
            <w:vAlign w:val="center"/>
          </w:tcPr>
          <w:p w14:paraId="0351D043" w14:textId="0C8167F3"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$309</w:t>
            </w:r>
          </w:p>
        </w:tc>
        <w:tc>
          <w:tcPr>
            <w:tcW w:w="1344" w:type="dxa"/>
            <w:noWrap/>
            <w:vAlign w:val="center"/>
          </w:tcPr>
          <w:p w14:paraId="74AF553B" w14:textId="5B7D8F32"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0.60</w:t>
            </w:r>
          </w:p>
        </w:tc>
        <w:tc>
          <w:tcPr>
            <w:tcW w:w="1344" w:type="dxa"/>
            <w:noWrap/>
            <w:vAlign w:val="center"/>
          </w:tcPr>
          <w:p w14:paraId="0565AFCD" w14:textId="7AEB5AA9"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$514</w:t>
            </w:r>
          </w:p>
        </w:tc>
        <w:tc>
          <w:tcPr>
            <w:tcW w:w="1539" w:type="dxa"/>
            <w:vAlign w:val="center"/>
          </w:tcPr>
          <w:p w14:paraId="2915FD27" w14:textId="3201FC02"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$29,739</w:t>
            </w:r>
          </w:p>
        </w:tc>
      </w:tr>
      <w:tr w:rsidR="00B45A5A" w:rsidRPr="00B45A5A" w14:paraId="3F3D7FCC" w14:textId="77777777" w:rsidTr="00B45A5A">
        <w:trPr>
          <w:trHeight w:val="423"/>
        </w:trPr>
        <w:tc>
          <w:tcPr>
            <w:tcW w:w="3534" w:type="dxa"/>
            <w:noWrap/>
            <w:vAlign w:val="center"/>
          </w:tcPr>
          <w:p w14:paraId="74CECA6E" w14:textId="5D9905A3" w:rsidR="00BE57A5" w:rsidRPr="00A446D1" w:rsidRDefault="00BE57A5" w:rsidP="00446FA6">
            <w:pPr>
              <w:rPr>
                <w:rFonts w:ascii="Times New Roman" w:hAnsi="Times New Roman" w:cs="Times New Roman"/>
                <w:bCs/>
                <w:sz w:val="20"/>
                <w:szCs w:val="20"/>
                <w:lang w:bidi="en-US"/>
              </w:rPr>
            </w:pPr>
            <w:r w:rsidRPr="00A446D1">
              <w:rPr>
                <w:rFonts w:ascii="Times New Roman" w:hAnsi="Times New Roman" w:cs="Times New Roman"/>
                <w:sz w:val="20"/>
                <w:szCs w:val="20"/>
              </w:rPr>
              <w:t xml:space="preserve">Scenario </w:t>
            </w:r>
            <w:r w:rsidR="00C86151" w:rsidRPr="00A446D1">
              <w:rPr>
                <w:rFonts w:ascii="Times New Roman" w:hAnsi="Times New Roman" w:cs="Times New Roman"/>
                <w:sz w:val="20"/>
                <w:szCs w:val="20"/>
              </w:rPr>
              <w:t>2</w:t>
            </w:r>
            <w:r w:rsidRPr="00A446D1">
              <w:rPr>
                <w:rFonts w:ascii="Times New Roman" w:hAnsi="Times New Roman" w:cs="Times New Roman"/>
                <w:sz w:val="20"/>
                <w:szCs w:val="20"/>
              </w:rPr>
              <w:t>: Disutility due to long-term effects of severe hypoxia  = -0.19</w:t>
            </w:r>
          </w:p>
        </w:tc>
        <w:tc>
          <w:tcPr>
            <w:tcW w:w="1344" w:type="dxa"/>
            <w:noWrap/>
            <w:vAlign w:val="center"/>
          </w:tcPr>
          <w:p w14:paraId="3C38D360" w14:textId="2A2056ED"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$309</w:t>
            </w:r>
          </w:p>
        </w:tc>
        <w:tc>
          <w:tcPr>
            <w:tcW w:w="1344" w:type="dxa"/>
            <w:noWrap/>
            <w:vAlign w:val="center"/>
          </w:tcPr>
          <w:p w14:paraId="6B11D5A0" w14:textId="35B384EF"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0.59</w:t>
            </w:r>
          </w:p>
        </w:tc>
        <w:tc>
          <w:tcPr>
            <w:tcW w:w="1344" w:type="dxa"/>
            <w:noWrap/>
            <w:vAlign w:val="center"/>
          </w:tcPr>
          <w:p w14:paraId="263D4D78" w14:textId="42FF9F90"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$523</w:t>
            </w:r>
          </w:p>
        </w:tc>
        <w:tc>
          <w:tcPr>
            <w:tcW w:w="1539" w:type="dxa"/>
            <w:vAlign w:val="center"/>
          </w:tcPr>
          <w:p w14:paraId="18D1AF44" w14:textId="63992FE0" w:rsidR="00BE57A5" w:rsidRPr="00A446D1" w:rsidRDefault="00BE57A5" w:rsidP="00446FA6">
            <w:pPr>
              <w:jc w:val="center"/>
              <w:rPr>
                <w:rFonts w:ascii="Times New Roman" w:hAnsi="Times New Roman" w:cs="Times New Roman"/>
                <w:sz w:val="20"/>
                <w:szCs w:val="20"/>
              </w:rPr>
            </w:pPr>
            <w:r w:rsidRPr="00A446D1">
              <w:rPr>
                <w:rFonts w:ascii="Times New Roman" w:hAnsi="Times New Roman" w:cs="Times New Roman"/>
                <w:sz w:val="20"/>
                <w:szCs w:val="20"/>
              </w:rPr>
              <w:t>$29,215</w:t>
            </w:r>
          </w:p>
        </w:tc>
      </w:tr>
    </w:tbl>
    <w:p w14:paraId="58CE2707" w14:textId="3923A22B" w:rsidR="002B4659" w:rsidRPr="00A446D1" w:rsidRDefault="002B4659"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 xml:space="preserve">US$, </w:t>
      </w:r>
      <w:r w:rsidRPr="00A446D1">
        <w:rPr>
          <w:rFonts w:ascii="Times New Roman" w:hAnsi="Times New Roman" w:cs="Times New Roman"/>
          <w:sz w:val="20"/>
          <w:szCs w:val="20"/>
        </w:rPr>
        <w:t>United Sates dollar</w:t>
      </w:r>
    </w:p>
    <w:p w14:paraId="08AA7A2A" w14:textId="660E9745" w:rsidR="00D9416A" w:rsidRPr="00A446D1" w:rsidRDefault="00D9416A"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QALY, quality-adjusted life year</w:t>
      </w:r>
    </w:p>
    <w:p w14:paraId="0F1D64BE" w14:textId="77777777" w:rsidR="00D9416A" w:rsidRPr="00A446D1" w:rsidRDefault="00D9416A"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ICER, incremental cost-effectiveness ratio</w:t>
      </w:r>
    </w:p>
    <w:p w14:paraId="642BB5FB" w14:textId="2BF7CBB3" w:rsidR="00906ACD" w:rsidRPr="00A446D1" w:rsidRDefault="00906ACD"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iNMB, incremental net monetary benefit</w:t>
      </w:r>
    </w:p>
    <w:p w14:paraId="75AE8B70" w14:textId="77777777" w:rsidR="00D9416A" w:rsidRPr="00A446D1" w:rsidRDefault="00D9416A"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AD, academic detailing</w:t>
      </w:r>
    </w:p>
    <w:p w14:paraId="44282D4A" w14:textId="35B98C0E" w:rsidR="00D9416A" w:rsidRPr="00A446D1" w:rsidRDefault="00D9416A" w:rsidP="00CE083A">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w:t>
      </w:r>
      <w:r w:rsidR="0005795A" w:rsidRPr="00A446D1">
        <w:rPr>
          <w:rFonts w:ascii="Times New Roman" w:hAnsi="Times New Roman" w:cs="Times New Roman"/>
          <w:bCs/>
          <w:sz w:val="20"/>
          <w:szCs w:val="20"/>
          <w:lang w:bidi="en-US"/>
        </w:rPr>
        <w:t xml:space="preserve"> </w:t>
      </w:r>
      <w:r w:rsidRPr="00A446D1">
        <w:rPr>
          <w:rFonts w:ascii="Times New Roman" w:hAnsi="Times New Roman" w:cs="Times New Roman"/>
          <w:bCs/>
          <w:sz w:val="20"/>
          <w:szCs w:val="20"/>
          <w:lang w:bidi="en-US"/>
        </w:rPr>
        <w:t>In the base</w:t>
      </w:r>
      <w:r w:rsidR="001E1294" w:rsidRPr="00A446D1">
        <w:rPr>
          <w:rFonts w:ascii="Times New Roman" w:hAnsi="Times New Roman" w:cs="Times New Roman"/>
          <w:bCs/>
          <w:sz w:val="20"/>
          <w:szCs w:val="20"/>
          <w:lang w:bidi="en-US"/>
        </w:rPr>
        <w:t>-</w:t>
      </w:r>
      <w:r w:rsidRPr="00A446D1">
        <w:rPr>
          <w:rFonts w:ascii="Times New Roman" w:hAnsi="Times New Roman" w:cs="Times New Roman"/>
          <w:bCs/>
          <w:sz w:val="20"/>
          <w:szCs w:val="20"/>
          <w:lang w:bidi="en-US"/>
        </w:rPr>
        <w:t xml:space="preserve">case, we assumed that the probability of a provider prescribing naloxone would be 80% based on Behar (2017) </w:t>
      </w:r>
      <w:r w:rsidR="007826D0" w:rsidRPr="00A446D1">
        <w:rPr>
          <w:rFonts w:ascii="Times New Roman" w:hAnsi="Times New Roman" w:cs="Times New Roman"/>
          <w:bCs/>
          <w:sz w:val="20"/>
          <w:szCs w:val="20"/>
          <w:lang w:bidi="en-US"/>
        </w:rPr>
        <w:fldChar w:fldCharType="begin"/>
      </w:r>
      <w:r w:rsidR="00446FA6" w:rsidRPr="00A446D1">
        <w:rPr>
          <w:rFonts w:ascii="Times New Roman" w:hAnsi="Times New Roman" w:cs="Times New Roman"/>
          <w:bCs/>
          <w:sz w:val="20"/>
          <w:szCs w:val="20"/>
          <w:lang w:bidi="en-US"/>
        </w:rPr>
        <w:instrText xml:space="preserve"> ADDIN ZOTERO_ITEM CSL_CITATION {"citationID":"5EBc4o3O","properties":{"formattedCitation":"[4]","plainCitation":"[4]","noteIndex":0},"citationItems":[{"id":150,"uris":["http://zotero.org/users/1342506/items/355798VT"],"itemData":{"id":150,"type":"article-journal","abstract":"BACKGROUND: Naloxone co-prescription is recommended for patients on long-term opioids for pain, yet there are few data on the practice.\nOBJECTIVE: To explore naloxone co-prescribing acceptability among primary care providers for patients on long-term opioids.\nDESIGN: We surveyed providers at six safety-net primary care clinics in San Francisco that had initiated naloxone co-prescribing. Providers were encouraged to offer naloxone to patients on long-term opioids or otherwise at risk of witnessing or experiencing an overdose. Surveys were administered electronically 4 to 11 months after co-prescribing began.\nKEY RESULTS: One hundred eleven providers (69 %) responded to the survey, among whom 41.4 % were residents; 40.5 % practiced internal medicine and 55.0 % practiced family medicine. Most (79.3 %) prescribed naloxone, to a mean of 7.7 patients; 99.1 % were likely to prescribe naloxone in the future. Providers reported they were likely to prescribe naloxone to most patients, including those on low doses, defined as &lt;20 morphine equivalent mg daily (59.8 %), ≥65 years old (83.9 %), with no overdose history (80.7 %), and with no substance use disorder (73.6 %). Most providers felt that prescribing naloxone did not affect their opioid prescribing, 22.5 % felt that they might prescribe fewer opioids, and 3.6 % felt that they might prescribe more. Concerns about providing naloxone were largely administrative, relating to time and pharmacy or payer logistics. Internists (incidence rate ratio [IRR] = 0.49, 95 % CI = 0.26-0.93, p = 0.029), those licensed for 5-20 years (IRR = 2.10, 95 % CI = 1.35-3.25, p = 0.001), and those with more patients prescribed long-term opioids (IRR = 1.10, 95 % CI = 1.05-1.14, p &lt;0.001) were independently more likely to prescribe a greater number of naloxone compared to participants without these exposures.\nCONCLUSIONS: Naloxone co-prescription is considered acceptable among primary care providers. Barriers such as time and dispensing logistics may be alleviated by novel naloxone formulations intended for laypersons recently approved by the U.S. Food and Drug Administration.","container-title":"Journal of General Internal Medicine","DOI":"10.1007/s11606-016-3911-z","ISSN":"1525-1497","issue":"3","journalAbbreviation":"J Gen Intern Med","language":"eng","note":"PMID: 27815762\nPMCID: PMC5331006","page":"291-295","source":"PubMed","title":"Acceptability of Naloxone Co-Prescription Among Primary Care Providers Treating Patients on Long-Term Opioid Therapy for Pain","volume":"32","author":[{"family":"Behar","given":"Emily"},{"family":"Rowe","given":"Christopher"},{"family":"Santos","given":"Glenn-Milo"},{"family":"Coffa","given":"Diana"},{"family":"Turner","given":"Caitlin"},{"family":"Santos","given":"Nina C."},{"family":"Coffin","given":"Phillip O."}],"issued":{"date-parts":[["2017",3]]}}}],"schema":"https://github.com/citation-style-language/schema/raw/master/csl-citation.json"} </w:instrText>
      </w:r>
      <w:r w:rsidR="007826D0" w:rsidRPr="00A446D1">
        <w:rPr>
          <w:rFonts w:ascii="Times New Roman" w:hAnsi="Times New Roman" w:cs="Times New Roman"/>
          <w:bCs/>
          <w:sz w:val="20"/>
          <w:szCs w:val="20"/>
          <w:lang w:bidi="en-US"/>
        </w:rPr>
        <w:fldChar w:fldCharType="separate"/>
      </w:r>
      <w:r w:rsidR="00446FA6" w:rsidRPr="00A446D1">
        <w:rPr>
          <w:rFonts w:ascii="Times New Roman" w:hAnsi="Times New Roman" w:cs="Times New Roman"/>
          <w:sz w:val="20"/>
          <w:szCs w:val="22"/>
        </w:rPr>
        <w:t>[4]</w:t>
      </w:r>
      <w:r w:rsidR="007826D0" w:rsidRPr="00A446D1">
        <w:rPr>
          <w:rFonts w:ascii="Times New Roman" w:hAnsi="Times New Roman" w:cs="Times New Roman"/>
          <w:bCs/>
          <w:sz w:val="20"/>
          <w:szCs w:val="20"/>
          <w:lang w:bidi="en-US"/>
        </w:rPr>
        <w:fldChar w:fldCharType="end"/>
      </w:r>
      <w:r w:rsidRPr="00A446D1">
        <w:rPr>
          <w:rFonts w:ascii="Times New Roman" w:hAnsi="Times New Roman" w:cs="Times New Roman"/>
          <w:bCs/>
          <w:sz w:val="20"/>
          <w:szCs w:val="20"/>
          <w:lang w:bidi="en-US"/>
        </w:rPr>
        <w:t>.</w:t>
      </w:r>
    </w:p>
    <w:p w14:paraId="3FFC2ABE" w14:textId="3B4F8BB4" w:rsidR="0005795A" w:rsidRPr="00A446D1" w:rsidRDefault="0005795A" w:rsidP="00A446D1">
      <w:pPr>
        <w:rPr>
          <w:rFonts w:ascii="Times New Roman" w:hAnsi="Times New Roman" w:cs="Times New Roman"/>
          <w:bCs/>
          <w:sz w:val="20"/>
          <w:szCs w:val="20"/>
          <w:lang w:bidi="en-US"/>
        </w:rPr>
      </w:pPr>
      <w:r w:rsidRPr="00A446D1">
        <w:rPr>
          <w:rFonts w:ascii="Times New Roman" w:hAnsi="Times New Roman" w:cs="Times New Roman"/>
          <w:bCs/>
          <w:sz w:val="20"/>
          <w:szCs w:val="20"/>
          <w:lang w:bidi="en-US"/>
        </w:rPr>
        <w:t xml:space="preserve">** In the base-case, </w:t>
      </w:r>
      <w:r w:rsidR="00A91599" w:rsidRPr="00A446D1">
        <w:rPr>
          <w:rFonts w:ascii="Times New Roman" w:hAnsi="Times New Roman" w:cs="Times New Roman"/>
          <w:bCs/>
          <w:sz w:val="20"/>
          <w:szCs w:val="20"/>
          <w:lang w:bidi="en-US"/>
        </w:rPr>
        <w:t>we assumed that the disutility of an opioid overdose was -0.119 based studies by Townsend (</w:t>
      </w:r>
      <w:r w:rsidR="00E63F6B" w:rsidRPr="00A446D1">
        <w:rPr>
          <w:rFonts w:ascii="Times New Roman" w:hAnsi="Times New Roman" w:cs="Times New Roman"/>
          <w:bCs/>
          <w:sz w:val="20"/>
          <w:szCs w:val="20"/>
          <w:lang w:bidi="en-US"/>
        </w:rPr>
        <w:t>2020</w:t>
      </w:r>
      <w:r w:rsidR="00A91599" w:rsidRPr="00A446D1">
        <w:rPr>
          <w:rFonts w:ascii="Times New Roman" w:hAnsi="Times New Roman" w:cs="Times New Roman"/>
          <w:bCs/>
          <w:sz w:val="20"/>
          <w:szCs w:val="20"/>
          <w:lang w:bidi="en-US"/>
        </w:rPr>
        <w:t xml:space="preserve">) </w:t>
      </w:r>
      <w:r w:rsidR="007826D0" w:rsidRPr="00A446D1">
        <w:rPr>
          <w:rFonts w:ascii="Times New Roman" w:hAnsi="Times New Roman" w:cs="Times New Roman"/>
          <w:bCs/>
          <w:sz w:val="20"/>
          <w:szCs w:val="20"/>
          <w:lang w:bidi="en-US"/>
        </w:rPr>
        <w:fldChar w:fldCharType="begin"/>
      </w:r>
      <w:r w:rsidR="00446FA6" w:rsidRPr="00A446D1">
        <w:rPr>
          <w:rFonts w:ascii="Times New Roman" w:hAnsi="Times New Roman" w:cs="Times New Roman"/>
          <w:bCs/>
          <w:sz w:val="20"/>
          <w:szCs w:val="20"/>
          <w:lang w:bidi="en-US"/>
        </w:rPr>
        <w:instrText xml:space="preserve"> ADDIN ZOTERO_ITEM CSL_CITATION {"citationID":"ll2b2FFA","properties":{"formattedCitation":"[5]","plainCitation":"[5]","noteIndex":0},"citationItems":[{"id":10768,"uris":["http://zotero.org/users/1342506/items/SKNG5XPT"],"itemData":{"id":10768,"type":"article-journal","abstract":"Background\nThe U.S. is facing an unprecedented number of opioid-related overdose deaths, and an array of other countries have experienced increases in opioid-related fatalities. In the U.S., naloxone is increasingly distributed to first responders to improve early administration to overdose victims, but its cost-effectiveness has not been studied. Lay distribution, in contrast, has been found to be cost-effective, but rising naloxone prices and increased mortality due to synthetic opioids may reduce cost-effectiveness. We evaluate the cost-effectiveness of increased naloxone distribution to (a) people likely to witness or experience overdose (“laypeople”); (b) police and firefighters; (c) emergency medical services (EMS) personnel; and (d) combinations of these groups.\nMethods\nWe use a decision-analytic model to analyze the cost-effectiveness of eight naloxone distribution strategies. We use a lifetime horizon and conduct both a societal analysis (accounting for productivity and criminal justice system costs) and a health sector analysis. We calculate: the ranking of strategies by net monetary benefit; incremental cost-effectiveness ratios; and number of fatal overdoses.\nResults\nHigh distribution to all three groups maximized net monetary benefit and minimized fatal overdoses; it averted 21% of overdose deaths compared to minimum distribution. High distribution to laypeople and one of the other groups comprised the second and third best strategies. The majority of health gains resulted from increased lay distribution. In the societal analysis, every strategy was cost-saving compared to its next-best alternative; cost savings were greatest in the maximum distribution strategy. In the health sector analysis, all undominated strategies were cost-effective. Results were highly robust to deterministic and probabilistic sensitivity analysis.\nConclusions\nIncreasing naloxone distribution to laypeople and first responder groups would maximize health gains and be cost-effective. If feasible, communities should distribute naloxone to all groups; otherwise, distribution to laypeople and one of the first responder groups should be emphasized.","container-title":"International Journal of Drug Policy","DOI":"10.1016/j.drugpo.2019.07.031","ISSN":"0955-3959","journalAbbreviation":"International Journal of Drug Policy","page":"102536","source":"ScienceDirect","title":"Cost-effectiveness analysis of alternative naloxone distribution strategies: First responder and lay distribution in the United States","title-short":"Cost-effectiveness analysis of alternative naloxone distribution strategies","volume":"75","author":[{"family":"Townsend","given":"Tarlise"},{"family":"Blostein","given":"Freida"},{"family":"Doan","given":"Tran"},{"family":"Madson-Olson","given":"Samantha"},{"family":"Galecki","given":"Paige"},{"family":"Hutton","given":"David W."}],"issued":{"date-parts":[["2020",1,1]]}}}],"schema":"https://github.com/citation-style-language/schema/raw/master/csl-citation.json"} </w:instrText>
      </w:r>
      <w:r w:rsidR="007826D0" w:rsidRPr="00A446D1">
        <w:rPr>
          <w:rFonts w:ascii="Times New Roman" w:hAnsi="Times New Roman" w:cs="Times New Roman"/>
          <w:bCs/>
          <w:sz w:val="20"/>
          <w:szCs w:val="20"/>
          <w:lang w:bidi="en-US"/>
        </w:rPr>
        <w:fldChar w:fldCharType="separate"/>
      </w:r>
      <w:r w:rsidR="00446FA6" w:rsidRPr="00A446D1">
        <w:rPr>
          <w:rFonts w:ascii="Times New Roman" w:hAnsi="Times New Roman" w:cs="Times New Roman"/>
          <w:sz w:val="20"/>
          <w:szCs w:val="22"/>
        </w:rPr>
        <w:t>[5]</w:t>
      </w:r>
      <w:r w:rsidR="007826D0" w:rsidRPr="00A446D1">
        <w:rPr>
          <w:rFonts w:ascii="Times New Roman" w:hAnsi="Times New Roman" w:cs="Times New Roman"/>
          <w:bCs/>
          <w:sz w:val="20"/>
          <w:szCs w:val="20"/>
          <w:lang w:bidi="en-US"/>
        </w:rPr>
        <w:fldChar w:fldCharType="end"/>
      </w:r>
      <w:r w:rsidR="003C6005" w:rsidRPr="00A446D1">
        <w:rPr>
          <w:rFonts w:ascii="Times New Roman" w:hAnsi="Times New Roman" w:cs="Times New Roman"/>
          <w:bCs/>
          <w:sz w:val="20"/>
          <w:szCs w:val="20"/>
          <w:lang w:bidi="en-US"/>
        </w:rPr>
        <w:t xml:space="preserve"> </w:t>
      </w:r>
      <w:r w:rsidR="00A91599" w:rsidRPr="00A446D1">
        <w:rPr>
          <w:rFonts w:ascii="Times New Roman" w:hAnsi="Times New Roman" w:cs="Times New Roman"/>
          <w:bCs/>
          <w:sz w:val="20"/>
          <w:szCs w:val="20"/>
          <w:lang w:bidi="en-US"/>
        </w:rPr>
        <w:t xml:space="preserve">and </w:t>
      </w:r>
      <w:r w:rsidR="00E63F6B" w:rsidRPr="00A446D1">
        <w:rPr>
          <w:rFonts w:ascii="Times New Roman" w:hAnsi="Times New Roman" w:cs="Times New Roman"/>
          <w:bCs/>
          <w:sz w:val="20"/>
          <w:szCs w:val="20"/>
          <w:lang w:bidi="en-US"/>
        </w:rPr>
        <w:t>Rivero-Arias (</w:t>
      </w:r>
      <w:r w:rsidR="00F2408D" w:rsidRPr="00A446D1">
        <w:rPr>
          <w:rFonts w:ascii="Times New Roman" w:hAnsi="Times New Roman" w:cs="Times New Roman"/>
          <w:bCs/>
          <w:sz w:val="20"/>
          <w:szCs w:val="20"/>
          <w:lang w:bidi="en-US"/>
        </w:rPr>
        <w:t xml:space="preserve">2009) </w:t>
      </w:r>
      <w:r w:rsidR="003C6005" w:rsidRPr="00A446D1">
        <w:rPr>
          <w:rFonts w:ascii="Times New Roman" w:hAnsi="Times New Roman" w:cs="Times New Roman"/>
          <w:bCs/>
          <w:sz w:val="20"/>
          <w:szCs w:val="20"/>
          <w:lang w:bidi="en-US"/>
        </w:rPr>
        <w:fldChar w:fldCharType="begin"/>
      </w:r>
      <w:r w:rsidR="00446FA6" w:rsidRPr="00A446D1">
        <w:rPr>
          <w:rFonts w:ascii="Times New Roman" w:hAnsi="Times New Roman" w:cs="Times New Roman"/>
          <w:bCs/>
          <w:sz w:val="20"/>
          <w:szCs w:val="20"/>
          <w:lang w:bidi="en-US"/>
        </w:rPr>
        <w:instrText xml:space="preserve"> ADDIN ZOTERO_ITEM CSL_CITATION {"citationID":"v4zoysZP","properties":{"formattedCitation":"[6]","plainCitation":"[6]","noteIndex":0},"citationItems":[{"id":10684,"uris":["http://zotero.org/users/1342506/items/MB7P35F7"],"itemData":{"id":10684,"type":"article-journal","abstract":"BACKGROUND: Mapping disease-specific instruments into generic health outcomes or utility values is an expanding field of interest in health economics. This article constructs an algorithm to translate the modified Rankin scale (mRS) into EQ-5D utility values.\nMETHODS: mRS and EQ-5D information was derived from stroke or transient ischemic attack (TIA) patients identified as part of the Oxford Vascular study (OXVASC). Ordinary least squares (OLS) regression was used to predict UK EQ-5D tariffs from mRS scores. An alternative method, using multinomial logistic regression with a Monte Carlo simulation approach (MLogit) to predict responses to each EQ-5D question, was also explored. The performance of the models was compared according to the magnitude of their predicted-to-actual mean EQ-5D tariff difference, their mean absolute and mean squared errors (MAE and MSE), and associated 95% confidence intervals (CIs). Out-of-sample validation was carried out in a subset of coronary disease and peripheral vascular disease (PVD) patients also identified as part of OXVASC but not used in the original estimation.\nRESULTS: The OLS and MLogit yielded similar MAE and MSE in the internal and external validation data sets. Both approaches also underestimated the uncertainty around the actual mean EQ-5D tariff producing tighter 95% CIs in both data sets.\nCONCLUSIONS: The choice of algorithm will be dependent on the study aim. Individuals outside the United Kingdom may find it more useful to use the multinomial results, which can be used with different country-specific tariff valuations. However, these algorithms should not replace prospective collection of utility data.","container-title":"Medical Decision Making: An International Journal of the Society for Medical Decision Making","DOI":"10.1177/0272989X09349961","ISSN":"1552-681X","issue":"3","journalAbbreviation":"Med Decis Making","language":"eng","note":"PMID: 19858500","page":"341-354","source":"PubMed","title":"Mapping the modified Rankin scale (mRS) measurement into the generic EuroQol (EQ-5D) health outcome","volume":"30","author":[{"family":"Rivero-Arias","given":"Oliver"},{"family":"Ouellet","given":"Melissa"},{"family":"Gray","given":"Alastair"},{"family":"Wolstenholme","given":"Jane"},{"family":"Rothwell","given":"Peter M."},{"family":"Luengo-Fernandez","given":"Ramon"}],"issued":{"date-parts":[["2010"]]}}}],"schema":"https://github.com/citation-style-language/schema/raw/master/csl-citation.json"} </w:instrText>
      </w:r>
      <w:r w:rsidR="003C6005" w:rsidRPr="00A446D1">
        <w:rPr>
          <w:rFonts w:ascii="Times New Roman" w:hAnsi="Times New Roman" w:cs="Times New Roman"/>
          <w:bCs/>
          <w:sz w:val="20"/>
          <w:szCs w:val="20"/>
          <w:lang w:bidi="en-US"/>
        </w:rPr>
        <w:fldChar w:fldCharType="separate"/>
      </w:r>
      <w:r w:rsidR="00446FA6" w:rsidRPr="00A446D1">
        <w:rPr>
          <w:rFonts w:ascii="Times New Roman" w:hAnsi="Times New Roman" w:cs="Times New Roman"/>
          <w:sz w:val="20"/>
          <w:szCs w:val="22"/>
        </w:rPr>
        <w:t>[6]</w:t>
      </w:r>
      <w:r w:rsidR="003C6005" w:rsidRPr="00A446D1">
        <w:rPr>
          <w:rFonts w:ascii="Times New Roman" w:hAnsi="Times New Roman" w:cs="Times New Roman"/>
          <w:bCs/>
          <w:sz w:val="20"/>
          <w:szCs w:val="20"/>
          <w:lang w:bidi="en-US"/>
        </w:rPr>
        <w:fldChar w:fldCharType="end"/>
      </w:r>
      <w:r w:rsidR="00F2408D" w:rsidRPr="00A446D1">
        <w:rPr>
          <w:rFonts w:ascii="Times New Roman" w:hAnsi="Times New Roman" w:cs="Times New Roman"/>
          <w:bCs/>
          <w:sz w:val="20"/>
          <w:szCs w:val="20"/>
          <w:lang w:bidi="en-US"/>
        </w:rPr>
        <w:t>.</w:t>
      </w:r>
    </w:p>
    <w:p w14:paraId="545E5569" w14:textId="77777777" w:rsidR="00D9416A" w:rsidRPr="00D9416A" w:rsidRDefault="00D9416A" w:rsidP="00A446D1">
      <w:pPr>
        <w:rPr>
          <w:rFonts w:ascii="Times New Roman" w:hAnsi="Times New Roman" w:cs="Times New Roman"/>
          <w:bCs/>
          <w:sz w:val="22"/>
          <w:szCs w:val="22"/>
          <w:lang w:bidi="en-US"/>
        </w:rPr>
      </w:pPr>
    </w:p>
    <w:p w14:paraId="41FF7BB4" w14:textId="77777777" w:rsidR="00D9416A" w:rsidRPr="00D9416A" w:rsidRDefault="00D9416A" w:rsidP="00A446D1">
      <w:pPr>
        <w:rPr>
          <w:rFonts w:ascii="Times New Roman" w:hAnsi="Times New Roman" w:cs="Times New Roman"/>
          <w:bCs/>
          <w:sz w:val="22"/>
          <w:szCs w:val="22"/>
          <w:lang w:bidi="en-US"/>
        </w:rPr>
      </w:pPr>
    </w:p>
    <w:p w14:paraId="2940F110" w14:textId="77777777" w:rsidR="003C6005" w:rsidRDefault="003C6005">
      <w:pPr>
        <w:spacing w:after="160" w:line="278" w:lineRule="auto"/>
        <w:rPr>
          <w:rFonts w:ascii="Times New Roman" w:hAnsi="Times New Roman" w:cs="Times New Roman"/>
          <w:b/>
          <w:sz w:val="22"/>
          <w:szCs w:val="22"/>
          <w:lang w:bidi="en-US"/>
        </w:rPr>
      </w:pPr>
      <w:r>
        <w:rPr>
          <w:rFonts w:ascii="Times New Roman" w:hAnsi="Times New Roman" w:cs="Times New Roman"/>
          <w:b/>
          <w:sz w:val="22"/>
          <w:szCs w:val="22"/>
          <w:lang w:bidi="en-US"/>
        </w:rPr>
        <w:br w:type="page"/>
      </w:r>
    </w:p>
    <w:p w14:paraId="01398B13" w14:textId="11774FE6" w:rsidR="00D9416A" w:rsidRDefault="00D9416A" w:rsidP="00D9416A">
      <w:pPr>
        <w:spacing w:line="480" w:lineRule="auto"/>
        <w:rPr>
          <w:rFonts w:ascii="Times New Roman" w:hAnsi="Times New Roman" w:cs="Times New Roman"/>
          <w:b/>
          <w:sz w:val="22"/>
          <w:szCs w:val="22"/>
          <w:lang w:bidi="en-US"/>
        </w:rPr>
      </w:pPr>
      <w:r w:rsidRPr="00D9416A">
        <w:rPr>
          <w:rFonts w:ascii="Times New Roman" w:hAnsi="Times New Roman" w:cs="Times New Roman"/>
          <w:b/>
          <w:sz w:val="22"/>
          <w:szCs w:val="22"/>
          <w:lang w:bidi="en-US"/>
        </w:rPr>
        <w:lastRenderedPageBreak/>
        <w:t>References</w:t>
      </w:r>
    </w:p>
    <w:p w14:paraId="6692CF00" w14:textId="77777777" w:rsidR="00446FA6" w:rsidRPr="00446FA6" w:rsidRDefault="003C6005" w:rsidP="00446FA6">
      <w:pPr>
        <w:pStyle w:val="Bibliography"/>
        <w:rPr>
          <w:rFonts w:ascii="Times New Roman" w:hAnsi="Times New Roman" w:cs="Times New Roman"/>
          <w:sz w:val="22"/>
        </w:rPr>
      </w:pPr>
      <w:r>
        <w:rPr>
          <w:b/>
          <w:sz w:val="22"/>
          <w:szCs w:val="22"/>
          <w:lang w:bidi="en-US"/>
        </w:rPr>
        <w:fldChar w:fldCharType="begin"/>
      </w:r>
      <w:r w:rsidR="00446FA6">
        <w:rPr>
          <w:b/>
          <w:sz w:val="22"/>
          <w:szCs w:val="22"/>
          <w:lang w:bidi="en-US"/>
        </w:rPr>
        <w:instrText xml:space="preserve"> ADDIN ZOTERO_BIBL {"uncited":[],"omitted":[],"custom":[]} CSL_BIBLIOGRAPHY </w:instrText>
      </w:r>
      <w:r>
        <w:rPr>
          <w:b/>
          <w:sz w:val="22"/>
          <w:szCs w:val="22"/>
          <w:lang w:bidi="en-US"/>
        </w:rPr>
        <w:fldChar w:fldCharType="separate"/>
      </w:r>
      <w:r w:rsidR="00446FA6" w:rsidRPr="00446FA6">
        <w:rPr>
          <w:rFonts w:ascii="Times New Roman" w:hAnsi="Times New Roman" w:cs="Times New Roman"/>
          <w:sz w:val="22"/>
        </w:rPr>
        <w:t xml:space="preserve">1. Walley AY, Xuan Z, Hackman HH, Quinn E, Doe-Simkins M, Sorensen-Alawad A, et al. Opioid overdose rates and implementation of overdose education and nasal naloxone distribution in Massachusetts: interrupted time series analysis. BMJ. 2013;346:f174. </w:t>
      </w:r>
    </w:p>
    <w:p w14:paraId="291C3108" w14:textId="77777777" w:rsidR="00446FA6" w:rsidRPr="00446FA6" w:rsidRDefault="00446FA6" w:rsidP="00446FA6">
      <w:pPr>
        <w:pStyle w:val="Bibliography"/>
        <w:rPr>
          <w:rFonts w:ascii="Times New Roman" w:hAnsi="Times New Roman" w:cs="Times New Roman"/>
          <w:sz w:val="22"/>
        </w:rPr>
      </w:pPr>
      <w:r w:rsidRPr="00446FA6">
        <w:rPr>
          <w:rFonts w:ascii="Times New Roman" w:hAnsi="Times New Roman" w:cs="Times New Roman"/>
          <w:sz w:val="22"/>
        </w:rPr>
        <w:t xml:space="preserve">2. Tierney JF, Stewart LA, Ghersi D, Burdett S, Sydes MR. Practical methods for incorporating summary time-to-event data into meta-analysis. Trials. 2007;8:16. </w:t>
      </w:r>
    </w:p>
    <w:p w14:paraId="3991D2C7" w14:textId="77777777" w:rsidR="00446FA6" w:rsidRPr="00446FA6" w:rsidRDefault="00446FA6" w:rsidP="00446FA6">
      <w:pPr>
        <w:pStyle w:val="Bibliography"/>
        <w:rPr>
          <w:rFonts w:ascii="Times New Roman" w:hAnsi="Times New Roman" w:cs="Times New Roman"/>
          <w:sz w:val="22"/>
        </w:rPr>
      </w:pPr>
      <w:r w:rsidRPr="00446FA6">
        <w:rPr>
          <w:rFonts w:ascii="Times New Roman" w:hAnsi="Times New Roman" w:cs="Times New Roman"/>
          <w:sz w:val="22"/>
        </w:rPr>
        <w:t xml:space="preserve">3. Guyot P, Ades AE, Beasley M, Lueza B, Pignon J-P, Welton NJ. Extrapolation of Survival Curves from Cancer Trials Using External Information. Med Decis Making. 2017;37:353–66. </w:t>
      </w:r>
    </w:p>
    <w:p w14:paraId="2A4FF216" w14:textId="77777777" w:rsidR="00446FA6" w:rsidRPr="00446FA6" w:rsidRDefault="00446FA6" w:rsidP="00446FA6">
      <w:pPr>
        <w:pStyle w:val="Bibliography"/>
        <w:rPr>
          <w:rFonts w:ascii="Times New Roman" w:hAnsi="Times New Roman" w:cs="Times New Roman"/>
          <w:sz w:val="22"/>
        </w:rPr>
      </w:pPr>
      <w:r w:rsidRPr="00446FA6">
        <w:rPr>
          <w:rFonts w:ascii="Times New Roman" w:hAnsi="Times New Roman" w:cs="Times New Roman"/>
          <w:sz w:val="22"/>
        </w:rPr>
        <w:t xml:space="preserve">4. Behar E, Rowe C, Santos G-M, Coffa D, Turner C, Santos NC, et al. Acceptability of Naloxone Co-Prescription Among Primary Care Providers Treating Patients on Long-Term Opioid Therapy for Pain. J Gen Intern Med. 2017;32:291–5. </w:t>
      </w:r>
    </w:p>
    <w:p w14:paraId="58070F01" w14:textId="77777777" w:rsidR="00446FA6" w:rsidRPr="00446FA6" w:rsidRDefault="00446FA6" w:rsidP="00446FA6">
      <w:pPr>
        <w:pStyle w:val="Bibliography"/>
        <w:rPr>
          <w:rFonts w:ascii="Times New Roman" w:hAnsi="Times New Roman" w:cs="Times New Roman"/>
          <w:sz w:val="22"/>
        </w:rPr>
      </w:pPr>
      <w:r w:rsidRPr="00446FA6">
        <w:rPr>
          <w:rFonts w:ascii="Times New Roman" w:hAnsi="Times New Roman" w:cs="Times New Roman"/>
          <w:sz w:val="22"/>
        </w:rPr>
        <w:t xml:space="preserve">5. Townsend T, Blostein F, Doan T, Madson-Olson S, Galecki P, Hutton DW. Cost-effectiveness analysis of alternative naloxone distribution strategies: First responder and lay distribution in the United States. International Journal of Drug Policy. 2020;75:102536. </w:t>
      </w:r>
    </w:p>
    <w:p w14:paraId="21D7917A" w14:textId="77777777" w:rsidR="00446FA6" w:rsidRPr="00446FA6" w:rsidRDefault="00446FA6" w:rsidP="00446FA6">
      <w:pPr>
        <w:pStyle w:val="Bibliography"/>
        <w:rPr>
          <w:rFonts w:ascii="Times New Roman" w:hAnsi="Times New Roman" w:cs="Times New Roman"/>
          <w:sz w:val="22"/>
        </w:rPr>
      </w:pPr>
      <w:r w:rsidRPr="00446FA6">
        <w:rPr>
          <w:rFonts w:ascii="Times New Roman" w:hAnsi="Times New Roman" w:cs="Times New Roman"/>
          <w:sz w:val="22"/>
        </w:rPr>
        <w:t xml:space="preserve">6. Rivero-Arias O, Ouellet M, Gray A, Wolstenholme J, Rothwell PM, Luengo-Fernandez R. Mapping the modified Rankin scale (mRS) measurement into the generic EuroQol (EQ-5D) health outcome. Med Decis Making. 2010;30:341–54. </w:t>
      </w:r>
    </w:p>
    <w:p w14:paraId="26C5204C" w14:textId="69ADAD88" w:rsidR="003C6005" w:rsidRDefault="003C6005" w:rsidP="00D9416A">
      <w:pPr>
        <w:spacing w:line="480" w:lineRule="auto"/>
        <w:rPr>
          <w:rFonts w:ascii="Times New Roman" w:hAnsi="Times New Roman" w:cs="Times New Roman"/>
          <w:b/>
          <w:sz w:val="22"/>
          <w:szCs w:val="22"/>
          <w:lang w:bidi="en-US"/>
        </w:rPr>
      </w:pPr>
      <w:r>
        <w:rPr>
          <w:rFonts w:ascii="Times New Roman" w:hAnsi="Times New Roman" w:cs="Times New Roman"/>
          <w:b/>
          <w:sz w:val="22"/>
          <w:szCs w:val="22"/>
          <w:lang w:bidi="en-US"/>
        </w:rPr>
        <w:fldChar w:fldCharType="end"/>
      </w:r>
    </w:p>
    <w:p w14:paraId="17A9116B" w14:textId="77777777" w:rsidR="00D9416A" w:rsidRPr="00D9416A" w:rsidRDefault="00D9416A" w:rsidP="00D9416A">
      <w:pPr>
        <w:spacing w:line="480" w:lineRule="auto"/>
        <w:rPr>
          <w:rFonts w:ascii="Times New Roman" w:hAnsi="Times New Roman" w:cs="Times New Roman"/>
          <w:bCs/>
          <w:sz w:val="22"/>
          <w:szCs w:val="22"/>
          <w:lang w:bidi="en-US"/>
        </w:rPr>
      </w:pPr>
    </w:p>
    <w:p w14:paraId="4C0DE97F" w14:textId="77777777" w:rsidR="00194DB1" w:rsidRPr="00D9416A" w:rsidRDefault="00194DB1">
      <w:pPr>
        <w:rPr>
          <w:rFonts w:ascii="Times New Roman" w:hAnsi="Times New Roman" w:cs="Times New Roman"/>
          <w:sz w:val="22"/>
          <w:szCs w:val="22"/>
        </w:rPr>
      </w:pPr>
    </w:p>
    <w:sectPr w:rsidR="00194DB1" w:rsidRPr="00D9416A" w:rsidSect="004459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9B616" w14:textId="77777777" w:rsidR="002019C5" w:rsidRDefault="002019C5" w:rsidP="00EF0F02">
      <w:r>
        <w:separator/>
      </w:r>
    </w:p>
  </w:endnote>
  <w:endnote w:type="continuationSeparator" w:id="0">
    <w:p w14:paraId="54D98701" w14:textId="77777777" w:rsidR="002019C5" w:rsidRDefault="002019C5" w:rsidP="00EF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jaVu Sans">
    <w:altName w:val="Verdana"/>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E424E" w14:textId="77777777" w:rsidR="002019C5" w:rsidRDefault="002019C5" w:rsidP="00EF0F02">
      <w:r>
        <w:separator/>
      </w:r>
    </w:p>
  </w:footnote>
  <w:footnote w:type="continuationSeparator" w:id="0">
    <w:p w14:paraId="64693123" w14:textId="77777777" w:rsidR="002019C5" w:rsidRDefault="002019C5" w:rsidP="00EF0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13435"/>
    <w:multiLevelType w:val="hybridMultilevel"/>
    <w:tmpl w:val="B1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16A"/>
    <w:rsid w:val="0000625A"/>
    <w:rsid w:val="00054E33"/>
    <w:rsid w:val="0005795A"/>
    <w:rsid w:val="000F2BBE"/>
    <w:rsid w:val="0013760D"/>
    <w:rsid w:val="00153760"/>
    <w:rsid w:val="0017290E"/>
    <w:rsid w:val="00194DB1"/>
    <w:rsid w:val="001E1294"/>
    <w:rsid w:val="001F5547"/>
    <w:rsid w:val="002019C5"/>
    <w:rsid w:val="00202DDE"/>
    <w:rsid w:val="00214677"/>
    <w:rsid w:val="00266092"/>
    <w:rsid w:val="002A3209"/>
    <w:rsid w:val="002B4659"/>
    <w:rsid w:val="002B5C99"/>
    <w:rsid w:val="002D0CB3"/>
    <w:rsid w:val="00374851"/>
    <w:rsid w:val="00375B4A"/>
    <w:rsid w:val="003908C5"/>
    <w:rsid w:val="003C6005"/>
    <w:rsid w:val="003C6796"/>
    <w:rsid w:val="003E3DCD"/>
    <w:rsid w:val="004459BE"/>
    <w:rsid w:val="00446FA6"/>
    <w:rsid w:val="00496183"/>
    <w:rsid w:val="004D014D"/>
    <w:rsid w:val="004D3F3E"/>
    <w:rsid w:val="004D77FE"/>
    <w:rsid w:val="004F7762"/>
    <w:rsid w:val="00555378"/>
    <w:rsid w:val="0056579C"/>
    <w:rsid w:val="00567486"/>
    <w:rsid w:val="005707C9"/>
    <w:rsid w:val="00593839"/>
    <w:rsid w:val="005A7DB8"/>
    <w:rsid w:val="00623EDA"/>
    <w:rsid w:val="00697BCD"/>
    <w:rsid w:val="006A65A6"/>
    <w:rsid w:val="00756D37"/>
    <w:rsid w:val="007826D0"/>
    <w:rsid w:val="007C7215"/>
    <w:rsid w:val="00812C07"/>
    <w:rsid w:val="0083242F"/>
    <w:rsid w:val="00906ACD"/>
    <w:rsid w:val="00943212"/>
    <w:rsid w:val="00956AFC"/>
    <w:rsid w:val="009F42CB"/>
    <w:rsid w:val="00A446D1"/>
    <w:rsid w:val="00A91599"/>
    <w:rsid w:val="00B1138B"/>
    <w:rsid w:val="00B45A5A"/>
    <w:rsid w:val="00BB0F9E"/>
    <w:rsid w:val="00BC78A5"/>
    <w:rsid w:val="00BE57A5"/>
    <w:rsid w:val="00C3691D"/>
    <w:rsid w:val="00C86151"/>
    <w:rsid w:val="00CD182F"/>
    <w:rsid w:val="00CE083A"/>
    <w:rsid w:val="00CF7101"/>
    <w:rsid w:val="00D5245E"/>
    <w:rsid w:val="00D67997"/>
    <w:rsid w:val="00D9416A"/>
    <w:rsid w:val="00D94C5E"/>
    <w:rsid w:val="00DC4E58"/>
    <w:rsid w:val="00DF06E2"/>
    <w:rsid w:val="00E42FFB"/>
    <w:rsid w:val="00E63F6B"/>
    <w:rsid w:val="00EC6EA2"/>
    <w:rsid w:val="00ED12D0"/>
    <w:rsid w:val="00EF0F02"/>
    <w:rsid w:val="00F00BDA"/>
    <w:rsid w:val="00F2408D"/>
    <w:rsid w:val="00F60AA6"/>
    <w:rsid w:val="00F8015C"/>
    <w:rsid w:val="00F85A73"/>
    <w:rsid w:val="00FB2C41"/>
    <w:rsid w:val="00FC1A7C"/>
    <w:rsid w:val="00FD7545"/>
    <w:rsid w:val="0C7F4445"/>
    <w:rsid w:val="2468E6A6"/>
    <w:rsid w:val="6AE866A4"/>
    <w:rsid w:val="7D16A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AE8B"/>
  <w15:chartTrackingRefBased/>
  <w15:docId w15:val="{E7C169FF-0EBF-3145-BE83-C3B8496D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16A"/>
    <w:pPr>
      <w:spacing w:after="0" w:line="240" w:lineRule="auto"/>
    </w:pPr>
  </w:style>
  <w:style w:type="paragraph" w:styleId="Heading1">
    <w:name w:val="heading 1"/>
    <w:basedOn w:val="Normal"/>
    <w:next w:val="Normal"/>
    <w:link w:val="Heading1Char"/>
    <w:uiPriority w:val="9"/>
    <w:qFormat/>
    <w:rsid w:val="00D94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1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1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1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1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16A"/>
    <w:rPr>
      <w:rFonts w:eastAsiaTheme="majorEastAsia" w:cstheme="majorBidi"/>
      <w:color w:val="272727" w:themeColor="text1" w:themeTint="D8"/>
    </w:rPr>
  </w:style>
  <w:style w:type="paragraph" w:styleId="Title">
    <w:name w:val="Title"/>
    <w:basedOn w:val="Normal"/>
    <w:next w:val="Normal"/>
    <w:link w:val="TitleChar"/>
    <w:uiPriority w:val="10"/>
    <w:qFormat/>
    <w:rsid w:val="00D941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16A"/>
    <w:pPr>
      <w:spacing w:before="160"/>
      <w:jc w:val="center"/>
    </w:pPr>
    <w:rPr>
      <w:i/>
      <w:iCs/>
      <w:color w:val="404040" w:themeColor="text1" w:themeTint="BF"/>
    </w:rPr>
  </w:style>
  <w:style w:type="character" w:customStyle="1" w:styleId="QuoteChar">
    <w:name w:val="Quote Char"/>
    <w:basedOn w:val="DefaultParagraphFont"/>
    <w:link w:val="Quote"/>
    <w:uiPriority w:val="29"/>
    <w:rsid w:val="00D9416A"/>
    <w:rPr>
      <w:i/>
      <w:iCs/>
      <w:color w:val="404040" w:themeColor="text1" w:themeTint="BF"/>
    </w:rPr>
  </w:style>
  <w:style w:type="paragraph" w:styleId="ListParagraph">
    <w:name w:val="List Paragraph"/>
    <w:basedOn w:val="Normal"/>
    <w:uiPriority w:val="34"/>
    <w:qFormat/>
    <w:rsid w:val="00D9416A"/>
    <w:pPr>
      <w:ind w:left="720"/>
      <w:contextualSpacing/>
    </w:pPr>
  </w:style>
  <w:style w:type="character" w:styleId="IntenseEmphasis">
    <w:name w:val="Intense Emphasis"/>
    <w:basedOn w:val="DefaultParagraphFont"/>
    <w:uiPriority w:val="21"/>
    <w:qFormat/>
    <w:rsid w:val="00D9416A"/>
    <w:rPr>
      <w:i/>
      <w:iCs/>
      <w:color w:val="0F4761" w:themeColor="accent1" w:themeShade="BF"/>
    </w:rPr>
  </w:style>
  <w:style w:type="paragraph" w:styleId="IntenseQuote">
    <w:name w:val="Intense Quote"/>
    <w:basedOn w:val="Normal"/>
    <w:next w:val="Normal"/>
    <w:link w:val="IntenseQuoteChar"/>
    <w:uiPriority w:val="30"/>
    <w:qFormat/>
    <w:rsid w:val="00D94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16A"/>
    <w:rPr>
      <w:i/>
      <w:iCs/>
      <w:color w:val="0F4761" w:themeColor="accent1" w:themeShade="BF"/>
    </w:rPr>
  </w:style>
  <w:style w:type="character" w:styleId="IntenseReference">
    <w:name w:val="Intense Reference"/>
    <w:basedOn w:val="DefaultParagraphFont"/>
    <w:uiPriority w:val="32"/>
    <w:qFormat/>
    <w:rsid w:val="00D9416A"/>
    <w:rPr>
      <w:b/>
      <w:bCs/>
      <w:smallCaps/>
      <w:color w:val="0F4761" w:themeColor="accent1" w:themeShade="BF"/>
      <w:spacing w:val="5"/>
    </w:rPr>
  </w:style>
  <w:style w:type="table" w:styleId="TableGrid">
    <w:name w:val="Table Grid"/>
    <w:basedOn w:val="TableNormal"/>
    <w:uiPriority w:val="39"/>
    <w:rsid w:val="00D94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9416A"/>
  </w:style>
  <w:style w:type="paragraph" w:styleId="NormalWeb">
    <w:name w:val="Normal (Web)"/>
    <w:basedOn w:val="Normal"/>
    <w:uiPriority w:val="99"/>
    <w:semiHidden/>
    <w:unhideWhenUsed/>
    <w:rsid w:val="00D9416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9416A"/>
    <w:rPr>
      <w:b/>
      <w:bCs/>
    </w:rPr>
  </w:style>
  <w:style w:type="paragraph" w:styleId="Revision">
    <w:name w:val="Revision"/>
    <w:hidden/>
    <w:uiPriority w:val="99"/>
    <w:semiHidden/>
    <w:rsid w:val="00EF0F02"/>
    <w:pPr>
      <w:spacing w:after="0" w:line="240" w:lineRule="auto"/>
    </w:pPr>
  </w:style>
  <w:style w:type="paragraph" w:styleId="Header">
    <w:name w:val="header"/>
    <w:basedOn w:val="Normal"/>
    <w:link w:val="HeaderChar"/>
    <w:uiPriority w:val="99"/>
    <w:unhideWhenUsed/>
    <w:rsid w:val="00EF0F02"/>
    <w:pPr>
      <w:tabs>
        <w:tab w:val="center" w:pos="4680"/>
        <w:tab w:val="right" w:pos="9360"/>
      </w:tabs>
    </w:pPr>
  </w:style>
  <w:style w:type="character" w:customStyle="1" w:styleId="HeaderChar">
    <w:name w:val="Header Char"/>
    <w:basedOn w:val="DefaultParagraphFont"/>
    <w:link w:val="Header"/>
    <w:uiPriority w:val="99"/>
    <w:rsid w:val="00EF0F02"/>
  </w:style>
  <w:style w:type="paragraph" w:styleId="Footer">
    <w:name w:val="footer"/>
    <w:basedOn w:val="Normal"/>
    <w:link w:val="FooterChar"/>
    <w:uiPriority w:val="99"/>
    <w:unhideWhenUsed/>
    <w:rsid w:val="00EF0F02"/>
    <w:pPr>
      <w:tabs>
        <w:tab w:val="center" w:pos="4680"/>
        <w:tab w:val="right" w:pos="9360"/>
      </w:tabs>
    </w:pPr>
  </w:style>
  <w:style w:type="character" w:customStyle="1" w:styleId="FooterChar">
    <w:name w:val="Footer Char"/>
    <w:basedOn w:val="DefaultParagraphFont"/>
    <w:link w:val="Footer"/>
    <w:uiPriority w:val="99"/>
    <w:rsid w:val="00EF0F02"/>
  </w:style>
  <w:style w:type="paragraph" w:styleId="Bibliography">
    <w:name w:val="Bibliography"/>
    <w:basedOn w:val="Normal"/>
    <w:next w:val="Normal"/>
    <w:uiPriority w:val="37"/>
    <w:unhideWhenUsed/>
    <w:rsid w:val="003C6005"/>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0991">
      <w:bodyDiv w:val="1"/>
      <w:marLeft w:val="0"/>
      <w:marRight w:val="0"/>
      <w:marTop w:val="0"/>
      <w:marBottom w:val="0"/>
      <w:divBdr>
        <w:top w:val="none" w:sz="0" w:space="0" w:color="auto"/>
        <w:left w:val="none" w:sz="0" w:space="0" w:color="auto"/>
        <w:bottom w:val="none" w:sz="0" w:space="0" w:color="auto"/>
        <w:right w:val="none" w:sz="0" w:space="0" w:color="auto"/>
      </w:divBdr>
    </w:div>
    <w:div w:id="421921976">
      <w:bodyDiv w:val="1"/>
      <w:marLeft w:val="0"/>
      <w:marRight w:val="0"/>
      <w:marTop w:val="0"/>
      <w:marBottom w:val="0"/>
      <w:divBdr>
        <w:top w:val="none" w:sz="0" w:space="0" w:color="auto"/>
        <w:left w:val="none" w:sz="0" w:space="0" w:color="auto"/>
        <w:bottom w:val="none" w:sz="0" w:space="0" w:color="auto"/>
        <w:right w:val="none" w:sz="0" w:space="0" w:color="auto"/>
      </w:divBdr>
    </w:div>
    <w:div w:id="454181971">
      <w:bodyDiv w:val="1"/>
      <w:marLeft w:val="0"/>
      <w:marRight w:val="0"/>
      <w:marTop w:val="0"/>
      <w:marBottom w:val="0"/>
      <w:divBdr>
        <w:top w:val="none" w:sz="0" w:space="0" w:color="auto"/>
        <w:left w:val="none" w:sz="0" w:space="0" w:color="auto"/>
        <w:bottom w:val="none" w:sz="0" w:space="0" w:color="auto"/>
        <w:right w:val="none" w:sz="0" w:space="0" w:color="auto"/>
      </w:divBdr>
    </w:div>
    <w:div w:id="466778204">
      <w:bodyDiv w:val="1"/>
      <w:marLeft w:val="0"/>
      <w:marRight w:val="0"/>
      <w:marTop w:val="0"/>
      <w:marBottom w:val="0"/>
      <w:divBdr>
        <w:top w:val="none" w:sz="0" w:space="0" w:color="auto"/>
        <w:left w:val="none" w:sz="0" w:space="0" w:color="auto"/>
        <w:bottom w:val="none" w:sz="0" w:space="0" w:color="auto"/>
        <w:right w:val="none" w:sz="0" w:space="0" w:color="auto"/>
      </w:divBdr>
    </w:div>
    <w:div w:id="474877123">
      <w:bodyDiv w:val="1"/>
      <w:marLeft w:val="0"/>
      <w:marRight w:val="0"/>
      <w:marTop w:val="0"/>
      <w:marBottom w:val="0"/>
      <w:divBdr>
        <w:top w:val="none" w:sz="0" w:space="0" w:color="auto"/>
        <w:left w:val="none" w:sz="0" w:space="0" w:color="auto"/>
        <w:bottom w:val="none" w:sz="0" w:space="0" w:color="auto"/>
        <w:right w:val="none" w:sz="0" w:space="0" w:color="auto"/>
      </w:divBdr>
    </w:div>
    <w:div w:id="492261643">
      <w:bodyDiv w:val="1"/>
      <w:marLeft w:val="0"/>
      <w:marRight w:val="0"/>
      <w:marTop w:val="0"/>
      <w:marBottom w:val="0"/>
      <w:divBdr>
        <w:top w:val="none" w:sz="0" w:space="0" w:color="auto"/>
        <w:left w:val="none" w:sz="0" w:space="0" w:color="auto"/>
        <w:bottom w:val="none" w:sz="0" w:space="0" w:color="auto"/>
        <w:right w:val="none" w:sz="0" w:space="0" w:color="auto"/>
      </w:divBdr>
    </w:div>
    <w:div w:id="547379251">
      <w:bodyDiv w:val="1"/>
      <w:marLeft w:val="0"/>
      <w:marRight w:val="0"/>
      <w:marTop w:val="0"/>
      <w:marBottom w:val="0"/>
      <w:divBdr>
        <w:top w:val="none" w:sz="0" w:space="0" w:color="auto"/>
        <w:left w:val="none" w:sz="0" w:space="0" w:color="auto"/>
        <w:bottom w:val="none" w:sz="0" w:space="0" w:color="auto"/>
        <w:right w:val="none" w:sz="0" w:space="0" w:color="auto"/>
      </w:divBdr>
    </w:div>
    <w:div w:id="770900734">
      <w:bodyDiv w:val="1"/>
      <w:marLeft w:val="0"/>
      <w:marRight w:val="0"/>
      <w:marTop w:val="0"/>
      <w:marBottom w:val="0"/>
      <w:divBdr>
        <w:top w:val="none" w:sz="0" w:space="0" w:color="auto"/>
        <w:left w:val="none" w:sz="0" w:space="0" w:color="auto"/>
        <w:bottom w:val="none" w:sz="0" w:space="0" w:color="auto"/>
        <w:right w:val="none" w:sz="0" w:space="0" w:color="auto"/>
      </w:divBdr>
    </w:div>
    <w:div w:id="780684723">
      <w:bodyDiv w:val="1"/>
      <w:marLeft w:val="0"/>
      <w:marRight w:val="0"/>
      <w:marTop w:val="0"/>
      <w:marBottom w:val="0"/>
      <w:divBdr>
        <w:top w:val="none" w:sz="0" w:space="0" w:color="auto"/>
        <w:left w:val="none" w:sz="0" w:space="0" w:color="auto"/>
        <w:bottom w:val="none" w:sz="0" w:space="0" w:color="auto"/>
        <w:right w:val="none" w:sz="0" w:space="0" w:color="auto"/>
      </w:divBdr>
    </w:div>
    <w:div w:id="915744483">
      <w:bodyDiv w:val="1"/>
      <w:marLeft w:val="0"/>
      <w:marRight w:val="0"/>
      <w:marTop w:val="0"/>
      <w:marBottom w:val="0"/>
      <w:divBdr>
        <w:top w:val="none" w:sz="0" w:space="0" w:color="auto"/>
        <w:left w:val="none" w:sz="0" w:space="0" w:color="auto"/>
        <w:bottom w:val="none" w:sz="0" w:space="0" w:color="auto"/>
        <w:right w:val="none" w:sz="0" w:space="0" w:color="auto"/>
      </w:divBdr>
    </w:div>
    <w:div w:id="949048260">
      <w:bodyDiv w:val="1"/>
      <w:marLeft w:val="0"/>
      <w:marRight w:val="0"/>
      <w:marTop w:val="0"/>
      <w:marBottom w:val="0"/>
      <w:divBdr>
        <w:top w:val="none" w:sz="0" w:space="0" w:color="auto"/>
        <w:left w:val="none" w:sz="0" w:space="0" w:color="auto"/>
        <w:bottom w:val="none" w:sz="0" w:space="0" w:color="auto"/>
        <w:right w:val="none" w:sz="0" w:space="0" w:color="auto"/>
      </w:divBdr>
    </w:div>
    <w:div w:id="1085422554">
      <w:bodyDiv w:val="1"/>
      <w:marLeft w:val="0"/>
      <w:marRight w:val="0"/>
      <w:marTop w:val="0"/>
      <w:marBottom w:val="0"/>
      <w:divBdr>
        <w:top w:val="none" w:sz="0" w:space="0" w:color="auto"/>
        <w:left w:val="none" w:sz="0" w:space="0" w:color="auto"/>
        <w:bottom w:val="none" w:sz="0" w:space="0" w:color="auto"/>
        <w:right w:val="none" w:sz="0" w:space="0" w:color="auto"/>
      </w:divBdr>
    </w:div>
    <w:div w:id="1140611203">
      <w:bodyDiv w:val="1"/>
      <w:marLeft w:val="0"/>
      <w:marRight w:val="0"/>
      <w:marTop w:val="0"/>
      <w:marBottom w:val="0"/>
      <w:divBdr>
        <w:top w:val="none" w:sz="0" w:space="0" w:color="auto"/>
        <w:left w:val="none" w:sz="0" w:space="0" w:color="auto"/>
        <w:bottom w:val="none" w:sz="0" w:space="0" w:color="auto"/>
        <w:right w:val="none" w:sz="0" w:space="0" w:color="auto"/>
      </w:divBdr>
    </w:div>
    <w:div w:id="1328052724">
      <w:bodyDiv w:val="1"/>
      <w:marLeft w:val="0"/>
      <w:marRight w:val="0"/>
      <w:marTop w:val="0"/>
      <w:marBottom w:val="0"/>
      <w:divBdr>
        <w:top w:val="none" w:sz="0" w:space="0" w:color="auto"/>
        <w:left w:val="none" w:sz="0" w:space="0" w:color="auto"/>
        <w:bottom w:val="none" w:sz="0" w:space="0" w:color="auto"/>
        <w:right w:val="none" w:sz="0" w:space="0" w:color="auto"/>
      </w:divBdr>
    </w:div>
    <w:div w:id="1360087670">
      <w:bodyDiv w:val="1"/>
      <w:marLeft w:val="0"/>
      <w:marRight w:val="0"/>
      <w:marTop w:val="0"/>
      <w:marBottom w:val="0"/>
      <w:divBdr>
        <w:top w:val="none" w:sz="0" w:space="0" w:color="auto"/>
        <w:left w:val="none" w:sz="0" w:space="0" w:color="auto"/>
        <w:bottom w:val="none" w:sz="0" w:space="0" w:color="auto"/>
        <w:right w:val="none" w:sz="0" w:space="0" w:color="auto"/>
      </w:divBdr>
    </w:div>
    <w:div w:id="1363096367">
      <w:bodyDiv w:val="1"/>
      <w:marLeft w:val="0"/>
      <w:marRight w:val="0"/>
      <w:marTop w:val="0"/>
      <w:marBottom w:val="0"/>
      <w:divBdr>
        <w:top w:val="none" w:sz="0" w:space="0" w:color="auto"/>
        <w:left w:val="none" w:sz="0" w:space="0" w:color="auto"/>
        <w:bottom w:val="none" w:sz="0" w:space="0" w:color="auto"/>
        <w:right w:val="none" w:sz="0" w:space="0" w:color="auto"/>
      </w:divBdr>
    </w:div>
    <w:div w:id="1413890699">
      <w:bodyDiv w:val="1"/>
      <w:marLeft w:val="0"/>
      <w:marRight w:val="0"/>
      <w:marTop w:val="0"/>
      <w:marBottom w:val="0"/>
      <w:divBdr>
        <w:top w:val="none" w:sz="0" w:space="0" w:color="auto"/>
        <w:left w:val="none" w:sz="0" w:space="0" w:color="auto"/>
        <w:bottom w:val="none" w:sz="0" w:space="0" w:color="auto"/>
        <w:right w:val="none" w:sz="0" w:space="0" w:color="auto"/>
      </w:divBdr>
    </w:div>
    <w:div w:id="1462647994">
      <w:bodyDiv w:val="1"/>
      <w:marLeft w:val="0"/>
      <w:marRight w:val="0"/>
      <w:marTop w:val="0"/>
      <w:marBottom w:val="0"/>
      <w:divBdr>
        <w:top w:val="none" w:sz="0" w:space="0" w:color="auto"/>
        <w:left w:val="none" w:sz="0" w:space="0" w:color="auto"/>
        <w:bottom w:val="none" w:sz="0" w:space="0" w:color="auto"/>
        <w:right w:val="none" w:sz="0" w:space="0" w:color="auto"/>
      </w:divBdr>
    </w:div>
    <w:div w:id="1727871121">
      <w:bodyDiv w:val="1"/>
      <w:marLeft w:val="0"/>
      <w:marRight w:val="0"/>
      <w:marTop w:val="0"/>
      <w:marBottom w:val="0"/>
      <w:divBdr>
        <w:top w:val="none" w:sz="0" w:space="0" w:color="auto"/>
        <w:left w:val="none" w:sz="0" w:space="0" w:color="auto"/>
        <w:bottom w:val="none" w:sz="0" w:space="0" w:color="auto"/>
        <w:right w:val="none" w:sz="0" w:space="0" w:color="auto"/>
      </w:divBdr>
    </w:div>
    <w:div w:id="1826623696">
      <w:bodyDiv w:val="1"/>
      <w:marLeft w:val="0"/>
      <w:marRight w:val="0"/>
      <w:marTop w:val="0"/>
      <w:marBottom w:val="0"/>
      <w:divBdr>
        <w:top w:val="none" w:sz="0" w:space="0" w:color="auto"/>
        <w:left w:val="none" w:sz="0" w:space="0" w:color="auto"/>
        <w:bottom w:val="none" w:sz="0" w:space="0" w:color="auto"/>
        <w:right w:val="none" w:sz="0" w:space="0" w:color="auto"/>
      </w:divBdr>
    </w:div>
    <w:div w:id="1871608945">
      <w:bodyDiv w:val="1"/>
      <w:marLeft w:val="0"/>
      <w:marRight w:val="0"/>
      <w:marTop w:val="0"/>
      <w:marBottom w:val="0"/>
      <w:divBdr>
        <w:top w:val="none" w:sz="0" w:space="0" w:color="auto"/>
        <w:left w:val="none" w:sz="0" w:space="0" w:color="auto"/>
        <w:bottom w:val="none" w:sz="0" w:space="0" w:color="auto"/>
        <w:right w:val="none" w:sz="0" w:space="0" w:color="auto"/>
      </w:divBdr>
    </w:div>
    <w:div w:id="1943679592">
      <w:bodyDiv w:val="1"/>
      <w:marLeft w:val="0"/>
      <w:marRight w:val="0"/>
      <w:marTop w:val="0"/>
      <w:marBottom w:val="0"/>
      <w:divBdr>
        <w:top w:val="none" w:sz="0" w:space="0" w:color="auto"/>
        <w:left w:val="none" w:sz="0" w:space="0" w:color="auto"/>
        <w:bottom w:val="none" w:sz="0" w:space="0" w:color="auto"/>
        <w:right w:val="none" w:sz="0" w:space="0" w:color="auto"/>
      </w:divBdr>
    </w:div>
    <w:div w:id="206001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F797B751EE8B41B2C977CFD4DA36E8" ma:contentTypeVersion="3" ma:contentTypeDescription="Create a new document." ma:contentTypeScope="" ma:versionID="3a9fa5bffb5758284ad32c020378e60f">
  <xsd:schema xmlns:xsd="http://www.w3.org/2001/XMLSchema" xmlns:xs="http://www.w3.org/2001/XMLSchema" xmlns:p="http://schemas.microsoft.com/office/2006/metadata/properties" xmlns:ns2="524ef6e3-1df1-4309-ab59-f2e60fa0dd56" targetNamespace="http://schemas.microsoft.com/office/2006/metadata/properties" ma:root="true" ma:fieldsID="c4a72c9af25c7e30f71420ebf82f1df3" ns2:_="">
    <xsd:import namespace="524ef6e3-1df1-4309-ab59-f2e60fa0dd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ef6e3-1df1-4309-ab59-f2e60fa0dd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EED69-11F1-452C-84A5-335A9A51ACB4}">
  <ds:schemaRefs>
    <ds:schemaRef ds:uri="http://schemas.microsoft.com/sharepoint/v3/contenttype/forms"/>
  </ds:schemaRefs>
</ds:datastoreItem>
</file>

<file path=customXml/itemProps2.xml><?xml version="1.0" encoding="utf-8"?>
<ds:datastoreItem xmlns:ds="http://schemas.openxmlformats.org/officeDocument/2006/customXml" ds:itemID="{A272B6CE-7E18-4FBE-B9D9-E73667D1D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ef6e3-1df1-4309-ab59-f2e60fa0d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BC050-239C-4C19-9C8E-9ADEDC8E442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470d736-e7f7-41a8-8eab-dad544b2b579}" enabled="0" method="" siteId="{e470d736-e7f7-41a8-8eab-dad544b2b579}"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4317</Words>
  <Characters>24607</Characters>
  <Application>Microsoft Office Word</Application>
  <DocSecurity>0</DocSecurity>
  <Lines>205</Lines>
  <Paragraphs>57</Paragraphs>
  <ScaleCrop>false</ScaleCrop>
  <Company/>
  <LinksUpToDate>false</LinksUpToDate>
  <CharactersWithSpaces>28867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 C Yip</dc:creator>
  <cp:keywords/>
  <dc:description/>
  <cp:lastModifiedBy>Raja R Ramasamy M</cp:lastModifiedBy>
  <cp:revision>4</cp:revision>
  <dcterms:created xsi:type="dcterms:W3CDTF">2025-06-07T13:02:00Z</dcterms:created>
  <dcterms:modified xsi:type="dcterms:W3CDTF">2025-07-14T02:44:00Z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0x010100F6F797B751EE8B41B2C977CFD4DA36E8</vt:lpwstr>
  </property>
  <property fmtid="{D5CDD505-2E9C-101B-9397-08002B2CF9AE}" pid="3" name="ZOTERO_PREF_1">
    <vt:lpwstr>&lt;data data-version="3" zotero-version="6.0.36"&gt;&lt;session id="CYWIK50T"/&gt;&lt;style id="http://www.zotero.org/styles/applied-health-economics-and-health-policy" hasBibliography="1" bibliographyStyleHasBeenSet="1"/&gt;&lt;prefs&gt;&lt;pref name="fieldType" value="Field"/&gt;&lt;/</vt:lpwstr>
  </property>
  <property fmtid="{D5CDD505-2E9C-101B-9397-08002B2CF9AE}" pid="4" name="ZOTERO_PREF_2">
    <vt:lpwstr>prefs&gt;&lt;/data&gt;</vt:lpwstr>
  </property>
</Properties>
</file>