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37F3" w:rsidRPr="0003786E" w:rsidRDefault="005837F3" w:rsidP="005837F3">
      <w:pPr>
        <w:pStyle w:val="BodyText"/>
        <w:spacing w:line="276" w:lineRule="auto"/>
        <w:jc w:val="both"/>
        <w:rPr>
          <w:rFonts w:ascii="Times New Roman" w:hAnsi="Times New Roman" w:cs="Times New Roman"/>
          <w:bCs/>
          <w:sz w:val="20"/>
          <w:szCs w:val="20"/>
        </w:rPr>
      </w:pPr>
      <w:r w:rsidRPr="0003786E">
        <w:rPr>
          <w:rFonts w:ascii="Times New Roman" w:hAnsi="Times New Roman" w:cs="Times New Roman"/>
          <w:bCs/>
          <w:sz w:val="20"/>
          <w:szCs w:val="20"/>
        </w:rPr>
        <w:t>Title: Pricing Combination Therapies: A Systematic Review of Value Attribution, Cost-Sharing Mechanisms and Policy Frameworks</w:t>
      </w:r>
    </w:p>
    <w:p w:rsidR="005837F3" w:rsidRPr="0003786E" w:rsidRDefault="005837F3">
      <w:pPr>
        <w:pStyle w:val="BodyText"/>
        <w:spacing w:line="276" w:lineRule="auto"/>
        <w:jc w:val="both"/>
        <w:rPr>
          <w:rFonts w:ascii="Times New Roman" w:hAnsi="Times New Roman" w:cs="Times New Roman"/>
          <w:bCs/>
          <w:sz w:val="20"/>
          <w:szCs w:val="20"/>
          <w:lang w:val="es-ES"/>
        </w:rPr>
      </w:pPr>
      <w:r w:rsidRPr="0003786E">
        <w:rPr>
          <w:rFonts w:ascii="Times New Roman" w:hAnsi="Times New Roman" w:cs="Times New Roman"/>
          <w:bCs/>
          <w:sz w:val="20"/>
          <w:szCs w:val="20"/>
          <w:lang w:val="es-ES"/>
        </w:rPr>
        <w:t>Author information</w:t>
      </w:r>
    </w:p>
    <w:p w:rsidR="005837F3" w:rsidRPr="0003786E" w:rsidRDefault="005837F3">
      <w:pPr>
        <w:pStyle w:val="BodyText"/>
        <w:spacing w:line="276" w:lineRule="auto"/>
        <w:jc w:val="both"/>
        <w:rPr>
          <w:rFonts w:ascii="Times New Roman" w:hAnsi="Times New Roman" w:cs="Times New Roman"/>
          <w:bCs/>
          <w:sz w:val="20"/>
          <w:szCs w:val="20"/>
          <w:lang w:val="es-ES"/>
        </w:rPr>
      </w:pPr>
      <w:r w:rsidRPr="0003786E">
        <w:rPr>
          <w:rFonts w:ascii="Times New Roman" w:hAnsi="Times New Roman" w:cs="Times New Roman"/>
          <w:bCs/>
          <w:sz w:val="20"/>
          <w:szCs w:val="20"/>
          <w:lang w:val="es-ES"/>
        </w:rPr>
        <w:t>Authors: Marta Trapero-Bertran¹, Carlos Martin-Saborido2, Jorge Mestre-Ferrandiz3, Nuria Amarilla4, Lluís Segú5 †</w:t>
      </w:r>
    </w:p>
    <w:p w:rsidR="005837F3" w:rsidRPr="0003786E" w:rsidRDefault="005837F3">
      <w:pPr>
        <w:pStyle w:val="BodyText"/>
        <w:spacing w:line="276" w:lineRule="auto"/>
        <w:jc w:val="both"/>
        <w:rPr>
          <w:rFonts w:ascii="Times New Roman" w:hAnsi="Times New Roman" w:cs="Times New Roman"/>
          <w:bCs/>
          <w:sz w:val="20"/>
          <w:szCs w:val="20"/>
        </w:rPr>
      </w:pPr>
      <w:r w:rsidRPr="0003786E">
        <w:rPr>
          <w:rFonts w:ascii="Times New Roman" w:hAnsi="Times New Roman" w:cs="Times New Roman"/>
          <w:bCs/>
          <w:sz w:val="20"/>
          <w:szCs w:val="20"/>
        </w:rPr>
        <w:t>† In memoriam</w:t>
      </w:r>
    </w:p>
    <w:p w:rsidR="005837F3" w:rsidRPr="0003786E" w:rsidRDefault="005837F3">
      <w:pPr>
        <w:pStyle w:val="BodyText"/>
        <w:spacing w:line="276" w:lineRule="auto"/>
        <w:jc w:val="both"/>
        <w:rPr>
          <w:rFonts w:ascii="Times New Roman" w:hAnsi="Times New Roman" w:cs="Times New Roman"/>
          <w:bCs/>
          <w:sz w:val="20"/>
          <w:szCs w:val="20"/>
        </w:rPr>
      </w:pPr>
      <w:r w:rsidRPr="0003786E">
        <w:rPr>
          <w:rFonts w:ascii="Times New Roman" w:hAnsi="Times New Roman" w:cs="Times New Roman"/>
          <w:bCs/>
          <w:sz w:val="20"/>
          <w:szCs w:val="20"/>
        </w:rPr>
        <w:t>Affiliations:</w:t>
      </w:r>
    </w:p>
    <w:p w:rsidR="005837F3" w:rsidRPr="0003786E" w:rsidRDefault="005837F3">
      <w:pPr>
        <w:pStyle w:val="BodyText"/>
        <w:spacing w:line="276" w:lineRule="auto"/>
        <w:jc w:val="both"/>
        <w:rPr>
          <w:rFonts w:ascii="Times New Roman" w:hAnsi="Times New Roman" w:cs="Times New Roman"/>
          <w:bCs/>
          <w:sz w:val="20"/>
          <w:szCs w:val="20"/>
        </w:rPr>
      </w:pPr>
      <w:r w:rsidRPr="0003786E">
        <w:rPr>
          <w:rFonts w:ascii="Times New Roman" w:hAnsi="Times New Roman" w:cs="Times New Roman"/>
          <w:bCs/>
          <w:sz w:val="20"/>
          <w:szCs w:val="20"/>
        </w:rPr>
        <w:t>¹Applied Economics Area, Universitat de Lleida, Department of Economics and Business, Lleida, Spain.</w:t>
      </w:r>
    </w:p>
    <w:p w:rsidR="005837F3" w:rsidRPr="0003786E" w:rsidRDefault="005837F3">
      <w:pPr>
        <w:pStyle w:val="BodyText"/>
        <w:spacing w:line="276" w:lineRule="auto"/>
        <w:jc w:val="both"/>
        <w:rPr>
          <w:rFonts w:ascii="Times New Roman" w:hAnsi="Times New Roman" w:cs="Times New Roman"/>
          <w:bCs/>
          <w:sz w:val="20"/>
          <w:szCs w:val="20"/>
        </w:rPr>
      </w:pPr>
      <w:r w:rsidRPr="0003786E">
        <w:rPr>
          <w:rFonts w:ascii="Times New Roman" w:hAnsi="Times New Roman" w:cs="Times New Roman"/>
          <w:bCs/>
          <w:sz w:val="20"/>
          <w:szCs w:val="20"/>
        </w:rPr>
        <w:t>2Health Technology Assessment Agency, Carlos III Institute of Health, Madrid, Spain.</w:t>
      </w:r>
    </w:p>
    <w:p w:rsidR="005837F3" w:rsidRPr="0003786E" w:rsidRDefault="005837F3">
      <w:pPr>
        <w:pStyle w:val="BodyText"/>
        <w:spacing w:line="276" w:lineRule="auto"/>
        <w:jc w:val="both"/>
        <w:rPr>
          <w:rFonts w:ascii="Times New Roman" w:hAnsi="Times New Roman" w:cs="Times New Roman"/>
          <w:bCs/>
          <w:sz w:val="20"/>
          <w:szCs w:val="20"/>
          <w:lang w:val="es-ES"/>
        </w:rPr>
      </w:pPr>
      <w:r w:rsidRPr="0003786E">
        <w:rPr>
          <w:rFonts w:ascii="Times New Roman" w:hAnsi="Times New Roman" w:cs="Times New Roman"/>
          <w:bCs/>
          <w:sz w:val="20"/>
          <w:szCs w:val="20"/>
          <w:lang w:val="es-ES"/>
        </w:rPr>
        <w:t>3Profesor Asociado, Universidad Carlos III, Weber, Madrid, Spain.</w:t>
      </w:r>
    </w:p>
    <w:p w:rsidR="005837F3" w:rsidRPr="0003786E" w:rsidRDefault="005837F3">
      <w:pPr>
        <w:pStyle w:val="BodyText"/>
        <w:spacing w:line="276" w:lineRule="auto"/>
        <w:jc w:val="both"/>
        <w:rPr>
          <w:rFonts w:ascii="Times New Roman" w:hAnsi="Times New Roman" w:cs="Times New Roman"/>
          <w:bCs/>
          <w:sz w:val="20"/>
          <w:szCs w:val="20"/>
        </w:rPr>
      </w:pPr>
      <w:r w:rsidRPr="0003786E">
        <w:rPr>
          <w:rFonts w:ascii="Times New Roman" w:hAnsi="Times New Roman" w:cs="Times New Roman"/>
          <w:bCs/>
          <w:sz w:val="20"/>
          <w:szCs w:val="20"/>
        </w:rPr>
        <w:t>4VC Biolaw, Madrid, Spain.</w:t>
      </w:r>
    </w:p>
    <w:p w:rsidR="005837F3" w:rsidRPr="0003786E" w:rsidRDefault="005837F3">
      <w:pPr>
        <w:pStyle w:val="BodyText"/>
        <w:spacing w:line="276" w:lineRule="auto"/>
        <w:jc w:val="both"/>
        <w:rPr>
          <w:rFonts w:ascii="Times New Roman" w:hAnsi="Times New Roman" w:cs="Times New Roman"/>
          <w:bCs/>
          <w:sz w:val="20"/>
          <w:szCs w:val="20"/>
        </w:rPr>
      </w:pPr>
      <w:r w:rsidRPr="0003786E">
        <w:rPr>
          <w:rFonts w:ascii="Times New Roman" w:hAnsi="Times New Roman" w:cs="Times New Roman"/>
          <w:bCs/>
          <w:sz w:val="20"/>
          <w:szCs w:val="20"/>
        </w:rPr>
        <w:t>5Pharmalex Spain, UPF Barcelona School of Management, Barcelona, Spain.</w:t>
      </w:r>
    </w:p>
    <w:p w:rsidR="005837F3" w:rsidRPr="0003786E" w:rsidRDefault="005837F3">
      <w:pPr>
        <w:pStyle w:val="BodyText"/>
        <w:spacing w:line="276" w:lineRule="auto"/>
        <w:jc w:val="both"/>
        <w:rPr>
          <w:rFonts w:ascii="Times New Roman" w:hAnsi="Times New Roman" w:cs="Times New Roman"/>
          <w:bCs/>
          <w:sz w:val="20"/>
          <w:szCs w:val="20"/>
          <w:lang w:val="es-ES"/>
        </w:rPr>
      </w:pPr>
      <w:r w:rsidRPr="0003786E">
        <w:rPr>
          <w:rFonts w:ascii="Times New Roman" w:hAnsi="Times New Roman" w:cs="Times New Roman"/>
          <w:bCs/>
          <w:sz w:val="20"/>
          <w:szCs w:val="20"/>
          <w:lang w:val="es-ES"/>
        </w:rPr>
        <w:t>Corresponding author: Marta Trapero-Bertran (marta.trapero@udl.cat), Universitat de Lleida</w:t>
      </w:r>
    </w:p>
    <w:p w:rsidR="002B5352" w:rsidRPr="0003786E" w:rsidRDefault="002B5352" w:rsidP="002B5352">
      <w:pPr>
        <w:pStyle w:val="BodyText"/>
        <w:spacing w:line="276" w:lineRule="auto"/>
        <w:jc w:val="both"/>
        <w:rPr>
          <w:rFonts w:ascii="Times New Roman" w:hAnsi="Times New Roman" w:cs="Times New Roman"/>
          <w:b/>
          <w:bCs/>
          <w:sz w:val="20"/>
          <w:szCs w:val="20"/>
        </w:rPr>
      </w:pPr>
      <w:r w:rsidRPr="0003786E">
        <w:rPr>
          <w:rFonts w:ascii="Times New Roman" w:hAnsi="Times New Roman" w:cs="Times New Roman"/>
          <w:b/>
          <w:bCs/>
          <w:sz w:val="20"/>
          <w:szCs w:val="20"/>
        </w:rPr>
        <w:t xml:space="preserve">Appendix </w:t>
      </w:r>
    </w:p>
    <w:p w:rsidR="002B5352" w:rsidRPr="0003786E" w:rsidRDefault="002B5352" w:rsidP="002B5352">
      <w:pPr>
        <w:pStyle w:val="BodyText"/>
        <w:spacing w:line="276" w:lineRule="auto"/>
        <w:jc w:val="both"/>
        <w:rPr>
          <w:rFonts w:ascii="Times New Roman" w:hAnsi="Times New Roman" w:cs="Times New Roman"/>
          <w:b/>
          <w:bCs/>
          <w:sz w:val="20"/>
          <w:szCs w:val="20"/>
        </w:rPr>
      </w:pPr>
      <w:r w:rsidRPr="0003786E">
        <w:rPr>
          <w:rFonts w:ascii="Times New Roman" w:hAnsi="Times New Roman" w:cs="Times New Roman"/>
          <w:b/>
          <w:bCs/>
          <w:sz w:val="20"/>
          <w:szCs w:val="20"/>
        </w:rPr>
        <w:t>Appendix S1. Output from the systematic literature review for methods of price reimbursement for drugs in combination (n=62)</w:t>
      </w:r>
    </w:p>
    <w:p w:rsidR="002B5352" w:rsidRPr="0003786E" w:rsidRDefault="002B5352" w:rsidP="002B5352">
      <w:pPr>
        <w:pStyle w:val="Heading2"/>
        <w:spacing w:line="276" w:lineRule="auto"/>
        <w:jc w:val="both"/>
        <w:rPr>
          <w:rFonts w:ascii="Times New Roman" w:hAnsi="Times New Roman" w:cs="Times New Roman"/>
          <w:b/>
          <w:bCs/>
          <w:color w:val="auto"/>
          <w:sz w:val="20"/>
          <w:szCs w:val="20"/>
        </w:rPr>
      </w:pP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1</w:t>
      </w:r>
      <w:r w:rsidRPr="0003786E">
        <w:rPr>
          <w:rFonts w:ascii="Times New Roman" w:hAnsi="Times New Roman" w:cs="Times New Roman"/>
          <w:sz w:val="20"/>
          <w:szCs w:val="20"/>
        </w:rPr>
        <w:tab/>
        <w:t xml:space="preserve">Alba S, Hetzel MW, Goodman C, Dillip A, Liana J, Mshinda H, Lengeler C. Improvements in access to malaria treatment in Tanzania after switch to artemisinin combination therapy and the introduction of accredited drug dispensing outlets - a provider perspective. Malar J. 2010 Jun 15;9:164. doi: 10.1186/1475-2875-9-164. </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2</w:t>
      </w:r>
      <w:r w:rsidRPr="0003786E">
        <w:rPr>
          <w:rFonts w:ascii="Times New Roman" w:hAnsi="Times New Roman" w:cs="Times New Roman"/>
          <w:sz w:val="20"/>
          <w:szCs w:val="20"/>
        </w:rPr>
        <w:tab/>
        <w:t>Amuasi JH, Diap G, Nguah SB, Karikari P, Boakye I, Jambai A, Lahai WK, Louie KS, Kiechel JR. Access to artemisinin-combination therapy (ACT) and other anti-malarials: national policy and markets in Sierra Leone. PLoS One. 2012;7(10):e47733. doi: 10.1371/journal.pone.0047733. Beall RF, Nickerson JW, Kaplan WA, Attaran A. Is Patent "Evergreening" Restricting Access to Medicine/Device Combination Products? PLoS One. 2016 Feb 24;11(2):e0148939. doi: 10.1371/journal.pone.0148939</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3</w:t>
      </w:r>
      <w:r w:rsidRPr="0003786E">
        <w:rPr>
          <w:rFonts w:ascii="Times New Roman" w:hAnsi="Times New Roman" w:cs="Times New Roman"/>
          <w:sz w:val="20"/>
          <w:szCs w:val="20"/>
        </w:rPr>
        <w:tab/>
        <w:t xml:space="preserve">Black DR, Sang CN. Advances and limitations in the evaluation of analgesic combination therapy. Neurology. 2005 Dec 29;65(12 Suppl 4):S3-6. doi: 10.1212/wnl.65.12_suppl_4.s3. </w:t>
      </w:r>
    </w:p>
    <w:p w:rsidR="005E5154" w:rsidRPr="0003786E" w:rsidRDefault="005E5154" w:rsidP="005E5154">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S1.4</w:t>
      </w:r>
      <w:r w:rsidRPr="0003786E">
        <w:rPr>
          <w:rFonts w:ascii="Times New Roman" w:hAnsi="Times New Roman" w:cs="Times New Roman"/>
          <w:sz w:val="20"/>
          <w:szCs w:val="20"/>
        </w:rPr>
        <w:tab/>
        <w:t xml:space="preserve">Bobinac A, Vončina L, Velić I, Ribarić E, Benković V. Indication-based pricing of the pharmaceuticals in Croatia: case-study. Expert Rev Pharmacoecon Outcomes Res. 2025 Jun;25(5):761-768. doi: 10.1080/14737167.2025.2478232. </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5</w:t>
      </w:r>
      <w:r w:rsidR="002B5352" w:rsidRPr="0003786E">
        <w:rPr>
          <w:rFonts w:ascii="Times New Roman" w:hAnsi="Times New Roman" w:cs="Times New Roman"/>
          <w:sz w:val="20"/>
          <w:szCs w:val="20"/>
        </w:rPr>
        <w:tab/>
        <w:t xml:space="preserve">Briggs AH, Doyle-Connolly A, Schneider J, Podkonjak T, Taylor H, Roffe E, Low E, Davis S, Kaiser M, Hatswell AJ, Rabin N. An Attribution of Value Framework for Combination Treatments. Value Health. 2025 Jan;28(1):72-80. doi: 10.1016/j.jval.2024.08.012. </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6</w:t>
      </w:r>
      <w:r w:rsidR="002B5352" w:rsidRPr="0003786E">
        <w:rPr>
          <w:rFonts w:ascii="Times New Roman" w:hAnsi="Times New Roman" w:cs="Times New Roman"/>
          <w:sz w:val="20"/>
          <w:szCs w:val="20"/>
        </w:rPr>
        <w:tab/>
        <w:t xml:space="preserve">Ciani O, Jommi C. Value Attribution for Combination Treatments: Two Potential Solutions for an Insoluble Problem. Value Health. 2025 Jan;28(1):70-71. doi: 10.1016/j.jval.2024.11.002. </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2B5352" w:rsidRPr="0003786E">
        <w:rPr>
          <w:rFonts w:ascii="Times New Roman" w:hAnsi="Times New Roman" w:cs="Times New Roman"/>
          <w:sz w:val="20"/>
          <w:szCs w:val="20"/>
        </w:rPr>
        <w:t>7</w:t>
      </w:r>
      <w:r w:rsidR="002B5352" w:rsidRPr="0003786E">
        <w:rPr>
          <w:rFonts w:ascii="Times New Roman" w:hAnsi="Times New Roman" w:cs="Times New Roman"/>
          <w:sz w:val="20"/>
          <w:szCs w:val="20"/>
        </w:rPr>
        <w:tab/>
        <w:t xml:space="preserve">Coleman PG, Morel C, Shillcutt S, Goodman C, Mills AJ. A threshold analysis of the cost-effectiveness of artemisinin-based combination therapies in sub-saharan Africa. Am J Trop Med Hyg. 2004 Aug;71(2 Suppl):196-204. </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2B5352" w:rsidRPr="0003786E">
        <w:rPr>
          <w:rFonts w:ascii="Times New Roman" w:hAnsi="Times New Roman" w:cs="Times New Roman"/>
          <w:sz w:val="20"/>
          <w:szCs w:val="20"/>
        </w:rPr>
        <w:t>8</w:t>
      </w:r>
      <w:r w:rsidR="002B5352" w:rsidRPr="0003786E">
        <w:rPr>
          <w:rFonts w:ascii="Times New Roman" w:hAnsi="Times New Roman" w:cs="Times New Roman"/>
          <w:sz w:val="20"/>
          <w:szCs w:val="20"/>
        </w:rPr>
        <w:tab/>
        <w:t xml:space="preserve">Colombie V, Pugliese-Wehrlen S, Deuffic-Burban S, Cuzin L, Pugliese P, Katlama C, Poizot-Martin I, Raffi F, Cabie A, Dellamonica P, Yazdanpanah Y; Dat'Aids. Mean cost of a first combination antiretroviral therapy in HIV-infected patients in France, and determinants of expensive drugs prescription. Int J STD AIDS. 2012 Dec;23(12):865-9. doi: 10.1258/ijsa.2012.011438. </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9</w:t>
      </w:r>
      <w:r w:rsidRPr="0003786E">
        <w:rPr>
          <w:rFonts w:ascii="Times New Roman" w:hAnsi="Times New Roman" w:cs="Times New Roman"/>
          <w:sz w:val="20"/>
          <w:szCs w:val="20"/>
        </w:rPr>
        <w:tab/>
        <w:t>Competition and Markets Authority. Prioritisation statement on combination therapies. London: CMA; 2023 Nov 17  https://www.gov.uk/government/organisations/competition-and-markets-authority</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S1.1</w:t>
      </w:r>
      <w:r w:rsidR="005E5154" w:rsidRPr="0003786E">
        <w:rPr>
          <w:rFonts w:ascii="Times New Roman" w:hAnsi="Times New Roman" w:cs="Times New Roman"/>
          <w:sz w:val="20"/>
          <w:szCs w:val="20"/>
        </w:rPr>
        <w:t>0</w:t>
      </w:r>
      <w:r w:rsidRPr="0003786E">
        <w:rPr>
          <w:rFonts w:ascii="Times New Roman" w:hAnsi="Times New Roman" w:cs="Times New Roman"/>
          <w:sz w:val="20"/>
          <w:szCs w:val="20"/>
        </w:rPr>
        <w:tab/>
        <w:t xml:space="preserve">Cuenca-Estrella M. Combinations of antifungal agents in therapy--what value are they? J Antimicrob Chemother. 2004 Nov;54(5):854-69. doi: 10.1093/jac/dkh434. </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11</w:t>
      </w:r>
      <w:r w:rsidR="002B5352" w:rsidRPr="0003786E">
        <w:rPr>
          <w:rFonts w:ascii="Times New Roman" w:hAnsi="Times New Roman" w:cs="Times New Roman"/>
          <w:sz w:val="20"/>
          <w:szCs w:val="20"/>
        </w:rPr>
        <w:tab/>
        <w:t>Czech M, Boguslawski S, Smaga A, Filipiak KJ. Use of single pill combinations in the treatment of arterial hypertension in Poland: The current practice and guidelines, the impact on reimbursement spending and patient co-payment. Cardiol J. 2022;29(3):405-412. doi: 10.5603/CJ.a2022.0031</w:t>
      </w:r>
    </w:p>
    <w:p w:rsidR="005E5154" w:rsidRPr="0003786E" w:rsidRDefault="005E5154" w:rsidP="005E5154">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S1.12</w:t>
      </w:r>
      <w:r w:rsidRPr="0003786E">
        <w:rPr>
          <w:rFonts w:ascii="Times New Roman" w:hAnsi="Times New Roman" w:cs="Times New Roman"/>
          <w:sz w:val="20"/>
          <w:szCs w:val="20"/>
        </w:rPr>
        <w:tab/>
        <w:t>Dai, Z, Xue, T, Xiang  G, Chang, F, &amp; Lu, Y. International Experience and Enlightenment of Medical Insurance Reimbursement for Multi-indication Drugs Based on Value-based Pricing. China Pharmacy, 2021;139-145.</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S1.1</w:t>
      </w:r>
      <w:r w:rsidR="005E5154" w:rsidRPr="0003786E">
        <w:rPr>
          <w:rFonts w:ascii="Times New Roman" w:hAnsi="Times New Roman" w:cs="Times New Roman"/>
          <w:sz w:val="20"/>
          <w:szCs w:val="20"/>
        </w:rPr>
        <w:t>3</w:t>
      </w:r>
      <w:r w:rsidRPr="0003786E">
        <w:rPr>
          <w:rFonts w:ascii="Times New Roman" w:hAnsi="Times New Roman" w:cs="Times New Roman"/>
          <w:sz w:val="20"/>
          <w:szCs w:val="20"/>
        </w:rPr>
        <w:tab/>
        <w:t xml:space="preserve">Dankó D, Blay JY, Garrison LP. Challenges in the value assessment, pricing and funding of targeted combination therapies in oncology. Health Policy. 2019 Dec;123(12):1230-1236. doi: 10.1016/j.healthpol.2019.07.009. </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2B5352" w:rsidRPr="0003786E">
        <w:rPr>
          <w:rFonts w:ascii="Times New Roman" w:hAnsi="Times New Roman" w:cs="Times New Roman"/>
          <w:sz w:val="20"/>
          <w:szCs w:val="20"/>
        </w:rPr>
        <w:t>1</w:t>
      </w:r>
      <w:r w:rsidR="005E5154" w:rsidRPr="0003786E">
        <w:rPr>
          <w:rFonts w:ascii="Times New Roman" w:hAnsi="Times New Roman" w:cs="Times New Roman"/>
          <w:sz w:val="20"/>
          <w:szCs w:val="20"/>
        </w:rPr>
        <w:t>4</w:t>
      </w:r>
      <w:r w:rsidR="002B5352" w:rsidRPr="0003786E">
        <w:rPr>
          <w:rFonts w:ascii="Times New Roman" w:hAnsi="Times New Roman" w:cs="Times New Roman"/>
          <w:sz w:val="20"/>
          <w:szCs w:val="20"/>
        </w:rPr>
        <w:tab/>
        <w:t xml:space="preserve">Detournay B, Pribil C, Jourdanne C, Price M. Budget impact model for determining the costs of introducing inhaled salmeterol/fluticasone propionate combination for the management of persistent asthma in France. Eur J Health Econ. 2002;3(3):149-55. doi: 10.1007/s10198-002-0111-z. </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2B5352" w:rsidRPr="0003786E">
        <w:rPr>
          <w:rFonts w:ascii="Times New Roman" w:hAnsi="Times New Roman" w:cs="Times New Roman"/>
          <w:sz w:val="20"/>
          <w:szCs w:val="20"/>
        </w:rPr>
        <w:t>1</w:t>
      </w:r>
      <w:r w:rsidR="005E5154" w:rsidRPr="0003786E">
        <w:rPr>
          <w:rFonts w:ascii="Times New Roman" w:hAnsi="Times New Roman" w:cs="Times New Roman"/>
          <w:sz w:val="20"/>
          <w:szCs w:val="20"/>
        </w:rPr>
        <w:t>5</w:t>
      </w:r>
      <w:r w:rsidR="002B5352" w:rsidRPr="0003786E">
        <w:rPr>
          <w:rFonts w:ascii="Times New Roman" w:hAnsi="Times New Roman" w:cs="Times New Roman"/>
          <w:sz w:val="20"/>
          <w:szCs w:val="20"/>
        </w:rPr>
        <w:tab/>
        <w:t xml:space="preserve"> Hansen KS, Pedrazzoli D, Mbonye A, Clarke S, Cundill B, Magnussen P, Yeung S. Willingness-to-pay for a rapid malaria diagnostic test and artemisinin-based combination therapy from private drug shops in Mukono District, Uganda. Health Policy Plan. 2013 Mar;28(2):185-96. doi: 10.1093/heapol/czs048. </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2B5352" w:rsidRPr="0003786E">
        <w:rPr>
          <w:rFonts w:ascii="Times New Roman" w:hAnsi="Times New Roman" w:cs="Times New Roman"/>
          <w:sz w:val="20"/>
          <w:szCs w:val="20"/>
        </w:rPr>
        <w:t>1</w:t>
      </w:r>
      <w:r w:rsidR="005E5154" w:rsidRPr="0003786E">
        <w:rPr>
          <w:rFonts w:ascii="Times New Roman" w:hAnsi="Times New Roman" w:cs="Times New Roman"/>
          <w:sz w:val="20"/>
          <w:szCs w:val="20"/>
        </w:rPr>
        <w:t>6</w:t>
      </w:r>
      <w:r w:rsidR="002B5352" w:rsidRPr="0003786E">
        <w:rPr>
          <w:rFonts w:ascii="Times New Roman" w:hAnsi="Times New Roman" w:cs="Times New Roman"/>
          <w:sz w:val="20"/>
          <w:szCs w:val="20"/>
        </w:rPr>
        <w:tab/>
        <w:t xml:space="preserve">Henshall CH, Dankó D, Barham L, Espín J, Felix J, Harney M, Indra P, Mestre-Ferrandiz J, de Pouvourville G, Spandonaro F, Vončina L, Wilking N. Review and Assessment of Policy Options for Improving Access to Combination Therapies in Oncology in Europe. Appl Health Econ Health Policy. 2023 Jul;21(4):537-546. doi: 10.1007/s40258-023-00795-8. </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17</w:t>
      </w:r>
      <w:r w:rsidRPr="0003786E">
        <w:rPr>
          <w:rFonts w:ascii="Times New Roman" w:hAnsi="Times New Roman" w:cs="Times New Roman"/>
          <w:sz w:val="20"/>
          <w:szCs w:val="20"/>
        </w:rPr>
        <w:tab/>
        <w:t>Husereau, D., Nason, E., Ahuja, T., Nikaï, E., Tsakonas, E., &amp; Jacobs, P. (2019). Use of real-world data sources for Canadian drug pricing and reimbursement decisions: stakeholder views and lessons for other countries. International Journal of Technology Assessment in Health Care, 35(3), 181-188.</w:t>
      </w:r>
    </w:p>
    <w:p w:rsidR="005E5154" w:rsidRPr="0003786E" w:rsidRDefault="005E5154" w:rsidP="005E5154">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S1.18</w:t>
      </w:r>
      <w:r w:rsidRPr="0003786E">
        <w:rPr>
          <w:rFonts w:ascii="Times New Roman" w:hAnsi="Times New Roman" w:cs="Times New Roman"/>
          <w:sz w:val="20"/>
          <w:szCs w:val="20"/>
        </w:rPr>
        <w:tab/>
        <w:t>Jiao, B., &amp; Garrison, L. P., , Jr.. The challenge of value-based pricing in combination therapy: the case of trastuzumab and pertuzumab in HER2+ metastatic breast cancer. Expert Review of Pharmacoeconomics &amp; Outcomes Research, 2021;21(3), 495–502. https://doi.org/10.1080/14737167.2021.1896968</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19</w:t>
      </w:r>
      <w:r w:rsidRPr="0003786E">
        <w:rPr>
          <w:rFonts w:ascii="Times New Roman" w:hAnsi="Times New Roman" w:cs="Times New Roman"/>
          <w:sz w:val="20"/>
          <w:szCs w:val="20"/>
        </w:rPr>
        <w:tab/>
        <w:t xml:space="preserve">Johnston SS, Juday T, Seekins D, Espindle D, Chu BC. Association between prescription cost sharing and adherence to initial combination antiretroviral therapy in commercially insured antiretroviral-naïve patients with HIV. J Manag Care Pharm. 2012 Mar;18(2):129-45. doi: 10.18553/jmcp.2012.18.2.129. </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20</w:t>
      </w:r>
      <w:r w:rsidR="002B5352" w:rsidRPr="0003786E">
        <w:rPr>
          <w:rFonts w:ascii="Times New Roman" w:hAnsi="Times New Roman" w:cs="Times New Roman"/>
          <w:sz w:val="20"/>
          <w:szCs w:val="20"/>
        </w:rPr>
        <w:tab/>
        <w:t xml:space="preserve">Klein EY, Smith DL, Cohen JM, Laxminarayan R. Bioeconomic analysis of child-targeted subsidies for artemisinin combination therapies: a cost-effectiveness analysis. J R Soc Interface. 2015 Jun 6;12(107):20141356. doi: 10.1098/rsif.2014.1356. </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21</w:t>
      </w:r>
      <w:r w:rsidR="002B5352" w:rsidRPr="0003786E">
        <w:rPr>
          <w:rFonts w:ascii="Times New Roman" w:hAnsi="Times New Roman" w:cs="Times New Roman"/>
          <w:sz w:val="20"/>
          <w:szCs w:val="20"/>
        </w:rPr>
        <w:tab/>
        <w:t>Kumar G, Garau M, Steuten L, Tan SC, Yiru C. 427P Oncology combination therapies in Asia-Pacific markets: What are the current access challenges? Ann Oncol. 2022;33 Suppl 9:S1607. doi: 10.1016/j.annonc.2022.10.458.</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S1.22</w:t>
      </w:r>
      <w:r w:rsidRPr="0003786E">
        <w:rPr>
          <w:rFonts w:ascii="Times New Roman" w:hAnsi="Times New Roman" w:cs="Times New Roman"/>
          <w:sz w:val="20"/>
          <w:szCs w:val="20"/>
        </w:rPr>
        <w:tab/>
        <w:t xml:space="preserve">Langebeek N, Gisolf EH, Reiss P, Vervoort SC, Hafsteinsdóttir TB, Richter C, Sprangers MA, Nieuwkerk PT. Predictors and correlates of adherence to combination antiretroviral therapy (ART) for chronic HIV infection: a meta-analysis. BMC Med. 2014 Aug 21;12:142. doi: 10.1186/PREACCEPT-1453408941291432. </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S1.2</w:t>
      </w:r>
      <w:r w:rsidR="005E5154" w:rsidRPr="0003786E">
        <w:rPr>
          <w:rFonts w:ascii="Times New Roman" w:hAnsi="Times New Roman" w:cs="Times New Roman"/>
          <w:sz w:val="20"/>
          <w:szCs w:val="20"/>
        </w:rPr>
        <w:t>3</w:t>
      </w:r>
      <w:r w:rsidRPr="0003786E">
        <w:rPr>
          <w:rFonts w:ascii="Times New Roman" w:hAnsi="Times New Roman" w:cs="Times New Roman"/>
          <w:sz w:val="20"/>
          <w:szCs w:val="20"/>
        </w:rPr>
        <w:tab/>
        <w:t xml:space="preserve">Latimer NR, Pollard D, Towse A, Henshall C, Sansom L, Ward RL, Bruce A, Deakin C. Challenges in valuing and paying for combination regimens in oncology: reporting the perspectives of a multi-stakeholder, international workshop. BMC Health Serv Res. 2021 May 3;21(1):412. doi: 10.1186/s12913-021-06425-0. </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S1.2</w:t>
      </w:r>
      <w:r w:rsidR="005E5154" w:rsidRPr="0003786E">
        <w:rPr>
          <w:rFonts w:ascii="Times New Roman" w:hAnsi="Times New Roman" w:cs="Times New Roman"/>
          <w:sz w:val="20"/>
          <w:szCs w:val="20"/>
        </w:rPr>
        <w:t>4</w:t>
      </w:r>
      <w:r w:rsidRPr="0003786E">
        <w:rPr>
          <w:rFonts w:ascii="Times New Roman" w:hAnsi="Times New Roman" w:cs="Times New Roman"/>
          <w:sz w:val="20"/>
          <w:szCs w:val="20"/>
        </w:rPr>
        <w:tab/>
        <w:t>Latimer, NR, Towse, A., &amp; Henshall, C.. Not cost-effective at zero price: valuing and paying for combination therapies in cancer. Expert Review of Pharmacoeconomics &amp; Outcomes Research, 2021;21(3), 331–334. https://doi.org/10.1080/14737167.2021.1879644.</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S1.2</w:t>
      </w:r>
      <w:r w:rsidR="005E5154" w:rsidRPr="0003786E">
        <w:rPr>
          <w:rFonts w:ascii="Times New Roman" w:hAnsi="Times New Roman" w:cs="Times New Roman"/>
          <w:sz w:val="20"/>
          <w:szCs w:val="20"/>
        </w:rPr>
        <w:t>5</w:t>
      </w:r>
      <w:r w:rsidRPr="0003786E">
        <w:rPr>
          <w:rFonts w:ascii="Times New Roman" w:hAnsi="Times New Roman" w:cs="Times New Roman"/>
          <w:sz w:val="20"/>
          <w:szCs w:val="20"/>
        </w:rPr>
        <w:tab/>
        <w:t xml:space="preserve">Laxminarayan R, Parry IW, Smith DL, Klein EY. Should new antimalarial drugs be subsidized? J Health Econ. 2010 May;29(3):445-56. doi: 10.1016/j.jhealeco.2010.03.002. </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26</w:t>
      </w:r>
      <w:r w:rsidRPr="0003786E">
        <w:rPr>
          <w:rFonts w:ascii="Times New Roman" w:hAnsi="Times New Roman" w:cs="Times New Roman"/>
          <w:sz w:val="20"/>
          <w:szCs w:val="20"/>
        </w:rPr>
        <w:tab/>
        <w:t>Le L, Beillat M, Gaultier-Laloy C, Diop S, Jasso-Mosqueda JG. A dynamic approach for Budget Impact Analysis (BIA) in oncology - the case of novel treatment combinations in multiple myeloma. Value Health. 2018 Sep;21 Suppl 3:S443. doi: 10.1016/j.jval.2018.04.1166.</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27</w:t>
      </w:r>
      <w:r w:rsidRPr="0003786E">
        <w:rPr>
          <w:rFonts w:ascii="Times New Roman" w:hAnsi="Times New Roman" w:cs="Times New Roman"/>
          <w:sz w:val="20"/>
          <w:szCs w:val="20"/>
        </w:rPr>
        <w:tab/>
        <w:t xml:space="preserve">Ligade VS, Thakar TM, Dengale SJ. Fixed dose combinations of anti-tubercular, antimalarial and antiretroviral medicines on the Indian market: critical analysis of ubiquity, sales and regulatory status. Trop Med Int Health. 2019 Feb;24(2):238-246. doi: 10.1111/tmi.13180. </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28</w:t>
      </w:r>
      <w:r w:rsidRPr="0003786E">
        <w:rPr>
          <w:rFonts w:ascii="Times New Roman" w:hAnsi="Times New Roman" w:cs="Times New Roman"/>
          <w:sz w:val="20"/>
          <w:szCs w:val="20"/>
        </w:rPr>
        <w:tab/>
        <w:t>Lussiana C. Towards subsidized malaria rapid diagnostic tests. Lessons learned from programmes to subsidise artemisinin-based combination therapies in the private sector: a review, Health Policy and Planning, Volume 31, Issue 7, September 2016, Pages 928–939, https://doi.org/10.1093/heapol/czv028</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2</w:t>
      </w:r>
      <w:r w:rsidR="002B5352" w:rsidRPr="0003786E">
        <w:rPr>
          <w:rFonts w:ascii="Times New Roman" w:hAnsi="Times New Roman" w:cs="Times New Roman"/>
          <w:sz w:val="20"/>
          <w:szCs w:val="20"/>
        </w:rPr>
        <w:t>9</w:t>
      </w:r>
      <w:r w:rsidR="002B5352" w:rsidRPr="0003786E">
        <w:rPr>
          <w:rFonts w:ascii="Times New Roman" w:hAnsi="Times New Roman" w:cs="Times New Roman"/>
          <w:sz w:val="20"/>
          <w:szCs w:val="20"/>
        </w:rPr>
        <w:tab/>
        <w:t xml:space="preserve">Meher BR, Padhy BM. Indication-specific pricing of drugs: a utopian idea, a pragmatic proposition or unrealistic in economically constrained settings? Trop Doct. 2020 Apr;50(2):157-159. doi: 10.1177/0049475520903644. </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S1.3</w:t>
      </w:r>
      <w:r w:rsidR="005E5154" w:rsidRPr="0003786E">
        <w:rPr>
          <w:rFonts w:ascii="Times New Roman" w:hAnsi="Times New Roman" w:cs="Times New Roman"/>
          <w:sz w:val="20"/>
          <w:szCs w:val="20"/>
        </w:rPr>
        <w:t>0</w:t>
      </w:r>
      <w:r w:rsidRPr="0003786E">
        <w:rPr>
          <w:rFonts w:ascii="Times New Roman" w:hAnsi="Times New Roman" w:cs="Times New Roman"/>
          <w:sz w:val="20"/>
          <w:szCs w:val="20"/>
        </w:rPr>
        <w:tab/>
        <w:t>Marcelli G, Muelchi M. Targeted combination regimes in oncology challenges for pricing and reimbursment in Switzerland: analysis of the implication and operational requirement for implementation of an indication code. Value Health. 2015 Nov;18(7):A571. doi: 10.1016/j.jval.2015.09.1887.</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31</w:t>
      </w:r>
      <w:r w:rsidRPr="0003786E">
        <w:rPr>
          <w:rFonts w:ascii="Times New Roman" w:hAnsi="Times New Roman" w:cs="Times New Roman"/>
          <w:sz w:val="20"/>
          <w:szCs w:val="20"/>
        </w:rPr>
        <w:tab/>
        <w:t xml:space="preserve">Michel MC, Staskin D. Study Designs for Evaluation of Combination Treatment: Focus on Individual Patient Benefit. Biomedicines. 2022 Jan 26;10(2):270. doi: 10.3390/biomedicines10020270. </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S1.3</w:t>
      </w:r>
      <w:r w:rsidR="005E5154" w:rsidRPr="0003786E">
        <w:rPr>
          <w:rFonts w:ascii="Times New Roman" w:hAnsi="Times New Roman" w:cs="Times New Roman"/>
          <w:sz w:val="20"/>
          <w:szCs w:val="20"/>
        </w:rPr>
        <w:t>2</w:t>
      </w:r>
      <w:r w:rsidRPr="0003786E">
        <w:rPr>
          <w:rFonts w:ascii="Times New Roman" w:hAnsi="Times New Roman" w:cs="Times New Roman"/>
          <w:sz w:val="20"/>
          <w:szCs w:val="20"/>
        </w:rPr>
        <w:tab/>
        <w:t xml:space="preserve">Moore RD, Bartlett JG. Combination antiretroviral therapy in HIV infection. An economic perspective. Pharmacoeconomics. 1996 Aug;10(2):109-13. doi: 10.2165/00019053-199610020-00002. </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S1.3</w:t>
      </w:r>
      <w:r w:rsidR="005E5154" w:rsidRPr="0003786E">
        <w:rPr>
          <w:rFonts w:ascii="Times New Roman" w:hAnsi="Times New Roman" w:cs="Times New Roman"/>
          <w:sz w:val="20"/>
          <w:szCs w:val="20"/>
        </w:rPr>
        <w:t>3</w:t>
      </w:r>
      <w:r w:rsidRPr="0003786E">
        <w:rPr>
          <w:rFonts w:ascii="Times New Roman" w:hAnsi="Times New Roman" w:cs="Times New Roman"/>
          <w:sz w:val="20"/>
          <w:szCs w:val="20"/>
        </w:rPr>
        <w:tab/>
        <w:t>Mori, A.T., Kaale, E.A. Priority setting for the implementation of artemisinin-based combination therapy policy in Tanzania: evaluation against the accountability for reasonableness framework. Implementation Sci 7, 18 (2012). https://doi.org/10.1186/1748-5908-7-18</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34</w:t>
      </w:r>
      <w:r w:rsidRPr="0003786E">
        <w:rPr>
          <w:rFonts w:ascii="Times New Roman" w:hAnsi="Times New Roman" w:cs="Times New Roman"/>
          <w:sz w:val="20"/>
          <w:szCs w:val="20"/>
        </w:rPr>
        <w:tab/>
        <w:t>Na, CF &amp; Guidolin, M. The Economic and Statistical Value of Forecast Combinations Under Regime Switching: An Application to Predictable Us Returns. 2006. Available at SSRN 942019.</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35</w:t>
      </w:r>
      <w:r w:rsidRPr="0003786E">
        <w:rPr>
          <w:rFonts w:ascii="Times New Roman" w:hAnsi="Times New Roman" w:cs="Times New Roman"/>
          <w:sz w:val="20"/>
          <w:szCs w:val="20"/>
        </w:rPr>
        <w:tab/>
        <w:t>Napier, M., Sampson, C., Cole, A., &amp; Garau, M. (2024). A Framework for Value-aligned Pricing of Combination Therapies (No. 002490). Office of Health Economics.</w:t>
      </w:r>
    </w:p>
    <w:p w:rsidR="005E5154" w:rsidRPr="0003786E" w:rsidRDefault="005E5154" w:rsidP="005E5154">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S1.36</w:t>
      </w:r>
      <w:r w:rsidRPr="0003786E">
        <w:rPr>
          <w:rFonts w:ascii="Times New Roman" w:hAnsi="Times New Roman" w:cs="Times New Roman"/>
          <w:sz w:val="20"/>
          <w:szCs w:val="20"/>
        </w:rPr>
        <w:tab/>
        <w:t xml:space="preserve">Negi S, Neupane D, Sahoo SK, Mahajan T, Swaroop K, Moran AE, Sharma B, Pathni AK. Prices of combination medicines and single-molecule antihypertensive medicines in India's private health care sector. J Clin Hypertens (Greenwich). 2021 Apr;23(4):738-743. doi: 10.1111/jch.14143. </w:t>
      </w:r>
    </w:p>
    <w:p w:rsidR="005E5154" w:rsidRPr="0003786E" w:rsidRDefault="005E5154" w:rsidP="005E5154">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S1.37</w:t>
      </w:r>
      <w:r w:rsidRPr="0003786E">
        <w:rPr>
          <w:rFonts w:ascii="Times New Roman" w:hAnsi="Times New Roman" w:cs="Times New Roman"/>
          <w:sz w:val="20"/>
          <w:szCs w:val="20"/>
        </w:rPr>
        <w:tab/>
        <w:t xml:space="preserve">Nelson DR, Heaton P, Hincapie A, Ghodke S, Chen J. Differential Cost-Sharing Undermines Treatment Adherence to Combination Therapy: Evidence from Diabetes Treatment. Diabetes Ther. 2021 Aug;12(8):2149-2164. doi: 10.1007/s13300-021-01098-8. </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S1.3</w:t>
      </w:r>
      <w:r w:rsidR="005E5154" w:rsidRPr="0003786E">
        <w:rPr>
          <w:rFonts w:ascii="Times New Roman" w:hAnsi="Times New Roman" w:cs="Times New Roman"/>
          <w:sz w:val="20"/>
          <w:szCs w:val="20"/>
        </w:rPr>
        <w:t>8</w:t>
      </w:r>
      <w:r w:rsidRPr="0003786E">
        <w:rPr>
          <w:rFonts w:ascii="Times New Roman" w:hAnsi="Times New Roman" w:cs="Times New Roman"/>
          <w:sz w:val="20"/>
          <w:szCs w:val="20"/>
        </w:rPr>
        <w:tab/>
        <w:t xml:space="preserve">Nkoli Mandoko P, Sinou V, Moke Mbongi D, Ngoyi Mumba D, Kahunu Mesia G, Losimba Likwela J, Bi Shamamba Karhemere S, Muepu Tshilolo L, Tamfum Muyembe JJ, Parzy D. Access to artemisinin-based combination therapies and other anti-malarial drugs in Kinshasa. Med Mal Infect. 2018 Jun;48(4):269-277. doi: 10.1016/j.medmal.2018.02.003. </w:t>
      </w:r>
    </w:p>
    <w:p w:rsidR="005E5154" w:rsidRPr="0003786E" w:rsidRDefault="005E5154" w:rsidP="005E5154">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S1.39</w:t>
      </w:r>
      <w:r w:rsidRPr="0003786E">
        <w:rPr>
          <w:rFonts w:ascii="Times New Roman" w:hAnsi="Times New Roman" w:cs="Times New Roman"/>
          <w:sz w:val="20"/>
          <w:szCs w:val="20"/>
        </w:rPr>
        <w:tab/>
        <w:t>Oberender P, Zerth J. The search for good compliance: economic aspects of a conveyed combination pharmaco-therapy, exemplified by an osteoporosis therapy. Eur J Health Econ. 2008 May;9(2):127-36. doi: 10.1007/s10198-007-0051-8.</w:t>
      </w:r>
    </w:p>
    <w:p w:rsidR="005E5154" w:rsidRPr="0003786E" w:rsidRDefault="005E5154" w:rsidP="005E5154">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S1.40</w:t>
      </w:r>
      <w:r w:rsidRPr="0003786E">
        <w:rPr>
          <w:rFonts w:ascii="Times New Roman" w:hAnsi="Times New Roman" w:cs="Times New Roman"/>
          <w:sz w:val="20"/>
          <w:szCs w:val="20"/>
        </w:rPr>
        <w:tab/>
        <w:t xml:space="preserve">Ocan M, Nambatya W, Otike C, Nakalembe L, Nsobya S. Copayment mechanism in selected districts of Uganda: Availability, market share and price of quality assured artemisinin-based combination therapies in private drug outlets. PLoS One. 2024 Mar 27;19(3):e0295198. doi: 10.1371/journal.pone.0295198. </w:t>
      </w:r>
    </w:p>
    <w:p w:rsidR="005E5154" w:rsidRPr="0003786E" w:rsidRDefault="005E5154" w:rsidP="005E5154">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S1.41</w:t>
      </w:r>
      <w:r w:rsidRPr="0003786E">
        <w:rPr>
          <w:rFonts w:ascii="Times New Roman" w:hAnsi="Times New Roman" w:cs="Times New Roman"/>
          <w:sz w:val="20"/>
          <w:szCs w:val="20"/>
        </w:rPr>
        <w:tab/>
        <w:t xml:space="preserve">O'Donnell H, McCullagh L, Barry M, Walsh C. The Interaction between Price Negotiations and Heterogeneity: Implications for Economic Evaluations. Med Decis Making. 2020 Feb;40(2):144-155. doi: 10.1177/0272989X19900179. </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42</w:t>
      </w:r>
      <w:r w:rsidR="002B5352" w:rsidRPr="0003786E">
        <w:rPr>
          <w:rFonts w:ascii="Times New Roman" w:hAnsi="Times New Roman" w:cs="Times New Roman"/>
          <w:sz w:val="20"/>
          <w:szCs w:val="20"/>
        </w:rPr>
        <w:tab/>
        <w:t>Opiyo N, Yamey G, Garner P. Subsidising artemisinin-based combination therapy in the private retail sector. Cochrane Database Syst Rev. 2016 Mar 9;3(3):CD009926. doi: 10.1002/14651858.CD009926.</w:t>
      </w:r>
    </w:p>
    <w:p w:rsidR="005E5154" w:rsidRPr="0003786E" w:rsidRDefault="005E5154" w:rsidP="005E5154">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S1.43</w:t>
      </w:r>
      <w:r w:rsidRPr="0003786E">
        <w:rPr>
          <w:rFonts w:ascii="Times New Roman" w:hAnsi="Times New Roman" w:cs="Times New Roman"/>
          <w:sz w:val="20"/>
          <w:szCs w:val="20"/>
        </w:rPr>
        <w:tab/>
        <w:t>Orfanos P, Wright EJ, Munk VC. A budget impact analysis to estimate the economic consequences of introducing the combination of Avastin + Tarceva for the treatment of first line epidermal growth factor (EGFR) metastatic non-small cell lung cancer (NSCLC). Value Health. 2016 Nov;19(7):A720. doi: 10.1016/j.jval.2016.09.2141.</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44</w:t>
      </w:r>
      <w:r w:rsidRPr="0003786E">
        <w:rPr>
          <w:rFonts w:ascii="Times New Roman" w:hAnsi="Times New Roman" w:cs="Times New Roman"/>
          <w:sz w:val="20"/>
          <w:szCs w:val="20"/>
        </w:rPr>
        <w:tab/>
        <w:t xml:space="preserve">Özdemir D, Büssgen M. Effectiveness and cost-effectiveness of combination therapy versus monotherapy in malignant melanoma. J Pharm Policy Pract. 2023 Sep 25;16(1):106. doi: 10.1186/s40545-023-00611-7. </w:t>
      </w:r>
    </w:p>
    <w:p w:rsidR="005E5154" w:rsidRPr="0003786E" w:rsidRDefault="005E5154" w:rsidP="005E5154">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S1.45</w:t>
      </w:r>
      <w:r w:rsidRPr="0003786E">
        <w:rPr>
          <w:rFonts w:ascii="Times New Roman" w:hAnsi="Times New Roman" w:cs="Times New Roman"/>
          <w:sz w:val="20"/>
          <w:szCs w:val="20"/>
        </w:rPr>
        <w:tab/>
        <w:t>Paglia M, Loftus S, Goring S, Sullivan S. How will payers manage the high cost of combinations of new oncology agents, as many of these therapies move towards becoming the standard of care? Value Health. 2018 Sep;21 Suppl 3:S43-S44. doi: 10.1016/j.jval.2018.04.301.</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2B5352" w:rsidRPr="0003786E">
        <w:rPr>
          <w:rFonts w:ascii="Times New Roman" w:hAnsi="Times New Roman" w:cs="Times New Roman"/>
          <w:sz w:val="20"/>
          <w:szCs w:val="20"/>
        </w:rPr>
        <w:t>4</w:t>
      </w:r>
      <w:r w:rsidR="005E5154" w:rsidRPr="0003786E">
        <w:rPr>
          <w:rFonts w:ascii="Times New Roman" w:hAnsi="Times New Roman" w:cs="Times New Roman"/>
          <w:sz w:val="20"/>
          <w:szCs w:val="20"/>
        </w:rPr>
        <w:t>6</w:t>
      </w:r>
      <w:r w:rsidR="002B5352" w:rsidRPr="0003786E">
        <w:rPr>
          <w:rFonts w:ascii="Times New Roman" w:hAnsi="Times New Roman" w:cs="Times New Roman"/>
          <w:sz w:val="20"/>
          <w:szCs w:val="20"/>
        </w:rPr>
        <w:tab/>
        <w:t>Pinkerton SD, Holtgrave DR. Combination antiretroviral therapies for HIV: some economic considerations. In: G. Z. Amsterdam, editor. AIDS and Behavior. New York: Plenum Press; 1999.</w:t>
      </w:r>
    </w:p>
    <w:p w:rsidR="005E5154" w:rsidRPr="0003786E" w:rsidRDefault="005E5154" w:rsidP="005E5154">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S1.47</w:t>
      </w:r>
      <w:r w:rsidRPr="0003786E">
        <w:rPr>
          <w:rFonts w:ascii="Times New Roman" w:hAnsi="Times New Roman" w:cs="Times New Roman"/>
          <w:sz w:val="20"/>
          <w:szCs w:val="20"/>
        </w:rPr>
        <w:tab/>
        <w:t>Powrie-Smith, A. (2017). European federation of pharmaceutical industries and associations. Impact, 2017(2), 38-39.</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2B5352" w:rsidRPr="0003786E">
        <w:rPr>
          <w:rFonts w:ascii="Times New Roman" w:hAnsi="Times New Roman" w:cs="Times New Roman"/>
          <w:sz w:val="20"/>
          <w:szCs w:val="20"/>
        </w:rPr>
        <w:t>4</w:t>
      </w:r>
      <w:r w:rsidR="005E5154" w:rsidRPr="0003786E">
        <w:rPr>
          <w:rFonts w:ascii="Times New Roman" w:hAnsi="Times New Roman" w:cs="Times New Roman"/>
          <w:sz w:val="20"/>
          <w:szCs w:val="20"/>
        </w:rPr>
        <w:t>8</w:t>
      </w:r>
      <w:r w:rsidR="002B5352" w:rsidRPr="0003786E">
        <w:rPr>
          <w:rFonts w:ascii="Times New Roman" w:hAnsi="Times New Roman" w:cs="Times New Roman"/>
          <w:sz w:val="20"/>
          <w:szCs w:val="20"/>
        </w:rPr>
        <w:tab/>
        <w:t>Privolnev A, Elvidge J, Holtorf AP. Combination oncology therapies in the EU5: navigating the road to reimbursement and optimizing uptake. Value Health. 2018 Sep;21 Suppl 3:S54. doi: 10.1016/j.jval.2018.04.408.</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2B5352" w:rsidRPr="0003786E">
        <w:rPr>
          <w:rFonts w:ascii="Times New Roman" w:hAnsi="Times New Roman" w:cs="Times New Roman"/>
          <w:sz w:val="20"/>
          <w:szCs w:val="20"/>
        </w:rPr>
        <w:t>4</w:t>
      </w:r>
      <w:r w:rsidR="005E5154" w:rsidRPr="0003786E">
        <w:rPr>
          <w:rFonts w:ascii="Times New Roman" w:hAnsi="Times New Roman" w:cs="Times New Roman"/>
          <w:sz w:val="20"/>
          <w:szCs w:val="20"/>
        </w:rPr>
        <w:t>9</w:t>
      </w:r>
      <w:r w:rsidR="002B5352" w:rsidRPr="0003786E">
        <w:rPr>
          <w:rFonts w:ascii="Times New Roman" w:hAnsi="Times New Roman" w:cs="Times New Roman"/>
          <w:sz w:val="20"/>
          <w:szCs w:val="20"/>
        </w:rPr>
        <w:tab/>
        <w:t>Rosery H, Isitt J, Fotheringham I. Reimbursement of administration costs are unaffected by single, double or triple anti-cancer therapy combinations in the treatment of metastatic non-small cell lung cancer (mNSCLC) in France. Value Health. 2009 Oct;12(7):A288. doi: 10.1016/S1098-3015(10)74418-5.</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50</w:t>
      </w:r>
      <w:r w:rsidR="002B5352" w:rsidRPr="0003786E">
        <w:rPr>
          <w:rFonts w:ascii="Times New Roman" w:hAnsi="Times New Roman" w:cs="Times New Roman"/>
          <w:sz w:val="20"/>
          <w:szCs w:val="20"/>
        </w:rPr>
        <w:tab/>
        <w:t>Rupasinghe R, et al. Launching combination therapies in rare diseases: is high cost burden restricting access? Value Health. 2017 Oct;20(9):A621. doi: 10.1016/j.jval.2017.08.1270.</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51</w:t>
      </w:r>
      <w:r w:rsidR="002B5352" w:rsidRPr="0003786E">
        <w:rPr>
          <w:rFonts w:ascii="Times New Roman" w:hAnsi="Times New Roman" w:cs="Times New Roman"/>
          <w:sz w:val="20"/>
          <w:szCs w:val="20"/>
        </w:rPr>
        <w:tab/>
        <w:t>Sherwin J, Gee B. Payer management of high-cost brand-on-brand combination therapies in oncology. Value Health. 2017 Oct;20(9):A447. doi: 10.1016/j.jval.2017.08.279.</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2B5352" w:rsidRPr="0003786E">
        <w:rPr>
          <w:rFonts w:ascii="Times New Roman" w:hAnsi="Times New Roman" w:cs="Times New Roman"/>
          <w:sz w:val="20"/>
          <w:szCs w:val="20"/>
        </w:rPr>
        <w:t>5</w:t>
      </w:r>
      <w:r w:rsidR="005E5154" w:rsidRPr="0003786E">
        <w:rPr>
          <w:rFonts w:ascii="Times New Roman" w:hAnsi="Times New Roman" w:cs="Times New Roman"/>
          <w:sz w:val="20"/>
          <w:szCs w:val="20"/>
        </w:rPr>
        <w:t>2</w:t>
      </w:r>
      <w:r w:rsidR="002B5352" w:rsidRPr="0003786E">
        <w:rPr>
          <w:rFonts w:ascii="Times New Roman" w:hAnsi="Times New Roman" w:cs="Times New Roman"/>
          <w:sz w:val="20"/>
          <w:szCs w:val="20"/>
        </w:rPr>
        <w:tab/>
        <w:t>Smith DL, et al. Will a global subsidy of artemisinin-based combination treatment (ACT) for malaria delay the emergence of resistance and save lives? Malar J. 2005 Feb;4(1):12. doi: 10.1186/1475-2875-4-12.</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53</w:t>
      </w:r>
      <w:r w:rsidRPr="0003786E">
        <w:rPr>
          <w:rFonts w:ascii="Times New Roman" w:hAnsi="Times New Roman" w:cs="Times New Roman"/>
          <w:sz w:val="20"/>
          <w:szCs w:val="20"/>
        </w:rPr>
        <w:tab/>
        <w:t xml:space="preserve">Steuten L, Lothgren M, Bruce A, Campioni M, Towse A. Proposal for a General Outcome-Based Value Attribution Framework for Combination Therapies. Value Health. 2025 Jan;28(1):81-87. doi: 10.1016/j.jval.2024.07.019. </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2B5352" w:rsidRPr="0003786E">
        <w:rPr>
          <w:rFonts w:ascii="Times New Roman" w:hAnsi="Times New Roman" w:cs="Times New Roman"/>
          <w:sz w:val="20"/>
          <w:szCs w:val="20"/>
        </w:rPr>
        <w:t>5</w:t>
      </w:r>
      <w:r w:rsidR="005E5154" w:rsidRPr="0003786E">
        <w:rPr>
          <w:rFonts w:ascii="Times New Roman" w:hAnsi="Times New Roman" w:cs="Times New Roman"/>
          <w:sz w:val="20"/>
          <w:szCs w:val="20"/>
        </w:rPr>
        <w:t>4</w:t>
      </w:r>
      <w:r w:rsidR="002B5352" w:rsidRPr="0003786E">
        <w:rPr>
          <w:rFonts w:ascii="Times New Roman" w:hAnsi="Times New Roman" w:cs="Times New Roman"/>
          <w:sz w:val="20"/>
          <w:szCs w:val="20"/>
        </w:rPr>
        <w:tab/>
        <w:t xml:space="preserve">Tougher S; ACTwatch Group; Ye Y, Amuasi JH, Kourgueni IA, Thomson R, Goodman C, Mann AG, Ren R, Willey BA, Adegoke CA, Amin A, Ansong D, Bruxvoort K, Diallo DA, Diap G, Festo C, Johanes B, Juma E, Kalolella A, Malam O, Mberu B, Ndiaye S, Nguah SB, Seydou M, Taylor M, Rueda ST, Wamukoya M, Arnold F, Hanson K. Effect of the Affordable Medicines Facility--malaria (AMFm) on the availability, price, and market share of quality-assured artemisinin-based combination therapies in seven countries: a before-and-after analysis of outlet survey data. Lancet. 2012 Dec 1;380(9857):1916-26. doi: 10.1016/S0140-6736(12)61732-2. </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2B5352" w:rsidRPr="0003786E">
        <w:rPr>
          <w:rFonts w:ascii="Times New Roman" w:hAnsi="Times New Roman" w:cs="Times New Roman"/>
          <w:sz w:val="20"/>
          <w:szCs w:val="20"/>
        </w:rPr>
        <w:t>5</w:t>
      </w:r>
      <w:r w:rsidR="005E5154" w:rsidRPr="0003786E">
        <w:rPr>
          <w:rFonts w:ascii="Times New Roman" w:hAnsi="Times New Roman" w:cs="Times New Roman"/>
          <w:sz w:val="20"/>
          <w:szCs w:val="20"/>
        </w:rPr>
        <w:t>5</w:t>
      </w:r>
      <w:r w:rsidR="002B5352" w:rsidRPr="0003786E">
        <w:rPr>
          <w:rFonts w:ascii="Times New Roman" w:hAnsi="Times New Roman" w:cs="Times New Roman"/>
          <w:sz w:val="20"/>
          <w:szCs w:val="20"/>
        </w:rPr>
        <w:tab/>
        <w:t xml:space="preserve">Towse A, Lothgren M, Steuten L, Bruce A. Why We Need a New Outcomes-Based Value Attribution Framework for Combination Regimens in Oncology. Value Health. 2022 Nov;25(11):1821-1827. doi: 10.1016/j.jval.2022.06.009. </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2B5352" w:rsidRPr="0003786E">
        <w:rPr>
          <w:rFonts w:ascii="Times New Roman" w:hAnsi="Times New Roman" w:cs="Times New Roman"/>
          <w:sz w:val="20"/>
          <w:szCs w:val="20"/>
        </w:rPr>
        <w:t>5</w:t>
      </w:r>
      <w:r w:rsidR="005E5154" w:rsidRPr="0003786E">
        <w:rPr>
          <w:rFonts w:ascii="Times New Roman" w:hAnsi="Times New Roman" w:cs="Times New Roman"/>
          <w:sz w:val="20"/>
          <w:szCs w:val="20"/>
        </w:rPr>
        <w:t>6</w:t>
      </w:r>
      <w:r w:rsidR="002B5352" w:rsidRPr="0003786E">
        <w:rPr>
          <w:rFonts w:ascii="Times New Roman" w:hAnsi="Times New Roman" w:cs="Times New Roman"/>
          <w:sz w:val="20"/>
          <w:szCs w:val="20"/>
        </w:rPr>
        <w:tab/>
        <w:t xml:space="preserve">Towse A, Briggs A, Steuten L. Pricing combination products: not how but who? Eur J Health Econ. 2025 Jun;26(4):537-540. doi: 10.1007/s10198-025-01773-8. </w:t>
      </w:r>
    </w:p>
    <w:p w:rsidR="00350E9B" w:rsidRPr="0003786E" w:rsidRDefault="00350E9B" w:rsidP="00350E9B">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57</w:t>
      </w:r>
      <w:r w:rsidRPr="0003786E">
        <w:rPr>
          <w:rFonts w:ascii="Times New Roman" w:hAnsi="Times New Roman" w:cs="Times New Roman"/>
          <w:sz w:val="20"/>
          <w:szCs w:val="20"/>
        </w:rPr>
        <w:tab/>
        <w:t>Value attribution frameworks for combination treatments: are they a viable solution to solving the market access challenges? ISPOR presentation. Copenhagen: https://www.sanofi.com/</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2B5352" w:rsidRPr="0003786E">
        <w:rPr>
          <w:rFonts w:ascii="Times New Roman" w:hAnsi="Times New Roman" w:cs="Times New Roman"/>
          <w:sz w:val="20"/>
          <w:szCs w:val="20"/>
        </w:rPr>
        <w:t>5</w:t>
      </w:r>
      <w:r w:rsidR="005E5154" w:rsidRPr="0003786E">
        <w:rPr>
          <w:rFonts w:ascii="Times New Roman" w:hAnsi="Times New Roman" w:cs="Times New Roman"/>
          <w:sz w:val="20"/>
          <w:szCs w:val="20"/>
        </w:rPr>
        <w:t>8</w:t>
      </w:r>
      <w:r w:rsidR="002B5352" w:rsidRPr="0003786E">
        <w:rPr>
          <w:rFonts w:ascii="Times New Roman" w:hAnsi="Times New Roman" w:cs="Times New Roman"/>
          <w:sz w:val="20"/>
          <w:szCs w:val="20"/>
        </w:rPr>
        <w:tab/>
        <w:t xml:space="preserve">Vreman RA, Broekhoff TF, Leufkens HG, Mantel-Teeuwisse AK, Goettsch WG. Application of Managed Entry Agreements for Innovative Therapies in Different Settings and Combinations: A Feasibility Analysis. Int J Environ Res Public Health. 2020 Nov 10;17(22):8309. doi: 10.3390/ijerph17228309. </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2B5352" w:rsidRPr="0003786E">
        <w:rPr>
          <w:rFonts w:ascii="Times New Roman" w:hAnsi="Times New Roman" w:cs="Times New Roman"/>
          <w:sz w:val="20"/>
          <w:szCs w:val="20"/>
        </w:rPr>
        <w:t>5</w:t>
      </w:r>
      <w:r w:rsidR="005E5154" w:rsidRPr="0003786E">
        <w:rPr>
          <w:rFonts w:ascii="Times New Roman" w:hAnsi="Times New Roman" w:cs="Times New Roman"/>
          <w:sz w:val="20"/>
          <w:szCs w:val="20"/>
        </w:rPr>
        <w:t>9</w:t>
      </w:r>
      <w:r w:rsidR="002B5352" w:rsidRPr="0003786E">
        <w:rPr>
          <w:rFonts w:ascii="Times New Roman" w:hAnsi="Times New Roman" w:cs="Times New Roman"/>
          <w:sz w:val="20"/>
          <w:szCs w:val="20"/>
        </w:rPr>
        <w:tab/>
        <w:t xml:space="preserve">Watsierah CA, Ouma C. Access to artemisinin-based combination therapy (ACT) and quinine in malaria holoendemic regions of western Kenya. Malar J. 2014 Jul 28;13:290. doi: 10.1186/1475-2875-13-290. </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60</w:t>
      </w:r>
      <w:r w:rsidR="002B5352" w:rsidRPr="0003786E">
        <w:rPr>
          <w:rFonts w:ascii="Times New Roman" w:hAnsi="Times New Roman" w:cs="Times New Roman"/>
          <w:sz w:val="20"/>
          <w:szCs w:val="20"/>
        </w:rPr>
        <w:tab/>
        <w:t xml:space="preserve">Willis M, Persson U, Zoellner Y, Gradl B. Reducing uncertainty in value-based pricing using evidence development agreements: the case of continuous intraduodenal infusion of levodopa/carbidopa (Duodopa®) in Sweden. Appl Health Econ Health Policy. 2010;8(6):377-86. doi: 10.2165/11531160-000000000-00000. </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61</w:t>
      </w:r>
      <w:r w:rsidR="002B5352" w:rsidRPr="0003786E">
        <w:rPr>
          <w:rFonts w:ascii="Times New Roman" w:hAnsi="Times New Roman" w:cs="Times New Roman"/>
          <w:sz w:val="20"/>
          <w:szCs w:val="20"/>
        </w:rPr>
        <w:tab/>
        <w:t>Wirtz VJ, Santa-Ana-Tellez Y, Trout CH, Kaplan WA. Allocating scarce financial resources for HIV treatment: benchmarking prices of antiretroviral medicines in Latin America. Health Policy Plan. 2012 Dec;27(8):638-48. doi: 10.1093/heapol/czs011</w:t>
      </w:r>
    </w:p>
    <w:p w:rsidR="002B5352" w:rsidRPr="0003786E" w:rsidRDefault="00AF5554" w:rsidP="002B5352">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S1.</w:t>
      </w:r>
      <w:r w:rsidR="005E5154" w:rsidRPr="0003786E">
        <w:rPr>
          <w:rFonts w:ascii="Times New Roman" w:hAnsi="Times New Roman" w:cs="Times New Roman"/>
          <w:sz w:val="20"/>
          <w:szCs w:val="20"/>
        </w:rPr>
        <w:t>62</w:t>
      </w:r>
      <w:r w:rsidR="002B5352" w:rsidRPr="0003786E">
        <w:rPr>
          <w:rFonts w:ascii="Times New Roman" w:hAnsi="Times New Roman" w:cs="Times New Roman"/>
          <w:sz w:val="20"/>
          <w:szCs w:val="20"/>
        </w:rPr>
        <w:tab/>
        <w:t xml:space="preserve">Xiang Z, Ma L, Li Z, Fu Y, Pan Y. Cost-effectiveness analysis of first-line combination chemotherapy regimens for metastatic pancreatic cancer and evidence-based pricing strategy of liposomal irinotecan in China. Front Pharmacol. 2024 Dec 20;15:1488645. doi: 10.3389/fphar.2024.1488645. </w:t>
      </w:r>
    </w:p>
    <w:p w:rsidR="002B5352" w:rsidRPr="0003786E" w:rsidRDefault="002B5352" w:rsidP="002B5352">
      <w:pPr>
        <w:spacing w:line="276" w:lineRule="auto"/>
        <w:jc w:val="both"/>
        <w:rPr>
          <w:rFonts w:ascii="Times New Roman" w:hAnsi="Times New Roman" w:cs="Times New Roman"/>
          <w:sz w:val="20"/>
          <w:szCs w:val="20"/>
        </w:rPr>
      </w:pPr>
    </w:p>
    <w:p w:rsidR="002B5352" w:rsidRPr="0003786E" w:rsidRDefault="002B5352" w:rsidP="002B5352">
      <w:pPr>
        <w:spacing w:line="276" w:lineRule="auto"/>
        <w:jc w:val="both"/>
        <w:rPr>
          <w:rFonts w:ascii="Times New Roman" w:hAnsi="Times New Roman" w:cs="Times New Roman"/>
          <w:sz w:val="20"/>
          <w:szCs w:val="20"/>
        </w:rPr>
      </w:pPr>
    </w:p>
    <w:p w:rsidR="002B5352" w:rsidRPr="0003786E" w:rsidRDefault="002B5352" w:rsidP="002B5352">
      <w:pPr>
        <w:spacing w:line="276" w:lineRule="auto"/>
        <w:jc w:val="both"/>
        <w:rPr>
          <w:rFonts w:ascii="Times New Roman" w:hAnsi="Times New Roman" w:cs="Times New Roman"/>
          <w:sz w:val="20"/>
          <w:szCs w:val="20"/>
        </w:rPr>
      </w:pPr>
    </w:p>
    <w:p w:rsidR="00AF5554" w:rsidRPr="0003786E" w:rsidRDefault="00AF5554">
      <w:pPr>
        <w:spacing w:after="160" w:line="259" w:lineRule="auto"/>
        <w:rPr>
          <w:rFonts w:ascii="Times New Roman" w:hAnsi="Times New Roman" w:cs="Times New Roman"/>
          <w:b/>
          <w:bCs/>
          <w:sz w:val="20"/>
          <w:szCs w:val="20"/>
        </w:rPr>
      </w:pPr>
      <w:r w:rsidRPr="0003786E">
        <w:rPr>
          <w:rFonts w:ascii="Times New Roman" w:hAnsi="Times New Roman" w:cs="Times New Roman"/>
          <w:b/>
          <w:bCs/>
          <w:sz w:val="20"/>
          <w:szCs w:val="20"/>
        </w:rPr>
        <w:br w:type="page"/>
      </w:r>
    </w:p>
    <w:p w:rsidR="002B5352" w:rsidRPr="0003786E" w:rsidRDefault="002B5352" w:rsidP="002B5352">
      <w:pPr>
        <w:pStyle w:val="BodyText"/>
        <w:spacing w:line="276" w:lineRule="auto"/>
        <w:jc w:val="both"/>
        <w:rPr>
          <w:rFonts w:ascii="Times New Roman" w:hAnsi="Times New Roman" w:cs="Times New Roman"/>
          <w:b/>
          <w:bCs/>
          <w:sz w:val="20"/>
          <w:szCs w:val="20"/>
        </w:rPr>
      </w:pPr>
      <w:r w:rsidRPr="0003786E">
        <w:rPr>
          <w:rFonts w:ascii="Times New Roman" w:hAnsi="Times New Roman" w:cs="Times New Roman"/>
          <w:b/>
          <w:bCs/>
          <w:sz w:val="20"/>
          <w:szCs w:val="20"/>
        </w:rPr>
        <w:t>Appendix S2. Multiindication papers (n=48)</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 1</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Bennette, C. S., Basu, A., Ramsey, S. D., Helms, Z., &amp; Bach, P. B. (2019). Health Returns to pharmaceutical innovation in the market for oral chemotherapy in response to insurance coverage expansion. American journal of health economics, 5(3), 360-375.</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S2.2</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Michaeli DT, Mills M, Kanavos P. Value and Price of Multi-indication Cancer Drugs in the USA, Germany, France, England, Canada, Australia, and Scotland. Appl Health Econ Health Policy. 2022 Sep;20(5):757-768. doi: 10.1007/s40258-022-00737-w. </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S2.3</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Michaeli DT, Yagmur HB, Achmadeev T, Michaeli T. Value drivers of development stage biopharma companies. Eur J Health Econ. 2022 Nov;23(8):1287-1296. doi: 10.1007/s10198-021-01427-5Levaggi, Laura and Levaggi, Rosella. "Pricing Personalised Drugs: Comparing Indication Value Based Prices with Performance Based Schemes" The B.E. Journal of Economic Analysis &amp; Policy, vol. 24, no. 2, 2024, pp. 501-535. https://doi.org/10.1515/bejeap-2023-0150</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S2.4</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Adida, E. (2024). Indication-based pricing for multi-indication Drugs. Management Science, 70(11), 7506-7523.</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S2.5</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Armstrong H, Petrova A, Wilsdon T, Homoki H, Roediger A. Multi-Year Multi-Indication Agreements for Supporting Patient Access to Oncology Medicines with Multiple Indications: An Experimental Approach or Here to Stay? J Mark Access Health Policy. 2025 Jan 24;13(1):2. doi: 10.3390/jmahp13010002. </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S2.6</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Baker, T., Marinoni, G., Houslay, D., Tao, T., Garbaz, O., &amp; Malhotra, S. (2018). PHP257-An analysis and feasibility assessment of indication-specific pricing as a means to improve patient access to medicines and reinforce incentives for innovation. Value in Health, 21, S193.</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S2.7</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Barkan J. World Pharma Pricing and Market Access Congress - 11th Terrapinn Congress (March 19-20, 2019 - Amsterdam, the Netherlands). Drugs Today (Barc). 2019 Apr;55(4):287-290. doi: 10.1358/dot.2019.55.4.2996479. </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S2.8</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Barlas S. P&amp;T Committees Get New Leeway to Control Part C and Part D Drug Costs: Door Opens to More Step Therapy And Indication-Based Formularies. P T. 2018 Dec;43(12):718-772. </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S2.9</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Brekke KR, Dalen DM, Straume OR. Taking the competitor's pill: When combination therapies enter pharmaceutical markets. J Health Econ. 2025 May;101:102976. doi: 10.1016/j.jhealeco.2025.102976.</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lang w:val="en-GB"/>
        </w:rPr>
        <w:t>S2.10</w:t>
      </w:r>
      <w:r w:rsidRPr="0003786E">
        <w:rPr>
          <w:rFonts w:ascii="Times New Roman" w:hAnsi="Times New Roman" w:cs="Times New Roman"/>
          <w:sz w:val="20"/>
          <w:szCs w:val="20"/>
          <w:lang w:val="en-GB"/>
        </w:rPr>
        <w:tab/>
      </w:r>
      <w:r w:rsidR="002B5352" w:rsidRPr="0003786E">
        <w:rPr>
          <w:rFonts w:ascii="Times New Roman" w:hAnsi="Times New Roman" w:cs="Times New Roman"/>
          <w:sz w:val="20"/>
          <w:szCs w:val="20"/>
          <w:lang w:val="en-GB"/>
        </w:rPr>
        <w:t xml:space="preserve">Chapman, A., Zamora, B., &amp; Towse, A. (2018). </w:t>
      </w:r>
      <w:r w:rsidR="002B5352" w:rsidRPr="0003786E">
        <w:rPr>
          <w:rFonts w:ascii="Times New Roman" w:hAnsi="Times New Roman" w:cs="Times New Roman"/>
          <w:sz w:val="20"/>
          <w:szCs w:val="20"/>
        </w:rPr>
        <w:t>PHP214-Should drug prices differ by indication? outlining the debate on indication-based pricing and how it has been implemented. Value in Health, 21, S186.</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S2.11</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Cohen, S. A., Liu, M. C., &amp; Aleshin, A. (2023). Practical recommendations for using ctDNA in clinical decision making. Nature, 619(7969), 259-268.</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S2.12</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Di Brino, E., &amp; Jommi, C. (2023). Price and reimbursement of medicines when new indications are approved: the results of a survey on ISPOR Italy Rome Chapter members. Global &amp; Regional Health Technology Assessment, 10(1), 40-45.</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S2.13</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Gaba, D., Patel, D., &amp; Shah, S. (2019). PNS92 Indication-Specific Pricing: how do payers manage drugs with multiple indications?. Value in Health, 22, S301.</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S2.14</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Gandjour A. Willingness to pay for new medicines: a step towards narrowing the gap between NICE and IQWiG. BMC Health Serv Res. 2020 Apr 22;20(1):343. doi: 10.1186/s12913-020-5050-9. </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S2.15</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Garrison LP Jr, Towse A. A Strategy to Support Efficient Development and Use of Innovations in Personalized Medicine and Precision Medicine. J Manag Care Spec Pharm. 2019 Oct;25(10):1082-1087. doi: 10.18553/jmcp.2019.25.10.1082. </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S2.16</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Goldhaber-Fiebert JD, Cipriano LE. Pricing Treatments Cost-Effectively when They Have Multiple Indications: Not Just a Simple Threshold Analysis. Med Decis Making. 2023 Oct-Nov;43(7-8):914-929. doi: 10.1177/0272989X231197772. </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S2.17</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Ha SY, Kang DW, Jung HI, Lee EK, Park MH. Value-Based Pricing and Budget Impact Analysis for Multi-Indication Drugs: A Case Study of Immunotherapies. Int J Environ Res Public Health. 2022 Mar 30;19(7):4105. doi: 10.3390/ijerph19074105. </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S2.18</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Heine RJSD, Thielen FW, Mathijssen RHJ, van Leeuwen RWF, Franken MG, Uyl-de Groot CA. Applying a cost-based pricing model for innovative cancer treatments subject to indication expansion: A case study for pembrolizumab and daratumumab. PLoS One. 2024 Feb 1;19(2):e0293264. doi: 10.1371/journal.pone.0293264. </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S2.19</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Heine RJSD, Mathijssen RHJ, Verbeek FAJ, Van Gils C, Uyl-de Groot CA. Market Entry Agreements for Innovative Pharmaceuticals Subject to Indication Broadening: A Case Study for Pembrolizumab in The Netherlands. Value Health. 2024 Oct;27(10):1367-1372. doi: 10.1016/j.jval.2024.06.003. </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S2.20</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Hlávka JP, Lin PJ, Neumann PJ. Outcome measures for oncology alternative payment models: practical considerations and recommendations. Am J Manag Care. 2019 Dec 1;25(12):e403-e409. </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S2.21</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Ho J, Wrzesniewski CE, Hasson NK. Integrating patient-centric indications into the prescribing process: Experience at a tertiary academic medical center. Am J Health Syst Pharm. 2020 May 19;77(Supplement_2):S26-S33. doi: 10.1093/ajhp/zxaa065. </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S2.22</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Hussain, A. (2025). Optimizing Healthcare Payments: Regulation, Payment Schemes and Value-Adjustment (Doctoral dissertation, Department of Economics, Uppsala University).</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S2.23</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Jiang Y, Li M, Jiang S, Si L, Gu Y. Patient Welfare Implications of Indication-Specific Value-Based Pricing of Multi-Indication Drugs. Value Health. 2024 Mar;27(3):273-277. doi: 10.1016/j.jval.2023.11.008. </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S2.24</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Jommi, C., Patarnello, F., Bianchi, C., &amp; Buzzetti, G. (2024). Assessment of innovativeness, and price and reimbursement negotiation of medicines: recommendations of an expert panel. Global and Regional Health Technology Assessment, 11(1), 169-174.</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S2.25</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Karppinen, M. L., Ihalmo, P., &amp; Hjortsberg, C. (2018). PCP6-How to introduce multi-indication based pricing in Finland?. Value in Health, 21, S82-S83.</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S2.26</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Kester R, Zalani S, Ebbinghaus S, Rubin E. The Utilization of the Accelerated Approval Pathway in Oncology: A Case Study of Pembrolizumab. Drugs. 2024 Dec;84(12):1579-1601. doi: 10.1007/s40265-024-02111-7. </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S2.27</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Lawlor R, Wilsdon T, Darquennes E, Hemelsoet D, Huismans J, Normand R, Roediger A. Accelerating patient access to oncology medicines with multiple indications in Europe. J Mark Access Health Policy. 2021 Aug 17;9(1):1964791. doi: 10.1080/20016689.2021.1964791. </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S2.28</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Levaggi, Laura and Levaggi, Rosella. "Pricing Personalised Drugs: Comparing Indication Value Based Prices with Performance Based Schemes" The B.E. Journal of Economic Analysis &amp; Policy, vol. 24, no. 2, 2024, pp. 501-535. https://doi.org/10.1515/bejeap-2023-0150</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S2.29</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Maes I, Kok E, De Torck PJ, Mestre-Ferrandiz J, Simoens S. Not one, but many: developing a multi-indication pricing model for medicines in Belgium. Front Pharmacol. 2023 Sep 28;14:1199253. </w:t>
      </w:r>
    </w:p>
    <w:p w:rsidR="002B5352" w:rsidRPr="0003786E" w:rsidRDefault="00AF5554"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S2.30</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doi: 10.3389/fphar.2023.1199253. Marcus L, Fashoyin-Aje LA, Donoghue M, Yuan M, Rodriguez L, Gallagher PS, Philip R, Ghosh S, Theoret MR, Beaver JA, Pazdur R, Lemery SJ. FDA Approval Summary: Pembrolizumab for the Treatment of Tumor Mutational Burden-High Solid Tumors. Clin Cancer Res. 2021 Sep 1;27(17):4685-4689. doi: 10.1158/1078-0432.CCR-21-0327. </w:t>
      </w:r>
    </w:p>
    <w:p w:rsidR="002B5352" w:rsidRPr="0003786E" w:rsidRDefault="00631D43"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S2.31</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Mestre-Ferrandiz J, Zozaya N, Alcalá B, Hidalgo-Vega Á. Multi-Indication Pricing: Nice in Theory but Can it Work in Practice? Pharmacoeconomics. 2018 Dec;36(12):1407-1420. doi: 10.1007/s40273-018-0716-4. </w:t>
      </w:r>
    </w:p>
    <w:p w:rsidR="002B5352" w:rsidRPr="0003786E" w:rsidRDefault="00631D43"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S2.32</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Michaeli DT, Michaeli T. Cancer Drug Prices in the United States: Efficacy, Innovation, Clinical Trial Evidence, and Epidemiology. Value Health. 2023 Nov;26(11):1590-1600. doi: 10.1016/j.jval.2023.06.020. </w:t>
      </w:r>
    </w:p>
    <w:p w:rsidR="002B5352" w:rsidRPr="0003786E" w:rsidRDefault="00631D43"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S2.33</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Michaeli, D. T., &amp; Michaeli, T. (2024). P25 Indication-Specific Pricing and Weighted-Average Pricing: Estimated Price and Cost Savings for Cancer Drugs. Value in Health, 27(6), S6.</w:t>
      </w:r>
    </w:p>
    <w:p w:rsidR="002B5352" w:rsidRPr="0003786E" w:rsidRDefault="00631D43"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S2.34</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Michaeli DT, Michaeli T. Value-Based Indication-Specific Pricing and Weighted-Average Pricing: Estimated Price and Cost Savings for Cancer Drugs. Pharmacoeconomics. 2025 Apr;43(4):415-427. doi: 10.1007/s40273-024-01448-x. </w:t>
      </w:r>
    </w:p>
    <w:p w:rsidR="002B5352" w:rsidRPr="0003786E" w:rsidRDefault="00631D43"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S2.35</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Mills M, Michaeli D, Miracolo A, Kanavos P. Launch sequencing of pharmaceuticals with multiple therapeutic indications: evidence from seven countries. BMC Health Serv Res. 2023 Feb 13;23(1):150. doi: 10.1186/s12913-023-09095-2.</w:t>
      </w:r>
    </w:p>
    <w:p w:rsidR="002B5352" w:rsidRPr="0003786E" w:rsidRDefault="00631D43"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S2.36</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Mills M, Kanavos P. Healthcare Payer Perspectives on the Assessment and Pricing of Oncology Multi-Indication Products: Evidence from Nine OECD Countries. Pharmacoecon Open. 2023 Jul;7(4):553-565. doi: 10.1007/s41669-023-00406-1. </w:t>
      </w:r>
    </w:p>
    <w:p w:rsidR="002B5352" w:rsidRPr="0003786E" w:rsidRDefault="00631D43"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S2.37</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Moore, R., &amp; Lewis, C. (2018). PCN256-Indication-specific pricing in oncology: how will us payers determine value amid this growing trend?. Value in Health, 21, S57.</w:t>
      </w:r>
    </w:p>
    <w:p w:rsidR="002B5352" w:rsidRPr="0003786E" w:rsidRDefault="00631D43"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S2.38</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Mossmann, W., &amp; Scherrer, F. (2018). PCP1-Comparison of the german mixed price model and indication-specific pricing for multi-indication products in oncology. Value in Health, 21, S82.</w:t>
      </w:r>
    </w:p>
    <w:p w:rsidR="002B5352" w:rsidRPr="0003786E" w:rsidRDefault="00631D43"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S2.39</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Park, S., &amp; Han, E. (2024). Challenges and Prerequisites for an Indication-Based Drug Pricing System in Korea. Health Insurance Review &amp; Assessment Service Research, 4(1), 101-112.</w:t>
      </w:r>
    </w:p>
    <w:p w:rsidR="002B5352" w:rsidRPr="0003786E" w:rsidRDefault="00631D43"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S2.40</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Preckler V, Espín J. The Role of Indication-Based Pricing in Future Pricing and Reimbursement Policies: A Systematic Review. Value Health. 2022 Apr;25(4):666-675. doi: 10.1016/j.jval.2021.11.1376.</w:t>
      </w:r>
    </w:p>
    <w:p w:rsidR="002B5352" w:rsidRPr="0003786E" w:rsidRDefault="00631D43"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S2.41</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Rachamin Y, Ackermann CJ, Senn O, Grischott T. Price trends of reimbursed oncological drugs in Switzerland in 2005-2019: A descriptive analysis. PLoS One. 2021 Nov 15;16(11):e0259936. doi: 10.1371/journal.pone.0259936. Erratum in: PLoS One. 2022 Feb 23;17(2):e0264610. doi: 10.1371/journal.pone.0264610.</w:t>
      </w:r>
    </w:p>
    <w:p w:rsidR="002B5352" w:rsidRPr="0003786E" w:rsidRDefault="00631D43"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S2.42</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Rossini EE, Galeone C, Lucchetti C, Jommi C. From Indication-Based Pricing to Blended Approach: Evidence on the Price and Reimbursement Negotiation in Italy. Pharmacoecon Open. 2024 Mar;8(2):251-261. doi: 10.1007/s41669-023-00467-2. Epub 2024 Jan 16. Erratum in: Pharmacoecon Open. 2024 Mar;8(2):345. doi: 10.1007/s41669-024-00475-w. </w:t>
      </w:r>
    </w:p>
    <w:p w:rsidR="002B5352" w:rsidRPr="0003786E" w:rsidRDefault="00631D43"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S2.43</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Stern AD, Pietrulla F, Herr A, Kesselheim AS, Sarpatwari A. The Impact Of Price Regulation On The Availability Of New Drugs In Germany. Health Aff (Millwood). 2019 Jul;38(7):1182-1187. doi: 10.1377/hlthaff.2018.05142. </w:t>
      </w:r>
    </w:p>
    <w:p w:rsidR="002B5352" w:rsidRPr="0003786E" w:rsidRDefault="00631D43"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S2.44</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Thompson, A. J., &amp; Gavan, S. P. (2018). CP1-multi-indication therapies: developing a value-based framework to incorporate opportunity cost. Value in Health, 21, S5.</w:t>
      </w:r>
    </w:p>
    <w:p w:rsidR="002B5352" w:rsidRPr="0003786E" w:rsidRDefault="00631D43"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S2.45</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Turner, A., Syed, I. A., &amp; Hancock-Howard, R. (2019). PNS124 Feasibility of multi-indication pricing: a targeted review of the international literature. Value in Health, 22, S306.</w:t>
      </w:r>
    </w:p>
    <w:p w:rsidR="002B5352" w:rsidRPr="0003786E" w:rsidRDefault="00631D43"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S2.46</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Ursino MG, Milano A, De Angelis FV, Alessi E, Trotta F. Pricing for Multi-Indication Drugs in the Italian Regulatory Context. Pharmacoecon Open. 2025 May;9(3):415-422. doi: 10.1007/s41669-024-00555-x. Epub 2025 Jan 23. Erratum in: Pharmacoecon Open. 2025 May;9(3):499. doi: 10.1007/s41669-025-00566-2. </w:t>
      </w:r>
    </w:p>
    <w:p w:rsidR="002B5352" w:rsidRPr="0003786E" w:rsidRDefault="00631D43" w:rsidP="00373D58">
      <w:pPr>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S2.47</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YANG, F., JIAN, J., LIU, D., &amp; CHU, S. (2023). Research on pricing methods of multi-indication drugs from the perspective of economics. China Pharmacy, 2134-2138.</w:t>
      </w:r>
    </w:p>
    <w:p w:rsidR="002B5352" w:rsidRPr="0003786E" w:rsidRDefault="00631D43" w:rsidP="00373D58">
      <w:pPr>
        <w:spacing w:line="276" w:lineRule="auto"/>
        <w:jc w:val="both"/>
        <w:rPr>
          <w:rFonts w:ascii="Times New Roman" w:eastAsiaTheme="majorEastAsia" w:hAnsi="Times New Roman" w:cs="Times New Roman"/>
          <w:sz w:val="20"/>
          <w:szCs w:val="20"/>
        </w:rPr>
      </w:pPr>
      <w:r w:rsidRPr="0003786E">
        <w:rPr>
          <w:rFonts w:ascii="Times New Roman" w:hAnsi="Times New Roman" w:cs="Times New Roman"/>
          <w:sz w:val="20"/>
          <w:szCs w:val="20"/>
        </w:rPr>
        <w:t>S2.48</w:t>
      </w:r>
      <w:r w:rsidRPr="0003786E">
        <w:rPr>
          <w:rFonts w:ascii="Times New Roman" w:hAnsi="Times New Roman" w:cs="Times New Roman"/>
          <w:sz w:val="20"/>
          <w:szCs w:val="20"/>
        </w:rPr>
        <w:tab/>
      </w:r>
      <w:r w:rsidR="002B5352" w:rsidRPr="0003786E">
        <w:rPr>
          <w:rFonts w:ascii="Times New Roman" w:hAnsi="Times New Roman" w:cs="Times New Roman"/>
          <w:sz w:val="20"/>
          <w:szCs w:val="20"/>
        </w:rPr>
        <w:t xml:space="preserve">Zhang P, Zhang M, Ma R, Wei J, Bao Y, Zhang L, Qian X, Su D, Li X. Characteristics of indications, clinical trial evidence, clinical benefits and the costs of price-negotiated multi-indication drugs for solid tumours in China. J Glob Health. 2025 May 9;15:04121. doi: 10.7189/jogh.15.04121. </w:t>
      </w:r>
      <w:r w:rsidR="002B5352" w:rsidRPr="0003786E">
        <w:rPr>
          <w:rFonts w:ascii="Times New Roman" w:hAnsi="Times New Roman" w:cs="Times New Roman"/>
          <w:sz w:val="20"/>
          <w:szCs w:val="20"/>
        </w:rPr>
        <w:br w:type="page"/>
      </w:r>
    </w:p>
    <w:p w:rsidR="002B5352" w:rsidRPr="0003786E" w:rsidRDefault="002B5352" w:rsidP="002B5352">
      <w:pPr>
        <w:pStyle w:val="BodyText"/>
        <w:spacing w:line="276" w:lineRule="auto"/>
        <w:jc w:val="both"/>
        <w:rPr>
          <w:rFonts w:ascii="Times New Roman" w:hAnsi="Times New Roman" w:cs="Times New Roman"/>
          <w:sz w:val="20"/>
          <w:szCs w:val="20"/>
        </w:rPr>
        <w:sectPr w:rsidR="002B5352" w:rsidRPr="0003786E" w:rsidSect="0003786E">
          <w:footerReference w:type="default" r:id="rId7"/>
          <w:footnotePr>
            <w:numRestart w:val="eachSect"/>
          </w:footnotePr>
          <w:type w:val="continuous"/>
          <w:pgSz w:w="12240" w:h="15840"/>
          <w:pgMar w:top="1417" w:right="1701" w:bottom="1417" w:left="1701" w:header="708" w:footer="708" w:gutter="0"/>
          <w:cols w:space="708"/>
          <w:docGrid w:linePitch="326"/>
        </w:sectPr>
      </w:pPr>
    </w:p>
    <w:p w:rsidR="002B5352" w:rsidRPr="0003786E" w:rsidRDefault="002B5352" w:rsidP="002B5352">
      <w:pPr>
        <w:pStyle w:val="BodyText"/>
        <w:spacing w:line="276" w:lineRule="auto"/>
        <w:jc w:val="both"/>
        <w:rPr>
          <w:rFonts w:ascii="Times New Roman" w:hAnsi="Times New Roman" w:cs="Times New Roman"/>
          <w:sz w:val="20"/>
          <w:szCs w:val="20"/>
        </w:rPr>
      </w:pPr>
      <w:r w:rsidRPr="0003786E">
        <w:rPr>
          <w:rFonts w:ascii="Times New Roman" w:hAnsi="Times New Roman" w:cs="Times New Roman"/>
          <w:sz w:val="20"/>
          <w:szCs w:val="20"/>
        </w:rPr>
        <w:t>Appendix S3. Combination-relevant articles in the updated corpus</w:t>
      </w:r>
    </w:p>
    <w:tbl>
      <w:tblPr>
        <w:tblStyle w:val="Tablaconcuadrcula1"/>
        <w:tblW w:w="0" w:type="auto"/>
        <w:jc w:val="center"/>
        <w:tblLook w:val="04A0" w:firstRow="1" w:lastRow="0" w:firstColumn="1" w:lastColumn="0" w:noHBand="0" w:noVBand="1"/>
      </w:tblPr>
      <w:tblGrid>
        <w:gridCol w:w="1576"/>
        <w:gridCol w:w="1886"/>
        <w:gridCol w:w="1607"/>
        <w:gridCol w:w="2720"/>
        <w:gridCol w:w="2864"/>
        <w:gridCol w:w="2341"/>
      </w:tblGrid>
      <w:tr w:rsidR="002B5352" w:rsidRPr="0003786E" w:rsidTr="00726E43">
        <w:trPr>
          <w:jc w:val="center"/>
        </w:trPr>
        <w:tc>
          <w:tcPr>
            <w:tcW w:w="2232" w:type="dxa"/>
            <w:shd w:val="clear" w:color="auto" w:fill="294E7A"/>
            <w:tcMar>
              <w:top w:w="90" w:type="dxa"/>
              <w:left w:w="90" w:type="dxa"/>
              <w:bottom w:w="90" w:type="dxa"/>
              <w:right w:w="90" w:type="dxa"/>
            </w:tcMar>
            <w:vAlign w:val="center"/>
          </w:tcPr>
          <w:p w:rsidR="002B5352" w:rsidRPr="0003786E" w:rsidRDefault="002B5352" w:rsidP="00726E43">
            <w:pPr>
              <w:spacing w:line="276" w:lineRule="auto"/>
              <w:jc w:val="both"/>
              <w:rPr>
                <w:rFonts w:ascii="Times New Roman" w:hAnsi="Times New Roman" w:cs="Times New Roman"/>
                <w:sz w:val="20"/>
                <w:szCs w:val="20"/>
              </w:rPr>
            </w:pPr>
            <w:r w:rsidRPr="0003786E">
              <w:rPr>
                <w:rFonts w:ascii="Times New Roman" w:hAnsi="Times New Roman" w:cs="Times New Roman"/>
                <w:b/>
                <w:color w:val="FFFFFF"/>
                <w:sz w:val="20"/>
                <w:szCs w:val="20"/>
              </w:rPr>
              <w:t>Study</w:t>
            </w:r>
          </w:p>
        </w:tc>
        <w:tc>
          <w:tcPr>
            <w:tcW w:w="2448" w:type="dxa"/>
            <w:shd w:val="clear" w:color="auto" w:fill="294E7A"/>
            <w:tcMar>
              <w:top w:w="90" w:type="dxa"/>
              <w:left w:w="90" w:type="dxa"/>
              <w:bottom w:w="90" w:type="dxa"/>
              <w:right w:w="90" w:type="dxa"/>
            </w:tcMar>
            <w:vAlign w:val="center"/>
          </w:tcPr>
          <w:p w:rsidR="002B5352" w:rsidRPr="0003786E" w:rsidRDefault="002B5352" w:rsidP="00726E43">
            <w:pPr>
              <w:spacing w:line="276" w:lineRule="auto"/>
              <w:jc w:val="both"/>
              <w:rPr>
                <w:rFonts w:ascii="Times New Roman" w:hAnsi="Times New Roman" w:cs="Times New Roman"/>
                <w:sz w:val="20"/>
                <w:szCs w:val="20"/>
              </w:rPr>
            </w:pPr>
            <w:r w:rsidRPr="0003786E">
              <w:rPr>
                <w:rFonts w:ascii="Times New Roman" w:hAnsi="Times New Roman" w:cs="Times New Roman"/>
                <w:b/>
                <w:color w:val="FFFFFF"/>
                <w:sz w:val="20"/>
                <w:szCs w:val="20"/>
              </w:rPr>
              <w:t>Type / scope</w:t>
            </w:r>
          </w:p>
        </w:tc>
        <w:tc>
          <w:tcPr>
            <w:tcW w:w="1944" w:type="dxa"/>
            <w:shd w:val="clear" w:color="auto" w:fill="294E7A"/>
            <w:tcMar>
              <w:top w:w="90" w:type="dxa"/>
              <w:left w:w="90" w:type="dxa"/>
              <w:bottom w:w="90" w:type="dxa"/>
              <w:right w:w="90" w:type="dxa"/>
            </w:tcMar>
            <w:vAlign w:val="center"/>
          </w:tcPr>
          <w:p w:rsidR="002B5352" w:rsidRPr="0003786E" w:rsidRDefault="002B5352" w:rsidP="00726E43">
            <w:pPr>
              <w:spacing w:line="276" w:lineRule="auto"/>
              <w:jc w:val="both"/>
              <w:rPr>
                <w:rFonts w:ascii="Times New Roman" w:hAnsi="Times New Roman" w:cs="Times New Roman"/>
                <w:sz w:val="20"/>
                <w:szCs w:val="20"/>
              </w:rPr>
            </w:pPr>
            <w:r w:rsidRPr="0003786E">
              <w:rPr>
                <w:rFonts w:ascii="Times New Roman" w:hAnsi="Times New Roman" w:cs="Times New Roman"/>
                <w:b/>
                <w:color w:val="FFFFFF"/>
                <w:sz w:val="20"/>
                <w:szCs w:val="20"/>
              </w:rPr>
              <w:t>Direct focus on combinations</w:t>
            </w:r>
          </w:p>
        </w:tc>
        <w:tc>
          <w:tcPr>
            <w:tcW w:w="4320" w:type="dxa"/>
            <w:shd w:val="clear" w:color="auto" w:fill="294E7A"/>
            <w:tcMar>
              <w:top w:w="90" w:type="dxa"/>
              <w:left w:w="90" w:type="dxa"/>
              <w:bottom w:w="90" w:type="dxa"/>
              <w:right w:w="90" w:type="dxa"/>
            </w:tcMar>
            <w:vAlign w:val="center"/>
          </w:tcPr>
          <w:p w:rsidR="002B5352" w:rsidRPr="0003786E" w:rsidRDefault="002B5352" w:rsidP="00726E43">
            <w:pPr>
              <w:spacing w:line="276" w:lineRule="auto"/>
              <w:jc w:val="both"/>
              <w:rPr>
                <w:rFonts w:ascii="Times New Roman" w:hAnsi="Times New Roman" w:cs="Times New Roman"/>
                <w:sz w:val="20"/>
                <w:szCs w:val="20"/>
              </w:rPr>
            </w:pPr>
            <w:r w:rsidRPr="0003786E">
              <w:rPr>
                <w:rFonts w:ascii="Times New Roman" w:hAnsi="Times New Roman" w:cs="Times New Roman"/>
                <w:b/>
                <w:color w:val="FFFFFF"/>
                <w:sz w:val="20"/>
                <w:szCs w:val="20"/>
              </w:rPr>
              <w:t>Main finding or argument</w:t>
            </w:r>
          </w:p>
        </w:tc>
        <w:tc>
          <w:tcPr>
            <w:tcW w:w="4608" w:type="dxa"/>
            <w:shd w:val="clear" w:color="auto" w:fill="294E7A"/>
            <w:tcMar>
              <w:top w:w="90" w:type="dxa"/>
              <w:left w:w="90" w:type="dxa"/>
              <w:bottom w:w="90" w:type="dxa"/>
              <w:right w:w="90" w:type="dxa"/>
            </w:tcMar>
            <w:vAlign w:val="center"/>
          </w:tcPr>
          <w:p w:rsidR="002B5352" w:rsidRPr="0003786E" w:rsidRDefault="002B5352" w:rsidP="00726E43">
            <w:pPr>
              <w:spacing w:line="276" w:lineRule="auto"/>
              <w:jc w:val="both"/>
              <w:rPr>
                <w:rFonts w:ascii="Times New Roman" w:hAnsi="Times New Roman" w:cs="Times New Roman"/>
                <w:sz w:val="20"/>
                <w:szCs w:val="20"/>
              </w:rPr>
            </w:pPr>
            <w:r w:rsidRPr="0003786E">
              <w:rPr>
                <w:rFonts w:ascii="Times New Roman" w:hAnsi="Times New Roman" w:cs="Times New Roman"/>
                <w:b/>
                <w:color w:val="FFFFFF"/>
                <w:sz w:val="20"/>
                <w:szCs w:val="20"/>
              </w:rPr>
              <w:t>What it says about the relation with multi-indication pricing</w:t>
            </w:r>
          </w:p>
        </w:tc>
        <w:tc>
          <w:tcPr>
            <w:tcW w:w="3600" w:type="dxa"/>
            <w:shd w:val="clear" w:color="auto" w:fill="294E7A"/>
            <w:tcMar>
              <w:top w:w="90" w:type="dxa"/>
              <w:left w:w="90" w:type="dxa"/>
              <w:bottom w:w="90" w:type="dxa"/>
              <w:right w:w="90" w:type="dxa"/>
            </w:tcMar>
            <w:vAlign w:val="center"/>
          </w:tcPr>
          <w:p w:rsidR="002B5352" w:rsidRPr="0003786E" w:rsidRDefault="002B5352" w:rsidP="00726E43">
            <w:pPr>
              <w:spacing w:line="276" w:lineRule="auto"/>
              <w:jc w:val="both"/>
              <w:rPr>
                <w:rFonts w:ascii="Times New Roman" w:hAnsi="Times New Roman" w:cs="Times New Roman"/>
                <w:sz w:val="20"/>
                <w:szCs w:val="20"/>
              </w:rPr>
            </w:pPr>
            <w:r w:rsidRPr="0003786E">
              <w:rPr>
                <w:rFonts w:ascii="Times New Roman" w:hAnsi="Times New Roman" w:cs="Times New Roman"/>
                <w:b/>
                <w:color w:val="FFFFFF"/>
                <w:sz w:val="20"/>
                <w:szCs w:val="20"/>
              </w:rPr>
              <w:t>Use in the discussion</w:t>
            </w:r>
          </w:p>
        </w:tc>
      </w:tr>
      <w:tr w:rsidR="002B5352" w:rsidRPr="0003786E" w:rsidTr="00726E43">
        <w:trPr>
          <w:jc w:val="center"/>
        </w:trPr>
        <w:tc>
          <w:tcPr>
            <w:tcW w:w="2232" w:type="dxa"/>
            <w:shd w:val="clear" w:color="auto" w:fill="EAF1F8"/>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Garrison and Towse (2019)</w:t>
            </w:r>
          </w:p>
        </w:tc>
        <w:tc>
          <w:tcPr>
            <w:tcW w:w="2448"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Policy analysis on personalised / precision medicine</w:t>
            </w:r>
          </w:p>
        </w:tc>
        <w:tc>
          <w:tcPr>
            <w:tcW w:w="1944"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Indirect</w:t>
            </w:r>
          </w:p>
        </w:tc>
        <w:tc>
          <w:tcPr>
            <w:tcW w:w="4320"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Frames diagnostics and medicines as economic complements and identifies high-cost combination therapies as a new challenge for value assessment and reward-splitting.</w:t>
            </w:r>
          </w:p>
        </w:tc>
        <w:tc>
          <w:tcPr>
            <w:tcW w:w="4608"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Important as an early bridge between multi-indication pricing and combination pricing: once value depends on several complementary technologies, the pricing problem becomes not only indication-specific but also component-specific.</w:t>
            </w:r>
          </w:p>
        </w:tc>
        <w:tc>
          <w:tcPr>
            <w:tcW w:w="3600"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Useful for positioning combinations as an extension of the same value-allocation problem discussed in the multi-indication debate.</w:t>
            </w:r>
          </w:p>
        </w:tc>
      </w:tr>
      <w:tr w:rsidR="002B5352" w:rsidRPr="0003786E" w:rsidTr="00726E43">
        <w:trPr>
          <w:jc w:val="center"/>
        </w:trPr>
        <w:tc>
          <w:tcPr>
            <w:tcW w:w="2232" w:type="dxa"/>
            <w:shd w:val="clear" w:color="auto" w:fill="EAF1F8"/>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Lawlor et al. (2021)</w:t>
            </w:r>
          </w:p>
        </w:tc>
        <w:tc>
          <w:tcPr>
            <w:tcW w:w="2448"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European policy / access discussion in oncology</w:t>
            </w:r>
          </w:p>
        </w:tc>
        <w:tc>
          <w:tcPr>
            <w:tcW w:w="1944"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Indirect</w:t>
            </w:r>
          </w:p>
        </w:tc>
        <w:tc>
          <w:tcPr>
            <w:tcW w:w="4320"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Argues that oncology medicines with multiple indications create access, affordability and uncertainty challenges, and explicitly notes that these products will increasingly be used in combinations and biomarker-guided pathways.</w:t>
            </w:r>
          </w:p>
        </w:tc>
        <w:tc>
          <w:tcPr>
            <w:tcW w:w="4608"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Shows that combination use is not a separate phenomenon from multi-indication expansion; rather, it is part of the same innovation trajectory that stresses conventional pricing and reimbursement systems.</w:t>
            </w:r>
          </w:p>
        </w:tc>
        <w:tc>
          <w:tcPr>
            <w:tcW w:w="3600"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Useful for motivating why an update of Campillo et al. is timely in oncology.</w:t>
            </w:r>
          </w:p>
        </w:tc>
      </w:tr>
      <w:tr w:rsidR="002B5352" w:rsidRPr="0003786E" w:rsidTr="00726E43">
        <w:trPr>
          <w:jc w:val="center"/>
        </w:trPr>
        <w:tc>
          <w:tcPr>
            <w:tcW w:w="2232" w:type="dxa"/>
            <w:shd w:val="clear" w:color="auto" w:fill="EAF1F8"/>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Michaeli et al. (2022)</w:t>
            </w:r>
          </w:p>
        </w:tc>
        <w:tc>
          <w:tcPr>
            <w:tcW w:w="2448"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Cross-country empirical study, 25 cancer drugs and 100 indications</w:t>
            </w:r>
          </w:p>
        </w:tc>
        <w:tc>
          <w:tcPr>
            <w:tcW w:w="1944"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Indirect but empirically relevant</w:t>
            </w:r>
          </w:p>
        </w:tc>
        <w:tc>
          <w:tcPr>
            <w:tcW w:w="4320"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Demonstrates that later indications tend to offer lower clinical benefit and larger populations, while countries respond through weighted-average prices, indication-specific discounts, clinical restrictions and managed entry agreements.</w:t>
            </w:r>
          </w:p>
        </w:tc>
        <w:tc>
          <w:tcPr>
            <w:tcW w:w="4608"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Combination therapies are recognised as part of the broader pressure for pricing reform, but the study deliberately prioritised products with at least two monotherapy indications to reduce confounding. The implication is that robust direct evidence on combination pricing remains limited even in advanced multi-indication research.</w:t>
            </w:r>
          </w:p>
        </w:tc>
        <w:tc>
          <w:tcPr>
            <w:tcW w:w="3600"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Useful for showing that the empirical literature has moved beyond theory, while also revealing the current evidence gap on combinations.</w:t>
            </w:r>
          </w:p>
        </w:tc>
      </w:tr>
      <w:tr w:rsidR="002B5352" w:rsidRPr="0003786E" w:rsidTr="00726E43">
        <w:trPr>
          <w:jc w:val="center"/>
        </w:trPr>
        <w:tc>
          <w:tcPr>
            <w:tcW w:w="2232" w:type="dxa"/>
            <w:shd w:val="clear" w:color="auto" w:fill="EAF1F8"/>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Maes et al. (2023)</w:t>
            </w:r>
          </w:p>
        </w:tc>
        <w:tc>
          <w:tcPr>
            <w:tcW w:w="2448"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Belgian stakeholder co-creation / implementation design</w:t>
            </w:r>
          </w:p>
        </w:tc>
        <w:tc>
          <w:tcPr>
            <w:tcW w:w="1944"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Indirect</w:t>
            </w:r>
          </w:p>
        </w:tc>
        <w:tc>
          <w:tcPr>
            <w:tcW w:w="4320"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Develops a procedural model for pricing medicines across several medicine-indication combinations and future indications in Belgium.</w:t>
            </w:r>
          </w:p>
        </w:tc>
        <w:tc>
          <w:tcPr>
            <w:tcW w:w="4608"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Brings the discussion closer to operational design. The language of medicine-indication combinations highlights that pricing problems are attached to specific therapeutic uses rather than to the molecule alone.</w:t>
            </w:r>
          </w:p>
        </w:tc>
        <w:tc>
          <w:tcPr>
            <w:tcW w:w="3600"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Useful for arguing that pricing medicines in combination requires the same kind of structured, indication-level governance now being proposed for multi-indication products.</w:t>
            </w:r>
          </w:p>
        </w:tc>
      </w:tr>
      <w:tr w:rsidR="002B5352" w:rsidRPr="0003786E" w:rsidTr="00726E43">
        <w:trPr>
          <w:jc w:val="center"/>
        </w:trPr>
        <w:tc>
          <w:tcPr>
            <w:tcW w:w="2232" w:type="dxa"/>
            <w:shd w:val="clear" w:color="auto" w:fill="EAF1F8"/>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Adida (2024)</w:t>
            </w:r>
          </w:p>
        </w:tc>
        <w:tc>
          <w:tcPr>
            <w:tcW w:w="2448"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Economic / operations research model of indication-based pricing</w:t>
            </w:r>
          </w:p>
        </w:tc>
        <w:tc>
          <w:tcPr>
            <w:tcW w:w="1944"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Indirect</w:t>
            </w:r>
          </w:p>
        </w:tc>
        <w:tc>
          <w:tcPr>
            <w:tcW w:w="4320"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Develops a formal model of indication-based pricing showing how prices can be aligned with heterogeneous value across indications while preserving incentives for innovation.</w:t>
            </w:r>
          </w:p>
        </w:tc>
        <w:tc>
          <w:tcPr>
            <w:tcW w:w="4608"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Demonstrates analytically why uniform pricing can generate inefficiencies when value differs across uses—an insight directly relevant for combination therapies, where value also varies depending on the therapeutic context.</w:t>
            </w:r>
          </w:p>
        </w:tc>
        <w:tc>
          <w:tcPr>
            <w:tcW w:w="3600"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Useful for linking the theoretical foundations of indication-based pricing to the broader challenge of allocating value across treatment contexts, including combination regimens.</w:t>
            </w:r>
          </w:p>
        </w:tc>
      </w:tr>
      <w:tr w:rsidR="002B5352" w:rsidRPr="0003786E" w:rsidTr="00726E43">
        <w:trPr>
          <w:jc w:val="center"/>
        </w:trPr>
        <w:tc>
          <w:tcPr>
            <w:tcW w:w="2232" w:type="dxa"/>
            <w:shd w:val="clear" w:color="auto" w:fill="EAF1F8"/>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Towse, Briggs and Steuten (2025)</w:t>
            </w:r>
          </w:p>
        </w:tc>
        <w:tc>
          <w:tcPr>
            <w:tcW w:w="2448"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Editorial / conceptual paper on combination products</w:t>
            </w:r>
          </w:p>
        </w:tc>
        <w:tc>
          <w:tcPr>
            <w:tcW w:w="1944"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Direct</w:t>
            </w:r>
          </w:p>
        </w:tc>
        <w:tc>
          <w:tcPr>
            <w:tcW w:w="4320"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Argues that the field has made progress on the technical problem of attributing value across components of a combination, but not on the institutional mechanism for implementing this in practice. It calls for HTA and pricing authorities to specify attribution rules instead of leaving the issue to bilateral bargaining alone.</w:t>
            </w:r>
          </w:p>
        </w:tc>
        <w:tc>
          <w:tcPr>
            <w:tcW w:w="4608"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This is the clearest link with the multi-indication literature: both areas seek value-consistent pricing, but combination products add a second problem - how to divide value and price across component products and firms.</w:t>
            </w:r>
          </w:p>
        </w:tc>
        <w:tc>
          <w:tcPr>
            <w:tcW w:w="3600"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Central citation for explaining why multi-indication evidence is necessary but not sufficient for pricing combinations.</w:t>
            </w:r>
          </w:p>
        </w:tc>
      </w:tr>
      <w:tr w:rsidR="002B5352" w:rsidRPr="0003786E" w:rsidTr="00726E43">
        <w:trPr>
          <w:jc w:val="center"/>
        </w:trPr>
        <w:tc>
          <w:tcPr>
            <w:tcW w:w="2232" w:type="dxa"/>
            <w:shd w:val="clear" w:color="auto" w:fill="EAF1F8"/>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Brekke, Dalen and Straume (2025)</w:t>
            </w:r>
          </w:p>
        </w:tc>
        <w:tc>
          <w:tcPr>
            <w:tcW w:w="2448"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Economic / industrial-organisation model</w:t>
            </w:r>
          </w:p>
        </w:tc>
        <w:tc>
          <w:tcPr>
            <w:tcW w:w="1944"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Direct</w:t>
            </w:r>
          </w:p>
        </w:tc>
        <w:tc>
          <w:tcPr>
            <w:tcW w:w="4320"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Shows that when combination therapies enter pharmaceutical markets, prices may rise and payer surplus may fall, especially when the additional therapeutic value is high and firms can coordinate. Price discrimination may improve allocative efficiency, but potentially at the expense of payer budgets.</w:t>
            </w:r>
          </w:p>
        </w:tc>
        <w:tc>
          <w:tcPr>
            <w:tcW w:w="4608"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Provides a theoretical market mechanism linking combination pricing to the broader concern already present in the multi-indication literature: value heterogeneity does not automatically translate into socially desirable prices under market power.</w:t>
            </w:r>
          </w:p>
        </w:tc>
        <w:tc>
          <w:tcPr>
            <w:tcW w:w="3600"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Useful for explaining why evidence from multi-indication pricing cannot simply be transferred mechanically to combinations without considering market structure.</w:t>
            </w:r>
          </w:p>
        </w:tc>
      </w:tr>
      <w:tr w:rsidR="002B5352" w:rsidRPr="0003786E" w:rsidTr="00726E43">
        <w:trPr>
          <w:jc w:val="center"/>
        </w:trPr>
        <w:tc>
          <w:tcPr>
            <w:tcW w:w="2232" w:type="dxa"/>
            <w:shd w:val="clear" w:color="auto" w:fill="EAF1F8"/>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Armstrong et al. (2025)</w:t>
            </w:r>
          </w:p>
        </w:tc>
        <w:tc>
          <w:tcPr>
            <w:tcW w:w="2448"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Opinion / policy discussion on multi-year multi-indication agreements</w:t>
            </w:r>
          </w:p>
        </w:tc>
        <w:tc>
          <w:tcPr>
            <w:tcW w:w="1944"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Indirect but policy-relevant</w:t>
            </w:r>
          </w:p>
        </w:tc>
        <w:tc>
          <w:tcPr>
            <w:tcW w:w="4320"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Reviews multi-year multi-indication agreements as a practical tool to manage access, uncertainty and future indication expansion. Combination products appear as a residual area where standard multi-indication agreements are less mature.</w:t>
            </w:r>
          </w:p>
        </w:tc>
        <w:tc>
          <w:tcPr>
            <w:tcW w:w="4608"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Suggests that current contracting solutions for multi-indication products may stabilise pricing across expanding indications, yet they do not fully solve the specific pricing and governance problems raised by combinations.</w:t>
            </w:r>
          </w:p>
        </w:tc>
        <w:tc>
          <w:tcPr>
            <w:tcW w:w="3600" w:type="dxa"/>
            <w:tcMar>
              <w:top w:w="80" w:type="dxa"/>
              <w:left w:w="80" w:type="dxa"/>
              <w:bottom w:w="80" w:type="dxa"/>
              <w:right w:w="80" w:type="dxa"/>
            </w:tcMar>
            <w:vAlign w:val="center"/>
          </w:tcPr>
          <w:p w:rsidR="002B5352" w:rsidRPr="0003786E" w:rsidRDefault="002B5352" w:rsidP="00726E43">
            <w:pPr>
              <w:spacing w:after="40" w:line="276" w:lineRule="auto"/>
              <w:jc w:val="both"/>
              <w:rPr>
                <w:rFonts w:ascii="Times New Roman" w:hAnsi="Times New Roman" w:cs="Times New Roman"/>
                <w:sz w:val="20"/>
                <w:szCs w:val="20"/>
              </w:rPr>
            </w:pPr>
            <w:r w:rsidRPr="0003786E">
              <w:rPr>
                <w:rFonts w:ascii="Times New Roman" w:hAnsi="Times New Roman" w:cs="Times New Roman"/>
                <w:sz w:val="20"/>
                <w:szCs w:val="20"/>
              </w:rPr>
              <w:t>Useful for showing where current policy innovation has progressed - and where it still stops short of a full combination-pricing framework.</w:t>
            </w:r>
          </w:p>
        </w:tc>
      </w:tr>
    </w:tbl>
    <w:p w:rsidR="002B5352" w:rsidRPr="00A021CE" w:rsidRDefault="002B5352" w:rsidP="002B5352">
      <w:pPr>
        <w:spacing w:before="120" w:after="0" w:line="276" w:lineRule="auto"/>
        <w:jc w:val="both"/>
        <w:rPr>
          <w:rFonts w:ascii="Times New Roman" w:hAnsi="Times New Roman" w:cs="Times New Roman"/>
          <w:sz w:val="20"/>
          <w:szCs w:val="20"/>
        </w:rPr>
      </w:pPr>
      <w:r w:rsidRPr="0003786E">
        <w:rPr>
          <w:rFonts w:ascii="Times New Roman" w:hAnsi="Times New Roman" w:cs="Times New Roman"/>
          <w:sz w:val="20"/>
          <w:szCs w:val="20"/>
        </w:rPr>
        <w:t>Note: This table retains only the combination-relevant records that materially inform pricing or reimbursement analysis.</w:t>
      </w:r>
      <w:bookmarkStart w:id="0" w:name="_GoBack"/>
      <w:bookmarkEnd w:id="0"/>
    </w:p>
    <w:p w:rsidR="002C1047" w:rsidRDefault="002C1047"/>
    <w:sectPr w:rsidR="002C1047" w:rsidSect="0003786E">
      <w:footnotePr>
        <w:numRestart w:val="eachSect"/>
      </w:footnotePr>
      <w:type w:val="continuous"/>
      <w:pgSz w:w="15840" w:h="12240" w:orient="landscape"/>
      <w:pgMar w:top="1701" w:right="1418" w:bottom="1803" w:left="1418" w:header="709" w:footer="709"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914" w:rsidRDefault="00706914" w:rsidP="00AF5554">
      <w:pPr>
        <w:spacing w:after="0"/>
      </w:pPr>
      <w:r>
        <w:separator/>
      </w:r>
    </w:p>
  </w:endnote>
  <w:endnote w:type="continuationSeparator" w:id="0">
    <w:p w:rsidR="00706914" w:rsidRDefault="00706914" w:rsidP="00AF55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5405294"/>
      <w:docPartObj>
        <w:docPartGallery w:val="Page Numbers (Bottom of Page)"/>
        <w:docPartUnique/>
      </w:docPartObj>
    </w:sdtPr>
    <w:sdtEndPr>
      <w:rPr>
        <w:rFonts w:ascii="Times New Roman" w:hAnsi="Times New Roman" w:cs="Times New Roman"/>
        <w:sz w:val="20"/>
        <w:szCs w:val="20"/>
      </w:rPr>
    </w:sdtEndPr>
    <w:sdtContent>
      <w:p w:rsidR="00AF5554" w:rsidRPr="00373D58" w:rsidRDefault="00AF5554">
        <w:pPr>
          <w:pStyle w:val="Footer"/>
          <w:jc w:val="right"/>
          <w:rPr>
            <w:rFonts w:ascii="Times New Roman" w:hAnsi="Times New Roman" w:cs="Times New Roman"/>
            <w:sz w:val="20"/>
            <w:szCs w:val="20"/>
          </w:rPr>
        </w:pPr>
        <w:r w:rsidRPr="00373D58">
          <w:rPr>
            <w:rFonts w:ascii="Times New Roman" w:hAnsi="Times New Roman" w:cs="Times New Roman"/>
            <w:sz w:val="20"/>
            <w:szCs w:val="20"/>
          </w:rPr>
          <w:fldChar w:fldCharType="begin"/>
        </w:r>
        <w:r w:rsidRPr="00373D58">
          <w:rPr>
            <w:rFonts w:ascii="Times New Roman" w:hAnsi="Times New Roman" w:cs="Times New Roman"/>
            <w:sz w:val="20"/>
            <w:szCs w:val="20"/>
          </w:rPr>
          <w:instrText>PAGE   \* MERGEFORMAT</w:instrText>
        </w:r>
        <w:r w:rsidRPr="00373D58">
          <w:rPr>
            <w:rFonts w:ascii="Times New Roman" w:hAnsi="Times New Roman" w:cs="Times New Roman"/>
            <w:sz w:val="20"/>
            <w:szCs w:val="20"/>
          </w:rPr>
          <w:fldChar w:fldCharType="separate"/>
        </w:r>
        <w:r w:rsidRPr="00373D58">
          <w:rPr>
            <w:rFonts w:ascii="Times New Roman" w:hAnsi="Times New Roman" w:cs="Times New Roman"/>
            <w:sz w:val="20"/>
            <w:szCs w:val="20"/>
            <w:lang w:val="es-ES"/>
          </w:rPr>
          <w:t>2</w:t>
        </w:r>
        <w:r w:rsidRPr="00373D58">
          <w:rPr>
            <w:rFonts w:ascii="Times New Roman" w:hAnsi="Times New Roman" w:cs="Times New Roman"/>
            <w:sz w:val="20"/>
            <w:szCs w:val="20"/>
          </w:rPr>
          <w:fldChar w:fldCharType="end"/>
        </w:r>
      </w:p>
    </w:sdtContent>
  </w:sdt>
  <w:p w:rsidR="00AF5554" w:rsidRDefault="00AF55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914" w:rsidRDefault="00706914" w:rsidP="00AF5554">
      <w:pPr>
        <w:spacing w:after="0"/>
      </w:pPr>
      <w:r>
        <w:separator/>
      </w:r>
    </w:p>
  </w:footnote>
  <w:footnote w:type="continuationSeparator" w:id="0">
    <w:p w:rsidR="00706914" w:rsidRDefault="00706914" w:rsidP="00AF555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461A4C"/>
    <w:multiLevelType w:val="hybridMultilevel"/>
    <w:tmpl w:val="F5FA132C"/>
    <w:lvl w:ilvl="0" w:tplc="0F964AE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70"/>
  <w:defaultTabStop w:val="720"/>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352"/>
    <w:rsid w:val="0003786E"/>
    <w:rsid w:val="002B5352"/>
    <w:rsid w:val="002C1047"/>
    <w:rsid w:val="00350E9B"/>
    <w:rsid w:val="00373D58"/>
    <w:rsid w:val="004331BC"/>
    <w:rsid w:val="005837F3"/>
    <w:rsid w:val="005E5154"/>
    <w:rsid w:val="00631D43"/>
    <w:rsid w:val="00706914"/>
    <w:rsid w:val="0082303E"/>
    <w:rsid w:val="00826796"/>
    <w:rsid w:val="00AF5554"/>
    <w:rsid w:val="00CF79B1"/>
    <w:rsid w:val="00F21542"/>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32D424-2C3A-445B-A225-E51A52849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352"/>
    <w:pPr>
      <w:spacing w:after="200" w:line="240" w:lineRule="auto"/>
    </w:pPr>
    <w:rPr>
      <w:sz w:val="24"/>
      <w:szCs w:val="24"/>
      <w:lang w:val="en-US"/>
    </w:rPr>
  </w:style>
  <w:style w:type="paragraph" w:styleId="Heading2">
    <w:name w:val="heading 2"/>
    <w:basedOn w:val="Normal"/>
    <w:next w:val="BodyText"/>
    <w:link w:val="Heading2Char"/>
    <w:uiPriority w:val="9"/>
    <w:unhideWhenUsed/>
    <w:qFormat/>
    <w:rsid w:val="002B53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5352"/>
    <w:rPr>
      <w:rFonts w:asciiTheme="majorHAnsi" w:eastAsiaTheme="majorEastAsia" w:hAnsiTheme="majorHAnsi" w:cstheme="majorBidi"/>
      <w:color w:val="2F5496" w:themeColor="accent1" w:themeShade="BF"/>
      <w:sz w:val="32"/>
      <w:szCs w:val="32"/>
      <w:lang w:val="en-US"/>
    </w:rPr>
  </w:style>
  <w:style w:type="paragraph" w:styleId="BodyText">
    <w:name w:val="Body Text"/>
    <w:basedOn w:val="Normal"/>
    <w:link w:val="BodyTextChar"/>
    <w:qFormat/>
    <w:rsid w:val="002B5352"/>
    <w:pPr>
      <w:spacing w:before="180" w:after="180"/>
    </w:pPr>
  </w:style>
  <w:style w:type="character" w:customStyle="1" w:styleId="BodyTextChar">
    <w:name w:val="Body Text Char"/>
    <w:basedOn w:val="DefaultParagraphFont"/>
    <w:link w:val="BodyText"/>
    <w:rsid w:val="002B5352"/>
    <w:rPr>
      <w:sz w:val="24"/>
      <w:szCs w:val="24"/>
      <w:lang w:val="en-US"/>
    </w:rPr>
  </w:style>
  <w:style w:type="table" w:customStyle="1" w:styleId="Tablaconcuadrcula1">
    <w:name w:val="Tabla con cuadrícula1"/>
    <w:basedOn w:val="TableNormal"/>
    <w:next w:val="TableGrid"/>
    <w:uiPriority w:val="59"/>
    <w:rsid w:val="002B5352"/>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rsid w:val="002B5352"/>
    <w:pPr>
      <w:ind w:left="720"/>
      <w:contextualSpacing/>
    </w:pPr>
  </w:style>
  <w:style w:type="table" w:styleId="TableGrid">
    <w:name w:val="Table Grid"/>
    <w:basedOn w:val="TableNormal"/>
    <w:uiPriority w:val="39"/>
    <w:rsid w:val="002B5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37F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37F3"/>
    <w:rPr>
      <w:rFonts w:ascii="Segoe UI" w:hAnsi="Segoe UI" w:cs="Segoe UI"/>
      <w:sz w:val="18"/>
      <w:szCs w:val="18"/>
      <w:lang w:val="en-US"/>
    </w:rPr>
  </w:style>
  <w:style w:type="paragraph" w:styleId="Header">
    <w:name w:val="header"/>
    <w:basedOn w:val="Normal"/>
    <w:link w:val="HeaderChar"/>
    <w:uiPriority w:val="99"/>
    <w:unhideWhenUsed/>
    <w:rsid w:val="00AF5554"/>
    <w:pPr>
      <w:tabs>
        <w:tab w:val="center" w:pos="4252"/>
        <w:tab w:val="right" w:pos="8504"/>
      </w:tabs>
      <w:spacing w:after="0"/>
    </w:pPr>
  </w:style>
  <w:style w:type="character" w:customStyle="1" w:styleId="HeaderChar">
    <w:name w:val="Header Char"/>
    <w:basedOn w:val="DefaultParagraphFont"/>
    <w:link w:val="Header"/>
    <w:uiPriority w:val="99"/>
    <w:rsid w:val="00AF5554"/>
    <w:rPr>
      <w:sz w:val="24"/>
      <w:szCs w:val="24"/>
      <w:lang w:val="en-US"/>
    </w:rPr>
  </w:style>
  <w:style w:type="paragraph" w:styleId="Footer">
    <w:name w:val="footer"/>
    <w:basedOn w:val="Normal"/>
    <w:link w:val="FooterChar"/>
    <w:uiPriority w:val="99"/>
    <w:unhideWhenUsed/>
    <w:rsid w:val="00AF5554"/>
    <w:pPr>
      <w:tabs>
        <w:tab w:val="center" w:pos="4252"/>
        <w:tab w:val="right" w:pos="8504"/>
      </w:tabs>
      <w:spacing w:after="0"/>
    </w:pPr>
  </w:style>
  <w:style w:type="character" w:customStyle="1" w:styleId="FooterChar">
    <w:name w:val="Footer Char"/>
    <w:basedOn w:val="DefaultParagraphFont"/>
    <w:link w:val="Footer"/>
    <w:uiPriority w:val="99"/>
    <w:rsid w:val="00AF5554"/>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5059</Words>
  <Characters>28839</Characters>
  <Application>Microsoft Office Word</Application>
  <DocSecurity>0</DocSecurity>
  <Lines>240</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dc:creator>
  <cp:keywords/>
  <dc:description/>
  <cp:lastModifiedBy>Aswini Vijayakumar</cp:lastModifiedBy>
  <cp:revision>4</cp:revision>
  <dcterms:created xsi:type="dcterms:W3CDTF">2026-07-14T05:41:00Z</dcterms:created>
  <dcterms:modified xsi:type="dcterms:W3CDTF">2026-08-14T08:48:00Z</dcterms:modified>
</cp:coreProperties>
</file>