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3D84" w:rsidRDefault="008E3D84" w:rsidP="007B1DAC">
      <w:pPr>
        <w:rPr>
          <w:rFonts w:cs="Times New Roman"/>
          <w:b/>
          <w:bCs/>
        </w:rPr>
      </w:pPr>
    </w:p>
    <w:p w:rsidR="008E3D84" w:rsidRDefault="008E3D84" w:rsidP="00FB239C">
      <w:pPr>
        <w:pStyle w:val="Heading1"/>
        <w:rPr>
          <w:rFonts w:cs="Times New Roman"/>
        </w:rPr>
      </w:pPr>
      <w:r w:rsidRPr="00FB239C">
        <w:t>Pharmacokinetic Drug Interactions Involving Vortioxetine (Lu AA21004), a Multimodal Antidepressant</w:t>
      </w:r>
    </w:p>
    <w:p w:rsidR="008E3D84" w:rsidRPr="00FB239C" w:rsidRDefault="008E3D84" w:rsidP="00FB239C">
      <w:pPr>
        <w:rPr>
          <w:rFonts w:cs="Times New Roman"/>
        </w:rPr>
      </w:pPr>
    </w:p>
    <w:p w:rsidR="008E3D84" w:rsidRDefault="008E3D84" w:rsidP="00FB239C">
      <w:pPr>
        <w:rPr>
          <w:rFonts w:cs="Times New Roman"/>
          <w:b/>
          <w:bCs/>
        </w:rPr>
      </w:pPr>
      <w:r w:rsidRPr="00FB239C">
        <w:rPr>
          <w:b/>
          <w:bCs/>
        </w:rPr>
        <w:t>Grace Chen</w:t>
      </w:r>
      <w:r>
        <w:rPr>
          <w:b/>
          <w:bCs/>
        </w:rPr>
        <w:t xml:space="preserve">, </w:t>
      </w:r>
      <w:r w:rsidRPr="00FB239C">
        <w:rPr>
          <w:b/>
          <w:bCs/>
        </w:rPr>
        <w:t>Ronald Lee</w:t>
      </w:r>
      <w:r>
        <w:rPr>
          <w:b/>
          <w:bCs/>
        </w:rPr>
        <w:t xml:space="preserve">, </w:t>
      </w:r>
      <w:r w:rsidRPr="00FB239C">
        <w:rPr>
          <w:b/>
          <w:bCs/>
        </w:rPr>
        <w:t>Astrid-Maria Højer</w:t>
      </w:r>
      <w:r>
        <w:rPr>
          <w:b/>
          <w:bCs/>
        </w:rPr>
        <w:t xml:space="preserve">, </w:t>
      </w:r>
      <w:r w:rsidRPr="002F2FE8">
        <w:rPr>
          <w:b/>
          <w:bCs/>
        </w:rPr>
        <w:t xml:space="preserve">Jeppe Klint Buchbjerg, Michael Serenko, </w:t>
      </w:r>
      <w:r w:rsidRPr="00FB239C">
        <w:rPr>
          <w:b/>
          <w:bCs/>
        </w:rPr>
        <w:t>Zhen Zhao</w:t>
      </w:r>
    </w:p>
    <w:p w:rsidR="008E3D84" w:rsidRDefault="008E3D84" w:rsidP="00FB239C">
      <w:pPr>
        <w:rPr>
          <w:rFonts w:cs="Times New Roman"/>
          <w:b/>
          <w:bCs/>
        </w:rPr>
      </w:pPr>
    </w:p>
    <w:p w:rsidR="008E3D84" w:rsidRDefault="008E3D84" w:rsidP="002F2FE8">
      <w:pPr>
        <w:jc w:val="center"/>
        <w:rPr>
          <w:rFonts w:cs="Times New Roman"/>
          <w:b/>
          <w:bCs/>
        </w:rPr>
      </w:pPr>
      <w:r>
        <w:rPr>
          <w:b/>
          <w:bCs/>
        </w:rPr>
        <w:t>Electronic Supplementary Material</w:t>
      </w:r>
      <w:r w:rsidRPr="00DB446E">
        <w:rPr>
          <w:b/>
          <w:bCs/>
        </w:rPr>
        <w:t>.</w:t>
      </w:r>
    </w:p>
    <w:p w:rsidR="008E3D84" w:rsidRDefault="008E3D84" w:rsidP="007B1DAC">
      <w:pPr>
        <w:rPr>
          <w:rFonts w:cs="Times New Roman"/>
          <w:b/>
          <w:bCs/>
        </w:rPr>
      </w:pPr>
    </w:p>
    <w:p w:rsidR="008E3D84" w:rsidRPr="002F2FE8" w:rsidRDefault="008E3D84" w:rsidP="002F2FE8">
      <w:pPr>
        <w:jc w:val="center"/>
        <w:rPr>
          <w:b/>
          <w:bCs/>
          <w:sz w:val="24"/>
          <w:szCs w:val="24"/>
        </w:rPr>
      </w:pPr>
      <w:r w:rsidRPr="002F2FE8">
        <w:rPr>
          <w:b/>
          <w:bCs/>
          <w:sz w:val="24"/>
          <w:szCs w:val="24"/>
        </w:rPr>
        <w:t>Bioanalytical Methodology for Vortioxetine and Concomitant Drugs</w:t>
      </w:r>
    </w:p>
    <w:tbl>
      <w:tblPr>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06"/>
        <w:gridCol w:w="9382"/>
      </w:tblGrid>
      <w:tr w:rsidR="008E3D84" w:rsidRPr="00DB446E">
        <w:tc>
          <w:tcPr>
            <w:tcW w:w="1706" w:type="dxa"/>
          </w:tcPr>
          <w:p w:rsidR="008E3D84" w:rsidRPr="00DB446E" w:rsidRDefault="008E3D84" w:rsidP="00FF5C69">
            <w:pPr>
              <w:keepNext/>
              <w:keepLines/>
              <w:spacing w:before="480"/>
              <w:rPr>
                <w:rFonts w:cs="Times New Roman"/>
                <w:b/>
                <w:bCs/>
              </w:rPr>
            </w:pPr>
          </w:p>
        </w:tc>
        <w:tc>
          <w:tcPr>
            <w:tcW w:w="9382" w:type="dxa"/>
          </w:tcPr>
          <w:p w:rsidR="008E3D84" w:rsidRPr="00C32679" w:rsidRDefault="008E3D84" w:rsidP="00FF5C69">
            <w:pPr>
              <w:keepNext/>
              <w:keepLines/>
              <w:spacing w:before="480"/>
              <w:rPr>
                <w:b/>
                <w:bCs/>
                <w:sz w:val="24"/>
                <w:szCs w:val="24"/>
              </w:rPr>
            </w:pPr>
            <w:r w:rsidRPr="00C32679">
              <w:rPr>
                <w:b/>
                <w:bCs/>
                <w:sz w:val="24"/>
                <w:szCs w:val="24"/>
              </w:rPr>
              <w:t xml:space="preserve">Vortioxetine </w:t>
            </w:r>
          </w:p>
        </w:tc>
      </w:tr>
      <w:tr w:rsidR="008E3D84" w:rsidRPr="00DB446E">
        <w:tc>
          <w:tcPr>
            <w:tcW w:w="1706" w:type="dxa"/>
          </w:tcPr>
          <w:p w:rsidR="008E3D84" w:rsidRPr="00DB446E" w:rsidRDefault="008E3D84" w:rsidP="00FF5C69">
            <w:pPr>
              <w:keepNext/>
              <w:keepLines/>
              <w:spacing w:before="480"/>
              <w:rPr>
                <w:rFonts w:cs="Times New Roman"/>
                <w:b/>
                <w:bCs/>
              </w:rPr>
            </w:pPr>
            <w:r>
              <w:rPr>
                <w:b/>
                <w:bCs/>
              </w:rPr>
              <w:t>Sample preparation</w:t>
            </w:r>
          </w:p>
        </w:tc>
        <w:tc>
          <w:tcPr>
            <w:tcW w:w="9382" w:type="dxa"/>
          </w:tcPr>
          <w:p w:rsidR="008E3D84" w:rsidRPr="00DB446E" w:rsidRDefault="008E3D84" w:rsidP="00CE4FD8">
            <w:pPr>
              <w:keepNext/>
              <w:keepLines/>
              <w:autoSpaceDE w:val="0"/>
              <w:autoSpaceDN w:val="0"/>
              <w:adjustRightInd w:val="0"/>
              <w:spacing w:before="480"/>
              <w:rPr>
                <w:rFonts w:cs="Times New Roman"/>
                <w:b/>
                <w:bCs/>
              </w:rPr>
            </w:pPr>
            <w:r w:rsidRPr="00C32679">
              <w:rPr>
                <w:b/>
                <w:bCs/>
              </w:rPr>
              <w:t>Blood samples (10 mL) were collected in Vacutainers® containing dipotassium</w:t>
            </w:r>
            <w:r>
              <w:rPr>
                <w:b/>
                <w:bCs/>
              </w:rPr>
              <w:t xml:space="preserve"> </w:t>
            </w:r>
            <w:r w:rsidRPr="00C32679">
              <w:rPr>
                <w:b/>
                <w:bCs/>
              </w:rPr>
              <w:t>ethylenediaminetetraacetic acid (K2EDTA) on Day 1 and kept frozen at –70 °C or lower until</w:t>
            </w:r>
            <w:r>
              <w:rPr>
                <w:b/>
                <w:bCs/>
              </w:rPr>
              <w:t xml:space="preserve"> </w:t>
            </w:r>
            <w:r w:rsidRPr="00C32679">
              <w:rPr>
                <w:b/>
                <w:bCs/>
              </w:rPr>
              <w:t>analysis. Pharmacokinetic analysis was performed at Aptuit (Edinburgh) Ltd, Edinburgh, UK.</w:t>
            </w:r>
          </w:p>
        </w:tc>
      </w:tr>
      <w:tr w:rsidR="008E3D84" w:rsidRPr="00DB446E">
        <w:tc>
          <w:tcPr>
            <w:tcW w:w="1706" w:type="dxa"/>
          </w:tcPr>
          <w:p w:rsidR="008E3D84" w:rsidRPr="00DB446E" w:rsidRDefault="008E3D84" w:rsidP="00FF5C69">
            <w:pPr>
              <w:keepNext/>
              <w:keepLines/>
              <w:spacing w:before="480"/>
              <w:rPr>
                <w:b/>
                <w:bCs/>
              </w:rPr>
            </w:pPr>
            <w:r w:rsidRPr="00DB446E">
              <w:rPr>
                <w:b/>
                <w:bCs/>
              </w:rPr>
              <w:t>Details of LC-MS/MS</w:t>
            </w:r>
          </w:p>
        </w:tc>
        <w:tc>
          <w:tcPr>
            <w:tcW w:w="9382" w:type="dxa"/>
          </w:tcPr>
          <w:p w:rsidR="008E3D84" w:rsidRPr="00DB446E" w:rsidRDefault="008E3D84" w:rsidP="00D5684E">
            <w:pPr>
              <w:keepNext/>
              <w:keepLines/>
              <w:autoSpaceDE w:val="0"/>
              <w:autoSpaceDN w:val="0"/>
              <w:adjustRightInd w:val="0"/>
              <w:spacing w:before="480"/>
              <w:rPr>
                <w:rFonts w:cs="Times New Roman"/>
                <w:b/>
                <w:bCs/>
              </w:rPr>
            </w:pPr>
            <w:r w:rsidRPr="00C32679">
              <w:rPr>
                <w:b/>
                <w:bCs/>
              </w:rPr>
              <w:t>The quantitative measurement of vortioxetine and its metabolites (Lu AA34443 and Lu AA39835)</w:t>
            </w:r>
            <w:r>
              <w:rPr>
                <w:b/>
                <w:bCs/>
              </w:rPr>
              <w:t xml:space="preserve"> </w:t>
            </w:r>
            <w:r w:rsidRPr="00C32679">
              <w:rPr>
                <w:b/>
                <w:bCs/>
              </w:rPr>
              <w:t>using a previously validated method. (McConnachie Determination of Lu AA21004, Lu AA34443 and</w:t>
            </w:r>
            <w:r>
              <w:rPr>
                <w:b/>
                <w:bCs/>
              </w:rPr>
              <w:t xml:space="preserve"> </w:t>
            </w:r>
            <w:r w:rsidRPr="00C32679">
              <w:rPr>
                <w:b/>
                <w:bCs/>
              </w:rPr>
              <w:t>Lu AA39835 in human plasma using HPLC with tandem mass spectrometric detection. BAM</w:t>
            </w:r>
            <w:r>
              <w:rPr>
                <w:b/>
                <w:bCs/>
              </w:rPr>
              <w:t>-</w:t>
            </w:r>
            <w:r w:rsidRPr="00C32679">
              <w:rPr>
                <w:b/>
                <w:bCs/>
              </w:rPr>
              <w:t>037</w:t>
            </w:r>
            <w:r>
              <w:rPr>
                <w:b/>
                <w:bCs/>
              </w:rPr>
              <w:t>-</w:t>
            </w:r>
            <w:r w:rsidRPr="00C32679">
              <w:rPr>
                <w:b/>
                <w:bCs/>
              </w:rPr>
              <w:t>06</w:t>
            </w:r>
            <w:r>
              <w:rPr>
                <w:b/>
                <w:bCs/>
              </w:rPr>
              <w:t xml:space="preserve"> </w:t>
            </w:r>
            <w:r w:rsidRPr="00C32679">
              <w:rPr>
                <w:b/>
                <w:bCs/>
              </w:rPr>
              <w:t>[(09 Apr 09), BAM‐037‐07 [(16 Jun 09]) and BAM‐037‐08 [(25 Jun 09])) Vortioxetine and its</w:t>
            </w:r>
            <w:r>
              <w:rPr>
                <w:b/>
                <w:bCs/>
              </w:rPr>
              <w:t xml:space="preserve"> </w:t>
            </w:r>
            <w:r w:rsidRPr="00C32679">
              <w:rPr>
                <w:b/>
                <w:bCs/>
              </w:rPr>
              <w:t>metabolites (Lu AA34443, Lu AA39835) were extracted from plasma using a solid phase extraction</w:t>
            </w:r>
            <w:r>
              <w:rPr>
                <w:b/>
                <w:bCs/>
              </w:rPr>
              <w:t xml:space="preserve"> </w:t>
            </w:r>
            <w:r w:rsidRPr="00C32679">
              <w:rPr>
                <w:b/>
                <w:bCs/>
              </w:rPr>
              <w:t>followed by high</w:t>
            </w:r>
            <w:r>
              <w:rPr>
                <w:b/>
                <w:bCs/>
              </w:rPr>
              <w:t>-</w:t>
            </w:r>
            <w:r w:rsidRPr="00C32679">
              <w:rPr>
                <w:b/>
                <w:bCs/>
              </w:rPr>
              <w:t>performance liquid chromatography (HPLC) and quantified by a tandem mass</w:t>
            </w:r>
            <w:r>
              <w:rPr>
                <w:b/>
                <w:bCs/>
              </w:rPr>
              <w:t xml:space="preserve"> </w:t>
            </w:r>
            <w:r w:rsidRPr="00C32679">
              <w:rPr>
                <w:b/>
                <w:bCs/>
              </w:rPr>
              <w:t>spectrometry (MS/MM) detector operated in positive electrospray mode.</w:t>
            </w:r>
          </w:p>
        </w:tc>
      </w:tr>
      <w:tr w:rsidR="008E3D84" w:rsidRPr="00DB446E">
        <w:tc>
          <w:tcPr>
            <w:tcW w:w="1706" w:type="dxa"/>
          </w:tcPr>
          <w:p w:rsidR="008E3D84" w:rsidRPr="00DB446E" w:rsidRDefault="008E3D84" w:rsidP="00C32679">
            <w:pPr>
              <w:keepNext/>
              <w:keepLines/>
              <w:spacing w:before="480"/>
              <w:rPr>
                <w:b/>
                <w:bCs/>
              </w:rPr>
            </w:pPr>
            <w:r w:rsidRPr="00DB446E">
              <w:rPr>
                <w:b/>
                <w:bCs/>
              </w:rPr>
              <w:t xml:space="preserve">Brief description of instrument characteristics </w:t>
            </w:r>
          </w:p>
        </w:tc>
        <w:tc>
          <w:tcPr>
            <w:tcW w:w="9382" w:type="dxa"/>
          </w:tcPr>
          <w:p w:rsidR="008E3D84" w:rsidRDefault="008E3D84" w:rsidP="00C32679">
            <w:pPr>
              <w:keepNext/>
              <w:keepLines/>
              <w:spacing w:before="480"/>
              <w:rPr>
                <w:rFonts w:cs="Times New Roman"/>
                <w:b/>
                <w:bCs/>
              </w:rPr>
            </w:pPr>
            <w:r w:rsidRPr="00C32679">
              <w:rPr>
                <w:b/>
                <w:bCs/>
              </w:rPr>
              <w:t>The method was validated with human EDTA plasma within the measuring ranges of 0.08 to 80</w:t>
            </w:r>
            <w:r>
              <w:rPr>
                <w:b/>
                <w:bCs/>
              </w:rPr>
              <w:t xml:space="preserve"> </w:t>
            </w:r>
            <w:r w:rsidRPr="00C32679">
              <w:rPr>
                <w:b/>
                <w:bCs/>
              </w:rPr>
              <w:t xml:space="preserve">ng/mL for </w:t>
            </w:r>
            <w:r>
              <w:rPr>
                <w:b/>
                <w:bCs/>
              </w:rPr>
              <w:t>vortioxetine, 0.2</w:t>
            </w:r>
            <w:r w:rsidRPr="00C32679">
              <w:rPr>
                <w:b/>
                <w:bCs/>
              </w:rPr>
              <w:t xml:space="preserve"> to 200</w:t>
            </w:r>
            <w:r>
              <w:rPr>
                <w:b/>
                <w:bCs/>
              </w:rPr>
              <w:t xml:space="preserve"> ng/mL for Lu AA344443 and 0.04</w:t>
            </w:r>
            <w:r w:rsidRPr="00C32679">
              <w:rPr>
                <w:b/>
                <w:bCs/>
              </w:rPr>
              <w:t xml:space="preserve"> to 40 ng/mL for Lu AA39835),</w:t>
            </w:r>
            <w:r>
              <w:rPr>
                <w:b/>
                <w:bCs/>
              </w:rPr>
              <w:t xml:space="preserve"> </w:t>
            </w:r>
            <w:r w:rsidRPr="00C32679">
              <w:rPr>
                <w:b/>
                <w:bCs/>
              </w:rPr>
              <w:t>at a sample size of 250 μL.</w:t>
            </w:r>
          </w:p>
          <w:p w:rsidR="008E3D84" w:rsidRDefault="008E3D84" w:rsidP="00C32679">
            <w:pPr>
              <w:keepNext/>
              <w:keepLines/>
              <w:spacing w:before="480"/>
              <w:rPr>
                <w:rFonts w:cs="Times New Roman"/>
                <w:b/>
                <w:bCs/>
              </w:rPr>
            </w:pPr>
            <w:r w:rsidRPr="00C32679">
              <w:rPr>
                <w:b/>
                <w:bCs/>
              </w:rPr>
              <w:t>Chromatograms and integration of the peaks were reviewed by visual inspection to ensure the</w:t>
            </w:r>
            <w:r>
              <w:rPr>
                <w:b/>
                <w:bCs/>
              </w:rPr>
              <w:t xml:space="preserve"> </w:t>
            </w:r>
            <w:r w:rsidRPr="00C32679">
              <w:rPr>
                <w:b/>
                <w:bCs/>
              </w:rPr>
              <w:t>integration was performed correctly.</w:t>
            </w:r>
          </w:p>
          <w:p w:rsidR="008E3D84" w:rsidRDefault="008E3D84" w:rsidP="00C32679">
            <w:pPr>
              <w:keepNext/>
              <w:keepLines/>
              <w:spacing w:before="480"/>
              <w:rPr>
                <w:rFonts w:cs="Times New Roman"/>
                <w:b/>
                <w:bCs/>
              </w:rPr>
            </w:pPr>
            <w:r w:rsidRPr="00C32679">
              <w:rPr>
                <w:b/>
                <w:bCs/>
              </w:rPr>
              <w:t>Accuracy was expressed as:</w:t>
            </w:r>
          </w:p>
          <w:p w:rsidR="008E3D84" w:rsidRPr="00C32679" w:rsidRDefault="008E3D84" w:rsidP="00C32679">
            <w:pPr>
              <w:keepNext/>
              <w:keepLines/>
              <w:spacing w:before="480"/>
              <w:rPr>
                <w:b/>
                <w:bCs/>
              </w:rPr>
            </w:pPr>
            <w:r w:rsidRPr="00C32679">
              <w:rPr>
                <w:b/>
                <w:bCs/>
              </w:rPr>
              <w:t>%Accuracy = (Mean concentration determined ÷ concentration expected ) x 100</w:t>
            </w:r>
          </w:p>
          <w:p w:rsidR="008E3D84" w:rsidRPr="00C32679" w:rsidRDefault="008E3D84" w:rsidP="00C32679">
            <w:pPr>
              <w:keepNext/>
              <w:keepLines/>
              <w:spacing w:before="480"/>
              <w:rPr>
                <w:b/>
                <w:bCs/>
              </w:rPr>
            </w:pPr>
            <w:r w:rsidRPr="00C32679">
              <w:rPr>
                <w:b/>
                <w:bCs/>
              </w:rPr>
              <w:t>Precisions, given as the coefficient of variation (CV) was expressed as:</w:t>
            </w:r>
          </w:p>
          <w:p w:rsidR="008E3D84" w:rsidRPr="00C32679" w:rsidRDefault="008E3D84" w:rsidP="00C32679">
            <w:pPr>
              <w:keepNext/>
              <w:keepLines/>
              <w:spacing w:before="480"/>
              <w:rPr>
                <w:b/>
                <w:bCs/>
              </w:rPr>
            </w:pPr>
            <w:r w:rsidRPr="00C32679">
              <w:rPr>
                <w:b/>
                <w:bCs/>
              </w:rPr>
              <w:t>%CV = (standard deviation of concentration determined ÷ mean concentration determined)</w:t>
            </w:r>
            <w:r>
              <w:rPr>
                <w:b/>
                <w:bCs/>
              </w:rPr>
              <w:t xml:space="preserve"> </w:t>
            </w:r>
            <w:r w:rsidRPr="00C32679">
              <w:rPr>
                <w:b/>
                <w:bCs/>
              </w:rPr>
              <w:t>x 100</w:t>
            </w:r>
          </w:p>
          <w:p w:rsidR="008E3D84" w:rsidRPr="00C32679" w:rsidRDefault="008E3D84" w:rsidP="00C32679">
            <w:pPr>
              <w:keepNext/>
              <w:keepLines/>
              <w:spacing w:before="480"/>
              <w:rPr>
                <w:b/>
                <w:bCs/>
              </w:rPr>
            </w:pPr>
            <w:r>
              <w:rPr>
                <w:b/>
                <w:bCs/>
              </w:rPr>
              <w:t>% Difference = ([Mean conc. a</w:t>
            </w:r>
            <w:r w:rsidRPr="00C32679">
              <w:rPr>
                <w:b/>
                <w:bCs/>
              </w:rPr>
              <w:t>fter treatment − Mean conc</w:t>
            </w:r>
            <w:r>
              <w:rPr>
                <w:b/>
                <w:bCs/>
              </w:rPr>
              <w:t>.</w:t>
            </w:r>
            <w:r w:rsidRPr="00C32679">
              <w:rPr>
                <w:b/>
                <w:bCs/>
              </w:rPr>
              <w:t xml:space="preserve"> before treatment] ÷ mean conc. </w:t>
            </w:r>
            <w:r>
              <w:rPr>
                <w:b/>
                <w:bCs/>
              </w:rPr>
              <w:t>B</w:t>
            </w:r>
            <w:r w:rsidRPr="00C32679">
              <w:rPr>
                <w:b/>
                <w:bCs/>
              </w:rPr>
              <w:t>efore</w:t>
            </w:r>
            <w:r>
              <w:rPr>
                <w:b/>
                <w:bCs/>
              </w:rPr>
              <w:t xml:space="preserve"> </w:t>
            </w:r>
            <w:r w:rsidRPr="00C32679">
              <w:rPr>
                <w:b/>
                <w:bCs/>
              </w:rPr>
              <w:t>treatment) x 100</w:t>
            </w:r>
          </w:p>
          <w:p w:rsidR="008E3D84" w:rsidRPr="00C32679" w:rsidRDefault="008E3D84" w:rsidP="00C32679">
            <w:pPr>
              <w:keepNext/>
              <w:keepLines/>
              <w:spacing w:before="480"/>
              <w:rPr>
                <w:b/>
                <w:bCs/>
              </w:rPr>
            </w:pPr>
            <w:r>
              <w:rPr>
                <w:b/>
                <w:bCs/>
              </w:rPr>
              <w:t xml:space="preserve">Incurred </w:t>
            </w:r>
            <w:r w:rsidRPr="00C32679">
              <w:rPr>
                <w:b/>
                <w:bCs/>
              </w:rPr>
              <w:t>sample reproducibility (ISR) was assessed as part of this study. In accordance with</w:t>
            </w:r>
            <w:r>
              <w:rPr>
                <w:b/>
                <w:bCs/>
              </w:rPr>
              <w:t xml:space="preserve"> </w:t>
            </w:r>
            <w:r w:rsidRPr="00C32679">
              <w:rPr>
                <w:b/>
                <w:bCs/>
              </w:rPr>
              <w:t>Aptuit’s SOP on ISR, discrete, individual samples, (not pooled), were selected and re‐analysis was</w:t>
            </w:r>
            <w:r>
              <w:rPr>
                <w:b/>
                <w:bCs/>
              </w:rPr>
              <w:t xml:space="preserve"> </w:t>
            </w:r>
            <w:r w:rsidRPr="00C32679">
              <w:rPr>
                <w:b/>
                <w:bCs/>
              </w:rPr>
              <w:t>consistent with the original method and within the validated storage stability timeframe assessed</w:t>
            </w:r>
            <w:r>
              <w:rPr>
                <w:b/>
                <w:bCs/>
              </w:rPr>
              <w:t xml:space="preserve"> </w:t>
            </w:r>
            <w:r w:rsidRPr="00C32679">
              <w:rPr>
                <w:b/>
                <w:bCs/>
              </w:rPr>
              <w:t>for the method. Two samples per subject, one near the maximum observed plasma concentration</w:t>
            </w:r>
            <w:r>
              <w:rPr>
                <w:b/>
                <w:bCs/>
              </w:rPr>
              <w:t xml:space="preserve"> </w:t>
            </w:r>
            <w:r w:rsidRPr="00C32679">
              <w:rPr>
                <w:b/>
                <w:bCs/>
              </w:rPr>
              <w:t>(C</w:t>
            </w:r>
            <w:r w:rsidRPr="00C32679">
              <w:rPr>
                <w:b/>
                <w:bCs/>
                <w:vertAlign w:val="subscript"/>
              </w:rPr>
              <w:t>max</w:t>
            </w:r>
            <w:r w:rsidRPr="00C32679">
              <w:rPr>
                <w:b/>
                <w:bCs/>
              </w:rPr>
              <w:t>) and one within the elimination phase (where an appreciable concentration of metabolites</w:t>
            </w:r>
            <w:r>
              <w:rPr>
                <w:b/>
                <w:bCs/>
              </w:rPr>
              <w:t xml:space="preserve"> </w:t>
            </w:r>
            <w:r w:rsidRPr="00C32679">
              <w:rPr>
                <w:b/>
                <w:bCs/>
              </w:rPr>
              <w:t>may be expected), were selected for 10 subjects. ISR was performed at the end of the study and was</w:t>
            </w:r>
            <w:r>
              <w:rPr>
                <w:b/>
                <w:bCs/>
              </w:rPr>
              <w:t xml:space="preserve"> </w:t>
            </w:r>
            <w:r w:rsidRPr="00C32679">
              <w:rPr>
                <w:b/>
                <w:bCs/>
              </w:rPr>
              <w:t>calculated as follows:</w:t>
            </w:r>
          </w:p>
          <w:p w:rsidR="008E3D84" w:rsidRPr="00C32679" w:rsidRDefault="008E3D84" w:rsidP="00C32679">
            <w:pPr>
              <w:keepNext/>
              <w:keepLines/>
              <w:spacing w:before="480"/>
              <w:rPr>
                <w:b/>
                <w:bCs/>
              </w:rPr>
            </w:pPr>
            <w:r w:rsidRPr="00C32679">
              <w:rPr>
                <w:b/>
                <w:bCs/>
              </w:rPr>
              <w:t xml:space="preserve">• </w:t>
            </w:r>
            <w:r>
              <w:rPr>
                <w:b/>
                <w:bCs/>
              </w:rPr>
              <w:t xml:space="preserve">ISR = </w:t>
            </w:r>
            <w:r w:rsidRPr="00C32679">
              <w:rPr>
                <w:b/>
                <w:bCs/>
              </w:rPr>
              <w:t>(repeat – original) / mean &lt; + 20 %</w:t>
            </w:r>
          </w:p>
          <w:p w:rsidR="008E3D84" w:rsidRPr="00DB446E" w:rsidRDefault="008E3D84" w:rsidP="00D5684E">
            <w:pPr>
              <w:keepNext/>
              <w:keepLines/>
              <w:spacing w:before="480"/>
              <w:rPr>
                <w:rFonts w:cs="Times New Roman"/>
                <w:b/>
                <w:bCs/>
              </w:rPr>
            </w:pPr>
            <w:r w:rsidRPr="00C32679">
              <w:rPr>
                <w:b/>
                <w:bCs/>
              </w:rPr>
              <w:t>Two</w:t>
            </w:r>
            <w:r>
              <w:rPr>
                <w:b/>
                <w:bCs/>
              </w:rPr>
              <w:t>-</w:t>
            </w:r>
            <w:r w:rsidRPr="00C32679">
              <w:rPr>
                <w:b/>
                <w:bCs/>
              </w:rPr>
              <w:t>thirds (67 %) of ISR samples must meet these criteria.</w:t>
            </w:r>
          </w:p>
        </w:tc>
      </w:tr>
    </w:tbl>
    <w:p w:rsidR="008E3D84" w:rsidRPr="00DB446E" w:rsidRDefault="008E3D84" w:rsidP="007B1DAC">
      <w:pPr>
        <w:rPr>
          <w:rFonts w:cs="Times New Roman"/>
        </w:rPr>
      </w:pPr>
    </w:p>
    <w:tbl>
      <w:tblPr>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06"/>
        <w:gridCol w:w="9382"/>
      </w:tblGrid>
      <w:tr w:rsidR="008E3D84" w:rsidRPr="00DB446E">
        <w:tc>
          <w:tcPr>
            <w:tcW w:w="1706" w:type="dxa"/>
          </w:tcPr>
          <w:p w:rsidR="008E3D84" w:rsidRPr="00DB446E" w:rsidRDefault="008E3D84" w:rsidP="00FF5C69">
            <w:pPr>
              <w:keepNext/>
              <w:keepLines/>
              <w:spacing w:before="480"/>
              <w:rPr>
                <w:rFonts w:cs="Times New Roman"/>
                <w:b/>
                <w:bCs/>
              </w:rPr>
            </w:pPr>
            <w:r w:rsidRPr="00DB446E">
              <w:rPr>
                <w:rFonts w:cs="Times New Roman"/>
              </w:rPr>
              <w:br w:type="page"/>
            </w:r>
          </w:p>
        </w:tc>
        <w:tc>
          <w:tcPr>
            <w:tcW w:w="9382" w:type="dxa"/>
          </w:tcPr>
          <w:p w:rsidR="008E3D84" w:rsidRPr="00DB446E" w:rsidRDefault="008E3D84" w:rsidP="00FF5C69">
            <w:pPr>
              <w:keepNext/>
              <w:keepLines/>
              <w:spacing w:before="480"/>
              <w:rPr>
                <w:rFonts w:cs="Times New Roman"/>
                <w:b/>
                <w:bCs/>
              </w:rPr>
            </w:pPr>
            <w:r w:rsidRPr="00C32679">
              <w:rPr>
                <w:b/>
                <w:bCs/>
                <w:sz w:val="24"/>
                <w:szCs w:val="24"/>
              </w:rPr>
              <w:t>Ethinyl estradiol/levonorgestrel</w:t>
            </w:r>
          </w:p>
        </w:tc>
      </w:tr>
      <w:tr w:rsidR="008E3D84" w:rsidRPr="00DB446E">
        <w:tc>
          <w:tcPr>
            <w:tcW w:w="1706" w:type="dxa"/>
          </w:tcPr>
          <w:p w:rsidR="008E3D84" w:rsidRPr="00DB446E" w:rsidRDefault="008E3D84" w:rsidP="00FF5C69">
            <w:pPr>
              <w:keepNext/>
              <w:keepLines/>
              <w:spacing w:before="480"/>
              <w:rPr>
                <w:b/>
                <w:bCs/>
              </w:rPr>
            </w:pPr>
            <w:r w:rsidRPr="00DB446E">
              <w:rPr>
                <w:b/>
                <w:bCs/>
              </w:rPr>
              <w:t>Sample preparation</w:t>
            </w:r>
          </w:p>
        </w:tc>
        <w:tc>
          <w:tcPr>
            <w:tcW w:w="9382" w:type="dxa"/>
          </w:tcPr>
          <w:p w:rsidR="008E3D84" w:rsidRPr="00DB446E" w:rsidRDefault="008E3D84" w:rsidP="00D5684E">
            <w:pPr>
              <w:keepNext/>
              <w:keepLines/>
              <w:autoSpaceDE w:val="0"/>
              <w:autoSpaceDN w:val="0"/>
              <w:adjustRightInd w:val="0"/>
              <w:spacing w:before="480"/>
              <w:rPr>
                <w:rFonts w:cs="Times New Roman"/>
                <w:b/>
                <w:bCs/>
              </w:rPr>
            </w:pPr>
            <w:r w:rsidRPr="00C32679">
              <w:rPr>
                <w:b/>
                <w:bCs/>
              </w:rPr>
              <w:t>Blood samples (2 tubes of 4 mL each [8 mL in total]), were collected in Vacutainers® containing</w:t>
            </w:r>
            <w:r>
              <w:rPr>
                <w:b/>
                <w:bCs/>
              </w:rPr>
              <w:t xml:space="preserve"> K2EDTA and kept frozen at –70</w:t>
            </w:r>
            <w:r w:rsidRPr="00C32679">
              <w:rPr>
                <w:b/>
                <w:bCs/>
              </w:rPr>
              <w:t>°C or lower until</w:t>
            </w:r>
            <w:r>
              <w:rPr>
                <w:b/>
                <w:bCs/>
              </w:rPr>
              <w:t xml:space="preserve"> </w:t>
            </w:r>
            <w:r w:rsidRPr="00C32679">
              <w:rPr>
                <w:b/>
                <w:bCs/>
              </w:rPr>
              <w:t>analysis at PPD, Richmond, VA. The bioanalytical method "Quantitation of 17α</w:t>
            </w:r>
            <w:r>
              <w:rPr>
                <w:b/>
                <w:bCs/>
              </w:rPr>
              <w:t>-e</w:t>
            </w:r>
            <w:r w:rsidRPr="00C32679">
              <w:rPr>
                <w:b/>
                <w:bCs/>
              </w:rPr>
              <w:t xml:space="preserve">thinyl </w:t>
            </w:r>
            <w:r>
              <w:rPr>
                <w:b/>
                <w:bCs/>
              </w:rPr>
              <w:t>e</w:t>
            </w:r>
            <w:r w:rsidRPr="00C32679">
              <w:rPr>
                <w:b/>
                <w:bCs/>
              </w:rPr>
              <w:t>stradiol and</w:t>
            </w:r>
            <w:r>
              <w:rPr>
                <w:b/>
                <w:bCs/>
              </w:rPr>
              <w:t xml:space="preserve"> </w:t>
            </w:r>
            <w:r w:rsidRPr="00C32679">
              <w:rPr>
                <w:b/>
                <w:bCs/>
              </w:rPr>
              <w:t>Norgestrel in Human Plasma via HPLC with MS/MS Detection" was developed and validated by PPD</w:t>
            </w:r>
            <w:r>
              <w:rPr>
                <w:b/>
                <w:bCs/>
              </w:rPr>
              <w:t xml:space="preserve"> </w:t>
            </w:r>
            <w:r w:rsidRPr="00C32679">
              <w:rPr>
                <w:b/>
                <w:bCs/>
              </w:rPr>
              <w:t>Development, Richmond, Virginia, USA.</w:t>
            </w:r>
          </w:p>
        </w:tc>
      </w:tr>
      <w:tr w:rsidR="008E3D84" w:rsidRPr="00DB446E">
        <w:tc>
          <w:tcPr>
            <w:tcW w:w="1706" w:type="dxa"/>
          </w:tcPr>
          <w:p w:rsidR="008E3D84" w:rsidRPr="00DB446E" w:rsidRDefault="008E3D84" w:rsidP="00FF5C69">
            <w:pPr>
              <w:keepNext/>
              <w:keepLines/>
              <w:spacing w:before="480"/>
              <w:rPr>
                <w:b/>
                <w:bCs/>
              </w:rPr>
            </w:pPr>
            <w:r>
              <w:rPr>
                <w:b/>
                <w:bCs/>
              </w:rPr>
              <w:t>Details of LC-MS/MS</w:t>
            </w:r>
            <w:r w:rsidRPr="00DB446E">
              <w:rPr>
                <w:b/>
                <w:bCs/>
              </w:rPr>
              <w:t xml:space="preserve"> </w:t>
            </w:r>
          </w:p>
        </w:tc>
        <w:tc>
          <w:tcPr>
            <w:tcW w:w="9382" w:type="dxa"/>
          </w:tcPr>
          <w:p w:rsidR="008E3D84" w:rsidRDefault="008E3D84" w:rsidP="00C32679">
            <w:pPr>
              <w:keepNext/>
              <w:keepLines/>
              <w:autoSpaceDE w:val="0"/>
              <w:autoSpaceDN w:val="0"/>
              <w:adjustRightInd w:val="0"/>
              <w:spacing w:before="480"/>
              <w:rPr>
                <w:rFonts w:cs="Times New Roman"/>
                <w:b/>
                <w:bCs/>
              </w:rPr>
            </w:pPr>
            <w:r w:rsidRPr="00C32679">
              <w:rPr>
                <w:b/>
                <w:bCs/>
              </w:rPr>
              <w:t>Project samples were analyzed according to PPD Method LCMSC 256 Version 1.04, entitled</w:t>
            </w:r>
            <w:r>
              <w:rPr>
                <w:b/>
                <w:bCs/>
              </w:rPr>
              <w:t xml:space="preserve"> </w:t>
            </w:r>
            <w:r w:rsidRPr="00C32679">
              <w:rPr>
                <w:b/>
                <w:bCs/>
              </w:rPr>
              <w:t>“Quantitation of Ethinyl Estradiol and Norgestrel in Human Plasma via HPLC with MS/MS</w:t>
            </w:r>
            <w:r>
              <w:rPr>
                <w:b/>
                <w:bCs/>
              </w:rPr>
              <w:t xml:space="preserve"> </w:t>
            </w:r>
            <w:r w:rsidRPr="00C32679">
              <w:rPr>
                <w:b/>
                <w:bCs/>
              </w:rPr>
              <w:t>Detection,” which was validated under Project Code “ALL4.”</w:t>
            </w:r>
          </w:p>
          <w:p w:rsidR="008E3D84" w:rsidRPr="00DB446E" w:rsidRDefault="008E3D84" w:rsidP="00D5684E">
            <w:pPr>
              <w:keepNext/>
              <w:keepLines/>
              <w:autoSpaceDE w:val="0"/>
              <w:autoSpaceDN w:val="0"/>
              <w:adjustRightInd w:val="0"/>
              <w:spacing w:before="480"/>
              <w:rPr>
                <w:rFonts w:cs="Times New Roman"/>
                <w:b/>
                <w:bCs/>
              </w:rPr>
            </w:pPr>
            <w:r w:rsidRPr="00C32679">
              <w:rPr>
                <w:b/>
                <w:bCs/>
              </w:rPr>
              <w:t>On subsequent initiat</w:t>
            </w:r>
            <w:r>
              <w:rPr>
                <w:b/>
                <w:bCs/>
              </w:rPr>
              <w:t>ion of method LCMSC 256, a low-</w:t>
            </w:r>
            <w:r w:rsidRPr="00C32679">
              <w:rPr>
                <w:b/>
                <w:bCs/>
              </w:rPr>
              <w:t>level interference or baseline aberration was</w:t>
            </w:r>
            <w:r>
              <w:rPr>
                <w:b/>
                <w:bCs/>
              </w:rPr>
              <w:t xml:space="preserve"> </w:t>
            </w:r>
            <w:r w:rsidRPr="00C32679">
              <w:rPr>
                <w:b/>
                <w:bCs/>
              </w:rPr>
              <w:t>present at the lower level for 17α</w:t>
            </w:r>
            <w:r>
              <w:rPr>
                <w:b/>
                <w:bCs/>
              </w:rPr>
              <w:t xml:space="preserve">-ethinyl </w:t>
            </w:r>
            <w:r w:rsidRPr="00C32679">
              <w:rPr>
                <w:b/>
                <w:bCs/>
              </w:rPr>
              <w:t>estradiol. To resolve the interference, evaluations of</w:t>
            </w:r>
            <w:r>
              <w:rPr>
                <w:b/>
                <w:bCs/>
              </w:rPr>
              <w:t xml:space="preserve"> </w:t>
            </w:r>
            <w:r w:rsidRPr="00C32679">
              <w:rPr>
                <w:b/>
                <w:bCs/>
              </w:rPr>
              <w:t>different percentages of mobile phase A and the associated valve timing settings were performed.</w:t>
            </w:r>
            <w:r>
              <w:rPr>
                <w:b/>
                <w:bCs/>
              </w:rPr>
              <w:t xml:space="preserve"> </w:t>
            </w:r>
            <w:r w:rsidRPr="00C32679">
              <w:rPr>
                <w:b/>
                <w:bCs/>
              </w:rPr>
              <w:t>These evaluations showed that the mobile phase percentages and valve timing settings must be</w:t>
            </w:r>
            <w:r>
              <w:rPr>
                <w:b/>
                <w:bCs/>
              </w:rPr>
              <w:t xml:space="preserve"> </w:t>
            </w:r>
            <w:r w:rsidRPr="00C32679">
              <w:rPr>
                <w:b/>
                <w:bCs/>
              </w:rPr>
              <w:t>optimized according to the section in the method titled “Evaluation of Mobile Phase Percentages:</w:t>
            </w:r>
            <w:r>
              <w:rPr>
                <w:b/>
                <w:bCs/>
              </w:rPr>
              <w:t xml:space="preserve"> </w:t>
            </w:r>
            <w:r w:rsidRPr="00C32679">
              <w:rPr>
                <w:b/>
                <w:bCs/>
              </w:rPr>
              <w:t>Optimization of Absolute Responses and Elution Timing.”. The final conditions resulted in the</w:t>
            </w:r>
            <w:r>
              <w:rPr>
                <w:b/>
                <w:bCs/>
              </w:rPr>
              <w:t xml:space="preserve"> </w:t>
            </w:r>
            <w:r w:rsidRPr="00C32679">
              <w:rPr>
                <w:b/>
                <w:bCs/>
              </w:rPr>
              <w:t>norgestrel retention time change from 3.5 minutes to 3.7 minutes and from 5.75 minutes to 8.3</w:t>
            </w:r>
            <w:r>
              <w:rPr>
                <w:b/>
                <w:bCs/>
              </w:rPr>
              <w:t xml:space="preserve"> </w:t>
            </w:r>
            <w:r w:rsidRPr="00C32679">
              <w:rPr>
                <w:b/>
                <w:bCs/>
              </w:rPr>
              <w:t>minutes for 17α</w:t>
            </w:r>
            <w:r>
              <w:rPr>
                <w:b/>
                <w:bCs/>
              </w:rPr>
              <w:t xml:space="preserve">-ethinyl </w:t>
            </w:r>
            <w:r w:rsidRPr="00C32679">
              <w:rPr>
                <w:b/>
                <w:bCs/>
              </w:rPr>
              <w:t>estradiol. The data included in this partial validation supports these</w:t>
            </w:r>
            <w:r>
              <w:rPr>
                <w:b/>
                <w:bCs/>
              </w:rPr>
              <w:t xml:space="preserve"> </w:t>
            </w:r>
            <w:r w:rsidRPr="00C32679">
              <w:rPr>
                <w:b/>
                <w:bCs/>
              </w:rPr>
              <w:t>method modifications.</w:t>
            </w:r>
          </w:p>
        </w:tc>
      </w:tr>
      <w:tr w:rsidR="008E3D84" w:rsidRPr="00DB446E">
        <w:tc>
          <w:tcPr>
            <w:tcW w:w="1706" w:type="dxa"/>
          </w:tcPr>
          <w:p w:rsidR="008E3D84" w:rsidRPr="00DB446E" w:rsidRDefault="008E3D84" w:rsidP="00FF5C69">
            <w:pPr>
              <w:keepNext/>
              <w:keepLines/>
              <w:spacing w:before="480"/>
              <w:rPr>
                <w:b/>
                <w:bCs/>
              </w:rPr>
            </w:pPr>
            <w:r w:rsidRPr="00DB446E">
              <w:rPr>
                <w:b/>
                <w:bCs/>
              </w:rPr>
              <w:t xml:space="preserve">Brief description of </w:t>
            </w:r>
            <w:r>
              <w:rPr>
                <w:b/>
                <w:bCs/>
              </w:rPr>
              <w:t>instrument characteristics</w:t>
            </w:r>
            <w:r w:rsidRPr="00DB446E">
              <w:rPr>
                <w:b/>
                <w:bCs/>
              </w:rPr>
              <w:t xml:space="preserve"> </w:t>
            </w:r>
          </w:p>
        </w:tc>
        <w:tc>
          <w:tcPr>
            <w:tcW w:w="9382" w:type="dxa"/>
          </w:tcPr>
          <w:p w:rsidR="008E3D84" w:rsidRPr="00DB446E" w:rsidRDefault="008E3D84" w:rsidP="00FF5C69">
            <w:pPr>
              <w:keepNext/>
              <w:keepLines/>
              <w:autoSpaceDE w:val="0"/>
              <w:autoSpaceDN w:val="0"/>
              <w:adjustRightInd w:val="0"/>
              <w:spacing w:before="480"/>
              <w:rPr>
                <w:b/>
                <w:bCs/>
              </w:rPr>
            </w:pPr>
            <w:r w:rsidRPr="00DB446E">
              <w:rPr>
                <w:b/>
                <w:bCs/>
              </w:rPr>
              <w:t xml:space="preserve">The method is applicable to the quantitation of ethinyl estradiol within a nominal range of 2.00 to 500 pg/mL and levonorgestrel within a nominal range of 50.0 to 25000 pg/mL. </w:t>
            </w:r>
          </w:p>
          <w:p w:rsidR="008E3D84" w:rsidRPr="00DB446E" w:rsidRDefault="008E3D84" w:rsidP="00FF5C69">
            <w:pPr>
              <w:keepNext/>
              <w:keepLines/>
              <w:autoSpaceDE w:val="0"/>
              <w:autoSpaceDN w:val="0"/>
              <w:adjustRightInd w:val="0"/>
              <w:spacing w:before="480"/>
              <w:rPr>
                <w:rFonts w:cs="Times New Roman"/>
                <w:b/>
                <w:bCs/>
              </w:rPr>
            </w:pPr>
            <w:r w:rsidRPr="00DB446E">
              <w:rPr>
                <w:b/>
                <w:bCs/>
              </w:rPr>
              <w:t>To assess specificity, human plasma samples, containing potassium oxalate/sodium fluoride, from six individuals were extracted and analyzed for 17α</w:t>
            </w:r>
            <w:r>
              <w:rPr>
                <w:b/>
                <w:bCs/>
              </w:rPr>
              <w:t>-</w:t>
            </w:r>
            <w:r w:rsidRPr="00DB446E">
              <w:rPr>
                <w:b/>
                <w:bCs/>
              </w:rPr>
              <w:t>ethinyl estradiol, norestrel, and their internal standards. There were no significant chromatographic peaks detected at the mass transitions and expected retention times of the analytes or their internal standards which would interfere with quantitation</w:t>
            </w:r>
            <w:r>
              <w:rPr>
                <w:b/>
                <w:bCs/>
              </w:rPr>
              <w:t>.</w:t>
            </w:r>
          </w:p>
          <w:p w:rsidR="008E3D84" w:rsidRPr="00DB446E" w:rsidRDefault="008E3D84" w:rsidP="00FF5C69">
            <w:pPr>
              <w:keepNext/>
              <w:keepLines/>
              <w:spacing w:before="480"/>
              <w:rPr>
                <w:rFonts w:cs="Times New Roman"/>
                <w:b/>
                <w:bCs/>
              </w:rPr>
            </w:pPr>
          </w:p>
        </w:tc>
      </w:tr>
    </w:tbl>
    <w:p w:rsidR="008E3D84" w:rsidRPr="00DB446E" w:rsidRDefault="008E3D84" w:rsidP="007B1DAC">
      <w:pPr>
        <w:rPr>
          <w:rFonts w:cs="Times New Roman"/>
        </w:rPr>
      </w:pPr>
    </w:p>
    <w:tbl>
      <w:tblPr>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06"/>
        <w:gridCol w:w="9382"/>
      </w:tblGrid>
      <w:tr w:rsidR="008E3D84" w:rsidRPr="00DB446E">
        <w:tc>
          <w:tcPr>
            <w:tcW w:w="1706" w:type="dxa"/>
          </w:tcPr>
          <w:p w:rsidR="008E3D84" w:rsidRPr="00DB446E" w:rsidRDefault="008E3D84" w:rsidP="00FF5C69">
            <w:pPr>
              <w:keepNext/>
              <w:keepLines/>
              <w:spacing w:before="480"/>
              <w:rPr>
                <w:rFonts w:cs="Times New Roman"/>
                <w:b/>
                <w:bCs/>
              </w:rPr>
            </w:pPr>
          </w:p>
        </w:tc>
        <w:tc>
          <w:tcPr>
            <w:tcW w:w="9382" w:type="dxa"/>
          </w:tcPr>
          <w:p w:rsidR="008E3D84" w:rsidRPr="00DB446E" w:rsidRDefault="008E3D84" w:rsidP="00FF5C69">
            <w:pPr>
              <w:keepNext/>
              <w:keepLines/>
              <w:spacing w:before="480"/>
              <w:rPr>
                <w:rFonts w:cs="Times New Roman"/>
                <w:b/>
                <w:bCs/>
              </w:rPr>
            </w:pPr>
            <w:r w:rsidRPr="00DE65A8">
              <w:rPr>
                <w:b/>
                <w:bCs/>
                <w:sz w:val="24"/>
                <w:szCs w:val="24"/>
              </w:rPr>
              <w:t>Bupropion</w:t>
            </w:r>
          </w:p>
        </w:tc>
      </w:tr>
      <w:tr w:rsidR="008E3D84" w:rsidRPr="00DB446E">
        <w:tc>
          <w:tcPr>
            <w:tcW w:w="1706" w:type="dxa"/>
          </w:tcPr>
          <w:p w:rsidR="008E3D84" w:rsidRPr="00DB446E" w:rsidRDefault="008E3D84" w:rsidP="00FF5C69">
            <w:pPr>
              <w:keepNext/>
              <w:keepLines/>
              <w:spacing w:before="480"/>
              <w:rPr>
                <w:b/>
                <w:bCs/>
              </w:rPr>
            </w:pPr>
            <w:r w:rsidRPr="00DB446E">
              <w:rPr>
                <w:b/>
                <w:bCs/>
              </w:rPr>
              <w:t>Sample preparation</w:t>
            </w:r>
          </w:p>
        </w:tc>
        <w:tc>
          <w:tcPr>
            <w:tcW w:w="9382" w:type="dxa"/>
          </w:tcPr>
          <w:p w:rsidR="008E3D84" w:rsidRPr="00DB446E" w:rsidRDefault="008E3D84" w:rsidP="00D5684E">
            <w:pPr>
              <w:keepNext/>
              <w:keepLines/>
              <w:autoSpaceDE w:val="0"/>
              <w:autoSpaceDN w:val="0"/>
              <w:adjustRightInd w:val="0"/>
              <w:spacing w:before="480"/>
              <w:rPr>
                <w:rFonts w:cs="Times New Roman"/>
                <w:b/>
                <w:bCs/>
              </w:rPr>
            </w:pPr>
            <w:r w:rsidRPr="00DE65A8">
              <w:rPr>
                <w:b/>
                <w:bCs/>
              </w:rPr>
              <w:t>Blood samples (10 mL) were collected in Vacutainers® containing K2EDTAdipotassium</w:t>
            </w:r>
            <w:r>
              <w:rPr>
                <w:b/>
                <w:bCs/>
              </w:rPr>
              <w:t xml:space="preserve"> </w:t>
            </w:r>
            <w:r w:rsidRPr="00DE65A8">
              <w:rPr>
                <w:b/>
                <w:bCs/>
              </w:rPr>
              <w:t>ethylenediaminetetraacetic acid on Day 1 and kept frozen at –70°C or lower until analysis at PPD,</w:t>
            </w:r>
            <w:r>
              <w:rPr>
                <w:b/>
                <w:bCs/>
              </w:rPr>
              <w:t xml:space="preserve"> </w:t>
            </w:r>
            <w:r w:rsidRPr="00DE65A8">
              <w:rPr>
                <w:b/>
                <w:bCs/>
              </w:rPr>
              <w:t>Richmond, VA.</w:t>
            </w:r>
          </w:p>
        </w:tc>
      </w:tr>
      <w:tr w:rsidR="008E3D84" w:rsidRPr="00DB446E">
        <w:tc>
          <w:tcPr>
            <w:tcW w:w="1706" w:type="dxa"/>
          </w:tcPr>
          <w:p w:rsidR="008E3D84" w:rsidRPr="00DB446E" w:rsidRDefault="008E3D84" w:rsidP="00FF5C69">
            <w:pPr>
              <w:keepNext/>
              <w:keepLines/>
              <w:spacing w:before="480"/>
              <w:rPr>
                <w:b/>
                <w:bCs/>
              </w:rPr>
            </w:pPr>
            <w:r w:rsidRPr="00DB446E">
              <w:rPr>
                <w:b/>
                <w:bCs/>
              </w:rPr>
              <w:t xml:space="preserve">Details of LC-MS/MS </w:t>
            </w:r>
          </w:p>
        </w:tc>
        <w:tc>
          <w:tcPr>
            <w:tcW w:w="9382" w:type="dxa"/>
          </w:tcPr>
          <w:p w:rsidR="008E3D84" w:rsidRPr="00DB446E" w:rsidRDefault="008E3D84" w:rsidP="00DE65A8">
            <w:pPr>
              <w:keepNext/>
              <w:keepLines/>
              <w:autoSpaceDE w:val="0"/>
              <w:autoSpaceDN w:val="0"/>
              <w:adjustRightInd w:val="0"/>
              <w:spacing w:before="480"/>
              <w:rPr>
                <w:rFonts w:cs="Times New Roman"/>
                <w:b/>
                <w:bCs/>
              </w:rPr>
            </w:pPr>
            <w:r w:rsidRPr="00DE65A8">
              <w:rPr>
                <w:b/>
                <w:bCs/>
              </w:rPr>
              <w:t>Project samples were analyzed according to PPD Method P986.00, entitled “Quantitation of</w:t>
            </w:r>
            <w:r>
              <w:rPr>
                <w:b/>
                <w:bCs/>
              </w:rPr>
              <w:t xml:space="preserve"> </w:t>
            </w:r>
            <w:r w:rsidRPr="00DE65A8">
              <w:rPr>
                <w:b/>
                <w:bCs/>
              </w:rPr>
              <w:t>Bupropion, Hydroxybupropion, Erythrohydrobupropion, and Threohydrobupropion in Human</w:t>
            </w:r>
            <w:r>
              <w:rPr>
                <w:b/>
                <w:bCs/>
              </w:rPr>
              <w:t xml:space="preserve"> </w:t>
            </w:r>
            <w:r w:rsidRPr="00DE65A8">
              <w:rPr>
                <w:b/>
                <w:bCs/>
              </w:rPr>
              <w:t>Plasma via HPLC with MS/MS Detection,” which was validated under Project Code “AFFN2.”</w:t>
            </w:r>
          </w:p>
        </w:tc>
      </w:tr>
      <w:tr w:rsidR="008E3D84" w:rsidRPr="00DB446E">
        <w:tc>
          <w:tcPr>
            <w:tcW w:w="1706" w:type="dxa"/>
          </w:tcPr>
          <w:p w:rsidR="008E3D84" w:rsidRPr="00DB446E" w:rsidRDefault="008E3D84" w:rsidP="00DE65A8">
            <w:pPr>
              <w:keepNext/>
              <w:keepLines/>
              <w:spacing w:before="480"/>
              <w:rPr>
                <w:b/>
                <w:bCs/>
              </w:rPr>
            </w:pPr>
            <w:r w:rsidRPr="00DB446E">
              <w:rPr>
                <w:b/>
                <w:bCs/>
              </w:rPr>
              <w:t xml:space="preserve">Brief description of instrument characteristics </w:t>
            </w:r>
          </w:p>
        </w:tc>
        <w:tc>
          <w:tcPr>
            <w:tcW w:w="9382" w:type="dxa"/>
          </w:tcPr>
          <w:p w:rsidR="008E3D84" w:rsidRDefault="008E3D84" w:rsidP="00DE65A8">
            <w:pPr>
              <w:keepNext/>
              <w:keepLines/>
              <w:spacing w:before="480"/>
              <w:rPr>
                <w:rFonts w:cs="Times New Roman"/>
                <w:b/>
                <w:bCs/>
              </w:rPr>
            </w:pPr>
            <w:r w:rsidRPr="00DE65A8">
              <w:rPr>
                <w:b/>
                <w:bCs/>
              </w:rPr>
              <w:t>The analytical method is applicable to the quantitation of bupropion, erythrohydrobupropion, and</w:t>
            </w:r>
            <w:r>
              <w:rPr>
                <w:b/>
                <w:bCs/>
              </w:rPr>
              <w:t xml:space="preserve"> </w:t>
            </w:r>
            <w:r w:rsidRPr="00DE65A8">
              <w:rPr>
                <w:b/>
                <w:bCs/>
              </w:rPr>
              <w:t>threohydrobupropion w</w:t>
            </w:r>
            <w:r>
              <w:rPr>
                <w:b/>
                <w:bCs/>
              </w:rPr>
              <w:t xml:space="preserve">ithin a nominal range of 0.500 </w:t>
            </w:r>
            <w:r w:rsidRPr="00DE65A8">
              <w:rPr>
                <w:b/>
                <w:bCs/>
              </w:rPr>
              <w:t>to 200 ng/mL, and hydroxybupropion within</w:t>
            </w:r>
            <w:r>
              <w:rPr>
                <w:b/>
                <w:bCs/>
              </w:rPr>
              <w:t xml:space="preserve"> </w:t>
            </w:r>
            <w:r w:rsidRPr="00DE65A8">
              <w:rPr>
                <w:b/>
                <w:bCs/>
              </w:rPr>
              <w:t>a nominal range of 1.00 to 400 ng/mL.</w:t>
            </w:r>
          </w:p>
          <w:p w:rsidR="008E3D84" w:rsidRDefault="008E3D84" w:rsidP="00DE65A8">
            <w:pPr>
              <w:keepNext/>
              <w:keepLines/>
              <w:spacing w:before="480"/>
            </w:pPr>
            <w:r w:rsidRPr="00DE65A8">
              <w:rPr>
                <w:b/>
                <w:bCs/>
              </w:rPr>
              <w:t>An analyte interference check was performed as part of this study to determine if samples fortified</w:t>
            </w:r>
            <w:r>
              <w:rPr>
                <w:b/>
                <w:bCs/>
              </w:rPr>
              <w:t xml:space="preserve"> </w:t>
            </w:r>
            <w:r w:rsidRPr="00DE65A8">
              <w:rPr>
                <w:b/>
                <w:bCs/>
              </w:rPr>
              <w:t>with Lu AA21004 (Takeda Lot 2117272), Lu AA34443 (Takeda Lot 60003</w:t>
            </w:r>
            <w:r>
              <w:rPr>
                <w:b/>
                <w:bCs/>
              </w:rPr>
              <w:t>-</w:t>
            </w:r>
            <w:r w:rsidRPr="00DE65A8">
              <w:rPr>
                <w:b/>
                <w:bCs/>
              </w:rPr>
              <w:t>42), and Lu AA39835</w:t>
            </w:r>
            <w:r>
              <w:rPr>
                <w:b/>
                <w:bCs/>
              </w:rPr>
              <w:t xml:space="preserve"> </w:t>
            </w:r>
            <w:r w:rsidRPr="00DE65A8">
              <w:rPr>
                <w:b/>
                <w:bCs/>
              </w:rPr>
              <w:t>(Takeda Lot 830/1798) interfered with the quantitation of bupropion, hydroxybupropion,</w:t>
            </w:r>
            <w:r>
              <w:rPr>
                <w:b/>
                <w:bCs/>
              </w:rPr>
              <w:t xml:space="preserve"> </w:t>
            </w:r>
            <w:r w:rsidRPr="00DE65A8">
              <w:rPr>
                <w:b/>
                <w:bCs/>
              </w:rPr>
              <w:t>erythrohydrobupropion, and threohydrobupropion in human plasma. Human plasma blanks with</w:t>
            </w:r>
            <w:r>
              <w:rPr>
                <w:b/>
                <w:bCs/>
              </w:rPr>
              <w:t xml:space="preserve"> </w:t>
            </w:r>
            <w:r w:rsidRPr="00DE65A8">
              <w:rPr>
                <w:b/>
                <w:bCs/>
              </w:rPr>
              <w:t>and without internal standard and low</w:t>
            </w:r>
            <w:r>
              <w:rPr>
                <w:b/>
                <w:bCs/>
              </w:rPr>
              <w:t>-</w:t>
            </w:r>
            <w:r w:rsidRPr="00DE65A8">
              <w:rPr>
                <w:b/>
                <w:bCs/>
              </w:rPr>
              <w:t xml:space="preserve"> and high</w:t>
            </w:r>
            <w:r>
              <w:rPr>
                <w:b/>
                <w:bCs/>
              </w:rPr>
              <w:t>-</w:t>
            </w:r>
            <w:r w:rsidRPr="00DE65A8">
              <w:rPr>
                <w:b/>
                <w:bCs/>
              </w:rPr>
              <w:t>level quality control (QC) samples were fortified</w:t>
            </w:r>
            <w:r>
              <w:rPr>
                <w:b/>
                <w:bCs/>
              </w:rPr>
              <w:t xml:space="preserve"> </w:t>
            </w:r>
            <w:r w:rsidRPr="00DE65A8">
              <w:rPr>
                <w:b/>
                <w:bCs/>
              </w:rPr>
              <w:t>with Lu AA21004, Lu AA34443, and Lu AA39835 and analyzed following method P986.00. Results</w:t>
            </w:r>
            <w:r>
              <w:rPr>
                <w:b/>
                <w:bCs/>
              </w:rPr>
              <w:t xml:space="preserve"> </w:t>
            </w:r>
            <w:r w:rsidRPr="00DE65A8">
              <w:rPr>
                <w:b/>
                <w:bCs/>
              </w:rPr>
              <w:t>indicate there is no effect on the quantitation of bupropion, hydroxybupropion,</w:t>
            </w:r>
            <w:r>
              <w:rPr>
                <w:b/>
                <w:bCs/>
              </w:rPr>
              <w:t xml:space="preserve"> </w:t>
            </w:r>
            <w:r w:rsidRPr="00DE65A8">
              <w:rPr>
                <w:b/>
                <w:bCs/>
              </w:rPr>
              <w:t>erythrohydrobupropion, and threohydrobupropion in human plasma fortified to a concentration of</w:t>
            </w:r>
            <w:r>
              <w:rPr>
                <w:b/>
                <w:bCs/>
              </w:rPr>
              <w:t xml:space="preserve"> </w:t>
            </w:r>
            <w:r w:rsidRPr="00DE65A8">
              <w:rPr>
                <w:b/>
                <w:bCs/>
              </w:rPr>
              <w:t>approximately 200 ng/mL, with Lu AA21004, Lu AA34443, and Lu AA39835.</w:t>
            </w:r>
            <w:r>
              <w:t xml:space="preserve"> </w:t>
            </w:r>
          </w:p>
          <w:p w:rsidR="008E3D84" w:rsidRPr="00DB446E" w:rsidRDefault="008E3D84" w:rsidP="00DE65A8">
            <w:pPr>
              <w:keepNext/>
              <w:keepLines/>
              <w:spacing w:before="480"/>
              <w:rPr>
                <w:rFonts w:cs="Times New Roman"/>
                <w:b/>
                <w:bCs/>
              </w:rPr>
            </w:pPr>
            <w:r w:rsidRPr="00DE65A8">
              <w:rPr>
                <w:b/>
                <w:bCs/>
              </w:rPr>
              <w:t>To demonstrate reproducible quantitation of incurred subject samples, at least 10% of the study</w:t>
            </w:r>
            <w:r>
              <w:rPr>
                <w:b/>
                <w:bCs/>
              </w:rPr>
              <w:t xml:space="preserve"> </w:t>
            </w:r>
            <w:r w:rsidRPr="00DE65A8">
              <w:rPr>
                <w:b/>
                <w:bCs/>
              </w:rPr>
              <w:t>samples were reassayed. The incurred sample reproducibility (ISR) values were used for comparison</w:t>
            </w:r>
            <w:r>
              <w:rPr>
                <w:b/>
                <w:bCs/>
              </w:rPr>
              <w:t xml:space="preserve"> </w:t>
            </w:r>
            <w:r w:rsidRPr="00DE65A8">
              <w:rPr>
                <w:b/>
                <w:bCs/>
              </w:rPr>
              <w:t>purposes and are included in the analytical report but not used in determining the final reported</w:t>
            </w:r>
            <w:r>
              <w:rPr>
                <w:b/>
                <w:bCs/>
              </w:rPr>
              <w:t xml:space="preserve"> </w:t>
            </w:r>
            <w:r w:rsidRPr="00DE65A8">
              <w:rPr>
                <w:b/>
                <w:bCs/>
              </w:rPr>
              <w:t>value. Incurred sample repeats were considered acceptable if the original and reassay values from</w:t>
            </w:r>
            <w:r>
              <w:rPr>
                <w:b/>
                <w:bCs/>
              </w:rPr>
              <w:t xml:space="preserve"> </w:t>
            </w:r>
            <w:r w:rsidRPr="00DE65A8">
              <w:rPr>
                <w:b/>
                <w:bCs/>
              </w:rPr>
              <w:t>two‐thirds of the repeated samples had a relative percent difference of ≤ 20%. The results of the</w:t>
            </w:r>
            <w:r>
              <w:rPr>
                <w:b/>
                <w:bCs/>
              </w:rPr>
              <w:t xml:space="preserve"> </w:t>
            </w:r>
            <w:r w:rsidRPr="00DE65A8">
              <w:rPr>
                <w:b/>
                <w:bCs/>
              </w:rPr>
              <w:t>incurred sample repeats met the acceptance criteria.</w:t>
            </w:r>
          </w:p>
        </w:tc>
      </w:tr>
      <w:tr w:rsidR="008E3D84" w:rsidRPr="00DB446E">
        <w:tc>
          <w:tcPr>
            <w:tcW w:w="1706" w:type="dxa"/>
          </w:tcPr>
          <w:p w:rsidR="008E3D84" w:rsidRPr="00DB446E" w:rsidRDefault="008E3D84" w:rsidP="00FF5C69">
            <w:pPr>
              <w:keepNext/>
              <w:keepLines/>
              <w:spacing w:before="480"/>
              <w:rPr>
                <w:rFonts w:cs="Times New Roman"/>
                <w:b/>
                <w:bCs/>
              </w:rPr>
            </w:pPr>
            <w:r w:rsidRPr="00DB446E">
              <w:rPr>
                <w:rFonts w:cs="Times New Roman"/>
              </w:rPr>
              <w:br w:type="page"/>
            </w:r>
          </w:p>
        </w:tc>
        <w:tc>
          <w:tcPr>
            <w:tcW w:w="9382" w:type="dxa"/>
          </w:tcPr>
          <w:p w:rsidR="008E3D84" w:rsidRPr="00DB446E" w:rsidRDefault="008E3D84" w:rsidP="00FF5C69">
            <w:pPr>
              <w:keepNext/>
              <w:keepLines/>
              <w:spacing w:before="480"/>
              <w:rPr>
                <w:rFonts w:cs="Times New Roman"/>
                <w:b/>
                <w:bCs/>
              </w:rPr>
            </w:pPr>
            <w:r w:rsidRPr="00DE65A8">
              <w:rPr>
                <w:b/>
                <w:bCs/>
                <w:sz w:val="24"/>
                <w:szCs w:val="24"/>
              </w:rPr>
              <w:t>Omeprazole</w:t>
            </w:r>
          </w:p>
        </w:tc>
      </w:tr>
      <w:tr w:rsidR="008E3D84" w:rsidRPr="00DB446E">
        <w:tc>
          <w:tcPr>
            <w:tcW w:w="1706" w:type="dxa"/>
          </w:tcPr>
          <w:p w:rsidR="008E3D84" w:rsidRPr="00DB446E" w:rsidRDefault="008E3D84" w:rsidP="00FF5C69">
            <w:pPr>
              <w:keepNext/>
              <w:keepLines/>
              <w:spacing w:before="480"/>
              <w:rPr>
                <w:b/>
                <w:bCs/>
              </w:rPr>
            </w:pPr>
            <w:r w:rsidRPr="00DB446E">
              <w:rPr>
                <w:b/>
                <w:bCs/>
              </w:rPr>
              <w:t>Sample preparation</w:t>
            </w:r>
          </w:p>
        </w:tc>
        <w:tc>
          <w:tcPr>
            <w:tcW w:w="9382" w:type="dxa"/>
          </w:tcPr>
          <w:p w:rsidR="008E3D84" w:rsidRPr="00DB446E" w:rsidRDefault="008E3D84" w:rsidP="006F51BA">
            <w:pPr>
              <w:keepNext/>
              <w:keepLines/>
              <w:autoSpaceDE w:val="0"/>
              <w:autoSpaceDN w:val="0"/>
              <w:adjustRightInd w:val="0"/>
              <w:spacing w:before="480"/>
              <w:rPr>
                <w:rFonts w:cs="Times New Roman"/>
                <w:b/>
                <w:bCs/>
              </w:rPr>
            </w:pPr>
            <w:r w:rsidRPr="00DE65A8">
              <w:rPr>
                <w:b/>
                <w:bCs/>
              </w:rPr>
              <w:t>Plasma samples were frozen</w:t>
            </w:r>
            <w:r>
              <w:rPr>
                <w:b/>
                <w:bCs/>
              </w:rPr>
              <w:t xml:space="preserve"> at approximately –70</w:t>
            </w:r>
            <w:r w:rsidRPr="00DE65A8">
              <w:rPr>
                <w:b/>
                <w:bCs/>
              </w:rPr>
              <w:t>°C and were kept frozen during transport.</w:t>
            </w:r>
            <w:r>
              <w:rPr>
                <w:b/>
                <w:bCs/>
              </w:rPr>
              <w:t xml:space="preserve"> </w:t>
            </w:r>
            <w:r w:rsidRPr="00DE65A8">
              <w:rPr>
                <w:b/>
                <w:bCs/>
              </w:rPr>
              <w:t>Pharmacokinetic analysis was performed at Aptuit (Edinburgh) Ltd, Edinburgh, UK.</w:t>
            </w:r>
          </w:p>
        </w:tc>
      </w:tr>
      <w:tr w:rsidR="008E3D84" w:rsidRPr="00DB446E">
        <w:tc>
          <w:tcPr>
            <w:tcW w:w="1706" w:type="dxa"/>
          </w:tcPr>
          <w:p w:rsidR="008E3D84" w:rsidRPr="00DB446E" w:rsidRDefault="008E3D84" w:rsidP="00FF5C69">
            <w:pPr>
              <w:keepNext/>
              <w:keepLines/>
              <w:spacing w:before="480"/>
              <w:rPr>
                <w:b/>
                <w:bCs/>
              </w:rPr>
            </w:pPr>
            <w:r w:rsidRPr="00DB446E">
              <w:rPr>
                <w:b/>
                <w:bCs/>
              </w:rPr>
              <w:t>Details of LC-MS/MS</w:t>
            </w:r>
          </w:p>
        </w:tc>
        <w:tc>
          <w:tcPr>
            <w:tcW w:w="9382" w:type="dxa"/>
          </w:tcPr>
          <w:p w:rsidR="008E3D84" w:rsidRPr="00DB446E" w:rsidRDefault="008E3D84" w:rsidP="00D5684E">
            <w:pPr>
              <w:keepNext/>
              <w:keepLines/>
              <w:autoSpaceDE w:val="0"/>
              <w:autoSpaceDN w:val="0"/>
              <w:adjustRightInd w:val="0"/>
              <w:spacing w:before="480"/>
              <w:rPr>
                <w:rFonts w:cs="Times New Roman"/>
                <w:b/>
                <w:bCs/>
              </w:rPr>
            </w:pPr>
            <w:r w:rsidRPr="00DE65A8">
              <w:rPr>
                <w:b/>
                <w:bCs/>
              </w:rPr>
              <w:t>Omeprazole and 5</w:t>
            </w:r>
            <w:r>
              <w:rPr>
                <w:b/>
                <w:bCs/>
              </w:rPr>
              <w:t>-</w:t>
            </w:r>
            <w:r w:rsidRPr="00DE65A8">
              <w:rPr>
                <w:b/>
                <w:bCs/>
              </w:rPr>
              <w:t>hydroxy omeprazole were extracted from plasma using protein precipitation</w:t>
            </w:r>
            <w:r>
              <w:rPr>
                <w:b/>
                <w:bCs/>
              </w:rPr>
              <w:t xml:space="preserve"> </w:t>
            </w:r>
            <w:r w:rsidRPr="00DE65A8">
              <w:rPr>
                <w:b/>
                <w:bCs/>
              </w:rPr>
              <w:t>extraction followed by HPLC and quantified by a tandem mass spectrometry detector operated in</w:t>
            </w:r>
            <w:r>
              <w:rPr>
                <w:b/>
                <w:bCs/>
              </w:rPr>
              <w:t xml:space="preserve"> </w:t>
            </w:r>
            <w:r w:rsidRPr="00DE65A8">
              <w:rPr>
                <w:b/>
                <w:bCs/>
              </w:rPr>
              <w:t>positive electrospray mode. Omeprazole‐d3 and 5</w:t>
            </w:r>
            <w:r>
              <w:rPr>
                <w:b/>
                <w:bCs/>
              </w:rPr>
              <w:t>-</w:t>
            </w:r>
            <w:r w:rsidRPr="00DE65A8">
              <w:rPr>
                <w:b/>
                <w:bCs/>
              </w:rPr>
              <w:t>hydroxy omeprazole</w:t>
            </w:r>
            <w:r>
              <w:rPr>
                <w:b/>
                <w:bCs/>
              </w:rPr>
              <w:t>-</w:t>
            </w:r>
            <w:r w:rsidRPr="00DE65A8">
              <w:rPr>
                <w:b/>
                <w:bCs/>
              </w:rPr>
              <w:t>d3 were used for</w:t>
            </w:r>
            <w:r>
              <w:rPr>
                <w:b/>
                <w:bCs/>
              </w:rPr>
              <w:t xml:space="preserve"> </w:t>
            </w:r>
            <w:r w:rsidRPr="00DE65A8">
              <w:rPr>
                <w:b/>
                <w:bCs/>
              </w:rPr>
              <w:t>quantification of the two analytes.</w:t>
            </w:r>
          </w:p>
        </w:tc>
      </w:tr>
      <w:tr w:rsidR="008E3D84" w:rsidRPr="00DB446E">
        <w:tc>
          <w:tcPr>
            <w:tcW w:w="1706" w:type="dxa"/>
          </w:tcPr>
          <w:p w:rsidR="008E3D84" w:rsidRPr="00DB446E" w:rsidRDefault="008E3D84" w:rsidP="00DE65A8">
            <w:pPr>
              <w:keepNext/>
              <w:keepLines/>
              <w:spacing w:before="480"/>
              <w:rPr>
                <w:b/>
                <w:bCs/>
              </w:rPr>
            </w:pPr>
            <w:r w:rsidRPr="00DB446E">
              <w:rPr>
                <w:b/>
                <w:bCs/>
              </w:rPr>
              <w:t xml:space="preserve">Brief description of instrument characteristics </w:t>
            </w:r>
          </w:p>
        </w:tc>
        <w:tc>
          <w:tcPr>
            <w:tcW w:w="9382" w:type="dxa"/>
          </w:tcPr>
          <w:p w:rsidR="008E3D84" w:rsidRDefault="008E3D84" w:rsidP="00DE65A8">
            <w:pPr>
              <w:keepNext/>
              <w:keepLines/>
              <w:autoSpaceDE w:val="0"/>
              <w:autoSpaceDN w:val="0"/>
              <w:adjustRightInd w:val="0"/>
              <w:spacing w:before="480"/>
              <w:rPr>
                <w:rFonts w:cs="Times New Roman"/>
                <w:b/>
                <w:bCs/>
              </w:rPr>
            </w:pPr>
            <w:r w:rsidRPr="00DE65A8">
              <w:rPr>
                <w:b/>
                <w:bCs/>
              </w:rPr>
              <w:t>The method was validated with human EDTA plasma within the measuring ranges of 5 to 600</w:t>
            </w:r>
            <w:r>
              <w:rPr>
                <w:b/>
                <w:bCs/>
              </w:rPr>
              <w:t xml:space="preserve"> </w:t>
            </w:r>
            <w:r w:rsidRPr="00DE65A8">
              <w:rPr>
                <w:b/>
                <w:bCs/>
              </w:rPr>
              <w:t>ng/mL for both omeprazole and 5‐hydroxy omeprazole, at a sample size of 100 μL.</w:t>
            </w:r>
          </w:p>
          <w:p w:rsidR="008E3D84" w:rsidRDefault="008E3D84" w:rsidP="00DE65A8">
            <w:pPr>
              <w:keepNext/>
              <w:keepLines/>
              <w:autoSpaceDE w:val="0"/>
              <w:autoSpaceDN w:val="0"/>
              <w:adjustRightInd w:val="0"/>
              <w:spacing w:before="480"/>
              <w:rPr>
                <w:rFonts w:cs="Times New Roman"/>
                <w:b/>
                <w:bCs/>
              </w:rPr>
            </w:pPr>
            <w:r w:rsidRPr="00DE65A8">
              <w:rPr>
                <w:b/>
                <w:bCs/>
              </w:rPr>
              <w:t>For all calibration and quality control (QC) samples, accuracy and precision are calculated as follows:</w:t>
            </w:r>
          </w:p>
          <w:p w:rsidR="008E3D84" w:rsidRPr="00DE65A8" w:rsidRDefault="008E3D84" w:rsidP="00DE65A8">
            <w:pPr>
              <w:keepNext/>
              <w:keepLines/>
              <w:autoSpaceDE w:val="0"/>
              <w:autoSpaceDN w:val="0"/>
              <w:adjustRightInd w:val="0"/>
              <w:spacing w:before="480"/>
              <w:rPr>
                <w:b/>
                <w:bCs/>
              </w:rPr>
            </w:pPr>
            <w:r w:rsidRPr="00DE65A8">
              <w:rPr>
                <w:b/>
                <w:bCs/>
              </w:rPr>
              <w:t>Accuracy is expressed as:</w:t>
            </w:r>
          </w:p>
          <w:p w:rsidR="008E3D84" w:rsidRPr="00C32679" w:rsidRDefault="008E3D84" w:rsidP="00FD5CB5">
            <w:pPr>
              <w:keepNext/>
              <w:keepLines/>
              <w:spacing w:before="480"/>
              <w:rPr>
                <w:b/>
                <w:bCs/>
              </w:rPr>
            </w:pPr>
            <w:r w:rsidRPr="00C32679">
              <w:rPr>
                <w:b/>
                <w:bCs/>
              </w:rPr>
              <w:t>%Accuracy = (Mean concentration determined ÷ concentration expected ) x 100</w:t>
            </w:r>
          </w:p>
          <w:p w:rsidR="008E3D84" w:rsidRPr="00C32679" w:rsidRDefault="008E3D84" w:rsidP="00FD5CB5">
            <w:pPr>
              <w:keepNext/>
              <w:keepLines/>
              <w:spacing w:before="480"/>
              <w:rPr>
                <w:b/>
                <w:bCs/>
              </w:rPr>
            </w:pPr>
            <w:r w:rsidRPr="00C32679">
              <w:rPr>
                <w:b/>
                <w:bCs/>
              </w:rPr>
              <w:t>Precisions, given as the coefficient of variation (CV) was expressed as:</w:t>
            </w:r>
          </w:p>
          <w:p w:rsidR="008E3D84" w:rsidRPr="00C32679" w:rsidRDefault="008E3D84" w:rsidP="00FD5CB5">
            <w:pPr>
              <w:keepNext/>
              <w:keepLines/>
              <w:spacing w:before="480"/>
              <w:rPr>
                <w:b/>
                <w:bCs/>
              </w:rPr>
            </w:pPr>
            <w:r w:rsidRPr="00C32679">
              <w:rPr>
                <w:b/>
                <w:bCs/>
              </w:rPr>
              <w:t>%CV = (standard deviation of concentration determined ÷ mean concentration determined)</w:t>
            </w:r>
            <w:r>
              <w:rPr>
                <w:b/>
                <w:bCs/>
              </w:rPr>
              <w:t xml:space="preserve"> </w:t>
            </w:r>
            <w:r w:rsidRPr="00C32679">
              <w:rPr>
                <w:b/>
                <w:bCs/>
              </w:rPr>
              <w:t>x 100</w:t>
            </w:r>
          </w:p>
          <w:p w:rsidR="008E3D84" w:rsidRPr="00DB446E" w:rsidRDefault="008E3D84" w:rsidP="00B45D85">
            <w:pPr>
              <w:keepNext/>
              <w:keepLines/>
              <w:autoSpaceDE w:val="0"/>
              <w:autoSpaceDN w:val="0"/>
              <w:adjustRightInd w:val="0"/>
              <w:spacing w:before="480"/>
              <w:rPr>
                <w:rFonts w:cs="Times New Roman"/>
                <w:b/>
                <w:bCs/>
              </w:rPr>
            </w:pPr>
            <w:r w:rsidRPr="00DE65A8">
              <w:rPr>
                <w:b/>
                <w:bCs/>
              </w:rPr>
              <w:t>For the calibration line to be acceptable, a minimum of six calibration standard concentrations are</w:t>
            </w:r>
            <w:r>
              <w:rPr>
                <w:b/>
                <w:bCs/>
              </w:rPr>
              <w:t xml:space="preserve"> </w:t>
            </w:r>
            <w:r w:rsidRPr="00DE65A8">
              <w:rPr>
                <w:b/>
                <w:bCs/>
              </w:rPr>
              <w:t>required to be included. No more than two calibration standards from each replicate may be</w:t>
            </w:r>
            <w:r>
              <w:rPr>
                <w:b/>
                <w:bCs/>
              </w:rPr>
              <w:t xml:space="preserve"> </w:t>
            </w:r>
            <w:r w:rsidRPr="00DE65A8">
              <w:rPr>
                <w:b/>
                <w:bCs/>
              </w:rPr>
              <w:t>rejected and all mean back</w:t>
            </w:r>
            <w:r>
              <w:rPr>
                <w:b/>
                <w:bCs/>
              </w:rPr>
              <w:t>-</w:t>
            </w:r>
            <w:r w:rsidRPr="00DE65A8">
              <w:rPr>
                <w:b/>
                <w:bCs/>
              </w:rPr>
              <w:t>calculated concentrations are required to be ± 15 % of the expected</w:t>
            </w:r>
            <w:r>
              <w:rPr>
                <w:b/>
                <w:bCs/>
              </w:rPr>
              <w:t xml:space="preserve"> </w:t>
            </w:r>
            <w:r w:rsidRPr="00DE65A8">
              <w:rPr>
                <w:b/>
                <w:bCs/>
              </w:rPr>
              <w:t>value, except for the lower limit of quantification (LL</w:t>
            </w:r>
            <w:r>
              <w:rPr>
                <w:b/>
                <w:bCs/>
              </w:rPr>
              <w:t>O</w:t>
            </w:r>
            <w:r w:rsidRPr="00DE65A8">
              <w:rPr>
                <w:b/>
                <w:bCs/>
              </w:rPr>
              <w:t>Q) where it is required to be ± 20 %. The</w:t>
            </w:r>
            <w:r>
              <w:rPr>
                <w:b/>
                <w:bCs/>
              </w:rPr>
              <w:t xml:space="preserve"> </w:t>
            </w:r>
            <w:r w:rsidRPr="00DE65A8">
              <w:rPr>
                <w:b/>
                <w:bCs/>
              </w:rPr>
              <w:t>correlation coefficient (r) is required to be greater than or equal to ≥0.990. Calibration standards are</w:t>
            </w:r>
            <w:r>
              <w:rPr>
                <w:b/>
                <w:bCs/>
              </w:rPr>
              <w:t xml:space="preserve"> </w:t>
            </w:r>
            <w:r w:rsidRPr="00DE65A8">
              <w:rPr>
                <w:b/>
                <w:bCs/>
              </w:rPr>
              <w:t>dropped if this criterion is not achieved. The overall accuracy and precision of the method are</w:t>
            </w:r>
            <w:r>
              <w:rPr>
                <w:b/>
                <w:bCs/>
              </w:rPr>
              <w:t xml:space="preserve"> </w:t>
            </w:r>
            <w:r w:rsidRPr="00DE65A8">
              <w:rPr>
                <w:b/>
                <w:bCs/>
              </w:rPr>
              <w:t>required to be within ± 15 % from the true value at all levels, with the exception of the LL</w:t>
            </w:r>
            <w:r>
              <w:rPr>
                <w:b/>
                <w:bCs/>
              </w:rPr>
              <w:t>O</w:t>
            </w:r>
            <w:r w:rsidRPr="00DE65A8">
              <w:rPr>
                <w:b/>
                <w:bCs/>
              </w:rPr>
              <w:t>Q where</w:t>
            </w:r>
            <w:r>
              <w:rPr>
                <w:b/>
                <w:bCs/>
              </w:rPr>
              <w:t xml:space="preserve"> </w:t>
            </w:r>
            <w:r w:rsidRPr="00DE65A8">
              <w:rPr>
                <w:b/>
                <w:bCs/>
              </w:rPr>
              <w:t>it is required to be within ± 20 %.</w:t>
            </w:r>
          </w:p>
        </w:tc>
      </w:tr>
    </w:tbl>
    <w:p w:rsidR="008E3D84" w:rsidRPr="00DB446E" w:rsidRDefault="008E3D84" w:rsidP="007B1DAC">
      <w:pPr>
        <w:rPr>
          <w:rFonts w:cs="Times New Roman"/>
          <w:b/>
          <w:bCs/>
        </w:rPr>
      </w:pPr>
    </w:p>
    <w:tbl>
      <w:tblPr>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06"/>
        <w:gridCol w:w="9382"/>
      </w:tblGrid>
      <w:tr w:rsidR="008E3D84" w:rsidRPr="00DB446E">
        <w:tc>
          <w:tcPr>
            <w:tcW w:w="1706" w:type="dxa"/>
          </w:tcPr>
          <w:p w:rsidR="008E3D84" w:rsidRPr="00DB446E" w:rsidRDefault="008E3D84" w:rsidP="00FF5C69">
            <w:pPr>
              <w:keepNext/>
              <w:keepLines/>
              <w:spacing w:before="480"/>
              <w:rPr>
                <w:rFonts w:cs="Times New Roman"/>
                <w:b/>
                <w:bCs/>
              </w:rPr>
            </w:pPr>
            <w:r w:rsidRPr="00DB446E">
              <w:rPr>
                <w:rFonts w:cs="Times New Roman"/>
              </w:rPr>
              <w:br w:type="page"/>
            </w:r>
          </w:p>
        </w:tc>
        <w:tc>
          <w:tcPr>
            <w:tcW w:w="9382" w:type="dxa"/>
          </w:tcPr>
          <w:p w:rsidR="008E3D84" w:rsidRPr="00DB446E" w:rsidRDefault="008E3D84" w:rsidP="00FF5C69">
            <w:pPr>
              <w:keepNext/>
              <w:keepLines/>
              <w:spacing w:before="480"/>
              <w:rPr>
                <w:rFonts w:cs="Times New Roman"/>
                <w:b/>
                <w:bCs/>
              </w:rPr>
            </w:pPr>
            <w:r w:rsidRPr="00DE65A8">
              <w:rPr>
                <w:b/>
                <w:bCs/>
                <w:sz w:val="24"/>
                <w:szCs w:val="24"/>
              </w:rPr>
              <w:t>Fluconazole</w:t>
            </w:r>
          </w:p>
        </w:tc>
      </w:tr>
      <w:tr w:rsidR="008E3D84" w:rsidRPr="00DB446E">
        <w:tc>
          <w:tcPr>
            <w:tcW w:w="1706" w:type="dxa"/>
          </w:tcPr>
          <w:p w:rsidR="008E3D84" w:rsidRPr="00DB446E" w:rsidRDefault="008E3D84" w:rsidP="00FF5C69">
            <w:pPr>
              <w:keepNext/>
              <w:keepLines/>
              <w:spacing w:before="480"/>
              <w:rPr>
                <w:b/>
                <w:bCs/>
              </w:rPr>
            </w:pPr>
            <w:r w:rsidRPr="00DB446E">
              <w:rPr>
                <w:b/>
                <w:bCs/>
              </w:rPr>
              <w:t>Sample preparation</w:t>
            </w:r>
          </w:p>
        </w:tc>
        <w:tc>
          <w:tcPr>
            <w:tcW w:w="9382" w:type="dxa"/>
          </w:tcPr>
          <w:p w:rsidR="008E3D84" w:rsidRPr="00DB446E" w:rsidRDefault="008E3D84" w:rsidP="00FD5CB5">
            <w:pPr>
              <w:keepNext/>
              <w:keepLines/>
              <w:autoSpaceDE w:val="0"/>
              <w:autoSpaceDN w:val="0"/>
              <w:adjustRightInd w:val="0"/>
              <w:spacing w:before="480"/>
              <w:rPr>
                <w:rFonts w:cs="Times New Roman"/>
                <w:b/>
                <w:bCs/>
              </w:rPr>
            </w:pPr>
            <w:r w:rsidRPr="00DB446E">
              <w:rPr>
                <w:b/>
                <w:bCs/>
              </w:rPr>
              <w:t>Blood samples (6 to10 ml) were collected in Vacutainers® containing dipotassium ethylenediaminetetraacetic ac</w:t>
            </w:r>
            <w:r>
              <w:rPr>
                <w:b/>
                <w:bCs/>
              </w:rPr>
              <w:t>id on Day 1 and kept frozen at –</w:t>
            </w:r>
            <w:r w:rsidRPr="00DB446E">
              <w:rPr>
                <w:b/>
                <w:bCs/>
              </w:rPr>
              <w:t>70°C or lower until analysis at PPD, Middleton, WI. 50 µL sample aliquots were fortified with 20 µL of internal standard working solution. A 20</w:t>
            </w:r>
            <w:r>
              <w:rPr>
                <w:b/>
                <w:bCs/>
              </w:rPr>
              <w:t>-</w:t>
            </w:r>
            <w:r w:rsidRPr="00DB446E">
              <w:rPr>
                <w:b/>
                <w:bCs/>
              </w:rPr>
              <w:t>µL aliquot of standard diluents was added to the sample which were briefly vortexed. Ammonium hydroxide solution and methyl t-butyl ether were added and the samples were vortexed and centrifuged. The organic layer was transferred to clean tubes and evaporated to dryness. The samples were reconstituted and 10 µL of the final extract was injected and analyzed via HPLC with MS/MS detection</w:t>
            </w:r>
            <w:r>
              <w:rPr>
                <w:b/>
                <w:bCs/>
              </w:rPr>
              <w:t>.</w:t>
            </w:r>
          </w:p>
        </w:tc>
      </w:tr>
      <w:tr w:rsidR="008E3D84" w:rsidRPr="00DB446E">
        <w:tc>
          <w:tcPr>
            <w:tcW w:w="1706" w:type="dxa"/>
          </w:tcPr>
          <w:p w:rsidR="008E3D84" w:rsidRPr="00DB446E" w:rsidRDefault="008E3D84" w:rsidP="00FF5C69">
            <w:pPr>
              <w:keepNext/>
              <w:keepLines/>
              <w:spacing w:before="480"/>
              <w:rPr>
                <w:b/>
                <w:bCs/>
              </w:rPr>
            </w:pPr>
            <w:r w:rsidRPr="00DB446E">
              <w:rPr>
                <w:b/>
                <w:bCs/>
              </w:rPr>
              <w:t>Details of LC-MS/MS</w:t>
            </w:r>
          </w:p>
        </w:tc>
        <w:tc>
          <w:tcPr>
            <w:tcW w:w="9382" w:type="dxa"/>
          </w:tcPr>
          <w:p w:rsidR="008E3D84" w:rsidRPr="00DB446E" w:rsidRDefault="008E3D84" w:rsidP="00FF5C69">
            <w:pPr>
              <w:keepNext/>
              <w:keepLines/>
              <w:spacing w:before="480"/>
              <w:rPr>
                <w:b/>
                <w:bCs/>
              </w:rPr>
            </w:pPr>
            <w:r w:rsidRPr="00DB446E">
              <w:rPr>
                <w:b/>
                <w:bCs/>
              </w:rPr>
              <w:t>The linearity of the procedure was evaluated by analyzing nine calibration standards over the nominal concentration range of 20.0 to 10,000 ng/mL using a linear-weighted, 1/concentration, least-squares regression algorithm to plot the peak height of the appropriate analyte to its internal standard versus concentration. Linearity was indicated by correlation coefficients &gt; 0.990 for each standard curve.</w:t>
            </w:r>
          </w:p>
          <w:p w:rsidR="008E3D84" w:rsidRPr="00DB446E" w:rsidRDefault="008E3D84" w:rsidP="00354432">
            <w:pPr>
              <w:keepNext/>
              <w:keepLines/>
              <w:spacing w:before="480"/>
              <w:rPr>
                <w:b/>
                <w:bCs/>
              </w:rPr>
            </w:pPr>
            <w:r w:rsidRPr="00DB446E">
              <w:rPr>
                <w:b/>
                <w:bCs/>
              </w:rPr>
              <w:t xml:space="preserve">The </w:t>
            </w:r>
            <w:r>
              <w:rPr>
                <w:b/>
                <w:bCs/>
              </w:rPr>
              <w:t>LLOQ</w:t>
            </w:r>
            <w:r w:rsidRPr="00DB446E">
              <w:rPr>
                <w:b/>
                <w:bCs/>
              </w:rPr>
              <w:t xml:space="preserve"> was the lowest non-zero concentration level that could be quantitated accurately and reproducib</w:t>
            </w:r>
            <w:r>
              <w:rPr>
                <w:b/>
                <w:bCs/>
              </w:rPr>
              <w:t>ly. For this validation, the LLOQ</w:t>
            </w:r>
            <w:r w:rsidRPr="00DB446E">
              <w:rPr>
                <w:b/>
                <w:bCs/>
              </w:rPr>
              <w:t xml:space="preserve"> was nominally 20.0 ng/mL.</w:t>
            </w:r>
          </w:p>
        </w:tc>
      </w:tr>
      <w:tr w:rsidR="008E3D84" w:rsidRPr="00DB446E">
        <w:tc>
          <w:tcPr>
            <w:tcW w:w="1706" w:type="dxa"/>
          </w:tcPr>
          <w:p w:rsidR="008E3D84" w:rsidRPr="00DB446E" w:rsidRDefault="008E3D84" w:rsidP="00FF5C69">
            <w:pPr>
              <w:keepNext/>
              <w:keepLines/>
              <w:spacing w:before="480"/>
              <w:rPr>
                <w:b/>
                <w:bCs/>
              </w:rPr>
            </w:pPr>
            <w:r w:rsidRPr="00DB446E">
              <w:rPr>
                <w:b/>
                <w:bCs/>
              </w:rPr>
              <w:t>Brief description of instrument characteristics</w:t>
            </w:r>
          </w:p>
        </w:tc>
        <w:tc>
          <w:tcPr>
            <w:tcW w:w="9382" w:type="dxa"/>
          </w:tcPr>
          <w:p w:rsidR="008E3D84" w:rsidRPr="00DB446E" w:rsidRDefault="008E3D84" w:rsidP="00F90DA0">
            <w:pPr>
              <w:keepNext/>
              <w:keepLines/>
              <w:spacing w:before="480"/>
              <w:rPr>
                <w:b/>
                <w:bCs/>
              </w:rPr>
            </w:pPr>
            <w:r w:rsidRPr="00DB446E">
              <w:rPr>
                <w:b/>
                <w:bCs/>
              </w:rPr>
              <w:t>Precision and accuracy were evaluated by analyzing quality control pools prepared at the LL</w:t>
            </w:r>
            <w:r>
              <w:rPr>
                <w:b/>
                <w:bCs/>
              </w:rPr>
              <w:t>OQ</w:t>
            </w:r>
            <w:r w:rsidRPr="00DB446E">
              <w:rPr>
                <w:b/>
                <w:bCs/>
              </w:rPr>
              <w:t>, n</w:t>
            </w:r>
            <w:r>
              <w:rPr>
                <w:b/>
                <w:bCs/>
              </w:rPr>
              <w:t>ot more than three times the LLOQ</w:t>
            </w:r>
            <w:r w:rsidRPr="00DB446E">
              <w:rPr>
                <w:b/>
                <w:bCs/>
              </w:rPr>
              <w:t xml:space="preserve">, the approximate midpoint of the semi-log plot of the calibration range, and at or higher than the second highest calibration level. Precision was expressed as the percent coefficient of variation (%CV) of each pool.  </w:t>
            </w:r>
          </w:p>
        </w:tc>
      </w:tr>
    </w:tbl>
    <w:p w:rsidR="008E3D84" w:rsidRPr="00DB446E" w:rsidRDefault="008E3D84" w:rsidP="007B1DAC">
      <w:pPr>
        <w:rPr>
          <w:rFonts w:cs="Times New Roman"/>
        </w:rPr>
      </w:pPr>
    </w:p>
    <w:tbl>
      <w:tblPr>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06"/>
        <w:gridCol w:w="9382"/>
      </w:tblGrid>
      <w:tr w:rsidR="008E3D84" w:rsidRPr="00DB446E">
        <w:tc>
          <w:tcPr>
            <w:tcW w:w="1706" w:type="dxa"/>
          </w:tcPr>
          <w:p w:rsidR="008E3D84" w:rsidRPr="00DB446E" w:rsidRDefault="008E3D84" w:rsidP="00FF5C69">
            <w:pPr>
              <w:keepNext/>
              <w:keepLines/>
              <w:spacing w:before="480"/>
              <w:rPr>
                <w:rFonts w:cs="Times New Roman"/>
                <w:b/>
                <w:bCs/>
              </w:rPr>
            </w:pPr>
            <w:r w:rsidRPr="00DB446E">
              <w:rPr>
                <w:rFonts w:cs="Times New Roman"/>
              </w:rPr>
              <w:br w:type="page"/>
            </w:r>
          </w:p>
        </w:tc>
        <w:tc>
          <w:tcPr>
            <w:tcW w:w="9382" w:type="dxa"/>
          </w:tcPr>
          <w:p w:rsidR="008E3D84" w:rsidRPr="00DB446E" w:rsidRDefault="008E3D84" w:rsidP="00FF5C69">
            <w:pPr>
              <w:keepNext/>
              <w:keepLines/>
              <w:spacing w:before="480"/>
              <w:rPr>
                <w:rFonts w:cs="Times New Roman"/>
                <w:b/>
                <w:bCs/>
              </w:rPr>
            </w:pPr>
            <w:r w:rsidRPr="00224031">
              <w:rPr>
                <w:b/>
                <w:bCs/>
                <w:sz w:val="24"/>
                <w:szCs w:val="24"/>
              </w:rPr>
              <w:t>Ketoconazole</w:t>
            </w:r>
          </w:p>
        </w:tc>
      </w:tr>
      <w:tr w:rsidR="008E3D84" w:rsidRPr="00DB446E">
        <w:tc>
          <w:tcPr>
            <w:tcW w:w="1706" w:type="dxa"/>
          </w:tcPr>
          <w:p w:rsidR="008E3D84" w:rsidRPr="00DB446E" w:rsidRDefault="008E3D84" w:rsidP="00FF5C69">
            <w:pPr>
              <w:keepNext/>
              <w:keepLines/>
              <w:spacing w:before="480"/>
              <w:rPr>
                <w:b/>
                <w:bCs/>
              </w:rPr>
            </w:pPr>
            <w:r w:rsidRPr="00DB446E">
              <w:rPr>
                <w:b/>
                <w:bCs/>
              </w:rPr>
              <w:t>Sample preparation</w:t>
            </w:r>
          </w:p>
        </w:tc>
        <w:tc>
          <w:tcPr>
            <w:tcW w:w="9382" w:type="dxa"/>
          </w:tcPr>
          <w:p w:rsidR="008E3D84" w:rsidRPr="00DB446E" w:rsidRDefault="008E3D84" w:rsidP="00FF5C69">
            <w:pPr>
              <w:keepNext/>
              <w:keepLines/>
              <w:autoSpaceDE w:val="0"/>
              <w:autoSpaceDN w:val="0"/>
              <w:adjustRightInd w:val="0"/>
              <w:spacing w:before="480"/>
              <w:rPr>
                <w:rFonts w:cs="Times New Roman"/>
                <w:b/>
                <w:bCs/>
              </w:rPr>
            </w:pPr>
            <w:r w:rsidRPr="00DB446E">
              <w:rPr>
                <w:b/>
                <w:bCs/>
              </w:rPr>
              <w:t>Blood samples (6 to10 ml) were collected in Vacutainers® containing dipotassium ethylenediaminetetraacetic ac</w:t>
            </w:r>
            <w:r>
              <w:rPr>
                <w:b/>
                <w:bCs/>
              </w:rPr>
              <w:t>id on Day 1 and kept frozen at –</w:t>
            </w:r>
            <w:r w:rsidRPr="00DB446E">
              <w:rPr>
                <w:b/>
                <w:bCs/>
              </w:rPr>
              <w:t>70°C or lower until analysis at PPD, Richmond, VA.</w:t>
            </w:r>
          </w:p>
        </w:tc>
      </w:tr>
      <w:tr w:rsidR="008E3D84" w:rsidRPr="00DB446E">
        <w:tc>
          <w:tcPr>
            <w:tcW w:w="1706" w:type="dxa"/>
          </w:tcPr>
          <w:p w:rsidR="008E3D84" w:rsidRPr="00DB446E" w:rsidRDefault="008E3D84" w:rsidP="00FF5C69">
            <w:pPr>
              <w:keepNext/>
              <w:keepLines/>
              <w:spacing w:before="480"/>
              <w:rPr>
                <w:b/>
                <w:bCs/>
              </w:rPr>
            </w:pPr>
            <w:r w:rsidRPr="00DB446E">
              <w:rPr>
                <w:b/>
                <w:bCs/>
              </w:rPr>
              <w:t>Details of LC-MS/MS</w:t>
            </w:r>
          </w:p>
        </w:tc>
        <w:tc>
          <w:tcPr>
            <w:tcW w:w="9382" w:type="dxa"/>
          </w:tcPr>
          <w:p w:rsidR="008E3D84" w:rsidRPr="00DB446E" w:rsidRDefault="008E3D84" w:rsidP="00FF5C69">
            <w:pPr>
              <w:keepNext/>
              <w:keepLines/>
              <w:spacing w:before="480"/>
              <w:rPr>
                <w:b/>
                <w:bCs/>
              </w:rPr>
            </w:pPr>
            <w:r w:rsidRPr="00DB446E">
              <w:rPr>
                <w:b/>
                <w:bCs/>
              </w:rPr>
              <w:t>Ketoconazole and an internal standard, ketoconazole-d4, were isolated from human plasma, containing sodium heparin by protein precipitation with acetonitrile followed by dilution with 30:70 acetonitrile/10 mM ammonium acetate, v/v. HPLC separation was achieved by reverse phase HPLC on a Waters XTerra MS Cs, 5-µm column. A 10 µL volume of the final extract is injected and analyzed via HPLC with MS/MS detection.</w:t>
            </w:r>
          </w:p>
          <w:p w:rsidR="008E3D84" w:rsidRPr="00DB446E" w:rsidRDefault="008E3D84" w:rsidP="00FF5C69">
            <w:pPr>
              <w:keepNext/>
              <w:keepLines/>
              <w:spacing w:before="480"/>
              <w:rPr>
                <w:rFonts w:cs="Times New Roman"/>
                <w:b/>
                <w:bCs/>
              </w:rPr>
            </w:pPr>
            <w:r>
              <w:rPr>
                <w:b/>
                <w:bCs/>
              </w:rPr>
              <w:t>The LLOQ</w:t>
            </w:r>
            <w:r w:rsidRPr="00DB446E">
              <w:rPr>
                <w:b/>
                <w:bCs/>
              </w:rPr>
              <w:t xml:space="preserve"> was the lowest non-zero concentration level that could be quantitated accurately and reproducib</w:t>
            </w:r>
            <w:r>
              <w:rPr>
                <w:b/>
                <w:bCs/>
              </w:rPr>
              <w:t>ly. For this validation, the LLOQ</w:t>
            </w:r>
            <w:r w:rsidRPr="00DB446E">
              <w:rPr>
                <w:b/>
                <w:bCs/>
              </w:rPr>
              <w:t xml:space="preserve"> was nominally 0.100 µg/mL. Standard solutions of the analytes were prepared using ketoconazole, USP Lot G4B179 and ketoconazole-d4, PPD Lot 090903D</w:t>
            </w:r>
            <w:r>
              <w:rPr>
                <w:b/>
                <w:bCs/>
              </w:rPr>
              <w:t>.</w:t>
            </w:r>
          </w:p>
        </w:tc>
      </w:tr>
      <w:tr w:rsidR="008E3D84" w:rsidRPr="00DB446E">
        <w:tc>
          <w:tcPr>
            <w:tcW w:w="1706" w:type="dxa"/>
          </w:tcPr>
          <w:p w:rsidR="008E3D84" w:rsidRPr="00DB446E" w:rsidRDefault="008E3D84" w:rsidP="00FF5C69">
            <w:pPr>
              <w:keepNext/>
              <w:keepLines/>
              <w:spacing w:before="480"/>
              <w:rPr>
                <w:b/>
                <w:bCs/>
              </w:rPr>
            </w:pPr>
            <w:r w:rsidRPr="00DB446E">
              <w:rPr>
                <w:b/>
                <w:bCs/>
              </w:rPr>
              <w:t>Brief description of instrument characteristics</w:t>
            </w:r>
          </w:p>
        </w:tc>
        <w:tc>
          <w:tcPr>
            <w:tcW w:w="9382" w:type="dxa"/>
          </w:tcPr>
          <w:p w:rsidR="008E3D84" w:rsidRPr="00DB446E" w:rsidRDefault="008E3D84" w:rsidP="00FF5C69">
            <w:pPr>
              <w:keepNext/>
              <w:keepLines/>
              <w:spacing w:before="480"/>
              <w:rPr>
                <w:b/>
                <w:bCs/>
              </w:rPr>
            </w:pPr>
            <w:r w:rsidRPr="00DB446E">
              <w:rPr>
                <w:b/>
                <w:bCs/>
              </w:rPr>
              <w:t>Eight calibration standards were analyzed in duplicate over the nominal concentration range of 0.100 to 20.0 µg/mL. A quadratic, 1/concentration squared weighted, least-squares regression algorithm was used to plot the peak area ratio of the analyte to its internal standard versus concentration. The average correlation coefficient from four standard curves was &gt;0.990.</w:t>
            </w:r>
          </w:p>
          <w:p w:rsidR="008E3D84" w:rsidRPr="00DB446E" w:rsidRDefault="008E3D84" w:rsidP="00FF5C69">
            <w:pPr>
              <w:keepNext/>
              <w:keepLines/>
              <w:spacing w:before="480"/>
              <w:rPr>
                <w:b/>
                <w:bCs/>
              </w:rPr>
            </w:pPr>
            <w:r w:rsidRPr="00DB446E">
              <w:rPr>
                <w:b/>
                <w:bCs/>
              </w:rPr>
              <w:t>Precision and accuracy were evaluated by analyzing quality control pools prepared at 0.100, 0.200, 0.500, 1.50, 4.00, and 15.0 µg/mL. Precision was expressed as the percent coefficient of variation (%CV) of each pool. Accuracy was measured as the percent difference from theoretical.</w:t>
            </w:r>
          </w:p>
        </w:tc>
      </w:tr>
    </w:tbl>
    <w:p w:rsidR="008E3D84" w:rsidRPr="00DB446E" w:rsidRDefault="008E3D84" w:rsidP="007B1DAC">
      <w:pPr>
        <w:rPr>
          <w:rFonts w:cs="Times New Roman"/>
        </w:rPr>
      </w:pPr>
    </w:p>
    <w:tbl>
      <w:tblPr>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06"/>
        <w:gridCol w:w="9382"/>
      </w:tblGrid>
      <w:tr w:rsidR="008E3D84" w:rsidRPr="00DB446E">
        <w:tc>
          <w:tcPr>
            <w:tcW w:w="1706" w:type="dxa"/>
          </w:tcPr>
          <w:p w:rsidR="008E3D84" w:rsidRPr="00DB446E" w:rsidRDefault="008E3D84" w:rsidP="00FF5C69">
            <w:pPr>
              <w:keepNext/>
              <w:keepLines/>
              <w:spacing w:before="480"/>
              <w:rPr>
                <w:rFonts w:cs="Times New Roman"/>
                <w:b/>
                <w:bCs/>
              </w:rPr>
            </w:pPr>
          </w:p>
        </w:tc>
        <w:tc>
          <w:tcPr>
            <w:tcW w:w="9382" w:type="dxa"/>
          </w:tcPr>
          <w:p w:rsidR="008E3D84" w:rsidRPr="00DB446E" w:rsidRDefault="008E3D84" w:rsidP="00FF5C69">
            <w:pPr>
              <w:keepNext/>
              <w:keepLines/>
              <w:spacing w:before="480"/>
              <w:rPr>
                <w:rFonts w:cs="Times New Roman"/>
                <w:b/>
                <w:bCs/>
              </w:rPr>
            </w:pPr>
            <w:r w:rsidRPr="00224031">
              <w:rPr>
                <w:b/>
                <w:bCs/>
                <w:sz w:val="24"/>
                <w:szCs w:val="24"/>
              </w:rPr>
              <w:t>Rifampicin</w:t>
            </w:r>
          </w:p>
        </w:tc>
      </w:tr>
      <w:tr w:rsidR="008E3D84" w:rsidRPr="00DB446E">
        <w:tc>
          <w:tcPr>
            <w:tcW w:w="1706" w:type="dxa"/>
          </w:tcPr>
          <w:p w:rsidR="008E3D84" w:rsidRPr="00DB446E" w:rsidRDefault="008E3D84" w:rsidP="00FF5C69">
            <w:pPr>
              <w:keepNext/>
              <w:keepLines/>
              <w:spacing w:before="480"/>
              <w:rPr>
                <w:b/>
                <w:bCs/>
              </w:rPr>
            </w:pPr>
            <w:r w:rsidRPr="00DB446E">
              <w:rPr>
                <w:b/>
                <w:bCs/>
              </w:rPr>
              <w:t>Sample preparation</w:t>
            </w:r>
          </w:p>
        </w:tc>
        <w:tc>
          <w:tcPr>
            <w:tcW w:w="9382" w:type="dxa"/>
          </w:tcPr>
          <w:p w:rsidR="008E3D84" w:rsidRPr="00DB446E" w:rsidRDefault="008E3D84" w:rsidP="00B45D85">
            <w:pPr>
              <w:keepNext/>
              <w:keepLines/>
              <w:autoSpaceDE w:val="0"/>
              <w:autoSpaceDN w:val="0"/>
              <w:adjustRightInd w:val="0"/>
              <w:spacing w:before="480"/>
              <w:rPr>
                <w:b/>
                <w:bCs/>
              </w:rPr>
            </w:pPr>
            <w:r w:rsidRPr="00DB446E">
              <w:rPr>
                <w:b/>
                <w:bCs/>
              </w:rPr>
              <w:t xml:space="preserve">Blood samples (2 tubes of 4 mL each [8 mL in total]) were collected in Vacutainers® containing K2EDTA on </w:t>
            </w:r>
            <w:r>
              <w:rPr>
                <w:b/>
                <w:bCs/>
              </w:rPr>
              <w:t>Day 1 and kept frozen at –</w:t>
            </w:r>
            <w:r w:rsidRPr="00DB446E">
              <w:rPr>
                <w:b/>
                <w:bCs/>
              </w:rPr>
              <w:t xml:space="preserve">70°C or lower until analysis at PPD, Middleton, WI. </w:t>
            </w:r>
          </w:p>
        </w:tc>
      </w:tr>
      <w:tr w:rsidR="008E3D84" w:rsidRPr="00DB446E">
        <w:tc>
          <w:tcPr>
            <w:tcW w:w="1706" w:type="dxa"/>
          </w:tcPr>
          <w:p w:rsidR="008E3D84" w:rsidRPr="00DB446E" w:rsidRDefault="008E3D84" w:rsidP="00FF5C69">
            <w:pPr>
              <w:keepNext/>
              <w:keepLines/>
              <w:spacing w:before="480"/>
              <w:rPr>
                <w:b/>
                <w:bCs/>
              </w:rPr>
            </w:pPr>
            <w:r w:rsidRPr="00DB446E">
              <w:rPr>
                <w:b/>
                <w:bCs/>
              </w:rPr>
              <w:t>Details of LC-MS/MS</w:t>
            </w:r>
          </w:p>
        </w:tc>
        <w:tc>
          <w:tcPr>
            <w:tcW w:w="9382" w:type="dxa"/>
          </w:tcPr>
          <w:p w:rsidR="008E3D84" w:rsidRPr="00DB446E" w:rsidRDefault="008E3D84" w:rsidP="00FF5C69">
            <w:pPr>
              <w:keepNext/>
              <w:keepLines/>
              <w:autoSpaceDE w:val="0"/>
              <w:autoSpaceDN w:val="0"/>
              <w:adjustRightInd w:val="0"/>
              <w:spacing w:before="480"/>
              <w:rPr>
                <w:b/>
                <w:bCs/>
              </w:rPr>
            </w:pPr>
            <w:r w:rsidRPr="00DB446E">
              <w:rPr>
                <w:b/>
                <w:bCs/>
              </w:rPr>
              <w:t xml:space="preserve">Samples were analyzed according to PPD Method P941.01, entitled “Determination of Rifampicin in Human Plasma by LC/MS/MS,” which was validated under Project Code “AEWO2.” </w:t>
            </w:r>
          </w:p>
        </w:tc>
      </w:tr>
      <w:tr w:rsidR="008E3D84" w:rsidRPr="00DB446E">
        <w:tc>
          <w:tcPr>
            <w:tcW w:w="1706" w:type="dxa"/>
          </w:tcPr>
          <w:p w:rsidR="008E3D84" w:rsidRPr="00DB446E" w:rsidRDefault="008E3D84" w:rsidP="00224031">
            <w:pPr>
              <w:keepNext/>
              <w:keepLines/>
              <w:spacing w:before="480"/>
              <w:rPr>
                <w:b/>
                <w:bCs/>
              </w:rPr>
            </w:pPr>
            <w:r w:rsidRPr="00DB446E">
              <w:rPr>
                <w:b/>
                <w:bCs/>
              </w:rPr>
              <w:t>Brief descriptio</w:t>
            </w:r>
            <w:r>
              <w:rPr>
                <w:b/>
                <w:bCs/>
              </w:rPr>
              <w:t>n of instrument characteristics</w:t>
            </w:r>
            <w:r w:rsidRPr="00DB446E">
              <w:rPr>
                <w:b/>
                <w:bCs/>
              </w:rPr>
              <w:t xml:space="preserve"> </w:t>
            </w:r>
          </w:p>
        </w:tc>
        <w:tc>
          <w:tcPr>
            <w:tcW w:w="9382" w:type="dxa"/>
          </w:tcPr>
          <w:p w:rsidR="008E3D84" w:rsidRPr="00DB446E" w:rsidRDefault="008E3D84" w:rsidP="00FF5C69">
            <w:pPr>
              <w:keepNext/>
              <w:keepLines/>
              <w:autoSpaceDE w:val="0"/>
              <w:autoSpaceDN w:val="0"/>
              <w:adjustRightInd w:val="0"/>
              <w:spacing w:before="480"/>
              <w:rPr>
                <w:rFonts w:cs="Times New Roman"/>
                <w:b/>
                <w:bCs/>
              </w:rPr>
            </w:pPr>
            <w:r w:rsidRPr="00DB446E">
              <w:rPr>
                <w:b/>
                <w:bCs/>
              </w:rPr>
              <w:t>Concentrations of rifampicin in human plasma were measured by LC/MS/MS, with a validated concentration range of 0.100 to 10.0 μg/mL</w:t>
            </w:r>
            <w:r>
              <w:rPr>
                <w:b/>
                <w:bCs/>
              </w:rPr>
              <w:t>.</w:t>
            </w:r>
          </w:p>
          <w:p w:rsidR="008E3D84" w:rsidRPr="00DB446E" w:rsidRDefault="008E3D84" w:rsidP="00FF5C69">
            <w:pPr>
              <w:keepNext/>
              <w:keepLines/>
              <w:autoSpaceDE w:val="0"/>
              <w:autoSpaceDN w:val="0"/>
              <w:adjustRightInd w:val="0"/>
              <w:spacing w:before="480"/>
              <w:rPr>
                <w:b/>
                <w:bCs/>
              </w:rPr>
            </w:pPr>
            <w:r w:rsidRPr="00DB446E">
              <w:rPr>
                <w:b/>
                <w:bCs/>
              </w:rPr>
              <w:t>An analyte interference check was performed as part of this study to determine if samples fortified with the following analytes interfered with the quantitation of rifampicin in human plasma.</w:t>
            </w:r>
          </w:p>
        </w:tc>
      </w:tr>
    </w:tbl>
    <w:p w:rsidR="008E3D84" w:rsidRPr="00DB446E" w:rsidRDefault="008E3D84" w:rsidP="007B1DAC">
      <w:pPr>
        <w:rPr>
          <w:rFonts w:cs="Times New Roman"/>
          <w:strike/>
        </w:rPr>
      </w:pPr>
    </w:p>
    <w:p w:rsidR="008E3D84" w:rsidRDefault="008E3D84">
      <w:pPr>
        <w:rPr>
          <w:rFonts w:cs="Times New Roman"/>
        </w:rPr>
      </w:pPr>
      <w:bookmarkStart w:id="0" w:name="_GoBack"/>
      <w:bookmarkEnd w:id="0"/>
    </w:p>
    <w:sectPr w:rsidR="008E3D84" w:rsidSect="00962569">
      <w:footerReference w:type="default" r:id="rId7"/>
      <w:pgSz w:w="15840" w:h="12240" w:orient="landscape"/>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3D84" w:rsidRDefault="008E3D84" w:rsidP="00D30D89">
      <w:pPr>
        <w:spacing w:after="0" w:line="240" w:lineRule="auto"/>
        <w:rPr>
          <w:rFonts w:cs="Times New Roman"/>
        </w:rPr>
      </w:pPr>
      <w:r>
        <w:rPr>
          <w:rFonts w:cs="Times New Roman"/>
        </w:rPr>
        <w:separator/>
      </w:r>
    </w:p>
  </w:endnote>
  <w:endnote w:type="continuationSeparator" w:id="0">
    <w:p w:rsidR="008E3D84" w:rsidRDefault="008E3D84" w:rsidP="00D30D89">
      <w:pPr>
        <w:spacing w:after="0" w:line="240" w:lineRule="auto"/>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0"/>
    <w:family w:val="decorative"/>
    <w:notTrueType/>
    <w:pitch w:val="variable"/>
    <w:sig w:usb0="00000083" w:usb1="00000000" w:usb2="00000000" w:usb3="00000000" w:csb0="00000009"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3D84" w:rsidRDefault="008E3D84">
    <w:pPr>
      <w:pStyle w:val="Footer"/>
      <w:jc w:val="center"/>
      <w:rPr>
        <w:rFonts w:cs="Times New Roman"/>
      </w:rPr>
    </w:pPr>
    <w:fldSimple w:instr=" PAGE   \* MERGEFORMAT ">
      <w:r>
        <w:rPr>
          <w:noProof/>
        </w:rPr>
        <w:t>1</w:t>
      </w:r>
    </w:fldSimple>
  </w:p>
  <w:p w:rsidR="008E3D84" w:rsidRDefault="008E3D84">
    <w:pPr>
      <w:pStyle w:val="Footer"/>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3D84" w:rsidRDefault="008E3D84" w:rsidP="00D30D89">
      <w:pPr>
        <w:spacing w:after="0" w:line="240" w:lineRule="auto"/>
        <w:rPr>
          <w:rFonts w:cs="Times New Roman"/>
        </w:rPr>
      </w:pPr>
      <w:r>
        <w:rPr>
          <w:rFonts w:cs="Times New Roman"/>
        </w:rPr>
        <w:separator/>
      </w:r>
    </w:p>
  </w:footnote>
  <w:footnote w:type="continuationSeparator" w:id="0">
    <w:p w:rsidR="008E3D84" w:rsidRDefault="008E3D84" w:rsidP="00D30D89">
      <w:pPr>
        <w:spacing w:after="0" w:line="240" w:lineRule="auto"/>
        <w:rPr>
          <w:rFonts w:cs="Times New Roman"/>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481A4E"/>
    <w:multiLevelType w:val="hybridMultilevel"/>
    <w:tmpl w:val="5DCA788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trackRevisions/>
  <w:defaultTabStop w:val="720"/>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B1DAC"/>
    <w:rsid w:val="000A509C"/>
    <w:rsid w:val="001016D5"/>
    <w:rsid w:val="00224031"/>
    <w:rsid w:val="00227787"/>
    <w:rsid w:val="00235181"/>
    <w:rsid w:val="002F04FF"/>
    <w:rsid w:val="002F2FE8"/>
    <w:rsid w:val="00354432"/>
    <w:rsid w:val="005651A3"/>
    <w:rsid w:val="00602E3F"/>
    <w:rsid w:val="00623961"/>
    <w:rsid w:val="006825CB"/>
    <w:rsid w:val="006F51BA"/>
    <w:rsid w:val="00703F71"/>
    <w:rsid w:val="00752F44"/>
    <w:rsid w:val="007B1DAC"/>
    <w:rsid w:val="008E3D84"/>
    <w:rsid w:val="00962569"/>
    <w:rsid w:val="009D5085"/>
    <w:rsid w:val="00A048AA"/>
    <w:rsid w:val="00B45D85"/>
    <w:rsid w:val="00C32679"/>
    <w:rsid w:val="00CB7D7E"/>
    <w:rsid w:val="00CE4FD8"/>
    <w:rsid w:val="00D30D89"/>
    <w:rsid w:val="00D5684E"/>
    <w:rsid w:val="00DB446E"/>
    <w:rsid w:val="00DE65A8"/>
    <w:rsid w:val="00F90DA0"/>
    <w:rsid w:val="00FB239C"/>
    <w:rsid w:val="00FD5CB5"/>
    <w:rsid w:val="00FF5C6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1DAC"/>
    <w:pPr>
      <w:spacing w:after="200" w:line="276" w:lineRule="auto"/>
    </w:pPr>
    <w:rPr>
      <w:rFonts w:eastAsia="Times New Roman" w:cs="Calibri"/>
    </w:rPr>
  </w:style>
  <w:style w:type="paragraph" w:styleId="Heading1">
    <w:name w:val="heading 1"/>
    <w:basedOn w:val="Normal"/>
    <w:next w:val="Normal"/>
    <w:link w:val="Heading1Char"/>
    <w:uiPriority w:val="99"/>
    <w:qFormat/>
    <w:rsid w:val="00FB239C"/>
    <w:pPr>
      <w:keepNext/>
      <w:keepLines/>
      <w:spacing w:before="480" w:after="0"/>
      <w:outlineLvl w:val="0"/>
    </w:pPr>
    <w:rPr>
      <w:rFonts w:ascii="Cambria" w:hAnsi="Cambria" w:cs="Cambria"/>
      <w:b/>
      <w:bCs/>
      <w:color w:val="365F91"/>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B239C"/>
    <w:rPr>
      <w:rFonts w:ascii="Cambria" w:hAnsi="Cambria" w:cs="Cambria"/>
      <w:b/>
      <w:bCs/>
      <w:color w:val="365F91"/>
      <w:sz w:val="28"/>
      <w:szCs w:val="28"/>
    </w:rPr>
  </w:style>
  <w:style w:type="paragraph" w:styleId="ListParagraph">
    <w:name w:val="List Paragraph"/>
    <w:basedOn w:val="Normal"/>
    <w:uiPriority w:val="99"/>
    <w:qFormat/>
    <w:rsid w:val="007B1DAC"/>
    <w:pPr>
      <w:ind w:left="720"/>
    </w:pPr>
  </w:style>
  <w:style w:type="paragraph" w:styleId="Header">
    <w:name w:val="header"/>
    <w:basedOn w:val="Normal"/>
    <w:link w:val="HeaderChar"/>
    <w:uiPriority w:val="99"/>
    <w:rsid w:val="00D30D89"/>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D30D89"/>
    <w:rPr>
      <w:rFonts w:ascii="Calibri" w:hAnsi="Calibri" w:cs="Calibri"/>
    </w:rPr>
  </w:style>
  <w:style w:type="paragraph" w:styleId="Footer">
    <w:name w:val="footer"/>
    <w:basedOn w:val="Normal"/>
    <w:link w:val="FooterChar"/>
    <w:uiPriority w:val="99"/>
    <w:rsid w:val="00D30D89"/>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D30D89"/>
    <w:rPr>
      <w:rFonts w:ascii="Calibri" w:hAnsi="Calibri" w:cs="Calibri"/>
    </w:rPr>
  </w:style>
  <w:style w:type="paragraph" w:styleId="BalloonText">
    <w:name w:val="Balloon Text"/>
    <w:basedOn w:val="Normal"/>
    <w:link w:val="BalloonTextChar"/>
    <w:uiPriority w:val="99"/>
    <w:semiHidden/>
    <w:rsid w:val="003544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5443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12</Pages>
  <Words>1929</Words>
  <Characters>10998</Characters>
  <Application>Microsoft Office Outlook</Application>
  <DocSecurity>0</DocSecurity>
  <Lines>0</Lines>
  <Paragraphs>0</Paragraphs>
  <ScaleCrop>false</ScaleCrop>
  <Company>The Medicine Group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Salvadore</dc:creator>
  <cp:keywords/>
  <dc:description/>
  <cp:lastModifiedBy>0000431</cp:lastModifiedBy>
  <cp:revision>5</cp:revision>
  <dcterms:created xsi:type="dcterms:W3CDTF">2013-08-16T04:07:00Z</dcterms:created>
  <dcterms:modified xsi:type="dcterms:W3CDTF">2013-08-22T04:12:00Z</dcterms:modified>
</cp:coreProperties>
</file>