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A7652" w14:textId="014FEAC6" w:rsidR="003950E5" w:rsidRDefault="003950E5" w:rsidP="003950E5">
      <w:pPr>
        <w:pStyle w:val="BodyText3"/>
        <w:spacing w:afterLines="0" w:after="0" w:line="480" w:lineRule="auto"/>
        <w:jc w:val="left"/>
        <w:rPr>
          <w:sz w:val="22"/>
          <w:szCs w:val="22"/>
        </w:rPr>
      </w:pPr>
      <w:r>
        <w:rPr>
          <w:sz w:val="22"/>
          <w:szCs w:val="22"/>
        </w:rPr>
        <w:t>Supplementary Information</w:t>
      </w:r>
    </w:p>
    <w:p w14:paraId="3F4C3A56" w14:textId="77777777" w:rsidR="003950E5" w:rsidRDefault="003950E5" w:rsidP="003950E5">
      <w:pPr>
        <w:pStyle w:val="BodyText3"/>
        <w:spacing w:afterLines="0" w:after="0" w:line="480" w:lineRule="auto"/>
        <w:jc w:val="left"/>
        <w:rPr>
          <w:sz w:val="22"/>
          <w:szCs w:val="22"/>
        </w:rPr>
      </w:pPr>
    </w:p>
    <w:p w14:paraId="5F80ABF1" w14:textId="2D5B0EAA" w:rsidR="003950E5" w:rsidRPr="00526572" w:rsidRDefault="003950E5" w:rsidP="003950E5">
      <w:pPr>
        <w:pStyle w:val="BodyText3"/>
        <w:spacing w:afterLines="0" w:after="0" w:line="480" w:lineRule="auto"/>
        <w:jc w:val="left"/>
        <w:rPr>
          <w:sz w:val="22"/>
          <w:szCs w:val="22"/>
        </w:rPr>
      </w:pPr>
      <w:r w:rsidRPr="00526572">
        <w:rPr>
          <w:sz w:val="22"/>
          <w:szCs w:val="22"/>
        </w:rPr>
        <w:t>Impact of Viloxazine Extended-Release Capsules (Qelbree</w:t>
      </w:r>
      <w:bookmarkStart w:id="0" w:name="_Hlk158725015"/>
      <w:r w:rsidRPr="00526572">
        <w:rPr>
          <w:sz w:val="22"/>
          <w:szCs w:val="22"/>
          <w:vertAlign w:val="superscript"/>
        </w:rPr>
        <w:t>®</w:t>
      </w:r>
      <w:bookmarkEnd w:id="0"/>
      <w:r w:rsidRPr="00526572">
        <w:rPr>
          <w:sz w:val="22"/>
          <w:szCs w:val="22"/>
        </w:rPr>
        <w:t xml:space="preserve">) on Select Cytochrome P450 </w:t>
      </w:r>
      <w:r>
        <w:rPr>
          <w:sz w:val="22"/>
          <w:szCs w:val="22"/>
        </w:rPr>
        <w:t xml:space="preserve">Enzyme </w:t>
      </w:r>
      <w:r w:rsidRPr="00526572">
        <w:rPr>
          <w:sz w:val="22"/>
          <w:szCs w:val="22"/>
        </w:rPr>
        <w:t>Activity and Evaluation of CYP2D6 Genetic Polymorphisms on Viloxazine Pharmacokinetics</w:t>
      </w:r>
    </w:p>
    <w:p w14:paraId="66512347" w14:textId="77777777" w:rsidR="003950E5" w:rsidRPr="00526572" w:rsidRDefault="003950E5" w:rsidP="003950E5">
      <w:pPr>
        <w:spacing w:afterLines="0" w:after="0" w:line="480" w:lineRule="auto"/>
        <w:jc w:val="left"/>
        <w:rPr>
          <w:rFonts w:ascii="Arial" w:hAnsi="Arial" w:cs="Arial"/>
          <w:sz w:val="22"/>
          <w:szCs w:val="22"/>
        </w:rPr>
      </w:pPr>
      <w:bookmarkStart w:id="1" w:name="_Hlk130309252"/>
      <w:r w:rsidRPr="00526572">
        <w:rPr>
          <w:rFonts w:ascii="Arial" w:hAnsi="Arial" w:cs="Arial"/>
          <w:sz w:val="22"/>
          <w:szCs w:val="22"/>
        </w:rPr>
        <w:t>Zhao Wang</w:t>
      </w:r>
      <w:r w:rsidRPr="00526572">
        <w:rPr>
          <w:rFonts w:ascii="Arial" w:hAnsi="Arial" w:cs="Arial"/>
          <w:sz w:val="22"/>
          <w:szCs w:val="22"/>
          <w:vertAlign w:val="superscript"/>
        </w:rPr>
        <w:t>1</w:t>
      </w:r>
      <w:r w:rsidRPr="00526572">
        <w:rPr>
          <w:rFonts w:ascii="Arial" w:hAnsi="Arial" w:cs="Arial"/>
          <w:sz w:val="22"/>
          <w:szCs w:val="22"/>
        </w:rPr>
        <w:t>, Tesfaye Liranso</w:t>
      </w:r>
      <w:r w:rsidRPr="00526572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7533AF">
        <w:rPr>
          <w:rFonts w:ascii="Arial" w:hAnsi="Arial" w:cs="Arial"/>
          <w:sz w:val="22"/>
          <w:szCs w:val="22"/>
        </w:rPr>
        <w:t>,</w:t>
      </w:r>
      <w:r w:rsidRPr="0052657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Zulane Maldonado-Cruz</w:t>
      </w:r>
      <w:r w:rsidRPr="002B5D67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 xml:space="preserve">, </w:t>
      </w:r>
      <w:r w:rsidRPr="00526572">
        <w:rPr>
          <w:rFonts w:ascii="Arial" w:hAnsi="Arial" w:cs="Arial"/>
          <w:sz w:val="22"/>
          <w:szCs w:val="22"/>
        </w:rPr>
        <w:t>Alisa R. Kosheleff</w:t>
      </w:r>
      <w:r w:rsidRPr="00526572">
        <w:rPr>
          <w:rFonts w:ascii="Arial" w:hAnsi="Arial" w:cs="Arial"/>
          <w:color w:val="000000" w:themeColor="text1"/>
          <w:sz w:val="22"/>
          <w:szCs w:val="22"/>
          <w:vertAlign w:val="superscript"/>
        </w:rPr>
        <w:t>1*</w:t>
      </w:r>
      <w:r w:rsidRPr="007533AF">
        <w:rPr>
          <w:rFonts w:ascii="Arial" w:hAnsi="Arial" w:cs="Arial"/>
          <w:sz w:val="22"/>
          <w:szCs w:val="22"/>
        </w:rPr>
        <w:t>,</w:t>
      </w:r>
      <w:r w:rsidRPr="00526572">
        <w:rPr>
          <w:rFonts w:ascii="Arial" w:hAnsi="Arial" w:cs="Arial"/>
          <w:sz w:val="22"/>
          <w:szCs w:val="22"/>
        </w:rPr>
        <w:t xml:space="preserve"> Azmi Nasser</w:t>
      </w:r>
      <w:r w:rsidRPr="00526572">
        <w:rPr>
          <w:rFonts w:ascii="Arial" w:hAnsi="Arial" w:cs="Arial"/>
          <w:color w:val="000000" w:themeColor="text1"/>
          <w:sz w:val="22"/>
          <w:szCs w:val="22"/>
          <w:vertAlign w:val="superscript"/>
        </w:rPr>
        <w:t>1*</w:t>
      </w:r>
    </w:p>
    <w:bookmarkEnd w:id="1"/>
    <w:p w14:paraId="51C335C1" w14:textId="77777777" w:rsidR="003950E5" w:rsidRPr="00526572" w:rsidRDefault="003950E5" w:rsidP="003950E5">
      <w:pPr>
        <w:spacing w:afterLines="0" w:after="0" w:line="480" w:lineRule="auto"/>
        <w:jc w:val="left"/>
        <w:rPr>
          <w:rFonts w:ascii="Arial" w:hAnsi="Arial" w:cs="Arial"/>
          <w:sz w:val="22"/>
          <w:szCs w:val="22"/>
        </w:rPr>
      </w:pPr>
      <w:r w:rsidRPr="00526572">
        <w:rPr>
          <w:rFonts w:ascii="Arial" w:hAnsi="Arial" w:cs="Arial"/>
          <w:sz w:val="22"/>
          <w:szCs w:val="22"/>
          <w:vertAlign w:val="superscript"/>
        </w:rPr>
        <w:t>1</w:t>
      </w:r>
      <w:r w:rsidRPr="00526572">
        <w:rPr>
          <w:rFonts w:ascii="Arial" w:hAnsi="Arial" w:cs="Arial"/>
          <w:sz w:val="22"/>
          <w:szCs w:val="22"/>
        </w:rPr>
        <w:t>Supernus Pharmaceuticals, Inc., Rockville, MD, USA</w:t>
      </w:r>
    </w:p>
    <w:p w14:paraId="48F21A95" w14:textId="77777777" w:rsidR="003950E5" w:rsidRPr="00526572" w:rsidRDefault="003950E5" w:rsidP="003950E5">
      <w:pPr>
        <w:spacing w:afterLines="0" w:after="0" w:line="480" w:lineRule="auto"/>
        <w:jc w:val="left"/>
        <w:rPr>
          <w:rFonts w:ascii="Arial" w:hAnsi="Arial" w:cs="Arial"/>
          <w:sz w:val="22"/>
          <w:szCs w:val="22"/>
        </w:rPr>
      </w:pPr>
      <w:r w:rsidRPr="00526572">
        <w:rPr>
          <w:rFonts w:ascii="Arial" w:hAnsi="Arial" w:cs="Arial"/>
          <w:sz w:val="22"/>
          <w:szCs w:val="22"/>
        </w:rPr>
        <w:t xml:space="preserve">*Affiliation at the time </w:t>
      </w:r>
      <w:r>
        <w:rPr>
          <w:rFonts w:ascii="Arial" w:hAnsi="Arial" w:cs="Arial"/>
          <w:sz w:val="22"/>
          <w:szCs w:val="22"/>
        </w:rPr>
        <w:t>of manuscript initiation.</w:t>
      </w:r>
    </w:p>
    <w:p w14:paraId="0AF2AE6F" w14:textId="77777777" w:rsidR="003950E5" w:rsidRPr="00526572" w:rsidRDefault="003950E5" w:rsidP="003950E5">
      <w:pPr>
        <w:spacing w:afterLines="0" w:after="0" w:line="240" w:lineRule="auto"/>
        <w:jc w:val="left"/>
        <w:rPr>
          <w:rFonts w:ascii="Arial" w:hAnsi="Arial" w:cs="Arial"/>
          <w:sz w:val="22"/>
          <w:szCs w:val="22"/>
        </w:rPr>
      </w:pPr>
      <w:r w:rsidRPr="00526572">
        <w:rPr>
          <w:rFonts w:ascii="Arial" w:hAnsi="Arial" w:cs="Arial"/>
          <w:b/>
          <w:sz w:val="22"/>
          <w:szCs w:val="22"/>
        </w:rPr>
        <w:t>Corresponding author</w:t>
      </w:r>
      <w:r w:rsidRPr="00526572">
        <w:rPr>
          <w:rFonts w:ascii="Arial" w:hAnsi="Arial" w:cs="Arial"/>
          <w:sz w:val="22"/>
          <w:szCs w:val="22"/>
        </w:rPr>
        <w:t xml:space="preserve">: Zhao Wang, PhD; 9715 Key West Avenue, Rockville, MD, 20850, USA; (301) 838-2500; Fax (240) 403-0065; </w:t>
      </w:r>
      <w:hyperlink r:id="rId7" w:history="1">
        <w:r w:rsidRPr="00526572">
          <w:rPr>
            <w:rStyle w:val="Hyperlink"/>
            <w:rFonts w:ascii="Arial" w:eastAsiaTheme="majorEastAsia" w:hAnsi="Arial" w:cs="Arial"/>
            <w:sz w:val="22"/>
            <w:szCs w:val="22"/>
          </w:rPr>
          <w:t>zwang@supernus.com</w:t>
        </w:r>
      </w:hyperlink>
    </w:p>
    <w:p w14:paraId="43342FBE" w14:textId="0942E40C" w:rsidR="005F18A8" w:rsidRDefault="005F18A8">
      <w:pPr>
        <w:spacing w:afterLines="0" w:after="160" w:line="259" w:lineRule="auto"/>
        <w:jc w:val="left"/>
        <w:rPr>
          <w:rFonts w:ascii="Arial" w:eastAsiaTheme="majorEastAsia" w:hAnsi="Arial" w:cs="Arial"/>
          <w:b/>
          <w:color w:val="2F5496" w:themeColor="accent1" w:themeShade="BF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325797E1" w14:textId="44E20D10" w:rsidR="003950E5" w:rsidRPr="00991B65" w:rsidRDefault="003950E5" w:rsidP="003950E5">
      <w:pPr>
        <w:pStyle w:val="SP-headings"/>
        <w:spacing w:afterLines="0" w:after="120" w:line="480" w:lineRule="auto"/>
        <w:jc w:val="center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lastRenderedPageBreak/>
        <w:t>SUPPLEMENTARY MATERIALS</w:t>
      </w:r>
    </w:p>
    <w:p w14:paraId="656A5293" w14:textId="77777777" w:rsidR="003950E5" w:rsidRPr="00991B65" w:rsidRDefault="003950E5" w:rsidP="003950E5">
      <w:pPr>
        <w:pStyle w:val="SP-headings"/>
        <w:spacing w:afterLines="0" w:after="120" w:line="480" w:lineRule="auto"/>
        <w:jc w:val="left"/>
        <w:outlineLvl w:val="9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t>METHODS</w:t>
      </w:r>
    </w:p>
    <w:p w14:paraId="3AEEC850" w14:textId="77777777" w:rsidR="003950E5" w:rsidRPr="00991B65" w:rsidRDefault="003950E5" w:rsidP="003950E5">
      <w:pPr>
        <w:pStyle w:val="SP-subheadings"/>
        <w:spacing w:before="0" w:afterLines="0" w:after="120" w:line="480" w:lineRule="auto"/>
        <w:jc w:val="left"/>
        <w:outlineLvl w:val="9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t>Bioanalytical Methods</w:t>
      </w:r>
    </w:p>
    <w:p w14:paraId="75878904" w14:textId="77777777" w:rsidR="003950E5" w:rsidRPr="00991B65" w:rsidRDefault="003950E5" w:rsidP="003950E5">
      <w:pPr>
        <w:pStyle w:val="BodyText"/>
        <w:spacing w:afterLines="0" w:after="120" w:line="480" w:lineRule="auto"/>
        <w:jc w:val="left"/>
        <w:rPr>
          <w:rFonts w:ascii="Arial" w:hAnsi="Arial" w:cs="Arial"/>
          <w:sz w:val="22"/>
          <w:szCs w:val="22"/>
        </w:rPr>
      </w:pPr>
      <w:r w:rsidRPr="00991B65">
        <w:rPr>
          <w:rFonts w:ascii="Arial" w:hAnsi="Arial" w:cs="Arial"/>
          <w:sz w:val="22"/>
          <w:szCs w:val="22"/>
        </w:rPr>
        <w:t>The analytical range</w:t>
      </w:r>
      <w:r>
        <w:rPr>
          <w:rFonts w:ascii="Arial" w:hAnsi="Arial" w:cs="Arial"/>
          <w:sz w:val="22"/>
          <w:szCs w:val="22"/>
        </w:rPr>
        <w:t>s</w:t>
      </w:r>
      <w:r w:rsidRPr="00991B65">
        <w:rPr>
          <w:rFonts w:ascii="Arial" w:hAnsi="Arial" w:cs="Arial"/>
          <w:sz w:val="22"/>
          <w:szCs w:val="22"/>
        </w:rPr>
        <w:t xml:space="preserve"> for MCC substrate metabolites were: paraxanthine 25.0 to 7500 ng/mL, </w:t>
      </w:r>
      <w:proofErr w:type="spellStart"/>
      <w:r w:rsidRPr="00991B65">
        <w:rPr>
          <w:rFonts w:ascii="Arial" w:hAnsi="Arial" w:cs="Arial"/>
          <w:sz w:val="22"/>
          <w:szCs w:val="22"/>
        </w:rPr>
        <w:t>dextrorphan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1.00 to 1000 ng/mL, and 1-hydroxymidazolam 0.200 to 40.0 ng/</w:t>
      </w:r>
      <w:proofErr w:type="spellStart"/>
      <w:r w:rsidRPr="00991B65">
        <w:rPr>
          <w:rFonts w:ascii="Arial" w:hAnsi="Arial" w:cs="Arial"/>
          <w:sz w:val="22"/>
          <w:szCs w:val="22"/>
        </w:rPr>
        <w:t>mL.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All concentrations are reported as freebase.</w:t>
      </w:r>
    </w:p>
    <w:p w14:paraId="6BA04421" w14:textId="77777777" w:rsidR="003950E5" w:rsidRPr="00991B65" w:rsidRDefault="003950E5" w:rsidP="003950E5">
      <w:pPr>
        <w:spacing w:afterLines="0" w:after="0" w:line="480" w:lineRule="auto"/>
        <w:jc w:val="left"/>
        <w:rPr>
          <w:rFonts w:ascii="Arial" w:hAnsi="Arial" w:cs="Arial"/>
          <w:iCs/>
          <w:sz w:val="22"/>
          <w:szCs w:val="22"/>
        </w:rPr>
      </w:pPr>
      <w:r w:rsidRPr="00991B65">
        <w:rPr>
          <w:rFonts w:ascii="Arial" w:hAnsi="Arial" w:cs="Arial"/>
          <w:i/>
          <w:sz w:val="22"/>
          <w:szCs w:val="22"/>
        </w:rPr>
        <w:t>Caffeine and paraxanthine</w:t>
      </w:r>
      <w:r w:rsidRPr="00991B65">
        <w:rPr>
          <w:rFonts w:ascii="Arial" w:hAnsi="Arial" w:cs="Arial"/>
          <w:iCs/>
          <w:sz w:val="22"/>
          <w:szCs w:val="22"/>
        </w:rPr>
        <w:t>: Study samples were analy</w:t>
      </w:r>
      <w:r>
        <w:rPr>
          <w:rFonts w:ascii="Arial" w:hAnsi="Arial" w:cs="Arial"/>
          <w:iCs/>
          <w:sz w:val="22"/>
          <w:szCs w:val="22"/>
        </w:rPr>
        <w:t>zed</w:t>
      </w:r>
      <w:r w:rsidRPr="003A6B2D">
        <w:rPr>
          <w:rFonts w:ascii="Arial" w:hAnsi="Arial" w:cs="Arial"/>
          <w:iCs/>
          <w:sz w:val="22"/>
          <w:szCs w:val="22"/>
        </w:rPr>
        <w:t xml:space="preserve"> on a </w:t>
      </w:r>
      <w:proofErr w:type="spellStart"/>
      <w:r w:rsidRPr="003A6B2D">
        <w:rPr>
          <w:rFonts w:ascii="Arial" w:hAnsi="Arial" w:cs="Arial"/>
          <w:iCs/>
          <w:sz w:val="22"/>
          <w:szCs w:val="22"/>
        </w:rPr>
        <w:t>Sciex</w:t>
      </w:r>
      <w:proofErr w:type="spellEnd"/>
      <w:r w:rsidRPr="003A6B2D">
        <w:rPr>
          <w:rFonts w:ascii="Arial" w:hAnsi="Arial" w:cs="Arial"/>
          <w:iCs/>
          <w:sz w:val="22"/>
          <w:szCs w:val="22"/>
        </w:rPr>
        <w:t xml:space="preserve"> API 4000 equipped </w:t>
      </w:r>
      <w:r w:rsidRPr="001B2DAF">
        <w:rPr>
          <w:rFonts w:ascii="Karla" w:hAnsi="Karla" w:cs="Arial"/>
          <w:iCs/>
          <w:sz w:val="22"/>
          <w:szCs w:val="22"/>
        </w:rPr>
        <w:t xml:space="preserve">with </w:t>
      </w:r>
      <w:r w:rsidRPr="003A6B2D">
        <w:rPr>
          <w:rFonts w:ascii="Arial" w:hAnsi="Arial" w:cs="Arial"/>
          <w:iCs/>
          <w:sz w:val="22"/>
          <w:szCs w:val="22"/>
        </w:rPr>
        <w:t>Phenomenex’s L</w:t>
      </w:r>
      <w:r w:rsidRPr="00185BC7">
        <w:rPr>
          <w:rFonts w:ascii="Arial" w:hAnsi="Arial" w:cs="Arial"/>
          <w:iCs/>
          <w:sz w:val="22"/>
          <w:szCs w:val="22"/>
        </w:rPr>
        <w:t>una</w:t>
      </w:r>
      <w:r w:rsidRPr="00991B65">
        <w:rPr>
          <w:rFonts w:ascii="Arial" w:hAnsi="Arial" w:cs="Arial"/>
          <w:iCs/>
          <w:sz w:val="22"/>
          <w:szCs w:val="22"/>
        </w:rPr>
        <w:t xml:space="preserve"> Silica 3 mcm, 4.6 x 50 mm HPLC column using Analyst</w:t>
      </w:r>
      <w:r w:rsidRPr="00991B65">
        <w:rPr>
          <w:rFonts w:ascii="Arial" w:hAnsi="Arial" w:cs="Arial"/>
          <w:iCs/>
          <w:sz w:val="22"/>
          <w:szCs w:val="22"/>
          <w:vertAlign w:val="superscript"/>
        </w:rPr>
        <w:t>®</w:t>
      </w:r>
      <w:r w:rsidRPr="00991B65">
        <w:rPr>
          <w:rFonts w:ascii="Arial" w:hAnsi="Arial" w:cs="Arial"/>
          <w:iCs/>
          <w:sz w:val="22"/>
          <w:szCs w:val="22"/>
        </w:rPr>
        <w:t xml:space="preserve"> (Version 1.6.1, Applied Biosystems/MDS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Sciex</w:t>
      </w:r>
      <w:proofErr w:type="spellEnd"/>
      <w:r w:rsidRPr="00991B65">
        <w:rPr>
          <w:rFonts w:ascii="Arial" w:hAnsi="Arial" w:cs="Arial"/>
          <w:iCs/>
          <w:sz w:val="22"/>
          <w:szCs w:val="22"/>
        </w:rPr>
        <w:t xml:space="preserve">) and peak areas imported into Watson Laboratory Information Management System™ (LIMS; Version 7.5,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Thermo</w:t>
      </w:r>
      <w:proofErr w:type="spellEnd"/>
      <w:r w:rsidRPr="00991B65">
        <w:rPr>
          <w:rFonts w:ascii="Arial" w:hAnsi="Arial" w:cs="Arial"/>
          <w:iCs/>
          <w:sz w:val="22"/>
          <w:szCs w:val="22"/>
        </w:rPr>
        <w:t xml:space="preserve"> Fisher Scientific) in support of quantification. Human plasma samples were analy</w:t>
      </w:r>
      <w:r>
        <w:rPr>
          <w:rFonts w:ascii="Arial" w:hAnsi="Arial" w:cs="Arial"/>
          <w:iCs/>
          <w:sz w:val="22"/>
          <w:szCs w:val="22"/>
        </w:rPr>
        <w:t>zed</w:t>
      </w:r>
      <w:r w:rsidRPr="003A6B2D">
        <w:rPr>
          <w:rFonts w:ascii="Arial" w:hAnsi="Arial" w:cs="Arial"/>
          <w:iCs/>
          <w:sz w:val="22"/>
          <w:szCs w:val="22"/>
        </w:rPr>
        <w:t xml:space="preserve"> for caffeine and paraxanthine using a method validated for a calibration range of 50.0 to 15</w:t>
      </w:r>
      <w:r>
        <w:rPr>
          <w:rFonts w:ascii="Arial" w:hAnsi="Arial" w:cs="Arial"/>
          <w:iCs/>
          <w:sz w:val="22"/>
          <w:szCs w:val="22"/>
        </w:rPr>
        <w:t>,</w:t>
      </w:r>
      <w:r w:rsidRPr="003A6B2D">
        <w:rPr>
          <w:rFonts w:ascii="Arial" w:hAnsi="Arial" w:cs="Arial"/>
          <w:iCs/>
          <w:sz w:val="22"/>
          <w:szCs w:val="22"/>
        </w:rPr>
        <w:t xml:space="preserve">000 ng/mL for caffeine and 25.0 to 7500 ng/mL for paraxanthine based on the analysis of 0.100 mL of plasma. Human plasma samples containing caffeine and paraxanthine, and the corresponding stable isotope-labeled internal standards, namely caffeine-[13C3] and paraxanthine-D3, were extracted by solid-phase extraction (SPE) using a Strata™-X 33 mcm Polymeric Reversed Phase, 30 mg/well, 96-well plate conditioned with methanol followed by water, and then the plasma samples were loaded onto the SPE plate. The SPE plate was washed with a low organic aqueous solution (5% methanol in water) and the analytes of interest </w:t>
      </w:r>
      <w:r>
        <w:rPr>
          <w:rFonts w:ascii="Arial" w:hAnsi="Arial" w:cs="Arial"/>
          <w:iCs/>
          <w:sz w:val="22"/>
          <w:szCs w:val="22"/>
        </w:rPr>
        <w:t xml:space="preserve">were </w:t>
      </w:r>
      <w:r w:rsidRPr="00991B65">
        <w:rPr>
          <w:rFonts w:ascii="Arial" w:hAnsi="Arial" w:cs="Arial"/>
          <w:iCs/>
          <w:sz w:val="22"/>
          <w:szCs w:val="22"/>
        </w:rPr>
        <w:t xml:space="preserve">eluted using an organic acetonitrile/methanol (1:1) solution. The elutes in the collection plate were evaporated under a gentle stream of N2 at 45°C and the dried residue(s) reconstituted in mobile phase, namely ethyl acetate/methanol/water/formic acid (900:100:20:1). The peaks of interest were chromatographically eluted under gradient conditions on a silica column, and the column effluent monitored under multiple reaction monitoring (MRM) on an API 4000. The peak area of m/z 195.1→138.0 for caffeine and m/z 181.1→124.0 for paraxanthine was measured against </w:t>
      </w:r>
      <w:r w:rsidRPr="00991B65">
        <w:rPr>
          <w:rFonts w:ascii="Arial" w:hAnsi="Arial" w:cs="Arial"/>
          <w:iCs/>
          <w:sz w:val="22"/>
          <w:szCs w:val="22"/>
        </w:rPr>
        <w:lastRenderedPageBreak/>
        <w:t xml:space="preserve">the peak area of m/z 198.1→140.0 for caffeine-[13C3] and m/z 184.1→124 for paraxanthine-D3, respectively. Quantitation was performed using a weighted 1/x2 linear least squares regression standard curve. The bioanalytical assay variability demonstrated during validation for all quality controls evaluated </w:t>
      </w:r>
      <w:r>
        <w:rPr>
          <w:rFonts w:ascii="Arial" w:hAnsi="Arial" w:cs="Arial"/>
          <w:iCs/>
          <w:sz w:val="22"/>
          <w:szCs w:val="22"/>
        </w:rPr>
        <w:t>is</w:t>
      </w:r>
      <w:r w:rsidRPr="00991B65">
        <w:rPr>
          <w:rFonts w:ascii="Arial" w:hAnsi="Arial" w:cs="Arial"/>
          <w:iCs/>
          <w:sz w:val="22"/>
          <w:szCs w:val="22"/>
        </w:rPr>
        <w:t xml:space="preserve"> shown in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S1</w:t>
      </w:r>
      <w:r w:rsidRPr="00991B65">
        <w:rPr>
          <w:rFonts w:ascii="Arial" w:hAnsi="Arial" w:cs="Arial"/>
          <w:iCs/>
          <w:sz w:val="22"/>
          <w:szCs w:val="22"/>
        </w:rPr>
        <w:t>.</w:t>
      </w:r>
    </w:p>
    <w:p w14:paraId="7E62928E" w14:textId="77777777" w:rsidR="003950E5" w:rsidRPr="00991B65" w:rsidRDefault="003950E5" w:rsidP="003950E5">
      <w:pPr>
        <w:spacing w:afterLines="0" w:after="120" w:line="480" w:lineRule="auto"/>
        <w:jc w:val="left"/>
        <w:rPr>
          <w:rFonts w:ascii="Arial" w:hAnsi="Arial" w:cs="Arial"/>
          <w:sz w:val="22"/>
          <w:szCs w:val="22"/>
        </w:rPr>
      </w:pPr>
      <w:r w:rsidRPr="00991B65">
        <w:rPr>
          <w:rFonts w:ascii="Arial" w:hAnsi="Arial" w:cs="Arial"/>
          <w:i/>
          <w:iCs/>
          <w:sz w:val="22"/>
          <w:szCs w:val="22"/>
        </w:rPr>
        <w:t xml:space="preserve">Dextromethorphan and </w:t>
      </w:r>
      <w:proofErr w:type="spellStart"/>
      <w:r w:rsidRPr="00991B65">
        <w:rPr>
          <w:rFonts w:ascii="Arial" w:hAnsi="Arial" w:cs="Arial"/>
          <w:i/>
          <w:iCs/>
          <w:sz w:val="22"/>
          <w:szCs w:val="22"/>
        </w:rPr>
        <w:t>dextrorphan</w:t>
      </w:r>
      <w:proofErr w:type="spellEnd"/>
      <w:r w:rsidRPr="00991B65">
        <w:rPr>
          <w:rFonts w:ascii="Arial" w:hAnsi="Arial" w:cs="Arial"/>
          <w:sz w:val="22"/>
          <w:szCs w:val="22"/>
        </w:rPr>
        <w:t>: Study samples were analy</w:t>
      </w:r>
      <w:r>
        <w:rPr>
          <w:rFonts w:ascii="Arial" w:hAnsi="Arial" w:cs="Arial"/>
          <w:sz w:val="22"/>
          <w:szCs w:val="22"/>
        </w:rPr>
        <w:t>zed</w:t>
      </w:r>
      <w:r w:rsidRPr="003A6B2D">
        <w:rPr>
          <w:rFonts w:ascii="Arial" w:hAnsi="Arial" w:cs="Arial"/>
          <w:sz w:val="22"/>
          <w:szCs w:val="22"/>
        </w:rPr>
        <w:t xml:space="preserve"> on a </w:t>
      </w:r>
      <w:proofErr w:type="spellStart"/>
      <w:r w:rsidRPr="003A6B2D">
        <w:rPr>
          <w:rFonts w:ascii="Arial" w:hAnsi="Arial" w:cs="Arial"/>
          <w:sz w:val="22"/>
          <w:szCs w:val="22"/>
        </w:rPr>
        <w:t>Sciex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API 5000 equipped with </w:t>
      </w:r>
      <w:proofErr w:type="spellStart"/>
      <w:r w:rsidRPr="003A6B2D">
        <w:rPr>
          <w:rFonts w:ascii="Arial" w:hAnsi="Arial" w:cs="Arial"/>
          <w:sz w:val="22"/>
          <w:szCs w:val="22"/>
        </w:rPr>
        <w:t>Thermo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Scientific’s</w:t>
      </w:r>
      <w:r w:rsidRPr="00991B6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91B65">
        <w:rPr>
          <w:rFonts w:ascii="Arial" w:hAnsi="Arial" w:cs="Arial"/>
          <w:sz w:val="22"/>
          <w:szCs w:val="22"/>
        </w:rPr>
        <w:t>Hypersil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Gold </w:t>
      </w:r>
      <w:proofErr w:type="spellStart"/>
      <w:r w:rsidRPr="00991B65">
        <w:rPr>
          <w:rFonts w:ascii="Arial" w:hAnsi="Arial" w:cs="Arial"/>
          <w:sz w:val="22"/>
          <w:szCs w:val="22"/>
        </w:rPr>
        <w:t>aQ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2.1 x 50 mm HPLC column using Analyst</w:t>
      </w:r>
      <w:r w:rsidRPr="00991B65">
        <w:rPr>
          <w:rFonts w:ascii="Arial" w:hAnsi="Arial" w:cs="Arial"/>
          <w:sz w:val="22"/>
          <w:szCs w:val="22"/>
          <w:vertAlign w:val="superscript"/>
        </w:rPr>
        <w:t>®</w:t>
      </w:r>
      <w:r w:rsidRPr="00991B65">
        <w:rPr>
          <w:rFonts w:ascii="Arial" w:hAnsi="Arial" w:cs="Arial"/>
          <w:sz w:val="22"/>
          <w:szCs w:val="22"/>
        </w:rPr>
        <w:t xml:space="preserve"> (Version 1.6.1, Applied Biosystems/MDS </w:t>
      </w:r>
      <w:proofErr w:type="spellStart"/>
      <w:r w:rsidRPr="00991B65">
        <w:rPr>
          <w:rFonts w:ascii="Arial" w:hAnsi="Arial" w:cs="Arial"/>
          <w:sz w:val="22"/>
          <w:szCs w:val="22"/>
        </w:rPr>
        <w:t>Sciex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) and peak areas imported into Watson LIMS™ (Version 7.5, </w:t>
      </w:r>
      <w:proofErr w:type="spellStart"/>
      <w:r w:rsidRPr="00991B65">
        <w:rPr>
          <w:rFonts w:ascii="Arial" w:hAnsi="Arial" w:cs="Arial"/>
          <w:sz w:val="22"/>
          <w:szCs w:val="22"/>
        </w:rPr>
        <w:t>Thermo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Fisher Scientific) in support of quantification. Human plasma samples were analy</w:t>
      </w:r>
      <w:r>
        <w:rPr>
          <w:rFonts w:ascii="Arial" w:hAnsi="Arial" w:cs="Arial"/>
          <w:sz w:val="22"/>
          <w:szCs w:val="22"/>
        </w:rPr>
        <w:t>zed</w:t>
      </w:r>
      <w:r w:rsidRPr="003A6B2D">
        <w:rPr>
          <w:rFonts w:ascii="Arial" w:hAnsi="Arial" w:cs="Arial"/>
          <w:sz w:val="22"/>
          <w:szCs w:val="22"/>
        </w:rPr>
        <w:t xml:space="preserve"> for dextromethorphan and </w:t>
      </w:r>
      <w:proofErr w:type="spellStart"/>
      <w:r w:rsidRPr="003A6B2D">
        <w:rPr>
          <w:rFonts w:ascii="Arial" w:hAnsi="Arial" w:cs="Arial"/>
          <w:sz w:val="22"/>
          <w:szCs w:val="22"/>
        </w:rPr>
        <w:t>dextrorphan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using a method validated for a range of 0.0300 to 30.0 ng/mL for dextromethorphan and 1.00 to 1000 ng/mL for </w:t>
      </w:r>
      <w:proofErr w:type="spellStart"/>
      <w:r w:rsidRPr="003A6B2D">
        <w:rPr>
          <w:rFonts w:ascii="Arial" w:hAnsi="Arial" w:cs="Arial"/>
          <w:sz w:val="22"/>
          <w:szCs w:val="22"/>
        </w:rPr>
        <w:t>dextrorphan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based on the analysis of 50.0 </w:t>
      </w:r>
      <w:proofErr w:type="spellStart"/>
      <w:r w:rsidRPr="003A6B2D">
        <w:rPr>
          <w:rFonts w:ascii="Arial" w:hAnsi="Arial" w:cs="Arial"/>
          <w:sz w:val="22"/>
          <w:szCs w:val="22"/>
        </w:rPr>
        <w:t>mcL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of plasma. Human plasma samples containing dextromethorphan and </w:t>
      </w:r>
      <w:proofErr w:type="spellStart"/>
      <w:r w:rsidRPr="003A6B2D">
        <w:rPr>
          <w:rFonts w:ascii="Arial" w:hAnsi="Arial" w:cs="Arial"/>
          <w:sz w:val="22"/>
          <w:szCs w:val="22"/>
        </w:rPr>
        <w:t>dextrorphan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, and the stable isotope-labeled internal standards, namely dextromethorphan-D3 and dextrorphan-D3, were extracted by liquid-liquid extraction after basification of plasma with 2% ammonium hydroxide in water (aqueous) and addition of methyl tert-butyl ether as the organic solvent. After vortex mixing, shaking on a reciprocal shaker, and centrifugation of the samples, the organic phase was carefully transferred into clean tubes and evaporated under a gentle stream of N2 at 40°C. The dried residue(s) were reconstituted in a 10% methanol in water solution. The analytes of interest were chromatographed on an HPLC C18 </w:t>
      </w:r>
      <w:proofErr w:type="spellStart"/>
      <w:r w:rsidRPr="003A6B2D">
        <w:rPr>
          <w:rFonts w:ascii="Arial" w:hAnsi="Arial" w:cs="Arial"/>
          <w:sz w:val="22"/>
          <w:szCs w:val="22"/>
        </w:rPr>
        <w:t>Hypersil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column under gradient conditions where mobile phase A consisted of methanol/water/ammonium acetate solution/formic acid (50:950:2.5:1) and mobile phase B consisted of methanol/water/ammonium acetate solution/formic acid (950:50:2.5:1) and the column effluent monitored under MRM on an API 5000. The peak area of m/z 272.1→215.2 for dextromethorphan and m/z 258.1→145.2 for </w:t>
      </w:r>
      <w:proofErr w:type="spellStart"/>
      <w:r w:rsidRPr="003A6B2D">
        <w:rPr>
          <w:rFonts w:ascii="Arial" w:hAnsi="Arial" w:cs="Arial"/>
          <w:sz w:val="22"/>
          <w:szCs w:val="22"/>
        </w:rPr>
        <w:t>dextrorphan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was measured against the peak area of m/z 275.2→215.2 for dextromethorphan-D3 and m/z 261.1→145.2 for dextrorphan-D3, respectively. Quantitation was performed using a weighted 1/x2 linear least squares regression </w:t>
      </w:r>
      <w:r w:rsidRPr="003A6B2D">
        <w:rPr>
          <w:rFonts w:ascii="Arial" w:hAnsi="Arial" w:cs="Arial"/>
          <w:sz w:val="22"/>
          <w:szCs w:val="22"/>
        </w:rPr>
        <w:lastRenderedPageBreak/>
        <w:t xml:space="preserve">calibration curve. </w:t>
      </w:r>
      <w:r w:rsidRPr="003A6B2D">
        <w:rPr>
          <w:rFonts w:ascii="Arial" w:hAnsi="Arial" w:cs="Arial"/>
          <w:iCs/>
          <w:sz w:val="22"/>
          <w:szCs w:val="22"/>
        </w:rPr>
        <w:t xml:space="preserve">The bioanalytical assay variability demonstrated during validation for all quality controls evaluated </w:t>
      </w:r>
      <w:r>
        <w:rPr>
          <w:rFonts w:ascii="Arial" w:hAnsi="Arial" w:cs="Arial"/>
          <w:iCs/>
          <w:sz w:val="22"/>
          <w:szCs w:val="22"/>
        </w:rPr>
        <w:t>is</w:t>
      </w:r>
      <w:r w:rsidRPr="00991B65">
        <w:rPr>
          <w:rFonts w:ascii="Arial" w:hAnsi="Arial" w:cs="Arial"/>
          <w:iCs/>
          <w:sz w:val="22"/>
          <w:szCs w:val="22"/>
        </w:rPr>
        <w:t xml:space="preserve"> shown in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S1</w:t>
      </w:r>
      <w:r w:rsidRPr="00991B65">
        <w:rPr>
          <w:rFonts w:ascii="Arial" w:hAnsi="Arial" w:cs="Arial"/>
          <w:iCs/>
          <w:sz w:val="22"/>
          <w:szCs w:val="22"/>
        </w:rPr>
        <w:t>.</w:t>
      </w:r>
    </w:p>
    <w:p w14:paraId="269D596F" w14:textId="77777777" w:rsidR="003950E5" w:rsidRPr="00991B65" w:rsidRDefault="003950E5" w:rsidP="003950E5">
      <w:pPr>
        <w:spacing w:afterLines="0" w:after="120" w:line="480" w:lineRule="auto"/>
        <w:jc w:val="left"/>
        <w:rPr>
          <w:rFonts w:ascii="Arial" w:hAnsi="Arial" w:cs="Arial"/>
          <w:sz w:val="22"/>
          <w:szCs w:val="22"/>
        </w:rPr>
      </w:pPr>
      <w:r w:rsidRPr="00991B65">
        <w:rPr>
          <w:rFonts w:ascii="Arial" w:hAnsi="Arial" w:cs="Arial"/>
          <w:i/>
          <w:iCs/>
          <w:sz w:val="22"/>
          <w:szCs w:val="22"/>
        </w:rPr>
        <w:t>Midazolam and 1-hydroxymidazolam</w:t>
      </w:r>
      <w:r w:rsidRPr="00991B65">
        <w:rPr>
          <w:rFonts w:ascii="Arial" w:hAnsi="Arial" w:cs="Arial"/>
          <w:sz w:val="22"/>
          <w:szCs w:val="22"/>
        </w:rPr>
        <w:t>: Study samples were analy</w:t>
      </w:r>
      <w:r>
        <w:rPr>
          <w:rFonts w:ascii="Arial" w:hAnsi="Arial" w:cs="Arial"/>
          <w:sz w:val="22"/>
          <w:szCs w:val="22"/>
        </w:rPr>
        <w:t>zed</w:t>
      </w:r>
      <w:r w:rsidRPr="003A6B2D">
        <w:rPr>
          <w:rFonts w:ascii="Arial" w:hAnsi="Arial" w:cs="Arial"/>
          <w:sz w:val="22"/>
          <w:szCs w:val="22"/>
        </w:rPr>
        <w:t xml:space="preserve"> on a </w:t>
      </w:r>
      <w:proofErr w:type="spellStart"/>
      <w:r w:rsidRPr="003A6B2D">
        <w:rPr>
          <w:rFonts w:ascii="Arial" w:hAnsi="Arial" w:cs="Arial"/>
          <w:sz w:val="22"/>
          <w:szCs w:val="22"/>
        </w:rPr>
        <w:t>Sciex</w:t>
      </w:r>
      <w:proofErr w:type="spellEnd"/>
      <w:r w:rsidRPr="003A6B2D">
        <w:rPr>
          <w:rFonts w:ascii="Arial" w:hAnsi="Arial" w:cs="Arial"/>
          <w:sz w:val="22"/>
          <w:szCs w:val="22"/>
        </w:rPr>
        <w:t xml:space="preserve"> API 4000 equipped with Fortis Technologies’</w:t>
      </w:r>
      <w:r w:rsidRPr="00991B65">
        <w:rPr>
          <w:rFonts w:ascii="Arial" w:hAnsi="Arial" w:cs="Arial"/>
          <w:sz w:val="22"/>
          <w:szCs w:val="22"/>
        </w:rPr>
        <w:t xml:space="preserve"> Diphenyl, 50 x 2.1 mm HPLC column using Analyst</w:t>
      </w:r>
      <w:r w:rsidRPr="00991B65">
        <w:rPr>
          <w:rFonts w:ascii="Arial" w:hAnsi="Arial" w:cs="Arial"/>
          <w:sz w:val="22"/>
          <w:szCs w:val="22"/>
          <w:vertAlign w:val="superscript"/>
        </w:rPr>
        <w:t>®</w:t>
      </w:r>
      <w:r w:rsidRPr="00991B65">
        <w:rPr>
          <w:rFonts w:ascii="Arial" w:hAnsi="Arial" w:cs="Arial"/>
          <w:sz w:val="22"/>
          <w:szCs w:val="22"/>
        </w:rPr>
        <w:t xml:space="preserve"> (Version 1.6.1, Applied Biosystems/MDS </w:t>
      </w:r>
      <w:proofErr w:type="spellStart"/>
      <w:r w:rsidRPr="00991B65">
        <w:rPr>
          <w:rFonts w:ascii="Arial" w:hAnsi="Arial" w:cs="Arial"/>
          <w:sz w:val="22"/>
          <w:szCs w:val="22"/>
        </w:rPr>
        <w:t>Sciex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) and peak areas imported into Watson LIMS™ (Version 7.2.0.03, </w:t>
      </w:r>
      <w:proofErr w:type="spellStart"/>
      <w:r w:rsidRPr="00991B65">
        <w:rPr>
          <w:rFonts w:ascii="Arial" w:hAnsi="Arial" w:cs="Arial"/>
          <w:sz w:val="22"/>
          <w:szCs w:val="22"/>
        </w:rPr>
        <w:t>Thermo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Fisher Scientific) in support of quantification. Human plasma samples were simultaneously analy</w:t>
      </w:r>
      <w:r>
        <w:rPr>
          <w:rFonts w:ascii="Arial" w:hAnsi="Arial" w:cs="Arial"/>
          <w:sz w:val="22"/>
          <w:szCs w:val="22"/>
        </w:rPr>
        <w:t>zed</w:t>
      </w:r>
      <w:r w:rsidRPr="003A6B2D">
        <w:rPr>
          <w:rFonts w:ascii="Arial" w:hAnsi="Arial" w:cs="Arial"/>
          <w:sz w:val="22"/>
          <w:szCs w:val="22"/>
        </w:rPr>
        <w:t xml:space="preserve"> for midazolam and 1-hydroxymidazolam using a method validated for a range of 0.200 to 40.0 ng/mL for both midazolam and 1-hydroxymidazolam based on the analysis of 0.200 mL of plasma. Human plasma samples containing midazolam and 1-hydroxymidazolam and the stable isotope</w:t>
      </w:r>
      <w:r>
        <w:rPr>
          <w:rFonts w:ascii="Arial" w:hAnsi="Arial" w:cs="Arial"/>
          <w:sz w:val="22"/>
          <w:szCs w:val="22"/>
        </w:rPr>
        <w:t>-</w:t>
      </w:r>
      <w:r w:rsidRPr="00991B65">
        <w:rPr>
          <w:rFonts w:ascii="Arial" w:hAnsi="Arial" w:cs="Arial"/>
          <w:sz w:val="22"/>
          <w:szCs w:val="22"/>
        </w:rPr>
        <w:t>labeled internal standards, namely midazolam-D4 and 1-hydroxymidazolam-D4</w:t>
      </w:r>
      <w:r>
        <w:rPr>
          <w:rFonts w:ascii="Arial" w:hAnsi="Arial" w:cs="Arial"/>
          <w:sz w:val="22"/>
          <w:szCs w:val="22"/>
        </w:rPr>
        <w:t>,</w:t>
      </w:r>
      <w:r w:rsidRPr="00991B65">
        <w:rPr>
          <w:rFonts w:ascii="Arial" w:hAnsi="Arial" w:cs="Arial"/>
          <w:sz w:val="22"/>
          <w:szCs w:val="22"/>
        </w:rPr>
        <w:t xml:space="preserve"> were extracted by liquid-liquid extraction after basification of plasma with 0.1 M sodium bicarbonate solution (aqueous) and addition of methyl-tert-butyl-ether/n-butyl chloride (3:2) as the organic solvent. After vortex mixing, shaking on a reciprocal shaker, and centrifugation of the samples, the organic phase was carefully transferred into clean tubes and evaporated under a gentle stream of N2 at 40°C. The dried residue(s) were reconstituted in formic acid/methanol/water, 0.1:100:100. The analytes of interest were chromatographed on an HPLC diphenyl column under gradient conditions where mobile phase A consisted of 1 mM ammonium trifluoroacetate in formic acid/water/methanol (1:490:510) and mobile phase B consisted of methanol and the column effluent monitored under MRM on an API 4000. The peak area of m/z 326→291 for midazolam and m/z 342→203 for 1-hydroxymidazolam was measured against the peak area of m/z 330→295 for midazolam-D4 and m/z 346→203 for 1-hydroxymidazolam-D4, respectively. Quantitation was performed using weighted 1/x2 linear least squares regression analyses generated from calibration standards. </w:t>
      </w:r>
      <w:r w:rsidRPr="00991B65">
        <w:rPr>
          <w:rFonts w:ascii="Arial" w:hAnsi="Arial" w:cs="Arial"/>
          <w:iCs/>
          <w:sz w:val="22"/>
          <w:szCs w:val="22"/>
        </w:rPr>
        <w:t xml:space="preserve">The bioanalytical assay variability demonstrated during validation for all quality controls evaluated </w:t>
      </w:r>
      <w:r>
        <w:rPr>
          <w:rFonts w:ascii="Arial" w:hAnsi="Arial" w:cs="Arial"/>
          <w:iCs/>
          <w:sz w:val="22"/>
          <w:szCs w:val="22"/>
        </w:rPr>
        <w:t>is</w:t>
      </w:r>
      <w:r w:rsidRPr="00991B65">
        <w:rPr>
          <w:rFonts w:ascii="Arial" w:hAnsi="Arial" w:cs="Arial"/>
          <w:iCs/>
          <w:sz w:val="22"/>
          <w:szCs w:val="22"/>
        </w:rPr>
        <w:t xml:space="preserve"> shown in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S1</w:t>
      </w:r>
      <w:r w:rsidRPr="00991B65">
        <w:rPr>
          <w:rFonts w:ascii="Arial" w:hAnsi="Arial" w:cs="Arial"/>
          <w:iCs/>
          <w:sz w:val="22"/>
          <w:szCs w:val="22"/>
        </w:rPr>
        <w:t>.</w:t>
      </w:r>
    </w:p>
    <w:p w14:paraId="7D7CB6EF" w14:textId="77777777" w:rsidR="003950E5" w:rsidRPr="00991B65" w:rsidRDefault="003950E5" w:rsidP="003950E5">
      <w:pPr>
        <w:pStyle w:val="SP-headings"/>
        <w:spacing w:afterLines="0" w:after="120" w:line="480" w:lineRule="auto"/>
        <w:jc w:val="left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lastRenderedPageBreak/>
        <w:t>RESULTS</w:t>
      </w:r>
    </w:p>
    <w:p w14:paraId="3482F732" w14:textId="77777777" w:rsidR="003950E5" w:rsidRPr="00991B65" w:rsidRDefault="003950E5" w:rsidP="003950E5">
      <w:pPr>
        <w:pStyle w:val="SP-subheadings"/>
        <w:spacing w:before="0" w:afterLines="0" w:after="120" w:line="240" w:lineRule="auto"/>
        <w:jc w:val="left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t>Impact of Viloxazine ER on the Pharmacokinetics and Bioavailability of Caffeine Metabolite, Paraxanthine</w:t>
      </w:r>
    </w:p>
    <w:p w14:paraId="1F52031F" w14:textId="77777777" w:rsidR="003950E5" w:rsidRPr="00991B65" w:rsidRDefault="003950E5" w:rsidP="003950E5">
      <w:pPr>
        <w:spacing w:afterLines="0" w:after="120" w:line="480" w:lineRule="auto"/>
        <w:jc w:val="left"/>
        <w:rPr>
          <w:rFonts w:ascii="Arial" w:hAnsi="Arial" w:cs="Arial"/>
          <w:iCs/>
          <w:sz w:val="22"/>
          <w:szCs w:val="22"/>
        </w:rPr>
      </w:pPr>
      <w:r w:rsidRPr="00991B65">
        <w:rPr>
          <w:rFonts w:ascii="Arial" w:hAnsi="Arial" w:cs="Arial"/>
          <w:sz w:val="22"/>
          <w:szCs w:val="22"/>
        </w:rPr>
        <w:t xml:space="preserve">Viloxazine ER markedly delayed paraxanthine </w:t>
      </w:r>
      <w:proofErr w:type="spellStart"/>
      <w:r w:rsidRPr="00991B65">
        <w:rPr>
          <w:rFonts w:ascii="Arial" w:hAnsi="Arial" w:cs="Arial"/>
          <w:sz w:val="22"/>
          <w:szCs w:val="22"/>
        </w:rPr>
        <w:t>T</w:t>
      </w:r>
      <w:r w:rsidRPr="00991B6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by approximately 40 hours (MCC alone = 8 hours, combination = 48 hours) and markedly reduced paraxanthine </w:t>
      </w:r>
      <w:proofErr w:type="spellStart"/>
      <w:r w:rsidRPr="00991B65">
        <w:rPr>
          <w:rFonts w:ascii="Arial" w:hAnsi="Arial" w:cs="Arial"/>
          <w:sz w:val="22"/>
          <w:szCs w:val="22"/>
        </w:rPr>
        <w:t>C</w:t>
      </w:r>
      <w:r w:rsidRPr="00991B6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and AUC</w:t>
      </w:r>
      <w:r w:rsidRPr="00991B65">
        <w:rPr>
          <w:rFonts w:ascii="Arial" w:hAnsi="Arial" w:cs="Arial"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sz w:val="22"/>
          <w:szCs w:val="22"/>
        </w:rPr>
        <w:t xml:space="preserve"> compared to MCC alone (</w:t>
      </w:r>
      <w:r w:rsidRPr="00991B65">
        <w:rPr>
          <w:rFonts w:ascii="Arial" w:hAnsi="Arial" w:cs="Arial"/>
          <w:b/>
          <w:bCs/>
          <w:sz w:val="22"/>
          <w:szCs w:val="22"/>
        </w:rPr>
        <w:t>Table S2</w:t>
      </w:r>
      <w:r w:rsidRPr="00991B65">
        <w:rPr>
          <w:rFonts w:ascii="Arial" w:hAnsi="Arial" w:cs="Arial"/>
          <w:sz w:val="22"/>
          <w:szCs w:val="22"/>
        </w:rPr>
        <w:t>). When comparing paraxanthine bioavailability between treatment periods, the ratios (viloxazine ER and MCC combination/MCC alone) expressed as GMR and 90% CI were:</w:t>
      </w:r>
      <w:r w:rsidRPr="00991B65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iCs/>
          <w:sz w:val="22"/>
          <w:szCs w:val="22"/>
          <w:vertAlign w:val="subscript"/>
        </w:rPr>
        <w:t xml:space="preserve"> </w:t>
      </w:r>
      <w:r w:rsidRPr="00991B65">
        <w:rPr>
          <w:rFonts w:ascii="Arial" w:hAnsi="Arial" w:cs="Arial"/>
          <w:iCs/>
          <w:sz w:val="22"/>
          <w:szCs w:val="22"/>
        </w:rPr>
        <w:t>= 21.14% (16.22–27.56) and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iCs/>
          <w:sz w:val="22"/>
          <w:szCs w:val="22"/>
        </w:rPr>
        <w:t xml:space="preserve"> = 20.66% (18.07–23.61;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S3</w:t>
      </w:r>
      <w:r w:rsidRPr="00991B65">
        <w:rPr>
          <w:rFonts w:ascii="Arial" w:hAnsi="Arial" w:cs="Arial"/>
          <w:iCs/>
          <w:sz w:val="22"/>
          <w:szCs w:val="22"/>
        </w:rPr>
        <w:t xml:space="preserve">). The 90% CIs for paraxanthine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iCs/>
          <w:sz w:val="22"/>
          <w:szCs w:val="22"/>
        </w:rPr>
        <w:t xml:space="preserve"> and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iCs/>
          <w:sz w:val="22"/>
          <w:szCs w:val="22"/>
        </w:rPr>
        <w:t xml:space="preserve"> were completely below the pre-determined no-difference limits of 80.00%–125.00%, suggesting that </w:t>
      </w:r>
      <w:r w:rsidRPr="00991B65">
        <w:rPr>
          <w:rFonts w:ascii="Arial" w:hAnsi="Arial" w:cs="Arial"/>
          <w:sz w:val="22"/>
          <w:szCs w:val="22"/>
        </w:rPr>
        <w:t>viloxazine ER substantially delayed the rate and extent of caffeine metabolite paraxanthine formation.</w:t>
      </w:r>
    </w:p>
    <w:p w14:paraId="284E7A74" w14:textId="77777777" w:rsidR="003950E5" w:rsidRPr="00991B65" w:rsidRDefault="003950E5" w:rsidP="003950E5">
      <w:pPr>
        <w:pStyle w:val="SP-subheadings"/>
        <w:spacing w:before="0" w:afterLines="0" w:after="120" w:line="240" w:lineRule="auto"/>
        <w:jc w:val="left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t xml:space="preserve">Impact of Viloxazine ER on the Pharmacokinetics and Bioavailability of Dextromethorphan Metabolite, </w:t>
      </w:r>
      <w:proofErr w:type="spellStart"/>
      <w:r w:rsidRPr="00991B65">
        <w:rPr>
          <w:rFonts w:cs="Arial"/>
          <w:sz w:val="22"/>
          <w:szCs w:val="22"/>
        </w:rPr>
        <w:t>Dextrorphan</w:t>
      </w:r>
      <w:proofErr w:type="spellEnd"/>
    </w:p>
    <w:p w14:paraId="65BC84D6" w14:textId="71EE6B71" w:rsidR="003950E5" w:rsidRPr="00991B65" w:rsidRDefault="003950E5" w:rsidP="003950E5">
      <w:pPr>
        <w:spacing w:afterLines="0" w:after="120" w:line="480" w:lineRule="auto"/>
        <w:jc w:val="left"/>
        <w:rPr>
          <w:rFonts w:ascii="Arial" w:hAnsi="Arial" w:cs="Arial"/>
          <w:iCs/>
          <w:sz w:val="22"/>
          <w:szCs w:val="22"/>
        </w:rPr>
      </w:pPr>
      <w:r w:rsidRPr="00991B65">
        <w:rPr>
          <w:rFonts w:ascii="Arial" w:hAnsi="Arial" w:cs="Arial"/>
          <w:sz w:val="22"/>
          <w:szCs w:val="22"/>
        </w:rPr>
        <w:t xml:space="preserve">Although viloxazine ER delayed </w:t>
      </w:r>
      <w:proofErr w:type="spellStart"/>
      <w:r w:rsidRPr="00991B65">
        <w:rPr>
          <w:rFonts w:ascii="Arial" w:hAnsi="Arial" w:cs="Arial"/>
          <w:sz w:val="22"/>
          <w:szCs w:val="22"/>
        </w:rPr>
        <w:t>dextrorphan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91B65">
        <w:rPr>
          <w:rFonts w:ascii="Arial" w:hAnsi="Arial" w:cs="Arial"/>
          <w:sz w:val="22"/>
          <w:szCs w:val="22"/>
        </w:rPr>
        <w:t>T</w:t>
      </w:r>
      <w:r w:rsidRPr="00991B6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by approximately 1 hour (MCC alone = 2 hours, viloxazine ER and MCC combination = 3 hours), it did not substantially impact </w:t>
      </w:r>
      <w:r>
        <w:rPr>
          <w:rFonts w:ascii="Arial" w:hAnsi="Arial" w:cs="Arial"/>
          <w:sz w:val="22"/>
          <w:szCs w:val="22"/>
        </w:rPr>
        <w:t>pharmacokinetic</w:t>
      </w:r>
      <w:r w:rsidRPr="00991B65">
        <w:rPr>
          <w:rFonts w:ascii="Arial" w:hAnsi="Arial" w:cs="Arial"/>
          <w:sz w:val="22"/>
          <w:szCs w:val="22"/>
        </w:rPr>
        <w:t xml:space="preserve"> parameters compared to MCC alone (</w:t>
      </w:r>
      <w:r w:rsidRPr="00991B65">
        <w:rPr>
          <w:rFonts w:ascii="Arial" w:hAnsi="Arial" w:cs="Arial"/>
          <w:b/>
          <w:bCs/>
          <w:sz w:val="22"/>
          <w:szCs w:val="22"/>
        </w:rPr>
        <w:t>Table S2</w:t>
      </w:r>
      <w:r w:rsidRPr="00991B65">
        <w:rPr>
          <w:rFonts w:ascii="Arial" w:hAnsi="Arial" w:cs="Arial"/>
          <w:sz w:val="22"/>
          <w:szCs w:val="22"/>
        </w:rPr>
        <w:t xml:space="preserve">). When comparing </w:t>
      </w:r>
      <w:proofErr w:type="spellStart"/>
      <w:r w:rsidRPr="00991B65">
        <w:rPr>
          <w:rFonts w:ascii="Arial" w:hAnsi="Arial" w:cs="Arial"/>
          <w:sz w:val="22"/>
          <w:szCs w:val="22"/>
        </w:rPr>
        <w:t>dextrorphan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bioavailability between treatment periods, the ratios (viloxazine ER and MCC combination/MCC alone) expressed as GMR and 90% CI were:</w:t>
      </w:r>
      <w:r w:rsidRPr="00991B65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iCs/>
          <w:sz w:val="22"/>
          <w:szCs w:val="22"/>
          <w:vertAlign w:val="subscript"/>
        </w:rPr>
        <w:t xml:space="preserve"> </w:t>
      </w:r>
      <w:r w:rsidRPr="00991B65">
        <w:rPr>
          <w:rFonts w:ascii="Arial" w:hAnsi="Arial" w:cs="Arial"/>
          <w:iCs/>
          <w:sz w:val="22"/>
          <w:szCs w:val="22"/>
        </w:rPr>
        <w:t>= 95.51% (85.75–106.38),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iCs/>
          <w:sz w:val="22"/>
          <w:szCs w:val="22"/>
        </w:rPr>
        <w:t xml:space="preserve"> = 117.36% (103.68–132.83), and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0-inf</w:t>
      </w:r>
      <w:r w:rsidRPr="00991B65">
        <w:rPr>
          <w:rFonts w:ascii="Arial" w:hAnsi="Arial" w:cs="Arial"/>
          <w:iCs/>
          <w:sz w:val="22"/>
          <w:szCs w:val="22"/>
        </w:rPr>
        <w:t xml:space="preserve"> = 92.31% (79.71–106.92;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S3</w:t>
      </w:r>
      <w:r w:rsidRPr="00991B65">
        <w:rPr>
          <w:rFonts w:ascii="Arial" w:hAnsi="Arial" w:cs="Arial"/>
          <w:iCs/>
          <w:sz w:val="22"/>
          <w:szCs w:val="22"/>
        </w:rPr>
        <w:t>). The upper-bound CI for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iCs/>
          <w:sz w:val="22"/>
          <w:szCs w:val="22"/>
        </w:rPr>
        <w:t xml:space="preserve"> (132.83) was slightly above the no-difference limits of 80.00%–125.00%, the lower-bound CI for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0-inf</w:t>
      </w:r>
      <w:r w:rsidRPr="00991B65">
        <w:rPr>
          <w:rFonts w:ascii="Arial" w:hAnsi="Arial" w:cs="Arial"/>
          <w:iCs/>
          <w:sz w:val="22"/>
          <w:szCs w:val="22"/>
        </w:rPr>
        <w:t xml:space="preserve"> (79.71) was slightly below these limits, and both CIs for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iCs/>
          <w:sz w:val="22"/>
          <w:szCs w:val="22"/>
        </w:rPr>
        <w:t xml:space="preserve"> were within the no-difference limits. This suggests that </w:t>
      </w:r>
      <w:r w:rsidRPr="00991B65">
        <w:rPr>
          <w:rFonts w:ascii="Arial" w:hAnsi="Arial" w:cs="Arial"/>
          <w:sz w:val="22"/>
          <w:szCs w:val="22"/>
        </w:rPr>
        <w:t xml:space="preserve">viloxazine ER did not impact </w:t>
      </w:r>
      <w:proofErr w:type="spellStart"/>
      <w:r w:rsidRPr="00991B65">
        <w:rPr>
          <w:rFonts w:ascii="Arial" w:hAnsi="Arial" w:cs="Arial"/>
          <w:sz w:val="22"/>
          <w:szCs w:val="22"/>
        </w:rPr>
        <w:t>dextrorphan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formation and metabolism in a meaningful way.</w:t>
      </w:r>
    </w:p>
    <w:p w14:paraId="0C40F7A3" w14:textId="77777777" w:rsidR="003950E5" w:rsidRPr="00991B65" w:rsidRDefault="003950E5" w:rsidP="003950E5">
      <w:pPr>
        <w:pStyle w:val="SP-subheadings"/>
        <w:spacing w:before="0" w:afterLines="0" w:after="120" w:line="240" w:lineRule="auto"/>
        <w:jc w:val="left"/>
        <w:rPr>
          <w:rFonts w:cs="Arial"/>
          <w:sz w:val="22"/>
          <w:szCs w:val="22"/>
        </w:rPr>
      </w:pPr>
      <w:r w:rsidRPr="00991B65">
        <w:rPr>
          <w:rFonts w:cs="Arial"/>
          <w:sz w:val="22"/>
          <w:szCs w:val="22"/>
        </w:rPr>
        <w:t>Impact of Viloxazine ER on the Pharmacokinetics and Bioavailability of Midazolam Metabolite, 1-Hydroxymidazolam</w:t>
      </w:r>
    </w:p>
    <w:p w14:paraId="3368DF4A" w14:textId="77777777" w:rsidR="003950E5" w:rsidRPr="00991B65" w:rsidRDefault="003950E5" w:rsidP="003950E5">
      <w:pPr>
        <w:spacing w:afterLines="0" w:after="120" w:line="480" w:lineRule="auto"/>
        <w:jc w:val="left"/>
        <w:rPr>
          <w:rFonts w:ascii="Arial" w:eastAsiaTheme="majorEastAsia" w:hAnsi="Arial" w:cs="Arial"/>
          <w:b/>
          <w:sz w:val="22"/>
          <w:szCs w:val="22"/>
        </w:rPr>
      </w:pPr>
      <w:r w:rsidRPr="00991B65">
        <w:rPr>
          <w:rFonts w:ascii="Arial" w:hAnsi="Arial" w:cs="Arial"/>
          <w:sz w:val="22"/>
          <w:szCs w:val="22"/>
        </w:rPr>
        <w:t xml:space="preserve">Relative to MCC alone, viloxazine ER did not appear to impact 1-hydroxymidazolam </w:t>
      </w:r>
      <w:proofErr w:type="spellStart"/>
      <w:r w:rsidRPr="00991B65">
        <w:rPr>
          <w:rFonts w:ascii="Arial" w:hAnsi="Arial" w:cs="Arial"/>
          <w:sz w:val="22"/>
          <w:szCs w:val="22"/>
        </w:rPr>
        <w:t>T</w:t>
      </w:r>
      <w:r w:rsidRPr="00991B6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2 hours</w:t>
      </w:r>
      <w:r w:rsidRPr="00991B65">
        <w:rPr>
          <w:rFonts w:ascii="Arial" w:hAnsi="Arial" w:cs="Arial"/>
          <w:sz w:val="22"/>
          <w:szCs w:val="22"/>
        </w:rPr>
        <w:t xml:space="preserve"> for both treatment periods) but did appear to reduce </w:t>
      </w:r>
      <w:proofErr w:type="spellStart"/>
      <w:r w:rsidRPr="00991B65">
        <w:rPr>
          <w:rFonts w:ascii="Arial" w:hAnsi="Arial" w:cs="Arial"/>
          <w:sz w:val="22"/>
          <w:szCs w:val="22"/>
        </w:rPr>
        <w:t>C</w:t>
      </w:r>
      <w:r w:rsidRPr="00991B6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sz w:val="22"/>
          <w:szCs w:val="22"/>
        </w:rPr>
        <w:t>, AUC</w:t>
      </w:r>
      <w:r w:rsidRPr="00991B65">
        <w:rPr>
          <w:rFonts w:ascii="Arial" w:hAnsi="Arial" w:cs="Arial"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sz w:val="22"/>
          <w:szCs w:val="22"/>
        </w:rPr>
        <w:t xml:space="preserve">, and </w:t>
      </w:r>
      <w:r w:rsidRPr="00991B65">
        <w:rPr>
          <w:rFonts w:ascii="Arial" w:hAnsi="Arial" w:cs="Arial"/>
          <w:color w:val="000000"/>
          <w:sz w:val="22"/>
          <w:szCs w:val="22"/>
        </w:rPr>
        <w:t>AUC</w:t>
      </w:r>
      <w:r w:rsidRPr="00991B65">
        <w:rPr>
          <w:rFonts w:ascii="Arial" w:hAnsi="Arial" w:cs="Arial"/>
          <w:color w:val="000000"/>
          <w:sz w:val="22"/>
          <w:szCs w:val="22"/>
          <w:vertAlign w:val="subscript"/>
        </w:rPr>
        <w:t>0-inf</w:t>
      </w:r>
      <w:r w:rsidRPr="00991B65">
        <w:rPr>
          <w:rFonts w:ascii="Arial" w:hAnsi="Arial" w:cs="Arial"/>
          <w:color w:val="000000"/>
          <w:sz w:val="22"/>
          <w:szCs w:val="22"/>
        </w:rPr>
        <w:t xml:space="preserve"> (</w:t>
      </w:r>
      <w:r w:rsidRPr="00991B65">
        <w:rPr>
          <w:rFonts w:ascii="Arial" w:hAnsi="Arial" w:cs="Arial"/>
          <w:b/>
          <w:bCs/>
          <w:color w:val="000000"/>
          <w:sz w:val="22"/>
          <w:szCs w:val="22"/>
        </w:rPr>
        <w:t>Table S2</w:t>
      </w:r>
      <w:r w:rsidRPr="00991B65">
        <w:rPr>
          <w:rFonts w:ascii="Arial" w:hAnsi="Arial" w:cs="Arial"/>
          <w:color w:val="000000"/>
          <w:sz w:val="22"/>
          <w:szCs w:val="22"/>
        </w:rPr>
        <w:t xml:space="preserve">). </w:t>
      </w:r>
      <w:r w:rsidRPr="00991B65">
        <w:rPr>
          <w:rFonts w:ascii="Arial" w:hAnsi="Arial" w:cs="Arial"/>
          <w:sz w:val="22"/>
          <w:szCs w:val="22"/>
        </w:rPr>
        <w:lastRenderedPageBreak/>
        <w:t>When comparing 1-hydroxymidazolam bioavailability between treatment periods, the GMR and 90% CI were:</w:t>
      </w:r>
      <w:r w:rsidRPr="00991B65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991B65">
        <w:rPr>
          <w:rFonts w:ascii="Arial" w:hAnsi="Arial" w:cs="Arial"/>
          <w:iCs/>
          <w:sz w:val="22"/>
          <w:szCs w:val="22"/>
        </w:rPr>
        <w:t>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max</w:t>
      </w:r>
      <w:proofErr w:type="spellEnd"/>
      <w:r w:rsidRPr="00991B65">
        <w:rPr>
          <w:rFonts w:ascii="Arial" w:hAnsi="Arial" w:cs="Arial"/>
          <w:iCs/>
          <w:sz w:val="22"/>
          <w:szCs w:val="22"/>
        </w:rPr>
        <w:t xml:space="preserve"> = 47.66% (43.81–51.86),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0-t</w:t>
      </w:r>
      <w:r w:rsidRPr="00991B65">
        <w:rPr>
          <w:rFonts w:ascii="Arial" w:hAnsi="Arial" w:cs="Arial"/>
          <w:iCs/>
          <w:sz w:val="22"/>
          <w:szCs w:val="22"/>
        </w:rPr>
        <w:t xml:space="preserve"> = 56.95% (53.35–60.78), and AUC</w:t>
      </w:r>
      <w:r w:rsidRPr="00991B65">
        <w:rPr>
          <w:rFonts w:ascii="Arial" w:hAnsi="Arial" w:cs="Arial"/>
          <w:iCs/>
          <w:sz w:val="22"/>
          <w:szCs w:val="22"/>
          <w:vertAlign w:val="subscript"/>
        </w:rPr>
        <w:t>0-inf</w:t>
      </w:r>
      <w:r w:rsidRPr="00991B65">
        <w:rPr>
          <w:rFonts w:ascii="Arial" w:hAnsi="Arial" w:cs="Arial"/>
          <w:iCs/>
          <w:sz w:val="22"/>
          <w:szCs w:val="22"/>
        </w:rPr>
        <w:t xml:space="preserve"> = 60.24% (55.24–65.69; </w:t>
      </w:r>
      <w:r w:rsidRPr="00991B65">
        <w:rPr>
          <w:rFonts w:ascii="Arial" w:hAnsi="Arial" w:cs="Arial"/>
          <w:b/>
          <w:bCs/>
          <w:iCs/>
          <w:sz w:val="22"/>
          <w:szCs w:val="22"/>
        </w:rPr>
        <w:t>Table S3</w:t>
      </w:r>
      <w:r w:rsidRPr="00991B65">
        <w:rPr>
          <w:rFonts w:ascii="Arial" w:hAnsi="Arial" w:cs="Arial"/>
          <w:iCs/>
          <w:sz w:val="22"/>
          <w:szCs w:val="22"/>
        </w:rPr>
        <w:t xml:space="preserve">). The 90% CIs for all parameters were outside the lower-bound no-difference limit of 80%, suggesting that viloxazine ER decreased </w:t>
      </w:r>
      <w:r w:rsidRPr="00991B65">
        <w:rPr>
          <w:rFonts w:ascii="Arial" w:hAnsi="Arial" w:cs="Arial"/>
          <w:sz w:val="22"/>
          <w:szCs w:val="22"/>
        </w:rPr>
        <w:t>1-hydroxymidazolam formation and metabolism.</w:t>
      </w:r>
      <w:r w:rsidRPr="00991B65">
        <w:rPr>
          <w:rFonts w:ascii="Arial" w:hAnsi="Arial" w:cs="Arial"/>
          <w:sz w:val="22"/>
          <w:szCs w:val="22"/>
        </w:rPr>
        <w:br w:type="page"/>
      </w:r>
    </w:p>
    <w:p w14:paraId="594AE0C4" w14:textId="77777777" w:rsidR="003950E5" w:rsidRPr="00E32DB5" w:rsidRDefault="003950E5" w:rsidP="003950E5">
      <w:pPr>
        <w:pStyle w:val="SP-headings"/>
        <w:spacing w:afterLines="0" w:after="0" w:line="480" w:lineRule="auto"/>
        <w:jc w:val="left"/>
        <w:rPr>
          <w:rFonts w:cs="Arial"/>
          <w:sz w:val="22"/>
          <w:szCs w:val="22"/>
        </w:rPr>
      </w:pPr>
      <w:r w:rsidRPr="00E32DB5">
        <w:rPr>
          <w:rFonts w:cs="Arial"/>
          <w:sz w:val="22"/>
          <w:szCs w:val="22"/>
        </w:rPr>
        <w:lastRenderedPageBreak/>
        <w:t>Table S1</w:t>
      </w:r>
      <w:r w:rsidRPr="00E32DB5">
        <w:rPr>
          <w:rFonts w:cs="Arial"/>
          <w:b w:val="0"/>
          <w:bCs/>
          <w:sz w:val="22"/>
          <w:szCs w:val="22"/>
        </w:rPr>
        <w:t xml:space="preserve">: Lower limit of quantification and quality control evaluation for caffeine, paraxanthine, dextromethorphan, </w:t>
      </w:r>
      <w:proofErr w:type="spellStart"/>
      <w:r w:rsidRPr="00E32DB5">
        <w:rPr>
          <w:rFonts w:cs="Arial"/>
          <w:b w:val="0"/>
          <w:bCs/>
          <w:sz w:val="22"/>
          <w:szCs w:val="22"/>
        </w:rPr>
        <w:t>dextrorphan</w:t>
      </w:r>
      <w:proofErr w:type="spellEnd"/>
      <w:r w:rsidRPr="00E32DB5">
        <w:rPr>
          <w:rFonts w:cs="Arial"/>
          <w:b w:val="0"/>
          <w:bCs/>
          <w:sz w:val="22"/>
          <w:szCs w:val="22"/>
        </w:rPr>
        <w:t>, midazolam, and 1-hydroxymidazolam</w:t>
      </w:r>
    </w:p>
    <w:tbl>
      <w:tblPr>
        <w:tblW w:w="10282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57"/>
        <w:gridCol w:w="1890"/>
        <w:gridCol w:w="2340"/>
        <w:gridCol w:w="1800"/>
        <w:gridCol w:w="1795"/>
      </w:tblGrid>
      <w:tr w:rsidR="003950E5" w:rsidRPr="00972BA9" w14:paraId="4D3FDF60" w14:textId="77777777" w:rsidTr="00E446E1">
        <w:trPr>
          <w:cantSplit/>
          <w:trHeight w:val="432"/>
          <w:tblHeader/>
          <w:jc w:val="center"/>
        </w:trPr>
        <w:tc>
          <w:tcPr>
            <w:tcW w:w="2457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9D929A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sz w:val="22"/>
                <w:szCs w:val="22"/>
              </w:rPr>
              <w:br w:type="page"/>
            </w:r>
            <w:r w:rsidRPr="00E32DB5">
              <w:rPr>
                <w:rFonts w:ascii="Arial" w:hAnsi="Arial" w:cs="Arial"/>
                <w:b/>
                <w:sz w:val="22"/>
                <w:szCs w:val="22"/>
              </w:rPr>
              <w:br w:type="page"/>
              <w:t>Analyte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00DD7CA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sz w:val="22"/>
                <w:szCs w:val="22"/>
              </w:rPr>
              <w:t>Intra-run</w:t>
            </w:r>
          </w:p>
        </w:tc>
        <w:tc>
          <w:tcPr>
            <w:tcW w:w="35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1C42E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sz w:val="22"/>
                <w:szCs w:val="22"/>
              </w:rPr>
              <w:t>Inter-run</w:t>
            </w:r>
          </w:p>
        </w:tc>
      </w:tr>
      <w:tr w:rsidR="003950E5" w:rsidRPr="00972BA9" w14:paraId="699F6BF9" w14:textId="77777777" w:rsidTr="00E446E1">
        <w:trPr>
          <w:cantSplit/>
          <w:trHeight w:val="305"/>
          <w:tblHeader/>
          <w:jc w:val="center"/>
        </w:trPr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6695419" w14:textId="77777777" w:rsidR="003950E5" w:rsidRPr="003A6B2D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1CBFDFA" w14:textId="77777777" w:rsidR="003950E5" w:rsidRPr="003A6B2D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3A6B2D">
              <w:rPr>
                <w:rFonts w:ascii="Arial" w:hAnsi="Arial" w:cs="Arial"/>
                <w:bCs/>
                <w:sz w:val="22"/>
                <w:szCs w:val="22"/>
              </w:rPr>
              <w:t>CV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9DB30D1" w14:textId="77777777" w:rsidR="003950E5" w:rsidRPr="003A6B2D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3A6B2D">
              <w:rPr>
                <w:rFonts w:ascii="Arial" w:hAnsi="Arial" w:cs="Arial"/>
                <w:bCs/>
                <w:sz w:val="22"/>
                <w:szCs w:val="22"/>
              </w:rPr>
              <w:t>Bias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ECA953" w14:textId="77777777" w:rsidR="003950E5" w:rsidRPr="003A6B2D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3A6B2D">
              <w:rPr>
                <w:rFonts w:ascii="Arial" w:hAnsi="Arial" w:cs="Arial"/>
                <w:bCs/>
                <w:sz w:val="22"/>
                <w:szCs w:val="22"/>
              </w:rPr>
              <w:t>CV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A28C877" w14:textId="77777777" w:rsidR="003950E5" w:rsidRPr="003A6B2D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3A6B2D">
              <w:rPr>
                <w:rFonts w:ascii="Arial" w:hAnsi="Arial" w:cs="Arial"/>
                <w:bCs/>
                <w:sz w:val="22"/>
                <w:szCs w:val="22"/>
              </w:rPr>
              <w:t>Bias</w:t>
            </w:r>
          </w:p>
        </w:tc>
      </w:tr>
      <w:tr w:rsidR="003950E5" w:rsidRPr="00972BA9" w14:paraId="66639B80" w14:textId="77777777" w:rsidTr="00E446E1">
        <w:trPr>
          <w:cantSplit/>
          <w:trHeight w:val="432"/>
          <w:tblHeader/>
          <w:jc w:val="center"/>
        </w:trPr>
        <w:tc>
          <w:tcPr>
            <w:tcW w:w="1028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FE1B22" w14:textId="77777777" w:rsidR="003950E5" w:rsidRPr="00E32DB5" w:rsidRDefault="003950E5" w:rsidP="00D25814">
            <w:pPr>
              <w:pStyle w:val="TableText"/>
              <w:keepLines w:val="0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sz w:val="22"/>
                <w:szCs w:val="22"/>
              </w:rPr>
              <w:t>LLOQ evaluation</w:t>
            </w:r>
          </w:p>
        </w:tc>
      </w:tr>
      <w:tr w:rsidR="003950E5" w:rsidRPr="00972BA9" w14:paraId="4D382857" w14:textId="77777777" w:rsidTr="00E446E1">
        <w:trPr>
          <w:cantSplit/>
          <w:trHeight w:val="432"/>
          <w:jc w:val="center"/>
        </w:trPr>
        <w:tc>
          <w:tcPr>
            <w:tcW w:w="245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6516787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Caffeine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BFD5A5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4.4%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12.0%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7FB391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3.8%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13.4%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18941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8.7%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6556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7.8%</w:t>
            </w:r>
          </w:p>
        </w:tc>
      </w:tr>
      <w:tr w:rsidR="003950E5" w:rsidRPr="00972BA9" w14:paraId="6CB31474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2F2F2" w:themeFill="background1" w:themeFillShade="F2"/>
            <w:vAlign w:val="center"/>
          </w:tcPr>
          <w:p w14:paraId="7E70611A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Paraxanthine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384A17E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3.2%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5.2%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D84FE7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2.4%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7.2%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422328D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4.5%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59E2CBD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4.8%</w:t>
            </w:r>
          </w:p>
        </w:tc>
      </w:tr>
      <w:tr w:rsidR="003950E5" w:rsidRPr="00972BA9" w14:paraId="0BFE0633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FFFFF" w:themeFill="background1"/>
            <w:vAlign w:val="center"/>
          </w:tcPr>
          <w:p w14:paraId="2D249111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Dextromethorphan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DDF471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2.9%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7.1%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53F786E4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5.7% to 12.0%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9FEABC6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5.9%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1A10A7B2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9.3%</w:t>
            </w:r>
          </w:p>
        </w:tc>
      </w:tr>
      <w:tr w:rsidR="003950E5" w:rsidRPr="00972BA9" w14:paraId="7F09D490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2F2F2" w:themeFill="background1" w:themeFillShade="F2"/>
            <w:vAlign w:val="center"/>
          </w:tcPr>
          <w:p w14:paraId="2B407E4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Dextrorphan</w:t>
            </w:r>
            <w:proofErr w:type="spellEnd"/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6439935B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4.0% to 6.8%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FD6E5E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5.0% to 7.0%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423F5CBC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5.3%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13D57583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6.0%</w:t>
            </w:r>
          </w:p>
        </w:tc>
      </w:tr>
      <w:tr w:rsidR="003950E5" w:rsidRPr="00972BA9" w14:paraId="44314B6D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FFFFF" w:themeFill="background1"/>
            <w:vAlign w:val="center"/>
          </w:tcPr>
          <w:p w14:paraId="372C9E6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Midazolam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5C6E78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1.9% to 6.0%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7AAE2D9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6.0%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6.5%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0718E9FB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7.0%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61D5051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2.5%</w:t>
            </w:r>
          </w:p>
        </w:tc>
      </w:tr>
      <w:tr w:rsidR="003950E5" w:rsidRPr="00972BA9" w14:paraId="6454A180" w14:textId="77777777" w:rsidTr="00E446E1">
        <w:trPr>
          <w:cantSplit/>
          <w:trHeight w:val="432"/>
          <w:jc w:val="center"/>
        </w:trPr>
        <w:tc>
          <w:tcPr>
            <w:tcW w:w="24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7690B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1-Hydroxymidazolam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F599AC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3.2%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5.8%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52AA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1.0%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5.0%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13552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4.9%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7F592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2.0%</w:t>
            </w:r>
          </w:p>
        </w:tc>
      </w:tr>
      <w:tr w:rsidR="003950E5" w:rsidRPr="00972BA9" w14:paraId="1C1E9406" w14:textId="77777777" w:rsidTr="00E446E1">
        <w:trPr>
          <w:cantSplit/>
          <w:trHeight w:val="432"/>
          <w:jc w:val="center"/>
        </w:trPr>
        <w:tc>
          <w:tcPr>
            <w:tcW w:w="1028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4A5E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sz w:val="22"/>
                <w:szCs w:val="22"/>
              </w:rPr>
              <w:t>QC evaluation (high, medium, and low)</w:t>
            </w:r>
          </w:p>
        </w:tc>
      </w:tr>
      <w:tr w:rsidR="003950E5" w:rsidRPr="00972BA9" w14:paraId="1657CC18" w14:textId="77777777" w:rsidTr="00E446E1">
        <w:trPr>
          <w:cantSplit/>
          <w:trHeight w:val="432"/>
          <w:jc w:val="center"/>
        </w:trPr>
        <w:tc>
          <w:tcPr>
            <w:tcW w:w="245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21679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Caffeine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8911682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1.1%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4.0%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19213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0.8% to 5.0%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1CFAD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2.2%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3.0%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ED040E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1.7%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4.0%</w:t>
            </w:r>
          </w:p>
        </w:tc>
      </w:tr>
      <w:tr w:rsidR="003950E5" w:rsidRPr="00972BA9" w14:paraId="38FF80A0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2F2F2" w:themeFill="background1" w:themeFillShade="F2"/>
            <w:vAlign w:val="center"/>
          </w:tcPr>
          <w:p w14:paraId="413D8245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Paraxanthine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6FBB6AD4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1.0%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3.2%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3FE3816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0.2% to 6.8%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4ABA5B37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1.3%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2.9%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6A4A21CC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2.5%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4.7%</w:t>
            </w:r>
          </w:p>
        </w:tc>
      </w:tr>
      <w:tr w:rsidR="003950E5" w:rsidRPr="00972BA9" w14:paraId="59E8C8BB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FFFFF" w:themeFill="background1"/>
            <w:vAlign w:val="center"/>
          </w:tcPr>
          <w:p w14:paraId="3CF65B15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Dextromethorphan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5211101E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1.4% to 6.4%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73A4206B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1.7%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5.9%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A7C9AAF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2.8%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5.4%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1947287B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0.8%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4.1%</w:t>
            </w:r>
          </w:p>
        </w:tc>
      </w:tr>
      <w:tr w:rsidR="003950E5" w:rsidRPr="00972BA9" w14:paraId="3A2C3545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2F2F2" w:themeFill="background1" w:themeFillShade="F2"/>
            <w:vAlign w:val="center"/>
          </w:tcPr>
          <w:p w14:paraId="526983C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Dextrorphan</w:t>
            </w:r>
            <w:proofErr w:type="spellEnd"/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34F22F75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0.9%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4.7%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4A136921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5.3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5.7%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65B4F7B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3.0%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3.4%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6A903ACA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2.4%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5.3%</w:t>
            </w:r>
          </w:p>
        </w:tc>
      </w:tr>
      <w:tr w:rsidR="003950E5" w:rsidRPr="00972BA9" w14:paraId="37228F06" w14:textId="77777777" w:rsidTr="00E446E1">
        <w:trPr>
          <w:cantSplit/>
          <w:trHeight w:val="432"/>
          <w:jc w:val="center"/>
        </w:trPr>
        <w:tc>
          <w:tcPr>
            <w:tcW w:w="2457" w:type="dxa"/>
            <w:shd w:val="clear" w:color="auto" w:fill="FFFFFF" w:themeFill="background1"/>
            <w:vAlign w:val="center"/>
          </w:tcPr>
          <w:p w14:paraId="4D046265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Midazolam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C3F9DB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1.3%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 xml:space="preserve">3.8% 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F92A4A9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2.2%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2.7%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67C3DB2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2.3%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3.8%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5FBB7FCC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0.6%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1.0%</w:t>
            </w:r>
          </w:p>
        </w:tc>
      </w:tr>
      <w:tr w:rsidR="003950E5" w:rsidRPr="00972BA9" w14:paraId="73F29805" w14:textId="77777777" w:rsidTr="00E446E1">
        <w:trPr>
          <w:cantSplit/>
          <w:trHeight w:val="432"/>
          <w:jc w:val="center"/>
        </w:trPr>
        <w:tc>
          <w:tcPr>
            <w:tcW w:w="24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5B1D2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DB5">
              <w:rPr>
                <w:rFonts w:ascii="Arial" w:hAnsi="Arial" w:cs="Arial"/>
                <w:b/>
                <w:bCs/>
                <w:sz w:val="22"/>
                <w:szCs w:val="22"/>
              </w:rPr>
              <w:t>1-Hydroxymidazolam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139A8E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1.4%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4.6%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1D2E8D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3.4%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2.4%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8F9F88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2.3%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3.4%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E7E2BE" w14:textId="77777777" w:rsidR="003950E5" w:rsidRPr="00E32DB5" w:rsidRDefault="003950E5" w:rsidP="00D25814">
            <w:pPr>
              <w:pStyle w:val="TableText"/>
              <w:spacing w:before="0" w:afterLines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−</w:t>
            </w:r>
            <w:r w:rsidRPr="00E32DB5">
              <w:rPr>
                <w:rFonts w:ascii="Arial" w:hAnsi="Arial" w:cs="Arial"/>
                <w:sz w:val="22"/>
                <w:szCs w:val="22"/>
              </w:rPr>
              <w:t>1.3% to</w:t>
            </w:r>
            <w:r w:rsidRPr="00E32DB5" w:rsidDel="00D202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DB5">
              <w:rPr>
                <w:rFonts w:ascii="Arial" w:hAnsi="Arial" w:cs="Arial"/>
                <w:sz w:val="22"/>
                <w:szCs w:val="22"/>
              </w:rPr>
              <w:t>1.6%</w:t>
            </w:r>
          </w:p>
        </w:tc>
      </w:tr>
    </w:tbl>
    <w:p w14:paraId="3CBEE18A" w14:textId="77777777" w:rsidR="003950E5" w:rsidRPr="00E32DB5" w:rsidRDefault="003950E5" w:rsidP="00E446E1">
      <w:pPr>
        <w:spacing w:afterLines="0" w:after="0" w:line="480" w:lineRule="auto"/>
        <w:ind w:left="-540"/>
        <w:jc w:val="left"/>
        <w:rPr>
          <w:rFonts w:ascii="Arial" w:eastAsiaTheme="majorEastAsia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Abbreviations: </w:t>
      </w:r>
      <w:r w:rsidRPr="00E32DB5">
        <w:rPr>
          <w:rFonts w:ascii="Arial" w:hAnsi="Arial" w:cs="Arial"/>
          <w:sz w:val="22"/>
          <w:szCs w:val="22"/>
        </w:rPr>
        <w:t>CV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coefficient of variation</w:t>
      </w:r>
      <w:r>
        <w:rPr>
          <w:rFonts w:ascii="Arial" w:hAnsi="Arial" w:cs="Arial"/>
          <w:sz w:val="22"/>
          <w:szCs w:val="22"/>
        </w:rPr>
        <w:t>;</w:t>
      </w:r>
      <w:r w:rsidRPr="003A6B2D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LLOQ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lower limit of quantification</w:t>
      </w:r>
      <w:r>
        <w:rPr>
          <w:rFonts w:ascii="Arial" w:hAnsi="Arial" w:cs="Arial"/>
          <w:sz w:val="22"/>
          <w:szCs w:val="22"/>
        </w:rPr>
        <w:t>;</w:t>
      </w:r>
      <w:r w:rsidRPr="003A6B2D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QC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quality control</w:t>
      </w:r>
      <w:r>
        <w:rPr>
          <w:rFonts w:ascii="Arial" w:hAnsi="Arial" w:cs="Arial"/>
          <w:sz w:val="22"/>
          <w:szCs w:val="22"/>
        </w:rPr>
        <w:t>.</w:t>
      </w:r>
      <w:r w:rsidRPr="00E32DB5">
        <w:rPr>
          <w:rFonts w:ascii="Arial" w:hAnsi="Arial" w:cs="Arial"/>
          <w:sz w:val="22"/>
          <w:szCs w:val="22"/>
        </w:rPr>
        <w:br w:type="page"/>
      </w:r>
    </w:p>
    <w:p w14:paraId="01DF505D" w14:textId="77777777" w:rsidR="003950E5" w:rsidRPr="00E32DB5" w:rsidRDefault="003950E5" w:rsidP="003950E5">
      <w:pPr>
        <w:pStyle w:val="SP-headings"/>
        <w:spacing w:afterLines="0" w:after="0" w:line="480" w:lineRule="auto"/>
        <w:jc w:val="left"/>
        <w:rPr>
          <w:rFonts w:cs="Arial"/>
          <w:sz w:val="22"/>
          <w:szCs w:val="22"/>
        </w:rPr>
      </w:pPr>
      <w:r w:rsidRPr="00E32DB5">
        <w:rPr>
          <w:rFonts w:cs="Arial"/>
          <w:sz w:val="22"/>
          <w:szCs w:val="22"/>
        </w:rPr>
        <w:t xml:space="preserve">Table S2: </w:t>
      </w:r>
      <w:r w:rsidRPr="00E32DB5">
        <w:rPr>
          <w:rFonts w:cs="Arial"/>
          <w:b w:val="0"/>
          <w:bCs/>
          <w:sz w:val="22"/>
          <w:szCs w:val="22"/>
        </w:rPr>
        <w:t xml:space="preserve">Observed pharmacokinetic parameters for caffeine, paraxanthine, </w:t>
      </w:r>
      <w:r w:rsidRPr="00E32DB5">
        <w:rPr>
          <w:rFonts w:cs="Arial"/>
          <w:b w:val="0"/>
          <w:sz w:val="22"/>
          <w:szCs w:val="22"/>
        </w:rPr>
        <w:t xml:space="preserve">dextromethorphan, </w:t>
      </w:r>
      <w:proofErr w:type="spellStart"/>
      <w:r w:rsidRPr="00E32DB5">
        <w:rPr>
          <w:rFonts w:cs="Arial"/>
          <w:b w:val="0"/>
          <w:bCs/>
          <w:sz w:val="22"/>
          <w:szCs w:val="22"/>
        </w:rPr>
        <w:t>dextrorphan</w:t>
      </w:r>
      <w:proofErr w:type="spellEnd"/>
      <w:r w:rsidRPr="00E32DB5">
        <w:rPr>
          <w:rFonts w:cs="Arial"/>
          <w:b w:val="0"/>
          <w:bCs/>
          <w:sz w:val="22"/>
          <w:szCs w:val="22"/>
        </w:rPr>
        <w:t>, midazolam, and 1-hydroxymidazolam</w:t>
      </w:r>
      <w:r w:rsidRPr="00E32DB5" w:rsidDel="004837E2">
        <w:rPr>
          <w:rFonts w:cs="Arial"/>
          <w:b w:val="0"/>
          <w:bCs/>
          <w:sz w:val="22"/>
          <w:szCs w:val="22"/>
        </w:rPr>
        <w:t xml:space="preserve"> </w:t>
      </w:r>
    </w:p>
    <w:tbl>
      <w:tblPr>
        <w:tblStyle w:val="TableGrid"/>
        <w:tblW w:w="1043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29"/>
        <w:gridCol w:w="2001"/>
        <w:gridCol w:w="1197"/>
        <w:gridCol w:w="963"/>
        <w:gridCol w:w="2303"/>
        <w:gridCol w:w="995"/>
        <w:gridCol w:w="647"/>
      </w:tblGrid>
      <w:tr w:rsidR="003950E5" w:rsidRPr="00972BA9" w14:paraId="7B24C42D" w14:textId="77777777" w:rsidTr="00D25814">
        <w:trPr>
          <w:trHeight w:val="546"/>
        </w:trPr>
        <w:tc>
          <w:tcPr>
            <w:tcW w:w="2329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1AC27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vertAlign w:val="superscript"/>
              </w:rPr>
            </w:pPr>
            <w:r w:rsidRPr="00E32DB5">
              <w:rPr>
                <w:rFonts w:ascii="Arial" w:hAnsi="Arial" w:cs="Arial"/>
                <w:b/>
              </w:rPr>
              <w:t>Parameter</w:t>
            </w:r>
          </w:p>
        </w:tc>
        <w:tc>
          <w:tcPr>
            <w:tcW w:w="41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A368C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 xml:space="preserve">MCC </w:t>
            </w:r>
            <w:proofErr w:type="spellStart"/>
            <w:r w:rsidRPr="00E32DB5">
              <w:rPr>
                <w:rFonts w:ascii="Arial" w:hAnsi="Arial" w:cs="Arial"/>
                <w:b/>
              </w:rPr>
              <w:t>alone</w:t>
            </w:r>
            <w:r w:rsidRPr="00E32DB5">
              <w:rPr>
                <w:rFonts w:ascii="Arial" w:hAnsi="Arial" w:cs="Arial"/>
                <w:b/>
                <w:vertAlign w:val="superscript"/>
              </w:rPr>
              <w:t>a</w:t>
            </w:r>
            <w:proofErr w:type="spellEnd"/>
          </w:p>
          <w:p w14:paraId="47F6D24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Cs/>
              </w:rPr>
              <w:t>(Period 1)</w:t>
            </w:r>
          </w:p>
        </w:tc>
        <w:tc>
          <w:tcPr>
            <w:tcW w:w="39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EE257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vertAlign w:val="superscript"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Combination</w:t>
            </w:r>
            <w:r w:rsidRPr="00E32DB5">
              <w:rPr>
                <w:rFonts w:ascii="Arial" w:hAnsi="Arial" w:cs="Arial"/>
                <w:b/>
                <w:vertAlign w:val="superscript"/>
              </w:rPr>
              <w:t>b</w:t>
            </w:r>
            <w:proofErr w:type="spellEnd"/>
          </w:p>
          <w:p w14:paraId="651F419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Cs/>
              </w:rPr>
              <w:t>(Period 3)</w:t>
            </w:r>
          </w:p>
        </w:tc>
      </w:tr>
      <w:tr w:rsidR="003950E5" w:rsidRPr="00972BA9" w14:paraId="42863CEA" w14:textId="77777777" w:rsidTr="00D25814">
        <w:trPr>
          <w:trHeight w:val="350"/>
        </w:trPr>
        <w:tc>
          <w:tcPr>
            <w:tcW w:w="2329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86EFA1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A3C1F0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A6B2D">
              <w:rPr>
                <w:rFonts w:ascii="Arial" w:hAnsi="Arial" w:cs="Arial"/>
              </w:rPr>
              <w:t xml:space="preserve">Mean </w:t>
            </w:r>
            <w:r w:rsidRPr="003A6B2D">
              <w:rPr>
                <w:rFonts w:ascii="Arial" w:hAnsi="Arial" w:cs="Arial"/>
                <w:color w:val="000000"/>
              </w:rPr>
              <w:t>± SD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53F4D8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A6B2D">
              <w:rPr>
                <w:rFonts w:ascii="Arial" w:hAnsi="Arial" w:cs="Arial"/>
              </w:rPr>
              <w:t>CV%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E4E899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3A6B2D">
              <w:rPr>
                <w:rFonts w:ascii="Arial" w:hAnsi="Arial" w:cs="Arial"/>
              </w:rPr>
              <w:t>n</w:t>
            </w:r>
            <w:r w:rsidRPr="003A6B2D">
              <w:rPr>
                <w:rFonts w:ascii="Arial" w:hAnsi="Arial" w:cs="Arial"/>
                <w:vertAlign w:val="superscript"/>
              </w:rPr>
              <w:t>c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BBFF3D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A6B2D">
              <w:rPr>
                <w:rFonts w:ascii="Arial" w:hAnsi="Arial" w:cs="Arial"/>
              </w:rPr>
              <w:t xml:space="preserve">Mean </w:t>
            </w:r>
            <w:r w:rsidRPr="003A6B2D">
              <w:rPr>
                <w:rFonts w:ascii="Arial" w:hAnsi="Arial" w:cs="Arial"/>
                <w:color w:val="000000"/>
              </w:rPr>
              <w:t>± SD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3B8FD7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3A6B2D">
              <w:rPr>
                <w:rFonts w:ascii="Arial" w:hAnsi="Arial" w:cs="Arial"/>
              </w:rPr>
              <w:t>CV%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0A0C49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3A6B2D">
              <w:rPr>
                <w:rFonts w:ascii="Arial" w:hAnsi="Arial" w:cs="Arial"/>
              </w:rPr>
              <w:t>n</w:t>
            </w:r>
            <w:r w:rsidRPr="003A6B2D">
              <w:rPr>
                <w:rFonts w:ascii="Arial" w:hAnsi="Arial" w:cs="Arial"/>
                <w:vertAlign w:val="superscript"/>
              </w:rPr>
              <w:t>c</w:t>
            </w:r>
            <w:proofErr w:type="spellEnd"/>
          </w:p>
        </w:tc>
      </w:tr>
      <w:tr w:rsidR="003950E5" w:rsidRPr="00972BA9" w14:paraId="2EE91833" w14:textId="77777777" w:rsidTr="00D25814">
        <w:trPr>
          <w:trHeight w:val="334"/>
        </w:trPr>
        <w:tc>
          <w:tcPr>
            <w:tcW w:w="1043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DBA22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  <w:b/>
                <w:bCs/>
              </w:rPr>
              <w:t>Caffeine</w:t>
            </w:r>
          </w:p>
        </w:tc>
      </w:tr>
      <w:tr w:rsidR="003950E5" w:rsidRPr="00972BA9" w14:paraId="1E12016C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F52286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E5DDE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1.0 (0.5–1.6)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67DB30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4975B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03608C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1.50 (0.5–16.0)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3FCB56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0C91AB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3950E5" w:rsidRPr="00972BA9" w14:paraId="580CB77E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33CD4F2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6662202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5370 ± 1100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5D78263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20.4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656033E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36B4DA4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5350 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E32DB5">
              <w:rPr>
                <w:rFonts w:ascii="Arial" w:hAnsi="Arial" w:cs="Arial"/>
                <w:color w:val="000000"/>
              </w:rPr>
              <w:t>1120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53276F3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20.9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2AE2C0D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3950E5" w:rsidRPr="00972BA9" w14:paraId="408E88E1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7AE8503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3D5B0A7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45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791 ± 19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228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68ADCDB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42.0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6EBB1A0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1AE1C81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190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950 ± 42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62C5326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22.1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422C824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3950E5" w:rsidRPr="00972BA9" w14:paraId="24D8BD9E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3725E43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43B1394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46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896 ± 20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037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00EFE33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42.7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0DED71B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692FD85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179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710 ± 18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396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6B8C422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10.2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7ED3F7D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950E5" w:rsidRPr="00972BA9" w14:paraId="23BA2E36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EF124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9C999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6.0 ± 1.9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BC018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31.6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9283A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D2B7E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13.3 ± 4.5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E5DEF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33.7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A7F04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950E5" w:rsidRPr="00972BA9" w14:paraId="5DAD2751" w14:textId="77777777" w:rsidTr="00D25814">
        <w:trPr>
          <w:trHeight w:val="334"/>
        </w:trPr>
        <w:tc>
          <w:tcPr>
            <w:tcW w:w="1043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B93A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Paraxanthine</w:t>
            </w:r>
          </w:p>
        </w:tc>
      </w:tr>
      <w:tr w:rsidR="003950E5" w:rsidRPr="00972BA9" w14:paraId="11D8B34D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6CA359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77335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8.0 (3.0</w:t>
            </w:r>
            <w:r w:rsidRPr="00E32DB5">
              <w:rPr>
                <w:rFonts w:ascii="Arial" w:hAnsi="Arial" w:cs="Arial"/>
                <w:bCs/>
              </w:rPr>
              <w:t>–12.0)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F9FEC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B0E90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27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7E849E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48.0 (20.0</w:t>
            </w:r>
            <w:r w:rsidRPr="00E32DB5">
              <w:rPr>
                <w:rFonts w:ascii="Arial" w:hAnsi="Arial" w:cs="Arial"/>
                <w:bCs/>
              </w:rPr>
              <w:t>–48.1)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67B14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609D26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34</w:t>
            </w:r>
          </w:p>
        </w:tc>
      </w:tr>
      <w:tr w:rsidR="003950E5" w:rsidRPr="00972BA9" w14:paraId="776AFF38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41633F3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177C8A8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 xml:space="preserve">1220 </w:t>
            </w:r>
            <w:r w:rsidRPr="00E32DB5">
              <w:rPr>
                <w:rFonts w:ascii="Arial" w:hAnsi="Arial" w:cs="Arial"/>
                <w:color w:val="000000"/>
              </w:rPr>
              <w:t>± 278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1FDA3DD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22.8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12827BA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32CE91C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293 ± 235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9BA7C0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80.1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42349CA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34</w:t>
            </w:r>
          </w:p>
        </w:tc>
      </w:tr>
      <w:tr w:rsidR="003950E5" w:rsidRPr="00972BA9" w14:paraId="3473DED0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5ECE02E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20521FA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811 ± 6528.8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0994107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26.3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1047BEA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2B69F35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4952.3 ± 1956.5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1AA864C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39.5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492F3E3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34</w:t>
            </w:r>
          </w:p>
        </w:tc>
      </w:tr>
      <w:tr w:rsidR="003950E5" w:rsidRPr="00972BA9" w14:paraId="1DE0BB65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5C37A8E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5E58845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25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E32DB5">
              <w:rPr>
                <w:rFonts w:ascii="Arial" w:hAnsi="Arial" w:cs="Arial"/>
                <w:color w:val="000000"/>
              </w:rPr>
              <w:t>785 ± 6927.6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04DA855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26.9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4E3AB5E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3D61EB9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NC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7098A77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NC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2B5CB03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0</w:t>
            </w:r>
          </w:p>
        </w:tc>
      </w:tr>
      <w:tr w:rsidR="003950E5" w:rsidRPr="00972BA9" w14:paraId="2B0B25A8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81D8D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69D24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7.5 ± 2.8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B4E3E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37.1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9712C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B7D5D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NC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93CE3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NC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5AA22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0</w:t>
            </w:r>
          </w:p>
        </w:tc>
      </w:tr>
      <w:tr w:rsidR="003950E5" w:rsidRPr="00972BA9" w14:paraId="3C07EDCD" w14:textId="77777777" w:rsidTr="00D25814">
        <w:trPr>
          <w:trHeight w:val="334"/>
        </w:trPr>
        <w:tc>
          <w:tcPr>
            <w:tcW w:w="1043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06B0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/>
                <w:bCs/>
              </w:rPr>
              <w:t>Dextromethorphan</w:t>
            </w:r>
          </w:p>
        </w:tc>
      </w:tr>
      <w:tr w:rsidR="003950E5" w:rsidRPr="00972BA9" w14:paraId="5D78AF44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3A92A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19384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3.0 (1.0–5.0)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9108A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606017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F72929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4.0 (2.0–10.0)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96F51D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EA3D03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</w:tr>
      <w:tr w:rsidR="003950E5" w:rsidRPr="00972BA9" w14:paraId="5CD49AE1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79E8AE3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6E71B25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1.4 ± 2.2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1AD31BB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159.6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2FDAA47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71E4BF3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1.6 ± 1.4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6F88E4E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86.3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71C2E4E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</w:tr>
      <w:tr w:rsidR="003950E5" w:rsidRPr="00972BA9" w14:paraId="0E2FB0DE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63469AA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26A7EE9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12.0 ± 12.5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1379866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186.6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3825EBF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21D9642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16.3 ± 14.4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2BE4F43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88.0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0979514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</w:tr>
      <w:tr w:rsidR="003950E5" w:rsidRPr="00972BA9" w14:paraId="1F50C58D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56A0DE3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747A765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12.8 ± 23.0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191BD46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181.7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5BB1698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402A83F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16.9 ± 14.9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A1644D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87.8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035CEF3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3950E5" w:rsidRPr="00972BA9" w14:paraId="1BC780B4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B7862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A1FDB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7.4 ± 1.8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8EA82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25.1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D597C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2C0B7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7.7 ± 1.3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C20A6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17.5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1640F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3950E5" w:rsidRPr="00972BA9" w14:paraId="32E35BB6" w14:textId="77777777" w:rsidTr="00D25814">
        <w:trPr>
          <w:trHeight w:val="334"/>
        </w:trPr>
        <w:tc>
          <w:tcPr>
            <w:tcW w:w="978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A1309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Dextrorphan</w:t>
            </w:r>
            <w:proofErr w:type="spellEnd"/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2CBD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950E5" w:rsidRPr="00972BA9" w14:paraId="4C3C7B1F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42362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24324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2.0 (1.0–5.0)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1A901B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B4A1D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29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BB1FB2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3.0 (1.0–10.0)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FC70D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81BD0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28</w:t>
            </w:r>
          </w:p>
        </w:tc>
      </w:tr>
      <w:tr w:rsidR="003950E5" w:rsidRPr="00972BA9" w14:paraId="15236A5B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474C311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510467F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</w:rPr>
              <w:t xml:space="preserve">4.3 </w:t>
            </w:r>
            <w:r w:rsidRPr="00E32DB5">
              <w:rPr>
                <w:rFonts w:ascii="Arial" w:hAnsi="Arial" w:cs="Arial"/>
                <w:color w:val="000000"/>
              </w:rPr>
              <w:t>± 2.9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31147CE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66.4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7A08FA3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45740EA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3.9 ± 1.9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0642F6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47.9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6E7B8ED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3950E5" w:rsidRPr="00972BA9" w14:paraId="111362BB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0AB3EAF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3349F1A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14.9 ± 11.5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36C7768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77.0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1D1B902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45762A5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16.4 ± 10.0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614252D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61.0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4870239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3950E5" w:rsidRPr="00972BA9" w14:paraId="46968854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2FBF5CD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5B59E48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31.9 ± 13.3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22A0AD8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41.7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092E5E3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52E0A6E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31.0 ± 13.1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F70376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42.2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5F0B10F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9</w:t>
            </w:r>
          </w:p>
        </w:tc>
      </w:tr>
      <w:tr w:rsidR="003950E5" w:rsidRPr="00972BA9" w14:paraId="35419C21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8EBF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820AD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2.5 ± 1.1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E6FAA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38.3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2BA28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05F8D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2.5 ± 0.4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274E7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17.0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A956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9</w:t>
            </w:r>
          </w:p>
        </w:tc>
      </w:tr>
      <w:tr w:rsidR="003950E5" w:rsidRPr="00972BA9" w14:paraId="7ED10113" w14:textId="77777777" w:rsidTr="00D25814">
        <w:trPr>
          <w:trHeight w:val="334"/>
        </w:trPr>
        <w:tc>
          <w:tcPr>
            <w:tcW w:w="978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F7B6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/>
                <w:bCs/>
              </w:rPr>
              <w:t>Midazolam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ECB7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950E5" w:rsidRPr="00972BA9" w14:paraId="3986AD4A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233C7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9D3D07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0.5 (0.5–1.5)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F21FC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CBA035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1FDA2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1.0 (0.5–5.0)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01F6E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6A77E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73895930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7EB2B79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2939EF2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10.9 ± 3.4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2E996A9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31.1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4E9AE32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2708D67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12.2 ± 3.8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91751E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31.0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2EAE65E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1A4D65A5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772F7EB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741C610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25.1 ± 9.7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7FC35F2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38.8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0527112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46C9A38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43.1 ± 19.0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4092C81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44.1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5A12B2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5ABDA87D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2641325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2E355E2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26.6 ± 10.2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506974C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38.3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78B2C19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7CBAF93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46.0 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E32DB5">
              <w:rPr>
                <w:rFonts w:ascii="Arial" w:hAnsi="Arial" w:cs="Arial"/>
                <w:color w:val="000000"/>
              </w:rPr>
              <w:t>19.9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BF7374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43.1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460F79B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5F542281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F5AE0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lastRenderedPageBreak/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2254F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4.1 ± 2.0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21EBA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49.0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597B4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DAE29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6.8 ± 2.8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34144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40.5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FB861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4BDEBBAA" w14:textId="77777777" w:rsidTr="00D25814">
        <w:trPr>
          <w:trHeight w:val="334"/>
        </w:trPr>
        <w:tc>
          <w:tcPr>
            <w:tcW w:w="978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C9C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/>
              </w:rPr>
              <w:t>1-Hydroxymidazolam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3715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950E5" w:rsidRPr="00972BA9" w14:paraId="3D3D411B" w14:textId="77777777" w:rsidTr="00D25814">
        <w:trPr>
          <w:trHeight w:val="334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D24C0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median (range), hours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BBE8F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2.0 (1.0–5.0)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E4EA3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FA8A2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9923D1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2.0 (1.0–5.0)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A3EE6E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bCs/>
              </w:rPr>
              <w:t>NA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5A2E4C9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14488EDA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71F7732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3D08E6BF" w14:textId="77777777" w:rsidR="003950E5" w:rsidRPr="00E32DB5" w:rsidRDefault="003950E5" w:rsidP="00D25814">
            <w:pPr>
              <w:pStyle w:val="ListParagraph"/>
              <w:numPr>
                <w:ilvl w:val="1"/>
                <w:numId w:val="46"/>
              </w:num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± 2.1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19890FE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35.5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3A347EB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0AEF06B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2.9 ± 1.0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EE207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34.2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103D21D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6F8AA383" w14:textId="77777777" w:rsidTr="00D25814">
        <w:trPr>
          <w:trHeight w:val="334"/>
        </w:trPr>
        <w:tc>
          <w:tcPr>
            <w:tcW w:w="2329" w:type="dxa"/>
            <w:shd w:val="clear" w:color="auto" w:fill="FFFFFF" w:themeFill="background1"/>
            <w:vAlign w:val="center"/>
          </w:tcPr>
          <w:p w14:paraId="3E9CEED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0-t, </w:t>
            </w:r>
            <w:r w:rsidRPr="00E32DB5">
              <w:rPr>
                <w:rFonts w:ascii="Arial" w:hAnsi="Arial" w:cs="Arial"/>
                <w:bCs/>
              </w:rPr>
              <w:t>h*ng/mL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2583063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13.8 ± 5.4</w:t>
            </w:r>
          </w:p>
        </w:tc>
        <w:tc>
          <w:tcPr>
            <w:tcW w:w="1197" w:type="dxa"/>
            <w:shd w:val="clear" w:color="auto" w:fill="FFFFFF" w:themeFill="background1"/>
            <w:vAlign w:val="center"/>
          </w:tcPr>
          <w:p w14:paraId="2E93607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38.9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66E7F32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6B67A45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7.9 ± 2.7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0218658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34.6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7CFC20F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35</w:t>
            </w:r>
          </w:p>
        </w:tc>
      </w:tr>
      <w:tr w:rsidR="003950E5" w:rsidRPr="00972BA9" w14:paraId="1010428B" w14:textId="77777777" w:rsidTr="00D25814">
        <w:trPr>
          <w:trHeight w:val="334"/>
        </w:trPr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34AFD77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58E8F7D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14.9 ± 5.4</w:t>
            </w:r>
          </w:p>
        </w:tc>
        <w:tc>
          <w:tcPr>
            <w:tcW w:w="1197" w:type="dxa"/>
            <w:shd w:val="clear" w:color="auto" w:fill="F2F2F2" w:themeFill="background1" w:themeFillShade="F2"/>
            <w:vAlign w:val="center"/>
          </w:tcPr>
          <w:p w14:paraId="7C78111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36.2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2534D5C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303" w:type="dxa"/>
            <w:shd w:val="clear" w:color="auto" w:fill="F2F2F2" w:themeFill="background1" w:themeFillShade="F2"/>
            <w:vAlign w:val="center"/>
          </w:tcPr>
          <w:p w14:paraId="76FB251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8.0 ± 2.7</w:t>
            </w:r>
          </w:p>
        </w:tc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BC9BFD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34.1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14:paraId="25D24E3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3950E5" w:rsidRPr="00972BA9" w14:paraId="56A27187" w14:textId="77777777" w:rsidTr="00D25814">
        <w:trPr>
          <w:trHeight w:val="334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D593C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t</w:t>
            </w:r>
            <w:r w:rsidRPr="00E32DB5">
              <w:rPr>
                <w:rFonts w:ascii="Arial" w:hAnsi="Arial" w:cs="Arial"/>
                <w:b/>
                <w:vertAlign w:val="subscript"/>
              </w:rPr>
              <w:t xml:space="preserve">1/2, </w:t>
            </w:r>
            <w:r w:rsidRPr="00E32DB5">
              <w:rPr>
                <w:rFonts w:ascii="Arial" w:hAnsi="Arial" w:cs="Arial"/>
                <w:bCs/>
              </w:rPr>
              <w:t>hours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94205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2.4 ± 1.0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A9E05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40.9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0DDB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16D3C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2.3 ± 1.2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C858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51.0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EEAE5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E32DB5">
              <w:rPr>
                <w:rFonts w:ascii="Arial" w:hAnsi="Arial" w:cs="Arial"/>
                <w:color w:val="000000"/>
              </w:rPr>
              <w:t>28</w:t>
            </w:r>
          </w:p>
        </w:tc>
      </w:tr>
    </w:tbl>
    <w:p w14:paraId="30EA3DE8" w14:textId="629CD31F" w:rsidR="003950E5" w:rsidRPr="003A6B2D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E32DB5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Single</w:t>
      </w:r>
      <w:r>
        <w:rPr>
          <w:rFonts w:ascii="Arial" w:hAnsi="Arial" w:cs="Arial"/>
        </w:rPr>
        <w:t>-</w:t>
      </w:r>
      <w:r w:rsidRPr="003A6B2D">
        <w:rPr>
          <w:rFonts w:ascii="Arial" w:hAnsi="Arial" w:cs="Arial"/>
        </w:rPr>
        <w:t xml:space="preserve">dose </w:t>
      </w:r>
      <w:r w:rsidRPr="003A6B2D">
        <w:rPr>
          <w:rFonts w:ascii="Arial" w:hAnsi="Arial" w:cs="Arial"/>
          <w:iCs/>
        </w:rPr>
        <w:t>caffeine (200 mg), dextromethorphan (30 mg), and midazolam (0.025 mg/kg</w:t>
      </w:r>
      <w:r w:rsidRPr="003A6B2D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pharmacokinetic</w:t>
      </w:r>
      <w:r w:rsidRPr="003A6B2D">
        <w:rPr>
          <w:rFonts w:ascii="Arial" w:hAnsi="Arial" w:cs="Arial"/>
        </w:rPr>
        <w:t xml:space="preserve"> samples collected for 48 hours beginning Period 1, Day 1).</w:t>
      </w:r>
    </w:p>
    <w:p w14:paraId="2555BC68" w14:textId="355C486B" w:rsidR="003950E5" w:rsidRPr="00E32DB5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3A6B2D">
        <w:rPr>
          <w:rFonts w:ascii="Arial" w:hAnsi="Arial" w:cs="Arial"/>
          <w:vertAlign w:val="superscript"/>
        </w:rPr>
        <w:t>b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Viloxazine ER (900 mg)</w:t>
      </w:r>
      <w:r w:rsidRPr="00E32DB5">
        <w:rPr>
          <w:rFonts w:ascii="Arial" w:hAnsi="Arial" w:cs="Arial"/>
          <w:iCs/>
        </w:rPr>
        <w:t xml:space="preserve"> followed 4.5 hours later by </w:t>
      </w:r>
      <w:r w:rsidRPr="00E32DB5">
        <w:rPr>
          <w:rFonts w:ascii="Arial" w:hAnsi="Arial" w:cs="Arial"/>
        </w:rPr>
        <w:t>MCC (</w:t>
      </w:r>
      <w:r>
        <w:rPr>
          <w:rFonts w:ascii="Arial" w:hAnsi="Arial" w:cs="Arial"/>
        </w:rPr>
        <w:t>pharmacokinetic</w:t>
      </w:r>
      <w:r w:rsidRPr="00E32DB5">
        <w:rPr>
          <w:rFonts w:ascii="Arial" w:hAnsi="Arial" w:cs="Arial"/>
        </w:rPr>
        <w:t xml:space="preserve"> samples collected for 48 hours beginning Period 3, Day 6).</w:t>
      </w:r>
    </w:p>
    <w:p w14:paraId="6529B46D" w14:textId="77777777" w:rsidR="003950E5" w:rsidRPr="00E32DB5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E32DB5">
        <w:rPr>
          <w:rFonts w:ascii="Arial" w:hAnsi="Arial" w:cs="Arial"/>
          <w:vertAlign w:val="superscript"/>
        </w:rPr>
        <w:t>c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AUC</w:t>
      </w:r>
      <w:r w:rsidRPr="00E32DB5">
        <w:rPr>
          <w:rFonts w:ascii="Arial" w:hAnsi="Arial" w:cs="Arial"/>
          <w:vertAlign w:val="subscript"/>
        </w:rPr>
        <w:t>0-inf</w:t>
      </w:r>
      <w:r w:rsidRPr="00E32DB5">
        <w:rPr>
          <w:rFonts w:ascii="Arial" w:hAnsi="Arial" w:cs="Arial"/>
        </w:rPr>
        <w:t xml:space="preserve"> values that resulted from greater than 20% extrapolation were excluded from the summary statistics.</w:t>
      </w:r>
    </w:p>
    <w:p w14:paraId="0BFBA0DA" w14:textId="3D993646" w:rsidR="003950E5" w:rsidRPr="003A6B2D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  <w:i/>
          <w:iCs/>
        </w:rPr>
      </w:pPr>
      <w:r>
        <w:rPr>
          <w:rFonts w:ascii="Arial" w:hAnsi="Arial" w:cs="Arial"/>
          <w:color w:val="000000"/>
        </w:rPr>
        <w:t xml:space="preserve">Abbreviations: </w:t>
      </w:r>
      <w:r w:rsidRPr="00E32DB5">
        <w:rPr>
          <w:rFonts w:ascii="Arial" w:hAnsi="Arial" w:cs="Arial"/>
          <w:color w:val="000000"/>
        </w:rPr>
        <w:t>AUC</w:t>
      </w:r>
      <w:r w:rsidRPr="00E32DB5">
        <w:rPr>
          <w:rFonts w:ascii="Arial" w:hAnsi="Arial" w:cs="Arial"/>
          <w:color w:val="000000"/>
          <w:vertAlign w:val="subscript"/>
        </w:rPr>
        <w:t>0-t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  <w:color w:val="000000"/>
        </w:rPr>
        <w:t xml:space="preserve"> </w:t>
      </w:r>
      <w:r w:rsidRPr="00E32DB5">
        <w:rPr>
          <w:rFonts w:ascii="Arial" w:hAnsi="Arial" w:cs="Arial"/>
          <w:color w:val="000000"/>
          <w:shd w:val="clear" w:color="auto" w:fill="FFFFFF"/>
        </w:rPr>
        <w:t>area under the concentration-time curve from 0 to the last measurable time</w:t>
      </w:r>
      <w:r>
        <w:rPr>
          <w:rFonts w:ascii="Arial" w:hAnsi="Arial" w:cs="Arial"/>
          <w:color w:val="000000"/>
          <w:shd w:val="clear" w:color="auto" w:fill="FFFFFF"/>
        </w:rPr>
        <w:t>;</w:t>
      </w:r>
      <w:r w:rsidRPr="00E32DB5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E32DB5">
        <w:rPr>
          <w:rFonts w:ascii="Arial" w:hAnsi="Arial" w:cs="Arial"/>
          <w:color w:val="000000"/>
        </w:rPr>
        <w:t>AUC</w:t>
      </w:r>
      <w:r w:rsidRPr="00E32DB5">
        <w:rPr>
          <w:rFonts w:ascii="Arial" w:hAnsi="Arial" w:cs="Arial"/>
          <w:bCs/>
          <w:vertAlign w:val="subscript"/>
        </w:rPr>
        <w:t>0-</w:t>
      </w:r>
      <w:r w:rsidRPr="00E32DB5">
        <w:rPr>
          <w:rFonts w:ascii="Arial" w:hAnsi="Arial" w:cs="Arial"/>
          <w:color w:val="000000"/>
          <w:vertAlign w:val="subscript"/>
        </w:rPr>
        <w:t>inf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  <w:color w:val="000000"/>
        </w:rPr>
        <w:t xml:space="preserve"> </w:t>
      </w:r>
      <w:r w:rsidRPr="00E32DB5">
        <w:rPr>
          <w:rFonts w:ascii="Arial" w:hAnsi="Arial" w:cs="Arial"/>
          <w:color w:val="000000"/>
          <w:shd w:val="clear" w:color="auto" w:fill="FFFFFF"/>
        </w:rPr>
        <w:t>area under the concentration-time curve from 0 to infinity</w:t>
      </w:r>
      <w:r>
        <w:rPr>
          <w:rFonts w:ascii="Arial" w:hAnsi="Arial" w:cs="Arial"/>
          <w:color w:val="000000"/>
          <w:shd w:val="clear" w:color="auto" w:fill="FFFFFF"/>
        </w:rPr>
        <w:t>;</w:t>
      </w:r>
      <w:r w:rsidRPr="00E32DB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E32DB5">
        <w:rPr>
          <w:rFonts w:ascii="Arial" w:hAnsi="Arial" w:cs="Arial"/>
        </w:rPr>
        <w:t>C</w:t>
      </w:r>
      <w:r w:rsidRPr="00E32DB5">
        <w:rPr>
          <w:rFonts w:ascii="Arial" w:hAnsi="Arial" w:cs="Arial"/>
          <w:vertAlign w:val="subscript"/>
        </w:rPr>
        <w:t>max</w:t>
      </w:r>
      <w:proofErr w:type="spellEnd"/>
      <w:r>
        <w:rPr>
          <w:rFonts w:ascii="Arial" w:hAnsi="Arial" w:cs="Arial"/>
        </w:rPr>
        <w:t>,</w:t>
      </w:r>
      <w:r w:rsidRPr="00E32DB5">
        <w:rPr>
          <w:rFonts w:ascii="Arial" w:hAnsi="Arial" w:cs="Arial"/>
          <w:color w:val="000000"/>
        </w:rPr>
        <w:t xml:space="preserve"> </w:t>
      </w:r>
      <w:r w:rsidRPr="00E32DB5">
        <w:rPr>
          <w:rFonts w:ascii="Arial" w:hAnsi="Arial" w:cs="Arial"/>
        </w:rPr>
        <w:t>maximum measured plasma concentration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CV%</w:t>
      </w:r>
      <w:r w:rsidRPr="00E32DB5">
        <w:rPr>
          <w:rFonts w:ascii="Arial" w:hAnsi="Arial" w:cs="Arial"/>
          <w:color w:val="000000"/>
        </w:rPr>
        <w:t xml:space="preserve">, </w:t>
      </w:r>
      <w:r w:rsidRPr="00E32DB5">
        <w:rPr>
          <w:rFonts w:ascii="Arial" w:hAnsi="Arial" w:cs="Arial"/>
        </w:rPr>
        <w:t>coefficient of variation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ER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</w:rPr>
        <w:t xml:space="preserve"> extended</w:t>
      </w:r>
      <w:r w:rsidR="00E446E1">
        <w:rPr>
          <w:rFonts w:ascii="Arial" w:hAnsi="Arial" w:cs="Arial"/>
        </w:rPr>
        <w:t xml:space="preserve"> </w:t>
      </w:r>
      <w:r w:rsidRPr="00E32DB5">
        <w:rPr>
          <w:rFonts w:ascii="Arial" w:hAnsi="Arial" w:cs="Arial"/>
        </w:rPr>
        <w:t>release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MCC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</w:rPr>
        <w:t xml:space="preserve"> modified Cooperstown cocktail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</w:rPr>
        <w:t xml:space="preserve"> not applicable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NC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</w:rPr>
        <w:t xml:space="preserve"> not calculated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SD</w:t>
      </w:r>
      <w:r>
        <w:rPr>
          <w:rFonts w:ascii="Arial" w:hAnsi="Arial" w:cs="Arial"/>
        </w:rPr>
        <w:t>,</w:t>
      </w:r>
      <w:r w:rsidRPr="00E32DB5">
        <w:rPr>
          <w:rFonts w:ascii="Arial" w:hAnsi="Arial" w:cs="Arial"/>
          <w:color w:val="000000"/>
        </w:rPr>
        <w:t xml:space="preserve"> </w:t>
      </w:r>
      <w:r w:rsidRPr="00E32DB5">
        <w:rPr>
          <w:rFonts w:ascii="Arial" w:hAnsi="Arial" w:cs="Arial"/>
        </w:rPr>
        <w:t>standard deviation</w:t>
      </w:r>
      <w:r>
        <w:rPr>
          <w:rFonts w:ascii="Arial" w:hAnsi="Arial" w:cs="Arial"/>
        </w:rPr>
        <w:t>;</w:t>
      </w:r>
      <w:r w:rsidRPr="00E32DB5">
        <w:rPr>
          <w:rFonts w:ascii="Arial" w:hAnsi="Arial" w:cs="Arial"/>
        </w:rPr>
        <w:t xml:space="preserve"> </w:t>
      </w:r>
      <w:r w:rsidRPr="00E32DB5">
        <w:rPr>
          <w:rFonts w:ascii="Arial" w:hAnsi="Arial" w:cs="Arial"/>
          <w:color w:val="000000"/>
        </w:rPr>
        <w:t>t</w:t>
      </w:r>
      <w:r w:rsidRPr="00E32DB5">
        <w:rPr>
          <w:rFonts w:ascii="Arial" w:hAnsi="Arial" w:cs="Arial"/>
          <w:color w:val="000000"/>
          <w:vertAlign w:val="subscript"/>
        </w:rPr>
        <w:t>1/2</w:t>
      </w:r>
      <w:r>
        <w:rPr>
          <w:rFonts w:ascii="Arial" w:hAnsi="Arial" w:cs="Arial"/>
        </w:rPr>
        <w:t xml:space="preserve">, </w:t>
      </w:r>
      <w:r w:rsidRPr="00991B65">
        <w:rPr>
          <w:rFonts w:ascii="Arial" w:hAnsi="Arial" w:cs="Arial"/>
        </w:rPr>
        <w:t>terminal elimination half-life</w:t>
      </w:r>
      <w:r>
        <w:rPr>
          <w:rFonts w:ascii="Arial" w:hAnsi="Arial" w:cs="Arial"/>
        </w:rPr>
        <w:t>.</w:t>
      </w:r>
      <w:r w:rsidRPr="00E32DB5">
        <w:rPr>
          <w:rFonts w:ascii="Arial" w:hAnsi="Arial" w:cs="Arial"/>
          <w:color w:val="000000"/>
        </w:rPr>
        <w:t xml:space="preserve"> </w:t>
      </w:r>
    </w:p>
    <w:p w14:paraId="4F568A36" w14:textId="77777777" w:rsidR="003950E5" w:rsidRPr="003A6B2D" w:rsidRDefault="003950E5" w:rsidP="003950E5">
      <w:pPr>
        <w:pStyle w:val="SP-headings"/>
        <w:spacing w:afterLines="0" w:after="0" w:line="480" w:lineRule="auto"/>
        <w:jc w:val="left"/>
        <w:rPr>
          <w:rFonts w:cs="Arial"/>
          <w:b w:val="0"/>
          <w:sz w:val="22"/>
          <w:szCs w:val="22"/>
        </w:rPr>
      </w:pPr>
      <w:r w:rsidRPr="003A6B2D">
        <w:rPr>
          <w:rFonts w:cs="Arial"/>
          <w:sz w:val="22"/>
          <w:szCs w:val="22"/>
        </w:rPr>
        <w:br w:type="page"/>
      </w:r>
    </w:p>
    <w:p w14:paraId="46010A3D" w14:textId="77777777" w:rsidR="003950E5" w:rsidRPr="00E32DB5" w:rsidRDefault="003950E5" w:rsidP="003950E5">
      <w:pPr>
        <w:pStyle w:val="SP-headings"/>
        <w:spacing w:afterLines="0" w:after="0" w:line="480" w:lineRule="auto"/>
        <w:jc w:val="left"/>
      </w:pPr>
      <w:r w:rsidRPr="003A6B2D">
        <w:rPr>
          <w:rFonts w:cs="Arial"/>
          <w:b w:val="0"/>
          <w:sz w:val="22"/>
          <w:szCs w:val="22"/>
        </w:rPr>
        <w:lastRenderedPageBreak/>
        <w:t xml:space="preserve">Table S3: </w:t>
      </w:r>
      <w:r w:rsidRPr="003A6B2D">
        <w:rPr>
          <w:rFonts w:cs="Arial"/>
          <w:bCs/>
          <w:sz w:val="22"/>
          <w:szCs w:val="22"/>
        </w:rPr>
        <w:t xml:space="preserve">Relative bioavailability analyses of metabolites paraxanthine, </w:t>
      </w:r>
      <w:proofErr w:type="spellStart"/>
      <w:r w:rsidRPr="003A6B2D">
        <w:rPr>
          <w:rFonts w:cs="Arial"/>
          <w:bCs/>
          <w:sz w:val="22"/>
          <w:szCs w:val="22"/>
        </w:rPr>
        <w:t>dextrorphan</w:t>
      </w:r>
      <w:proofErr w:type="spellEnd"/>
      <w:r w:rsidRPr="003A6B2D">
        <w:rPr>
          <w:rFonts w:cs="Arial"/>
          <w:bCs/>
          <w:sz w:val="22"/>
          <w:szCs w:val="22"/>
        </w:rPr>
        <w:t>, and 1-hydroxymidazolam</w:t>
      </w:r>
    </w:p>
    <w:tbl>
      <w:tblPr>
        <w:tblStyle w:val="TableGrid"/>
        <w:tblW w:w="54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351"/>
        <w:gridCol w:w="4229"/>
        <w:gridCol w:w="1078"/>
        <w:gridCol w:w="1534"/>
      </w:tblGrid>
      <w:tr w:rsidR="003950E5" w:rsidRPr="00972BA9" w14:paraId="168DABAD" w14:textId="77777777" w:rsidTr="00D25814">
        <w:trPr>
          <w:trHeight w:val="717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F2B11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vertAlign w:val="superscript"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Parameter</w:t>
            </w:r>
            <w:r w:rsidRPr="00E32DB5">
              <w:rPr>
                <w:rFonts w:ascii="Arial" w:hAnsi="Arial"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80542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 xml:space="preserve">MCC </w:t>
            </w:r>
            <w:proofErr w:type="spellStart"/>
            <w:r w:rsidRPr="00E32DB5">
              <w:rPr>
                <w:rFonts w:ascii="Arial" w:hAnsi="Arial" w:cs="Arial"/>
                <w:b/>
              </w:rPr>
              <w:t>alone</w:t>
            </w:r>
            <w:r w:rsidRPr="00E32DB5">
              <w:rPr>
                <w:rFonts w:ascii="Arial" w:hAnsi="Arial" w:cs="Arial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A7BF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 xml:space="preserve">Viloxazine ER + MCC </w:t>
            </w:r>
            <w:proofErr w:type="spellStart"/>
            <w:r w:rsidRPr="00E32DB5">
              <w:rPr>
                <w:rFonts w:ascii="Arial" w:hAnsi="Arial" w:cs="Arial"/>
                <w:b/>
              </w:rPr>
              <w:t>combination</w:t>
            </w:r>
            <w:r w:rsidRPr="00E32DB5">
              <w:rPr>
                <w:rFonts w:ascii="Arial" w:hAnsi="Arial" w:cs="Arial"/>
                <w:b/>
                <w:vertAlign w:val="superscript"/>
              </w:rPr>
              <w:t>c</w:t>
            </w:r>
            <w:proofErr w:type="spellEnd"/>
            <w:r w:rsidRPr="00E32DB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E1C9D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Ratio, %</w:t>
            </w:r>
            <w:r w:rsidRPr="00E32DB5">
              <w:rPr>
                <w:rFonts w:ascii="Arial" w:hAnsi="Arial" w:cs="Arial"/>
                <w:b/>
                <w:vertAlign w:val="superscript"/>
              </w:rPr>
              <w:t>d</w:t>
            </w:r>
            <w:r w:rsidRPr="00E32DB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08BED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  <w:bCs/>
              </w:rPr>
              <w:t>90% CI</w:t>
            </w:r>
          </w:p>
        </w:tc>
      </w:tr>
      <w:tr w:rsidR="003950E5" w:rsidRPr="00972BA9" w14:paraId="172D4FE0" w14:textId="77777777" w:rsidTr="00D25814">
        <w:trPr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FCB7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  <w:b/>
                <w:bCs/>
              </w:rPr>
              <w:t>Paraxanthine</w:t>
            </w:r>
          </w:p>
        </w:tc>
      </w:tr>
      <w:tr w:rsidR="003950E5" w:rsidRPr="00972BA9" w14:paraId="0A40DB14" w14:textId="77777777" w:rsidTr="00D25814">
        <w:trPr>
          <w:trHeight w:val="432"/>
        </w:trPr>
        <w:tc>
          <w:tcPr>
            <w:tcW w:w="9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E0E54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  <w:p w14:paraId="73589111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</w:rPr>
            </w:pPr>
            <w:r w:rsidRPr="00E32DB5">
              <w:rPr>
                <w:rFonts w:ascii="Arial" w:hAnsi="Arial" w:cs="Arial"/>
                <w:bCs/>
              </w:rPr>
              <w:t>(n = 27)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C2303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1188.7</w:t>
            </w:r>
          </w:p>
        </w:tc>
        <w:tc>
          <w:tcPr>
            <w:tcW w:w="207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C15FC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251.3</w:t>
            </w: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83A03F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21.1</w:t>
            </w:r>
          </w:p>
        </w:tc>
        <w:tc>
          <w:tcPr>
            <w:tcW w:w="75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A753A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</w:rPr>
              <w:t>16.2–27.6</w:t>
            </w:r>
          </w:p>
        </w:tc>
      </w:tr>
      <w:tr w:rsidR="003950E5" w:rsidRPr="00972BA9" w14:paraId="52D42D73" w14:textId="77777777" w:rsidTr="00D25814">
        <w:trPr>
          <w:trHeight w:val="432"/>
        </w:trPr>
        <w:tc>
          <w:tcPr>
            <w:tcW w:w="97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14496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0-t,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  <w:p w14:paraId="185122C9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lang w:val="pt-BR"/>
              </w:rPr>
            </w:pPr>
            <w:r w:rsidRPr="00E32DB5">
              <w:rPr>
                <w:rFonts w:ascii="Arial" w:hAnsi="Arial" w:cs="Arial"/>
                <w:lang w:val="pt-BR"/>
              </w:rPr>
              <w:t>(n = 27)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028E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24</w:t>
            </w:r>
            <w:r>
              <w:rPr>
                <w:rFonts w:ascii="Arial" w:hAnsi="Arial" w:cs="Arial"/>
              </w:rPr>
              <w:t>,</w:t>
            </w:r>
            <w:r w:rsidRPr="00E32DB5">
              <w:rPr>
                <w:rFonts w:ascii="Arial" w:hAnsi="Arial" w:cs="Arial"/>
              </w:rPr>
              <w:t>022.3</w:t>
            </w:r>
          </w:p>
        </w:tc>
        <w:tc>
          <w:tcPr>
            <w:tcW w:w="20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DDC0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 xml:space="preserve">4962.7 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E64FE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20.7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5081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</w:rPr>
              <w:t>18.1–23.6</w:t>
            </w:r>
          </w:p>
        </w:tc>
      </w:tr>
      <w:tr w:rsidR="003950E5" w:rsidRPr="00972BA9" w14:paraId="2F8737F9" w14:textId="77777777" w:rsidTr="00D25814">
        <w:trPr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07F7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  <w:bCs/>
              </w:rPr>
              <w:t>Dextrorphan</w:t>
            </w:r>
            <w:proofErr w:type="spellEnd"/>
          </w:p>
        </w:tc>
      </w:tr>
      <w:tr w:rsidR="003950E5" w:rsidRPr="00972BA9" w14:paraId="0FBA75AD" w14:textId="77777777" w:rsidTr="00D25814">
        <w:trPr>
          <w:trHeight w:val="432"/>
        </w:trPr>
        <w:tc>
          <w:tcPr>
            <w:tcW w:w="9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B1E53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  <w:p w14:paraId="1B475250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(n = 28)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2D79C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3.7</w:t>
            </w:r>
          </w:p>
        </w:tc>
        <w:tc>
          <w:tcPr>
            <w:tcW w:w="207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A6131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3.54</w:t>
            </w: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37825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95.5</w:t>
            </w:r>
          </w:p>
        </w:tc>
        <w:tc>
          <w:tcPr>
            <w:tcW w:w="75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8F4E4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85.8–106.4</w:t>
            </w:r>
          </w:p>
        </w:tc>
      </w:tr>
      <w:tr w:rsidR="003950E5" w:rsidRPr="00972BA9" w14:paraId="3CC604A8" w14:textId="77777777" w:rsidTr="00D25814">
        <w:trPr>
          <w:trHeight w:val="432"/>
        </w:trPr>
        <w:tc>
          <w:tcPr>
            <w:tcW w:w="973" w:type="pct"/>
            <w:shd w:val="clear" w:color="auto" w:fill="F2F2F2" w:themeFill="background1" w:themeFillShade="F2"/>
            <w:vAlign w:val="center"/>
          </w:tcPr>
          <w:p w14:paraId="7F4121B2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0-t,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  <w:p w14:paraId="00B69E2F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lang w:val="pt-BR"/>
              </w:rPr>
            </w:pPr>
            <w:r w:rsidRPr="00E32DB5">
              <w:rPr>
                <w:rFonts w:ascii="Arial" w:hAnsi="Arial" w:cs="Arial"/>
                <w:bCs/>
                <w:lang w:val="pt-BR"/>
              </w:rPr>
              <w:t>(n = 28)</w:t>
            </w:r>
          </w:p>
        </w:tc>
        <w:tc>
          <w:tcPr>
            <w:tcW w:w="664" w:type="pct"/>
            <w:shd w:val="clear" w:color="auto" w:fill="F2F2F2" w:themeFill="background1" w:themeFillShade="F2"/>
            <w:vAlign w:val="center"/>
          </w:tcPr>
          <w:p w14:paraId="78DF0F91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12.0</w:t>
            </w:r>
          </w:p>
        </w:tc>
        <w:tc>
          <w:tcPr>
            <w:tcW w:w="2079" w:type="pct"/>
            <w:shd w:val="clear" w:color="auto" w:fill="F2F2F2" w:themeFill="background1" w:themeFillShade="F2"/>
            <w:vAlign w:val="center"/>
          </w:tcPr>
          <w:p w14:paraId="20652B1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14.0</w:t>
            </w:r>
          </w:p>
        </w:tc>
        <w:tc>
          <w:tcPr>
            <w:tcW w:w="530" w:type="pct"/>
            <w:shd w:val="clear" w:color="auto" w:fill="F2F2F2" w:themeFill="background1" w:themeFillShade="F2"/>
            <w:vAlign w:val="center"/>
          </w:tcPr>
          <w:p w14:paraId="643392BB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117.4</w:t>
            </w:r>
          </w:p>
        </w:tc>
        <w:tc>
          <w:tcPr>
            <w:tcW w:w="753" w:type="pct"/>
            <w:shd w:val="clear" w:color="auto" w:fill="F2F2F2" w:themeFill="background1" w:themeFillShade="F2"/>
            <w:vAlign w:val="center"/>
          </w:tcPr>
          <w:p w14:paraId="29910DA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103.7–132.8</w:t>
            </w:r>
          </w:p>
        </w:tc>
      </w:tr>
      <w:tr w:rsidR="003950E5" w:rsidRPr="00972BA9" w14:paraId="21F3DD68" w14:textId="77777777" w:rsidTr="00D25814">
        <w:trPr>
          <w:trHeight w:val="432"/>
        </w:trPr>
        <w:tc>
          <w:tcPr>
            <w:tcW w:w="9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D68F7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bCs/>
                <w:iCs/>
                <w:vertAlign w:val="subscript"/>
                <w:lang w:val="pt-BR"/>
              </w:rPr>
              <w:t>0-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  <w:p w14:paraId="7EA08D97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lang w:val="pt-BR"/>
              </w:rPr>
            </w:pPr>
            <w:r w:rsidRPr="00E32DB5">
              <w:rPr>
                <w:rFonts w:ascii="Arial" w:hAnsi="Arial" w:cs="Arial"/>
                <w:lang w:val="pt-BR"/>
              </w:rPr>
              <w:t>(n = 8)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4CD18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32.8</w:t>
            </w:r>
          </w:p>
        </w:tc>
        <w:tc>
          <w:tcPr>
            <w:tcW w:w="20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CF9A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30.2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2066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92.3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BB67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79.7–106.9</w:t>
            </w:r>
          </w:p>
        </w:tc>
      </w:tr>
      <w:tr w:rsidR="003950E5" w:rsidRPr="00972BA9" w14:paraId="40C2D262" w14:textId="77777777" w:rsidTr="00D25814">
        <w:trPr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1AC7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  <w:b/>
                <w:bCs/>
              </w:rPr>
              <w:t>1-Hydroxymidazolam</w:t>
            </w:r>
          </w:p>
        </w:tc>
      </w:tr>
      <w:tr w:rsidR="003950E5" w:rsidRPr="00972BA9" w14:paraId="3BE39D2C" w14:textId="77777777" w:rsidTr="00D25814">
        <w:trPr>
          <w:trHeight w:val="432"/>
        </w:trPr>
        <w:tc>
          <w:tcPr>
            <w:tcW w:w="9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0DE26E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E32DB5">
              <w:rPr>
                <w:rFonts w:ascii="Arial" w:hAnsi="Arial" w:cs="Arial"/>
                <w:b/>
              </w:rPr>
              <w:t>C</w:t>
            </w:r>
            <w:r w:rsidRPr="00E32DB5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E32DB5">
              <w:rPr>
                <w:rFonts w:ascii="Arial" w:hAnsi="Arial" w:cs="Arial"/>
                <w:b/>
                <w:vertAlign w:val="subscript"/>
              </w:rPr>
              <w:t xml:space="preserve">, </w:t>
            </w:r>
            <w:r w:rsidRPr="00E32DB5">
              <w:rPr>
                <w:rFonts w:ascii="Arial" w:hAnsi="Arial" w:cs="Arial"/>
                <w:bCs/>
              </w:rPr>
              <w:t>ng/mL</w:t>
            </w:r>
          </w:p>
          <w:p w14:paraId="68B44DDB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(n = 35)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1BB7B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5.6</w:t>
            </w:r>
          </w:p>
        </w:tc>
        <w:tc>
          <w:tcPr>
            <w:tcW w:w="207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644D5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2.7</w:t>
            </w: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F8A6C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47.7</w:t>
            </w:r>
          </w:p>
        </w:tc>
        <w:tc>
          <w:tcPr>
            <w:tcW w:w="75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1F5E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43.8–51.9</w:t>
            </w:r>
          </w:p>
        </w:tc>
      </w:tr>
      <w:tr w:rsidR="003950E5" w:rsidRPr="00972BA9" w14:paraId="689F3BF2" w14:textId="77777777" w:rsidTr="00D25814">
        <w:trPr>
          <w:trHeight w:val="432"/>
        </w:trPr>
        <w:tc>
          <w:tcPr>
            <w:tcW w:w="973" w:type="pct"/>
            <w:shd w:val="clear" w:color="auto" w:fill="F2F2F2" w:themeFill="background1" w:themeFillShade="F2"/>
            <w:vAlign w:val="center"/>
          </w:tcPr>
          <w:p w14:paraId="26117D4C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0-t,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  <w:p w14:paraId="08009E0F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lang w:val="pt-BR"/>
              </w:rPr>
              <w:t>(n = 35)</w:t>
            </w:r>
          </w:p>
        </w:tc>
        <w:tc>
          <w:tcPr>
            <w:tcW w:w="664" w:type="pct"/>
            <w:shd w:val="clear" w:color="auto" w:fill="F2F2F2" w:themeFill="background1" w:themeFillShade="F2"/>
            <w:vAlign w:val="center"/>
          </w:tcPr>
          <w:p w14:paraId="1ABC69F0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13.1</w:t>
            </w:r>
          </w:p>
        </w:tc>
        <w:tc>
          <w:tcPr>
            <w:tcW w:w="2079" w:type="pct"/>
            <w:shd w:val="clear" w:color="auto" w:fill="F2F2F2" w:themeFill="background1" w:themeFillShade="F2"/>
            <w:vAlign w:val="center"/>
          </w:tcPr>
          <w:p w14:paraId="4938D06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7.4</w:t>
            </w:r>
          </w:p>
        </w:tc>
        <w:tc>
          <w:tcPr>
            <w:tcW w:w="530" w:type="pct"/>
            <w:shd w:val="clear" w:color="auto" w:fill="F2F2F2" w:themeFill="background1" w:themeFillShade="F2"/>
            <w:vAlign w:val="center"/>
          </w:tcPr>
          <w:p w14:paraId="23A03D2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57.0</w:t>
            </w:r>
          </w:p>
        </w:tc>
        <w:tc>
          <w:tcPr>
            <w:tcW w:w="753" w:type="pct"/>
            <w:shd w:val="clear" w:color="auto" w:fill="F2F2F2" w:themeFill="background1" w:themeFillShade="F2"/>
            <w:vAlign w:val="center"/>
          </w:tcPr>
          <w:p w14:paraId="55563E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53.4–60.8</w:t>
            </w:r>
          </w:p>
        </w:tc>
      </w:tr>
      <w:tr w:rsidR="003950E5" w:rsidRPr="00972BA9" w14:paraId="6B714C0E" w14:textId="77777777" w:rsidTr="00D25814">
        <w:trPr>
          <w:trHeight w:val="68"/>
        </w:trPr>
        <w:tc>
          <w:tcPr>
            <w:tcW w:w="9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BA82D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Cs/>
                <w:lang w:val="pt-BR"/>
              </w:rPr>
            </w:pPr>
            <w:r w:rsidRPr="00E32DB5">
              <w:rPr>
                <w:rFonts w:ascii="Arial" w:hAnsi="Arial" w:cs="Arial"/>
                <w:b/>
                <w:lang w:val="pt-BR"/>
              </w:rPr>
              <w:t>AUC</w:t>
            </w:r>
            <w:r w:rsidRPr="00E32DB5">
              <w:rPr>
                <w:rFonts w:ascii="Arial" w:hAnsi="Arial" w:cs="Arial"/>
                <w:b/>
                <w:bCs/>
                <w:iCs/>
                <w:vertAlign w:val="subscript"/>
                <w:lang w:val="pt-BR"/>
              </w:rPr>
              <w:t>0-</w:t>
            </w:r>
            <w:r w:rsidRPr="00E32DB5">
              <w:rPr>
                <w:rFonts w:ascii="Arial" w:hAnsi="Arial" w:cs="Arial"/>
                <w:b/>
                <w:vertAlign w:val="subscript"/>
                <w:lang w:val="pt-BR"/>
              </w:rPr>
              <w:t xml:space="preserve">inf, </w:t>
            </w:r>
            <w:r w:rsidRPr="00E32DB5">
              <w:rPr>
                <w:rFonts w:ascii="Arial" w:hAnsi="Arial" w:cs="Arial"/>
                <w:bCs/>
                <w:lang w:val="pt-BR"/>
              </w:rPr>
              <w:t>h*ng/mL</w:t>
            </w:r>
          </w:p>
          <w:p w14:paraId="02FFAA75" w14:textId="77777777" w:rsidR="003950E5" w:rsidRPr="00E32DB5" w:rsidRDefault="003950E5" w:rsidP="00D25814">
            <w:pPr>
              <w:spacing w:afterLines="0" w:after="0" w:line="240" w:lineRule="auto"/>
              <w:contextualSpacing/>
              <w:rPr>
                <w:rFonts w:ascii="Arial" w:hAnsi="Arial" w:cs="Arial"/>
                <w:b/>
                <w:lang w:val="pt-BR"/>
              </w:rPr>
            </w:pPr>
            <w:r w:rsidRPr="00E32DB5">
              <w:rPr>
                <w:rFonts w:ascii="Arial" w:hAnsi="Arial" w:cs="Arial"/>
                <w:lang w:val="pt-BR"/>
              </w:rPr>
              <w:t>(n = 22)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3AF16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12.7</w:t>
            </w:r>
          </w:p>
        </w:tc>
        <w:tc>
          <w:tcPr>
            <w:tcW w:w="20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B6D9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7.7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7DF5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60.2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F1FBD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55.2–65.7</w:t>
            </w:r>
          </w:p>
        </w:tc>
      </w:tr>
    </w:tbl>
    <w:p w14:paraId="747FB057" w14:textId="77777777" w:rsidR="003950E5" w:rsidRPr="00E32DB5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E32DB5">
        <w:rPr>
          <w:rFonts w:ascii="Arial" w:hAnsi="Arial" w:cs="Arial"/>
          <w:sz w:val="22"/>
          <w:szCs w:val="22"/>
        </w:rPr>
        <w:t>AUC</w:t>
      </w:r>
      <w:r w:rsidRPr="00E32DB5">
        <w:rPr>
          <w:rFonts w:ascii="Arial" w:hAnsi="Arial" w:cs="Arial"/>
          <w:iCs/>
          <w:sz w:val="22"/>
          <w:szCs w:val="22"/>
          <w:vertAlign w:val="subscript"/>
        </w:rPr>
        <w:t>0-</w:t>
      </w:r>
      <w:r w:rsidRPr="00E32DB5">
        <w:rPr>
          <w:rFonts w:ascii="Arial" w:hAnsi="Arial" w:cs="Arial"/>
          <w:sz w:val="22"/>
          <w:szCs w:val="22"/>
          <w:vertAlign w:val="subscript"/>
        </w:rPr>
        <w:t>inf</w:t>
      </w:r>
      <w:r w:rsidRPr="00E32DB5">
        <w:rPr>
          <w:rFonts w:ascii="Arial" w:hAnsi="Arial" w:cs="Arial"/>
          <w:sz w:val="22"/>
          <w:szCs w:val="22"/>
        </w:rPr>
        <w:t xml:space="preserve"> values that resulted from greater than 20% extrapolation were excluded from the comparisons.</w:t>
      </w:r>
    </w:p>
    <w:p w14:paraId="619CF22A" w14:textId="77777777" w:rsidR="003950E5" w:rsidRPr="00E32DB5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E32DB5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Geometric means; based on least squares mean of log-transformed parameter values</w:t>
      </w:r>
    </w:p>
    <w:p w14:paraId="5D031923" w14:textId="305309E3" w:rsidR="003950E5" w:rsidRPr="003A6B2D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E32DB5">
        <w:rPr>
          <w:rFonts w:ascii="Arial" w:hAnsi="Arial" w:cs="Arial"/>
          <w:vertAlign w:val="superscript"/>
        </w:rPr>
        <w:t>b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MCC alone: single</w:t>
      </w:r>
      <w:r>
        <w:rPr>
          <w:rFonts w:ascii="Arial" w:hAnsi="Arial" w:cs="Arial"/>
        </w:rPr>
        <w:t>-</w:t>
      </w:r>
      <w:r w:rsidRPr="003A6B2D">
        <w:rPr>
          <w:rFonts w:ascii="Arial" w:hAnsi="Arial" w:cs="Arial"/>
        </w:rPr>
        <w:t xml:space="preserve">dose </w:t>
      </w:r>
      <w:r w:rsidRPr="003A6B2D">
        <w:rPr>
          <w:rFonts w:ascii="Arial" w:hAnsi="Arial" w:cs="Arial"/>
          <w:iCs/>
        </w:rPr>
        <w:t>caffeine (200 mg), dextromethorphan (30 mg), and midazolam (0.025 mg/</w:t>
      </w:r>
      <w:r w:rsidRPr="003A6B2D">
        <w:rPr>
          <w:rFonts w:ascii="Arial" w:hAnsi="Arial" w:cs="Arial"/>
          <w:iCs/>
        </w:rPr>
        <w:t xml:space="preserve">kg) </w:t>
      </w:r>
      <w:r w:rsidRPr="003A6B2D">
        <w:rPr>
          <w:rFonts w:ascii="Arial" w:hAnsi="Arial" w:cs="Arial"/>
        </w:rPr>
        <w:t>(</w:t>
      </w:r>
      <w:r>
        <w:rPr>
          <w:rFonts w:ascii="Arial" w:hAnsi="Arial" w:cs="Arial"/>
        </w:rPr>
        <w:t>pharmacokinetic</w:t>
      </w:r>
      <w:r w:rsidRPr="003A6B2D">
        <w:rPr>
          <w:rFonts w:ascii="Arial" w:hAnsi="Arial" w:cs="Arial"/>
        </w:rPr>
        <w:t xml:space="preserve"> samples collected for 48 hours beginning Period 1, Day 1).</w:t>
      </w:r>
    </w:p>
    <w:p w14:paraId="5AE8326C" w14:textId="7CAF1B35" w:rsidR="003950E5" w:rsidRPr="00E32DB5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3A6B2D">
        <w:rPr>
          <w:rFonts w:ascii="Arial" w:hAnsi="Arial" w:cs="Arial"/>
          <w:vertAlign w:val="superscript"/>
        </w:rPr>
        <w:t>c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Combination: viloxazine ER (900 mg)</w:t>
      </w:r>
      <w:r w:rsidRPr="00E32DB5">
        <w:rPr>
          <w:rFonts w:ascii="Arial" w:hAnsi="Arial" w:cs="Arial"/>
          <w:iCs/>
        </w:rPr>
        <w:t xml:space="preserve"> followed 4.5 hours later by </w:t>
      </w:r>
      <w:r w:rsidRPr="00E32DB5">
        <w:rPr>
          <w:rFonts w:ascii="Arial" w:hAnsi="Arial" w:cs="Arial"/>
        </w:rPr>
        <w:t>MCC (</w:t>
      </w:r>
      <w:r>
        <w:rPr>
          <w:rFonts w:ascii="Arial" w:hAnsi="Arial" w:cs="Arial"/>
        </w:rPr>
        <w:t>pharmacokinetic</w:t>
      </w:r>
      <w:r w:rsidRPr="00E32DB5">
        <w:rPr>
          <w:rFonts w:ascii="Arial" w:hAnsi="Arial" w:cs="Arial"/>
        </w:rPr>
        <w:t xml:space="preserve"> </w:t>
      </w:r>
      <w:r w:rsidRPr="00E32DB5">
        <w:rPr>
          <w:rFonts w:ascii="Arial" w:hAnsi="Arial" w:cs="Arial"/>
        </w:rPr>
        <w:t>samples collected for 48 hours beginning Period 3, Day 6).</w:t>
      </w:r>
    </w:p>
    <w:p w14:paraId="18E349DB" w14:textId="77777777" w:rsidR="003950E5" w:rsidRPr="00E32DB5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E32DB5">
        <w:rPr>
          <w:rFonts w:ascii="Arial" w:hAnsi="Arial" w:cs="Arial"/>
          <w:sz w:val="22"/>
          <w:szCs w:val="22"/>
          <w:vertAlign w:val="superscript"/>
        </w:rPr>
        <w:t>d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Ratio (%) = viloxazine ER + MCC combination/MCC alone (using geometric means).</w:t>
      </w:r>
    </w:p>
    <w:p w14:paraId="62950A42" w14:textId="2DB38918" w:rsidR="003950E5" w:rsidRPr="003A6B2D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Abbreviations: </w:t>
      </w:r>
      <w:r w:rsidRPr="00E32DB5">
        <w:rPr>
          <w:rFonts w:ascii="Arial" w:hAnsi="Arial" w:cs="Arial"/>
          <w:sz w:val="22"/>
          <w:szCs w:val="22"/>
        </w:rPr>
        <w:t>AUC</w:t>
      </w:r>
      <w:r w:rsidRPr="00E32DB5">
        <w:rPr>
          <w:rFonts w:ascii="Arial" w:hAnsi="Arial" w:cs="Arial"/>
          <w:sz w:val="22"/>
          <w:szCs w:val="22"/>
          <w:vertAlign w:val="subscript"/>
        </w:rPr>
        <w:t>0-t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  <w:shd w:val="clear" w:color="auto" w:fill="FFFFFF"/>
        </w:rPr>
        <w:t>area under the concentration-time curve from time 0 to the last measurable time</w:t>
      </w:r>
      <w:r>
        <w:rPr>
          <w:rFonts w:ascii="Arial" w:hAnsi="Arial" w:cs="Arial"/>
          <w:sz w:val="22"/>
          <w:szCs w:val="22"/>
          <w:shd w:val="clear" w:color="auto" w:fill="FFFFFF"/>
        </w:rPr>
        <w:t>;</w:t>
      </w:r>
      <w:r w:rsidRPr="00E32DB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AUC</w:t>
      </w:r>
      <w:r w:rsidRPr="00E32DB5">
        <w:rPr>
          <w:rFonts w:ascii="Arial" w:hAnsi="Arial" w:cs="Arial"/>
          <w:sz w:val="22"/>
          <w:szCs w:val="22"/>
          <w:vertAlign w:val="subscript"/>
        </w:rPr>
        <w:t>0-inf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  <w:shd w:val="clear" w:color="auto" w:fill="FFFFFF"/>
        </w:rPr>
        <w:t>area under the concentration-time curve from time 0 to infinity</w:t>
      </w:r>
      <w:r>
        <w:rPr>
          <w:rFonts w:ascii="Arial" w:hAnsi="Arial" w:cs="Arial"/>
          <w:sz w:val="22"/>
          <w:szCs w:val="22"/>
          <w:shd w:val="clear" w:color="auto" w:fill="FFFFFF"/>
        </w:rPr>
        <w:t>;</w:t>
      </w:r>
      <w:r w:rsidRPr="00E32DB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CI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lastRenderedPageBreak/>
        <w:t>confidence interval</w:t>
      </w:r>
      <w:r>
        <w:rPr>
          <w:rFonts w:ascii="Arial" w:hAnsi="Arial" w:cs="Arial"/>
          <w:sz w:val="22"/>
          <w:szCs w:val="22"/>
        </w:rPr>
        <w:t>;</w:t>
      </w:r>
      <w:r w:rsidRPr="00E32DB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2DB5">
        <w:rPr>
          <w:rFonts w:ascii="Arial" w:hAnsi="Arial" w:cs="Arial"/>
          <w:sz w:val="22"/>
          <w:szCs w:val="22"/>
        </w:rPr>
        <w:t>C</w:t>
      </w:r>
      <w:r w:rsidRPr="00E32DB5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maximum measured plasma concentration</w:t>
      </w:r>
      <w:r>
        <w:rPr>
          <w:rFonts w:ascii="Arial" w:hAnsi="Arial" w:cs="Arial"/>
          <w:sz w:val="22"/>
          <w:szCs w:val="22"/>
        </w:rPr>
        <w:t>;</w:t>
      </w:r>
      <w:r w:rsidRPr="00E32DB5">
        <w:rPr>
          <w:rFonts w:ascii="Arial" w:hAnsi="Arial" w:cs="Arial"/>
          <w:sz w:val="22"/>
          <w:szCs w:val="22"/>
        </w:rPr>
        <w:t xml:space="preserve"> ER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extended</w:t>
      </w:r>
      <w:r w:rsidR="00E446E1">
        <w:rPr>
          <w:rFonts w:ascii="Arial" w:hAnsi="Arial" w:cs="Arial"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release</w:t>
      </w:r>
      <w:r>
        <w:rPr>
          <w:rFonts w:ascii="Arial" w:hAnsi="Arial" w:cs="Arial"/>
          <w:sz w:val="22"/>
          <w:szCs w:val="22"/>
        </w:rPr>
        <w:t>;</w:t>
      </w:r>
      <w:r w:rsidRPr="00E32DB5">
        <w:rPr>
          <w:rFonts w:ascii="Arial" w:hAnsi="Arial" w:cs="Arial"/>
          <w:sz w:val="22"/>
          <w:szCs w:val="22"/>
        </w:rPr>
        <w:t xml:space="preserve"> MCC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modified Cooperstown cocktail</w:t>
      </w:r>
      <w:r>
        <w:rPr>
          <w:rFonts w:ascii="Arial" w:hAnsi="Arial" w:cs="Arial"/>
          <w:sz w:val="22"/>
          <w:szCs w:val="22"/>
        </w:rPr>
        <w:t>.</w:t>
      </w:r>
      <w:r w:rsidRPr="00C06FFE" w:rsidDel="00C06FFE">
        <w:rPr>
          <w:rFonts w:cs="Arial"/>
          <w:sz w:val="22"/>
          <w:szCs w:val="22"/>
        </w:rPr>
        <w:t xml:space="preserve"> </w:t>
      </w:r>
      <w:r w:rsidRPr="003A6B2D">
        <w:rPr>
          <w:rFonts w:ascii="Arial" w:hAnsi="Arial" w:cs="Arial"/>
          <w:sz w:val="22"/>
          <w:szCs w:val="22"/>
        </w:rPr>
        <w:br w:type="page"/>
      </w:r>
    </w:p>
    <w:p w14:paraId="0AB76C8F" w14:textId="77777777" w:rsidR="003950E5" w:rsidRPr="003A6B2D" w:rsidRDefault="003950E5" w:rsidP="003950E5">
      <w:pPr>
        <w:pStyle w:val="SP-headings"/>
        <w:spacing w:afterLines="0" w:after="0" w:line="480" w:lineRule="auto"/>
        <w:jc w:val="left"/>
        <w:rPr>
          <w:rFonts w:cs="Arial"/>
          <w:sz w:val="22"/>
          <w:szCs w:val="22"/>
        </w:rPr>
      </w:pPr>
      <w:r w:rsidRPr="003A6B2D">
        <w:rPr>
          <w:rFonts w:cs="Arial"/>
          <w:b w:val="0"/>
          <w:sz w:val="22"/>
          <w:szCs w:val="22"/>
        </w:rPr>
        <w:lastRenderedPageBreak/>
        <w:t xml:space="preserve">Table S4: </w:t>
      </w:r>
      <w:r w:rsidRPr="003A6B2D">
        <w:rPr>
          <w:rFonts w:cs="Arial"/>
          <w:bCs/>
          <w:sz w:val="22"/>
          <w:szCs w:val="22"/>
        </w:rPr>
        <w:t>Viloxazine steady-state assessment</w:t>
      </w:r>
    </w:p>
    <w:tbl>
      <w:tblPr>
        <w:tblStyle w:val="TableGrid"/>
        <w:tblW w:w="54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0" w:type="dxa"/>
        </w:tblCellMar>
        <w:tblLook w:val="04A0" w:firstRow="1" w:lastRow="0" w:firstColumn="1" w:lastColumn="0" w:noHBand="0" w:noVBand="1"/>
      </w:tblPr>
      <w:tblGrid>
        <w:gridCol w:w="2237"/>
        <w:gridCol w:w="2624"/>
        <w:gridCol w:w="1259"/>
        <w:gridCol w:w="1349"/>
        <w:gridCol w:w="1713"/>
        <w:gridCol w:w="989"/>
      </w:tblGrid>
      <w:tr w:rsidR="003950E5" w:rsidRPr="00972BA9" w14:paraId="120DFDE3" w14:textId="77777777" w:rsidTr="00D25814">
        <w:trPr>
          <w:trHeight w:val="609"/>
        </w:trPr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C509D" w14:textId="77777777" w:rsidR="003950E5" w:rsidRPr="003A6B2D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3A6B2D">
              <w:rPr>
                <w:rFonts w:ascii="Arial" w:hAnsi="Arial" w:cs="Arial"/>
                <w:b/>
              </w:rPr>
              <w:t>Contrasts</w:t>
            </w:r>
          </w:p>
        </w:tc>
        <w:tc>
          <w:tcPr>
            <w:tcW w:w="1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3D666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3A6B2D">
              <w:rPr>
                <w:rFonts w:ascii="Arial" w:hAnsi="Arial" w:cs="Arial"/>
                <w:b/>
              </w:rPr>
              <w:t>Ref</w:t>
            </w:r>
            <w:r w:rsidRPr="003A6B2D">
              <w:rPr>
                <w:rFonts w:ascii="Arial" w:hAnsi="Arial" w:cs="Arial"/>
                <w:b/>
                <w:vertAlign w:val="superscript"/>
              </w:rPr>
              <w:t xml:space="preserve">a 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DA52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Test</w:t>
            </w:r>
            <w:r w:rsidRPr="00E32DB5">
              <w:rPr>
                <w:rFonts w:ascii="Arial" w:hAnsi="Arial" w:cs="Arial"/>
                <w:b/>
                <w:vertAlign w:val="superscript"/>
              </w:rPr>
              <w:t>a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5A43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Ratio,</w:t>
            </w:r>
            <w:r w:rsidRPr="00E32DB5" w:rsidDel="00141E53">
              <w:rPr>
                <w:rFonts w:ascii="Arial" w:hAnsi="Arial" w:cs="Arial"/>
                <w:b/>
              </w:rPr>
              <w:t xml:space="preserve"> </w:t>
            </w:r>
            <w:r w:rsidRPr="00E32DB5">
              <w:rPr>
                <w:rFonts w:ascii="Arial" w:hAnsi="Arial" w:cs="Arial"/>
                <w:b/>
              </w:rPr>
              <w:t>%</w:t>
            </w:r>
            <w:r w:rsidRPr="00E32DB5">
              <w:rPr>
                <w:rFonts w:ascii="Arial" w:hAnsi="Arial" w:cs="Arial"/>
                <w:b/>
                <w:vertAlign w:val="superscript"/>
              </w:rPr>
              <w:t>b</w:t>
            </w:r>
            <w:r w:rsidRPr="00E32DB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795354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  <w:b/>
                <w:bCs/>
              </w:rPr>
              <w:t>90% CI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EA1B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  <w:bCs/>
              </w:rPr>
              <w:t xml:space="preserve">p </w:t>
            </w:r>
            <w:proofErr w:type="spellStart"/>
            <w:r w:rsidRPr="00E32DB5">
              <w:rPr>
                <w:rFonts w:ascii="Arial" w:hAnsi="Arial" w:cs="Arial"/>
                <w:b/>
                <w:bCs/>
              </w:rPr>
              <w:t>value</w:t>
            </w:r>
            <w:r w:rsidRPr="00E32DB5">
              <w:rPr>
                <w:rFonts w:ascii="Arial" w:hAnsi="Arial" w:cs="Arial"/>
                <w:b/>
                <w:vertAlign w:val="superscript"/>
              </w:rPr>
              <w:t>c</w:t>
            </w:r>
            <w:proofErr w:type="spellEnd"/>
          </w:p>
        </w:tc>
      </w:tr>
      <w:tr w:rsidR="003950E5" w:rsidRPr="00972BA9" w14:paraId="14139CC2" w14:textId="77777777" w:rsidTr="00D25814">
        <w:trPr>
          <w:trHeight w:val="432"/>
        </w:trPr>
        <w:tc>
          <w:tcPr>
            <w:tcW w:w="10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D1A73C" w14:textId="77777777" w:rsidR="003950E5" w:rsidRPr="00E32DB5" w:rsidRDefault="003950E5" w:rsidP="00D25814">
            <w:pPr>
              <w:pStyle w:val="CommentSubject"/>
              <w:spacing w:afterLines="0" w:after="0" w:line="240" w:lineRule="auto"/>
              <w:contextualSpacing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E32DB5">
              <w:rPr>
                <w:rFonts w:ascii="Arial" w:hAnsi="Arial" w:cs="Arial"/>
                <w:bCs w:val="0"/>
                <w:sz w:val="22"/>
                <w:szCs w:val="22"/>
              </w:rPr>
              <w:t>Day 4 vs Days 5, 6</w:t>
            </w:r>
          </w:p>
        </w:tc>
        <w:tc>
          <w:tcPr>
            <w:tcW w:w="1290" w:type="pct"/>
            <w:tcBorders>
              <w:top w:val="single" w:sz="4" w:space="0" w:color="auto"/>
            </w:tcBorders>
            <w:vAlign w:val="center"/>
          </w:tcPr>
          <w:p w14:paraId="2F09845C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2.6 (n = 72)</w:t>
            </w:r>
          </w:p>
        </w:tc>
        <w:tc>
          <w:tcPr>
            <w:tcW w:w="6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2795EA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2.4 (n = 37)</w:t>
            </w:r>
          </w:p>
        </w:tc>
        <w:tc>
          <w:tcPr>
            <w:tcW w:w="6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AEF95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</w:rPr>
              <w:t>89.9</w:t>
            </w:r>
          </w:p>
        </w:tc>
        <w:tc>
          <w:tcPr>
            <w:tcW w:w="842" w:type="pct"/>
            <w:tcBorders>
              <w:top w:val="single" w:sz="4" w:space="0" w:color="auto"/>
            </w:tcBorders>
            <w:vAlign w:val="center"/>
          </w:tcPr>
          <w:p w14:paraId="4BA0557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79.8–101.3</w:t>
            </w:r>
          </w:p>
        </w:tc>
        <w:tc>
          <w:tcPr>
            <w:tcW w:w="4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FAE44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32DB5">
              <w:rPr>
                <w:rFonts w:ascii="Arial" w:hAnsi="Arial" w:cs="Arial"/>
              </w:rPr>
              <w:t>0.14</w:t>
            </w:r>
          </w:p>
        </w:tc>
      </w:tr>
      <w:tr w:rsidR="003950E5" w:rsidRPr="00972BA9" w14:paraId="39FB4153" w14:textId="77777777" w:rsidTr="00D25814">
        <w:trPr>
          <w:trHeight w:val="432"/>
        </w:trPr>
        <w:tc>
          <w:tcPr>
            <w:tcW w:w="109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17DB7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left"/>
              <w:rPr>
                <w:rFonts w:ascii="Arial" w:hAnsi="Arial" w:cs="Arial"/>
                <w:b/>
              </w:rPr>
            </w:pPr>
            <w:r w:rsidRPr="00E32DB5">
              <w:rPr>
                <w:rFonts w:ascii="Arial" w:hAnsi="Arial" w:cs="Arial"/>
                <w:b/>
              </w:rPr>
              <w:t>Day 5 vs Day 6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F0BB02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2.6 (n = 36)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431A49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2.6 (n = 36)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544533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101.3</w:t>
            </w:r>
          </w:p>
        </w:tc>
        <w:tc>
          <w:tcPr>
            <w:tcW w:w="842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EF97D5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88.1–116.4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0AC36" w14:textId="77777777" w:rsidR="003950E5" w:rsidRPr="00E32DB5" w:rsidRDefault="003950E5" w:rsidP="00D25814">
            <w:pPr>
              <w:spacing w:afterLines="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E32DB5">
              <w:rPr>
                <w:rFonts w:ascii="Arial" w:hAnsi="Arial" w:cs="Arial"/>
              </w:rPr>
              <w:t>0.88</w:t>
            </w:r>
          </w:p>
        </w:tc>
      </w:tr>
    </w:tbl>
    <w:p w14:paraId="7705DF58" w14:textId="77777777" w:rsidR="003950E5" w:rsidRPr="00E32DB5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E32DB5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Geometric means; based on least squares mean of log-transformed parameter values</w:t>
      </w:r>
    </w:p>
    <w:p w14:paraId="37563D23" w14:textId="77777777" w:rsidR="003950E5" w:rsidRPr="00E32DB5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E32DB5">
        <w:rPr>
          <w:rFonts w:ascii="Arial" w:hAnsi="Arial" w:cs="Arial"/>
          <w:vertAlign w:val="superscript"/>
        </w:rPr>
        <w:t>b</w:t>
      </w:r>
      <w:r>
        <w:rPr>
          <w:rFonts w:ascii="Arial" w:hAnsi="Arial" w:cs="Arial"/>
          <w:vertAlign w:val="superscript"/>
        </w:rPr>
        <w:t xml:space="preserve"> </w:t>
      </w:r>
      <w:r w:rsidRPr="00E32DB5">
        <w:rPr>
          <w:rFonts w:ascii="Arial" w:hAnsi="Arial" w:cs="Arial"/>
        </w:rPr>
        <w:t>Ratio (%): test/reference (using geometric means).</w:t>
      </w:r>
    </w:p>
    <w:p w14:paraId="02743F76" w14:textId="77777777" w:rsidR="003950E5" w:rsidRPr="00E32DB5" w:rsidRDefault="003950E5" w:rsidP="003950E5">
      <w:pPr>
        <w:spacing w:afterLines="0" w:after="0" w:line="48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E32DB5">
        <w:rPr>
          <w:rFonts w:ascii="Arial" w:hAnsi="Arial" w:cs="Arial"/>
          <w:sz w:val="22"/>
          <w:szCs w:val="22"/>
          <w:vertAlign w:val="superscript"/>
        </w:rPr>
        <w:t>c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 xml:space="preserve">p value = difference in treatment estimates; significance defined </w:t>
      </w:r>
      <w:r w:rsidRPr="00E446E1">
        <w:rPr>
          <w:rFonts w:ascii="Arial" w:hAnsi="Arial" w:cs="Arial"/>
          <w:sz w:val="22"/>
          <w:szCs w:val="22"/>
        </w:rPr>
        <w:t>a priori</w:t>
      </w:r>
      <w:r w:rsidRPr="00E32DB5">
        <w:rPr>
          <w:rFonts w:ascii="Arial" w:hAnsi="Arial" w:cs="Arial"/>
          <w:sz w:val="22"/>
          <w:szCs w:val="22"/>
        </w:rPr>
        <w:t xml:space="preserve"> as </w:t>
      </w:r>
      <w:r w:rsidRPr="00E446E1">
        <w:rPr>
          <w:rFonts w:ascii="Arial" w:hAnsi="Arial" w:cs="Arial"/>
          <w:i/>
          <w:iCs/>
          <w:sz w:val="22"/>
          <w:szCs w:val="22"/>
        </w:rPr>
        <w:t>p</w:t>
      </w:r>
      <w:r w:rsidRPr="00E32DB5">
        <w:rPr>
          <w:rFonts w:ascii="Arial" w:hAnsi="Arial" w:cs="Arial"/>
          <w:sz w:val="22"/>
          <w:szCs w:val="22"/>
        </w:rPr>
        <w:t xml:space="preserve"> &lt; 0.05.</w:t>
      </w:r>
    </w:p>
    <w:p w14:paraId="40B339E1" w14:textId="77777777" w:rsidR="003950E5" w:rsidRPr="00E32DB5" w:rsidRDefault="003950E5" w:rsidP="003950E5">
      <w:pPr>
        <w:spacing w:afterLines="0" w:after="0" w:line="480" w:lineRule="auto"/>
        <w:contextualSpacing/>
        <w:jc w:val="left"/>
      </w:pPr>
      <w:r>
        <w:rPr>
          <w:rFonts w:ascii="Arial" w:hAnsi="Arial" w:cs="Arial"/>
          <w:sz w:val="22"/>
          <w:szCs w:val="22"/>
        </w:rPr>
        <w:t xml:space="preserve">Abbreviations: </w:t>
      </w:r>
      <w:r w:rsidRPr="00E32DB5">
        <w:rPr>
          <w:rFonts w:ascii="Arial" w:hAnsi="Arial" w:cs="Arial"/>
          <w:sz w:val="22"/>
          <w:szCs w:val="22"/>
        </w:rPr>
        <w:t>CI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sz w:val="22"/>
          <w:szCs w:val="22"/>
        </w:rPr>
        <w:t xml:space="preserve"> confidence interval</w:t>
      </w:r>
      <w:r>
        <w:rPr>
          <w:rFonts w:ascii="Arial" w:hAnsi="Arial" w:cs="Arial"/>
          <w:sz w:val="22"/>
          <w:szCs w:val="22"/>
        </w:rPr>
        <w:t>;</w:t>
      </w:r>
      <w:r w:rsidRPr="00E32DB5">
        <w:rPr>
          <w:rFonts w:ascii="Arial" w:hAnsi="Arial" w:cs="Arial"/>
          <w:sz w:val="22"/>
          <w:szCs w:val="22"/>
        </w:rPr>
        <w:t xml:space="preserve"> Ref</w:t>
      </w:r>
      <w:r>
        <w:rPr>
          <w:rFonts w:ascii="Arial" w:hAnsi="Arial" w:cs="Arial"/>
          <w:sz w:val="22"/>
          <w:szCs w:val="22"/>
        </w:rPr>
        <w:t>,</w:t>
      </w:r>
      <w:r w:rsidRPr="00E32DB5">
        <w:rPr>
          <w:rFonts w:ascii="Arial" w:hAnsi="Arial" w:cs="Arial"/>
          <w:i/>
          <w:iCs/>
          <w:sz w:val="22"/>
          <w:szCs w:val="22"/>
        </w:rPr>
        <w:t xml:space="preserve"> </w:t>
      </w:r>
      <w:r w:rsidRPr="00E32DB5">
        <w:rPr>
          <w:rFonts w:ascii="Arial" w:hAnsi="Arial" w:cs="Arial"/>
          <w:sz w:val="22"/>
          <w:szCs w:val="22"/>
        </w:rPr>
        <w:t>reference</w:t>
      </w:r>
      <w:r>
        <w:rPr>
          <w:rFonts w:ascii="Arial" w:hAnsi="Arial" w:cs="Arial"/>
          <w:sz w:val="22"/>
          <w:szCs w:val="22"/>
        </w:rPr>
        <w:t>.</w:t>
      </w:r>
      <w:r w:rsidRPr="00E32DB5">
        <w:br w:type="page"/>
      </w:r>
    </w:p>
    <w:p w14:paraId="36C0466E" w14:textId="77777777" w:rsidR="003950E5" w:rsidRPr="00E32DB5" w:rsidRDefault="003950E5" w:rsidP="003950E5">
      <w:pPr>
        <w:pStyle w:val="SP-headings"/>
        <w:spacing w:afterLines="0" w:after="0" w:line="480" w:lineRule="auto"/>
        <w:jc w:val="left"/>
        <w:rPr>
          <w:rFonts w:cs="Arial"/>
          <w:sz w:val="22"/>
          <w:szCs w:val="22"/>
        </w:rPr>
      </w:pPr>
      <w:r w:rsidRPr="00E32DB5">
        <w:rPr>
          <w:rFonts w:cs="Arial"/>
          <w:sz w:val="22"/>
          <w:szCs w:val="22"/>
        </w:rPr>
        <w:lastRenderedPageBreak/>
        <w:t xml:space="preserve">Table S5: </w:t>
      </w:r>
      <w:r w:rsidRPr="00E32DB5">
        <w:rPr>
          <w:rFonts w:cs="Arial"/>
          <w:b w:val="0"/>
          <w:bCs/>
          <w:sz w:val="22"/>
          <w:szCs w:val="22"/>
        </w:rPr>
        <w:t>Treatment-emergent adverse events in healthy adult subjects</w:t>
      </w:r>
    </w:p>
    <w:tbl>
      <w:tblPr>
        <w:tblStyle w:val="LightShading"/>
        <w:tblW w:w="10520" w:type="dxa"/>
        <w:tblInd w:w="1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1890"/>
        <w:gridCol w:w="1785"/>
        <w:gridCol w:w="2985"/>
        <w:gridCol w:w="1440"/>
      </w:tblGrid>
      <w:tr w:rsidR="003950E5" w:rsidRPr="00972BA9" w14:paraId="4400A9F1" w14:textId="77777777" w:rsidTr="00D258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5AC4B4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rPr>
                <w:rFonts w:ascii="Arial" w:hAnsi="Arial" w:cs="Arial"/>
                <w:color w:val="44546A" w:themeColor="text2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Event</w:t>
            </w:r>
          </w:p>
        </w:tc>
        <w:tc>
          <w:tcPr>
            <w:tcW w:w="189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7A38DF97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Period 1</w:t>
            </w:r>
            <w:r w:rsidRPr="00E32DB5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</w:p>
          <w:p w14:paraId="72E69884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MCC alone</w:t>
            </w:r>
          </w:p>
          <w:p w14:paraId="1375F91D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(n = 37)</w:t>
            </w:r>
          </w:p>
        </w:tc>
        <w:tc>
          <w:tcPr>
            <w:tcW w:w="1785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E29C70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Period 2</w:t>
            </w:r>
            <w:r w:rsidRPr="00E32DB5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</w:p>
          <w:p w14:paraId="2398326E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Viloxazine ER alone</w:t>
            </w:r>
            <w:r w:rsidRPr="00E32DB5">
              <w:rPr>
                <w:rFonts w:ascii="Arial" w:hAnsi="Arial" w:cs="Arial"/>
                <w:sz w:val="22"/>
                <w:szCs w:val="22"/>
              </w:rPr>
              <w:br/>
              <w:t>(n = 37)</w:t>
            </w:r>
          </w:p>
        </w:tc>
        <w:tc>
          <w:tcPr>
            <w:tcW w:w="2985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D37337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Period 3</w:t>
            </w:r>
            <w:r w:rsidRPr="00E32DB5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</w:p>
          <w:p w14:paraId="6AF7C2DE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MCC+ viloxazine ER combination</w:t>
            </w:r>
            <w:r w:rsidRPr="00E32DB5">
              <w:rPr>
                <w:rFonts w:ascii="Arial" w:hAnsi="Arial" w:cs="Arial"/>
                <w:sz w:val="22"/>
                <w:szCs w:val="22"/>
              </w:rPr>
              <w:br/>
              <w:t>(n = 36)</w:t>
            </w:r>
          </w:p>
        </w:tc>
        <w:tc>
          <w:tcPr>
            <w:tcW w:w="144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3DFBC033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Overall</w:t>
            </w:r>
          </w:p>
          <w:p w14:paraId="7E09409C" w14:textId="77777777" w:rsidR="003950E5" w:rsidRPr="00E32DB5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(N = 37)</w:t>
            </w:r>
          </w:p>
        </w:tc>
      </w:tr>
      <w:tr w:rsidR="003950E5" w:rsidRPr="00972BA9" w14:paraId="13C790D0" w14:textId="77777777" w:rsidTr="00D25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845365" w14:textId="77777777" w:rsidR="003950E5" w:rsidRPr="0064236E" w:rsidRDefault="003950E5" w:rsidP="00D25814">
            <w:pPr>
              <w:keepNext/>
              <w:keepLines/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Any treatment-emergent adverse event</w:t>
            </w:r>
          </w:p>
        </w:tc>
        <w:tc>
          <w:tcPr>
            <w:tcW w:w="1890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7804985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8 (21.6)</w:t>
            </w:r>
          </w:p>
        </w:tc>
        <w:tc>
          <w:tcPr>
            <w:tcW w:w="1785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914882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13 (35.1)</w:t>
            </w:r>
          </w:p>
        </w:tc>
        <w:tc>
          <w:tcPr>
            <w:tcW w:w="2985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979139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18 (50.0)</w:t>
            </w:r>
          </w:p>
        </w:tc>
        <w:tc>
          <w:tcPr>
            <w:tcW w:w="1440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8AB040F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24 (64.9)</w:t>
            </w:r>
          </w:p>
        </w:tc>
      </w:tr>
      <w:tr w:rsidR="003950E5" w:rsidRPr="00972BA9" w14:paraId="355D3BBC" w14:textId="77777777" w:rsidTr="00D2581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shd w:val="clear" w:color="auto" w:fill="auto"/>
            <w:vAlign w:val="center"/>
          </w:tcPr>
          <w:p w14:paraId="6A0B3B79" w14:textId="77777777" w:rsidR="003950E5" w:rsidRPr="0064236E" w:rsidRDefault="003950E5" w:rsidP="00D25814">
            <w:pPr>
              <w:keepNext/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Insomnia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BF58ED6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26758794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5DEF875" w14:textId="77777777" w:rsidR="003950E5" w:rsidRPr="00E32DB5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16 (44.4)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5EE631D" w14:textId="77777777" w:rsidR="003950E5" w:rsidRPr="00E32DB5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32DB5">
              <w:rPr>
                <w:rFonts w:ascii="Arial" w:hAnsi="Arial" w:cs="Arial"/>
                <w:sz w:val="22"/>
                <w:szCs w:val="22"/>
              </w:rPr>
              <w:t>16 (43.2)</w:t>
            </w:r>
          </w:p>
        </w:tc>
      </w:tr>
      <w:tr w:rsidR="003950E5" w:rsidRPr="00972BA9" w14:paraId="5D45F876" w14:textId="77777777" w:rsidTr="00D25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4C959DC" w14:textId="77777777" w:rsidR="003950E5" w:rsidRPr="0064236E" w:rsidRDefault="003950E5" w:rsidP="00D25814">
            <w:pPr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Dizziness</w:t>
            </w:r>
          </w:p>
        </w:tc>
        <w:tc>
          <w:tcPr>
            <w:tcW w:w="189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4B894076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17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B7ACC27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29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0F6D37A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3 (8.3)</w:t>
            </w:r>
          </w:p>
        </w:tc>
        <w:tc>
          <w:tcPr>
            <w:tcW w:w="144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781BCAF4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5 (13.5)</w:t>
            </w:r>
          </w:p>
        </w:tc>
      </w:tr>
      <w:tr w:rsidR="003950E5" w:rsidRPr="00972BA9" w14:paraId="75567AA0" w14:textId="77777777" w:rsidTr="00D2581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shd w:val="clear" w:color="auto" w:fill="auto"/>
            <w:vAlign w:val="center"/>
          </w:tcPr>
          <w:p w14:paraId="6059B097" w14:textId="77777777" w:rsidR="003950E5" w:rsidRPr="0064236E" w:rsidRDefault="003950E5" w:rsidP="00D25814">
            <w:pPr>
              <w:keepNext/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Somnolence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BD87602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A340CCE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5 (13.5)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9DC3232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F7E8F91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5 (13.5)</w:t>
            </w:r>
          </w:p>
        </w:tc>
      </w:tr>
      <w:tr w:rsidR="003950E5" w:rsidRPr="00972BA9" w14:paraId="3ED2EC17" w14:textId="77777777" w:rsidTr="00D25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11AB3ADF" w14:textId="77777777" w:rsidR="003950E5" w:rsidRPr="0064236E" w:rsidRDefault="003950E5" w:rsidP="00D25814">
            <w:pPr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44546A" w:themeColor="text2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Nausea</w:t>
            </w:r>
          </w:p>
        </w:tc>
        <w:tc>
          <w:tcPr>
            <w:tcW w:w="189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70FE4278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17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548DE0B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  <w:tc>
          <w:tcPr>
            <w:tcW w:w="29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77B2DEE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(5.6)</w:t>
            </w:r>
          </w:p>
        </w:tc>
        <w:tc>
          <w:tcPr>
            <w:tcW w:w="144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B9DC673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3 (8.1)</w:t>
            </w:r>
          </w:p>
        </w:tc>
      </w:tr>
      <w:tr w:rsidR="003950E5" w:rsidRPr="00972BA9" w14:paraId="6F8DE5F4" w14:textId="77777777" w:rsidTr="00D2581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shd w:val="clear" w:color="auto" w:fill="auto"/>
            <w:vAlign w:val="center"/>
          </w:tcPr>
          <w:p w14:paraId="3CB7FEAE" w14:textId="77777777" w:rsidR="003950E5" w:rsidRPr="0064236E" w:rsidRDefault="003950E5" w:rsidP="00D25814">
            <w:pPr>
              <w:keepNext/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44546A" w:themeColor="text2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Decreased appetite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9B22842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2BF5E05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286AAFA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35A0566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</w:tr>
      <w:tr w:rsidR="003950E5" w:rsidRPr="00972BA9" w14:paraId="2BBF4CE2" w14:textId="77777777" w:rsidTr="00D25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1BBC1EB" w14:textId="77777777" w:rsidR="003950E5" w:rsidRPr="0064236E" w:rsidRDefault="003950E5" w:rsidP="00D25814">
            <w:pPr>
              <w:keepNext/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Dry mouth</w:t>
            </w:r>
          </w:p>
        </w:tc>
        <w:tc>
          <w:tcPr>
            <w:tcW w:w="189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B0B2D04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46CAA15C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  <w:tc>
          <w:tcPr>
            <w:tcW w:w="2985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69D1505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33C4F69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</w:tr>
      <w:tr w:rsidR="003950E5" w:rsidRPr="00972BA9" w14:paraId="17F0F0E4" w14:textId="77777777" w:rsidTr="00D2581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shd w:val="clear" w:color="auto" w:fill="auto"/>
            <w:vAlign w:val="center"/>
          </w:tcPr>
          <w:p w14:paraId="64F5367E" w14:textId="77777777" w:rsidR="003950E5" w:rsidRPr="0064236E" w:rsidRDefault="003950E5" w:rsidP="00D25814">
            <w:pPr>
              <w:keepNext/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44546A" w:themeColor="text2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Headache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E38690D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522D311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408079E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192D70" w14:textId="77777777" w:rsidR="003950E5" w:rsidRPr="0064236E" w:rsidRDefault="003950E5" w:rsidP="00D25814">
            <w:pPr>
              <w:keepNext/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</w:tr>
      <w:tr w:rsidR="003950E5" w:rsidRPr="00972BA9" w14:paraId="4A59B27F" w14:textId="77777777" w:rsidTr="00D25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11560E15" w14:textId="77777777" w:rsidR="003950E5" w:rsidRPr="0064236E" w:rsidRDefault="003950E5" w:rsidP="00D25814">
            <w:pPr>
              <w:keepLines/>
              <w:tabs>
                <w:tab w:val="left" w:pos="200"/>
              </w:tabs>
              <w:adjustRightInd w:val="0"/>
              <w:spacing w:afterLines="0" w:after="0" w:line="240" w:lineRule="auto"/>
              <w:jc w:val="left"/>
              <w:rPr>
                <w:rFonts w:ascii="Arial" w:hAnsi="Arial" w:cs="Arial"/>
                <w:b w:val="0"/>
                <w:bCs w:val="0"/>
                <w:color w:val="44546A" w:themeColor="text2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Increased blood pressure</w:t>
            </w:r>
          </w:p>
        </w:tc>
        <w:tc>
          <w:tcPr>
            <w:tcW w:w="1890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2D66F866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(2.7)</w:t>
            </w:r>
          </w:p>
        </w:tc>
        <w:tc>
          <w:tcPr>
            <w:tcW w:w="1785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2542071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85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06D8284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1 (2.8)</w:t>
            </w:r>
          </w:p>
        </w:tc>
        <w:tc>
          <w:tcPr>
            <w:tcW w:w="1440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1434D846" w14:textId="77777777" w:rsidR="003950E5" w:rsidRPr="0064236E" w:rsidRDefault="003950E5" w:rsidP="00D25814">
            <w:pPr>
              <w:keepLines/>
              <w:tabs>
                <w:tab w:val="decimal" w:pos="160"/>
              </w:tabs>
              <w:adjustRightInd w:val="0"/>
              <w:spacing w:afterLines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236E">
              <w:rPr>
                <w:rFonts w:ascii="Arial" w:hAnsi="Arial" w:cs="Arial"/>
                <w:sz w:val="22"/>
                <w:szCs w:val="22"/>
              </w:rPr>
              <w:t>2 (5.4)</w:t>
            </w:r>
          </w:p>
        </w:tc>
      </w:tr>
    </w:tbl>
    <w:p w14:paraId="6E218D66" w14:textId="77777777" w:rsidR="003950E5" w:rsidRPr="0064236E" w:rsidRDefault="003950E5" w:rsidP="003950E5">
      <w:pPr>
        <w:pStyle w:val="EndNoteBibliography"/>
        <w:spacing w:afterLines="0" w:after="0" w:line="480" w:lineRule="auto"/>
        <w:jc w:val="left"/>
        <w:rPr>
          <w:szCs w:val="22"/>
        </w:rPr>
      </w:pPr>
      <w:r w:rsidRPr="0064236E">
        <w:rPr>
          <w:szCs w:val="22"/>
        </w:rPr>
        <w:t>Values reported as n (%).</w:t>
      </w:r>
    </w:p>
    <w:p w14:paraId="183A650A" w14:textId="64B3C6F9" w:rsidR="003950E5" w:rsidRPr="003A6B2D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64236E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  <w:vertAlign w:val="superscript"/>
        </w:rPr>
        <w:t xml:space="preserve"> </w:t>
      </w:r>
      <w:r w:rsidRPr="0064236E">
        <w:rPr>
          <w:rFonts w:ascii="Arial" w:hAnsi="Arial" w:cs="Arial"/>
        </w:rPr>
        <w:t>MCC Alone: single</w:t>
      </w:r>
      <w:r>
        <w:rPr>
          <w:rFonts w:ascii="Arial" w:hAnsi="Arial" w:cs="Arial"/>
        </w:rPr>
        <w:t>-</w:t>
      </w:r>
      <w:r w:rsidRPr="003A6B2D">
        <w:rPr>
          <w:rFonts w:ascii="Arial" w:hAnsi="Arial" w:cs="Arial"/>
        </w:rPr>
        <w:t xml:space="preserve">dose </w:t>
      </w:r>
      <w:r w:rsidRPr="003A6B2D">
        <w:rPr>
          <w:rFonts w:ascii="Arial" w:hAnsi="Arial" w:cs="Arial"/>
          <w:iCs/>
        </w:rPr>
        <w:t xml:space="preserve">caffeine (200 mg), dextromethorphan (30 mg), and midazolam (0.025 mg/kg) </w:t>
      </w:r>
      <w:r w:rsidRPr="003A6B2D">
        <w:rPr>
          <w:rFonts w:ascii="Arial" w:hAnsi="Arial" w:cs="Arial"/>
        </w:rPr>
        <w:t>(</w:t>
      </w:r>
      <w:r>
        <w:rPr>
          <w:rFonts w:ascii="Arial" w:hAnsi="Arial" w:cs="Arial"/>
        </w:rPr>
        <w:t>pharmacokinetic</w:t>
      </w:r>
      <w:r w:rsidRPr="003A6B2D">
        <w:rPr>
          <w:rFonts w:ascii="Arial" w:hAnsi="Arial" w:cs="Arial"/>
        </w:rPr>
        <w:t xml:space="preserve"> samples collected for 48 hours beginning Period 1, Day 1).</w:t>
      </w:r>
    </w:p>
    <w:p w14:paraId="1342E22A" w14:textId="5FE52F13" w:rsidR="003950E5" w:rsidRPr="0064236E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3A6B2D">
        <w:rPr>
          <w:rFonts w:ascii="Arial" w:hAnsi="Arial" w:cs="Arial"/>
          <w:vertAlign w:val="superscript"/>
        </w:rPr>
        <w:t>b</w:t>
      </w:r>
      <w:r>
        <w:rPr>
          <w:rFonts w:ascii="Arial" w:hAnsi="Arial" w:cs="Arial"/>
          <w:vertAlign w:val="superscript"/>
        </w:rPr>
        <w:t xml:space="preserve"> </w:t>
      </w:r>
      <w:r w:rsidRPr="0064236E">
        <w:rPr>
          <w:rFonts w:ascii="Arial" w:hAnsi="Arial" w:cs="Arial"/>
        </w:rPr>
        <w:t xml:space="preserve">Viloxazine ER (900 mg daily) administered alone: Period 2 (Days 3-5); </w:t>
      </w:r>
      <w:r>
        <w:rPr>
          <w:rFonts w:ascii="Arial" w:hAnsi="Arial" w:cs="Arial"/>
        </w:rPr>
        <w:t>pharmacokinetic</w:t>
      </w:r>
      <w:r w:rsidRPr="0064236E">
        <w:rPr>
          <w:rFonts w:ascii="Arial" w:hAnsi="Arial" w:cs="Arial"/>
        </w:rPr>
        <w:t xml:space="preserve"> samples collected for 24 hours beginning on Day 5).</w:t>
      </w:r>
    </w:p>
    <w:p w14:paraId="07EB1B36" w14:textId="764BC5F7" w:rsidR="003950E5" w:rsidRPr="0064236E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ascii="Arial" w:hAnsi="Arial" w:cs="Arial"/>
        </w:rPr>
      </w:pPr>
      <w:r w:rsidRPr="0064236E">
        <w:rPr>
          <w:rFonts w:ascii="Arial" w:hAnsi="Arial" w:cs="Arial"/>
          <w:vertAlign w:val="superscript"/>
        </w:rPr>
        <w:t>c</w:t>
      </w:r>
      <w:r>
        <w:rPr>
          <w:rFonts w:ascii="Arial" w:hAnsi="Arial" w:cs="Arial"/>
          <w:vertAlign w:val="superscript"/>
        </w:rPr>
        <w:t xml:space="preserve"> </w:t>
      </w:r>
      <w:r w:rsidRPr="0064236E">
        <w:rPr>
          <w:rFonts w:ascii="Arial" w:hAnsi="Arial" w:cs="Arial"/>
        </w:rPr>
        <w:t>Combination: viloxazine ER (900 mg)</w:t>
      </w:r>
      <w:r w:rsidRPr="0064236E">
        <w:rPr>
          <w:rFonts w:ascii="Arial" w:hAnsi="Arial" w:cs="Arial"/>
          <w:iCs/>
        </w:rPr>
        <w:t xml:space="preserve"> followed 4.5 hours later by </w:t>
      </w:r>
      <w:r w:rsidRPr="0064236E">
        <w:rPr>
          <w:rFonts w:ascii="Arial" w:hAnsi="Arial" w:cs="Arial"/>
        </w:rPr>
        <w:t>MCC (</w:t>
      </w:r>
      <w:r>
        <w:rPr>
          <w:rFonts w:ascii="Arial" w:hAnsi="Arial" w:cs="Arial"/>
        </w:rPr>
        <w:t>pharmacokinetic</w:t>
      </w:r>
      <w:r w:rsidRPr="0064236E">
        <w:rPr>
          <w:rFonts w:ascii="Arial" w:hAnsi="Arial" w:cs="Arial"/>
        </w:rPr>
        <w:t xml:space="preserve"> samples collected for 48 hours beginning Period 3, Day 6).</w:t>
      </w:r>
    </w:p>
    <w:p w14:paraId="617F91B3" w14:textId="71337D77" w:rsidR="003950E5" w:rsidRPr="0064236E" w:rsidRDefault="003950E5" w:rsidP="003950E5">
      <w:pPr>
        <w:pStyle w:val="ListParagraph"/>
        <w:spacing w:afterLines="0" w:after="0" w:line="480" w:lineRule="auto"/>
        <w:ind w:left="0"/>
        <w:contextualSpacing/>
        <w:jc w:val="left"/>
        <w:rPr>
          <w:rFonts w:eastAsiaTheme="majorEastAsia"/>
          <w:highlight w:val="yellow"/>
        </w:rPr>
      </w:pPr>
      <w:r>
        <w:rPr>
          <w:rFonts w:ascii="Arial" w:hAnsi="Arial" w:cs="Arial"/>
        </w:rPr>
        <w:t xml:space="preserve">Abbreviations: </w:t>
      </w:r>
      <w:r w:rsidRPr="0064236E">
        <w:rPr>
          <w:rFonts w:ascii="Arial" w:hAnsi="Arial" w:cs="Arial"/>
        </w:rPr>
        <w:t>ER</w:t>
      </w:r>
      <w:r>
        <w:rPr>
          <w:rFonts w:ascii="Arial" w:hAnsi="Arial" w:cs="Arial"/>
        </w:rPr>
        <w:t>,</w:t>
      </w:r>
      <w:r w:rsidRPr="0064236E">
        <w:rPr>
          <w:rFonts w:ascii="Arial" w:hAnsi="Arial" w:cs="Arial"/>
        </w:rPr>
        <w:t xml:space="preserve"> extended</w:t>
      </w:r>
      <w:r w:rsidR="00E446E1">
        <w:rPr>
          <w:rFonts w:ascii="Arial" w:hAnsi="Arial" w:cs="Arial"/>
        </w:rPr>
        <w:t xml:space="preserve"> </w:t>
      </w:r>
      <w:r w:rsidRPr="0064236E">
        <w:rPr>
          <w:rFonts w:ascii="Arial" w:hAnsi="Arial" w:cs="Arial"/>
        </w:rPr>
        <w:t>release</w:t>
      </w:r>
      <w:r>
        <w:rPr>
          <w:rFonts w:ascii="Arial" w:hAnsi="Arial" w:cs="Arial"/>
        </w:rPr>
        <w:t>;</w:t>
      </w:r>
      <w:r w:rsidRPr="0064236E">
        <w:rPr>
          <w:rFonts w:ascii="Arial" w:hAnsi="Arial" w:cs="Arial"/>
        </w:rPr>
        <w:t xml:space="preserve"> MCC</w:t>
      </w:r>
      <w:r>
        <w:rPr>
          <w:rFonts w:ascii="Arial" w:hAnsi="Arial" w:cs="Arial"/>
        </w:rPr>
        <w:t>,</w:t>
      </w:r>
      <w:r w:rsidRPr="0064236E">
        <w:rPr>
          <w:rFonts w:ascii="Arial" w:hAnsi="Arial" w:cs="Arial"/>
        </w:rPr>
        <w:t xml:space="preserve"> modified Cooperstown </w:t>
      </w:r>
      <w:r w:rsidRPr="0064236E">
        <w:rPr>
          <w:rFonts w:ascii="Arial" w:hAnsi="Arial" w:cs="Arial"/>
        </w:rPr>
        <w:t>cocktail</w:t>
      </w:r>
      <w:r>
        <w:rPr>
          <w:rFonts w:ascii="Arial" w:hAnsi="Arial" w:cs="Arial"/>
        </w:rPr>
        <w:t>.</w:t>
      </w:r>
      <w:r w:rsidRPr="0064236E">
        <w:br w:type="page"/>
      </w:r>
    </w:p>
    <w:p w14:paraId="76056ADF" w14:textId="77777777" w:rsidR="003950E5" w:rsidRPr="0064236E" w:rsidRDefault="003950E5" w:rsidP="003950E5">
      <w:pPr>
        <w:pStyle w:val="SP-headings"/>
        <w:spacing w:afterLines="0" w:after="0" w:line="480" w:lineRule="auto"/>
        <w:jc w:val="left"/>
        <w:rPr>
          <w:rFonts w:cs="Arial"/>
          <w:sz w:val="22"/>
          <w:szCs w:val="22"/>
        </w:rPr>
      </w:pPr>
      <w:r w:rsidRPr="0064236E">
        <w:rPr>
          <w:rFonts w:cs="Arial"/>
          <w:sz w:val="22"/>
          <w:szCs w:val="22"/>
        </w:rPr>
        <w:lastRenderedPageBreak/>
        <w:t>Fig</w:t>
      </w:r>
      <w:r>
        <w:rPr>
          <w:rFonts w:cs="Arial"/>
          <w:sz w:val="22"/>
          <w:szCs w:val="22"/>
        </w:rPr>
        <w:t>ure</w:t>
      </w:r>
      <w:r w:rsidRPr="0064236E">
        <w:rPr>
          <w:rFonts w:cs="Arial"/>
          <w:sz w:val="22"/>
          <w:szCs w:val="22"/>
        </w:rPr>
        <w:t xml:space="preserve"> S1</w:t>
      </w:r>
      <w:r>
        <w:rPr>
          <w:rFonts w:cs="Arial"/>
          <w:sz w:val="22"/>
          <w:szCs w:val="22"/>
        </w:rPr>
        <w:t>:</w:t>
      </w:r>
      <w:r w:rsidRPr="0064236E">
        <w:rPr>
          <w:rFonts w:cs="Arial"/>
          <w:sz w:val="22"/>
          <w:szCs w:val="22"/>
        </w:rPr>
        <w:t xml:space="preserve"> </w:t>
      </w:r>
      <w:r w:rsidRPr="0064236E">
        <w:rPr>
          <w:rFonts w:cs="Arial"/>
          <w:b w:val="0"/>
          <w:bCs/>
          <w:sz w:val="22"/>
          <w:szCs w:val="22"/>
        </w:rPr>
        <w:t>Blood pressure and heart rate</w:t>
      </w:r>
    </w:p>
    <w:p w14:paraId="48E1EDF7" w14:textId="77777777" w:rsidR="003950E5" w:rsidRPr="0064236E" w:rsidRDefault="003950E5" w:rsidP="003950E5">
      <w:pPr>
        <w:spacing w:afterLines="0" w:after="0" w:line="480" w:lineRule="auto"/>
        <w:jc w:val="left"/>
        <w:rPr>
          <w:rFonts w:ascii="Arial" w:hAnsi="Arial" w:cs="Arial"/>
          <w:sz w:val="22"/>
          <w:szCs w:val="22"/>
        </w:rPr>
      </w:pPr>
      <w:r w:rsidRPr="0064236E">
        <w:rPr>
          <w:rFonts w:ascii="Arial" w:hAnsi="Arial" w:cs="Arial"/>
          <w:sz w:val="22"/>
          <w:szCs w:val="22"/>
        </w:rPr>
        <w:t xml:space="preserve">Vital signs assessed at baseline (Day </w:t>
      </w:r>
      <w:r w:rsidRPr="0064236E">
        <w:rPr>
          <w:rFonts w:ascii="Arial" w:eastAsia="Arial Unicode MS" w:hAnsi="Arial" w:cs="Arial"/>
          <w:color w:val="000000" w:themeColor="text1"/>
          <w:sz w:val="22"/>
          <w:szCs w:val="22"/>
        </w:rPr>
        <w:t>−</w:t>
      </w:r>
      <w:r w:rsidRPr="0064236E">
        <w:rPr>
          <w:rFonts w:ascii="Arial" w:hAnsi="Arial" w:cs="Arial"/>
          <w:sz w:val="22"/>
          <w:szCs w:val="22"/>
        </w:rPr>
        <w:t>1); Period 1, Day 1 (single</w:t>
      </w:r>
      <w:r>
        <w:rPr>
          <w:rFonts w:ascii="Arial" w:hAnsi="Arial" w:cs="Arial"/>
          <w:sz w:val="22"/>
          <w:szCs w:val="22"/>
        </w:rPr>
        <w:t>-</w:t>
      </w:r>
      <w:r w:rsidRPr="003A6B2D">
        <w:rPr>
          <w:rFonts w:ascii="Arial" w:hAnsi="Arial" w:cs="Arial"/>
          <w:sz w:val="22"/>
          <w:szCs w:val="22"/>
        </w:rPr>
        <w:t>dose MCC</w:t>
      </w:r>
      <w:r w:rsidRPr="0064236E">
        <w:rPr>
          <w:rFonts w:ascii="Arial" w:hAnsi="Arial" w:cs="Arial"/>
          <w:sz w:val="22"/>
          <w:szCs w:val="22"/>
        </w:rPr>
        <w:t xml:space="preserve">, 4 hours </w:t>
      </w:r>
      <w:proofErr w:type="spellStart"/>
      <w:r w:rsidRPr="0064236E">
        <w:rPr>
          <w:rFonts w:ascii="Arial" w:hAnsi="Arial" w:cs="Arial"/>
          <w:sz w:val="22"/>
          <w:szCs w:val="22"/>
        </w:rPr>
        <w:t>post</w:t>
      </w:r>
      <w:r>
        <w:rPr>
          <w:rFonts w:ascii="Arial" w:hAnsi="Arial" w:cs="Arial"/>
          <w:sz w:val="22"/>
          <w:szCs w:val="22"/>
        </w:rPr>
        <w:t>dose</w:t>
      </w:r>
      <w:proofErr w:type="spellEnd"/>
      <w:r w:rsidRPr="003A6B2D">
        <w:rPr>
          <w:rFonts w:ascii="Arial" w:hAnsi="Arial" w:cs="Arial"/>
          <w:sz w:val="22"/>
          <w:szCs w:val="22"/>
        </w:rPr>
        <w:t>); Period 3, Day 6 (combination 900 mg daily viloxazine ER and single</w:t>
      </w:r>
      <w:r>
        <w:rPr>
          <w:rFonts w:ascii="Arial" w:hAnsi="Arial" w:cs="Arial"/>
          <w:sz w:val="22"/>
          <w:szCs w:val="22"/>
        </w:rPr>
        <w:t>-</w:t>
      </w:r>
      <w:r w:rsidRPr="003A6B2D">
        <w:rPr>
          <w:rFonts w:ascii="Arial" w:hAnsi="Arial" w:cs="Arial"/>
          <w:sz w:val="22"/>
          <w:szCs w:val="22"/>
        </w:rPr>
        <w:t xml:space="preserve">dose MCC, 4 hours post-MCC-dose); and end of study (Day 8). There was no corresponding blood pressure or heart rate measurement for viloxazine ER given alone in </w:t>
      </w:r>
      <w:r>
        <w:rPr>
          <w:rFonts w:ascii="Arial" w:hAnsi="Arial" w:cs="Arial"/>
          <w:sz w:val="22"/>
          <w:szCs w:val="22"/>
        </w:rPr>
        <w:t>P</w:t>
      </w:r>
      <w:r w:rsidRPr="0064236E">
        <w:rPr>
          <w:rFonts w:ascii="Arial" w:hAnsi="Arial" w:cs="Arial"/>
          <w:sz w:val="22"/>
          <w:szCs w:val="22"/>
        </w:rPr>
        <w:t>eriod 2. Means ± standard deviation.</w:t>
      </w:r>
    </w:p>
    <w:p w14:paraId="1E72E770" w14:textId="77777777" w:rsidR="003950E5" w:rsidRPr="003A6B2D" w:rsidRDefault="003950E5" w:rsidP="003950E5">
      <w:pPr>
        <w:spacing w:afterLines="0" w:after="0" w:line="480" w:lineRule="auto"/>
        <w:jc w:val="left"/>
        <w:rPr>
          <w:rFonts w:ascii="Arial" w:hAnsi="Arial" w:cs="Arial"/>
          <w:noProof/>
          <w:sz w:val="22"/>
          <w:szCs w:val="22"/>
        </w:rPr>
      </w:pPr>
      <w:r w:rsidRPr="0064236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B806197" wp14:editId="372CD37E">
            <wp:extent cx="2964180" cy="6145540"/>
            <wp:effectExtent l="0" t="0" r="7620" b="7620"/>
            <wp:docPr id="14" name="Picture 14" descr="A graph of blood press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graph of blood pressur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8096" cy="615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6AD6" w14:textId="2D384197" w:rsidR="003950E5" w:rsidRPr="003138C0" w:rsidRDefault="003950E5" w:rsidP="003950E5">
      <w:pPr>
        <w:spacing w:afterLines="0" w:after="0" w:line="480" w:lineRule="auto"/>
        <w:jc w:val="left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Abbreviations: </w:t>
      </w:r>
      <w:r w:rsidRPr="0064236E">
        <w:rPr>
          <w:rFonts w:ascii="Arial" w:hAnsi="Arial" w:cs="Arial"/>
          <w:sz w:val="22"/>
          <w:szCs w:val="22"/>
        </w:rPr>
        <w:t>Combo</w:t>
      </w:r>
      <w:r>
        <w:rPr>
          <w:rFonts w:ascii="Arial" w:hAnsi="Arial" w:cs="Arial"/>
          <w:sz w:val="22"/>
          <w:szCs w:val="22"/>
        </w:rPr>
        <w:t>,</w:t>
      </w:r>
      <w:r w:rsidRPr="0064236E">
        <w:rPr>
          <w:rFonts w:ascii="Arial" w:hAnsi="Arial" w:cs="Arial"/>
          <w:sz w:val="22"/>
          <w:szCs w:val="22"/>
        </w:rPr>
        <w:t xml:space="preserve"> combination viloxazine ER and MCC</w:t>
      </w:r>
      <w:r>
        <w:rPr>
          <w:rFonts w:ascii="Arial" w:hAnsi="Arial" w:cs="Arial"/>
          <w:sz w:val="22"/>
          <w:szCs w:val="22"/>
        </w:rPr>
        <w:t>;</w:t>
      </w:r>
      <w:r w:rsidRPr="003A6B2D">
        <w:rPr>
          <w:rFonts w:ascii="Arial" w:hAnsi="Arial" w:cs="Arial"/>
          <w:sz w:val="22"/>
          <w:szCs w:val="22"/>
        </w:rPr>
        <w:t xml:space="preserve"> </w:t>
      </w:r>
      <w:r w:rsidRPr="0064236E">
        <w:rPr>
          <w:rFonts w:ascii="Arial" w:hAnsi="Arial" w:cs="Arial"/>
          <w:sz w:val="22"/>
          <w:szCs w:val="22"/>
        </w:rPr>
        <w:t>EOS</w:t>
      </w:r>
      <w:r>
        <w:rPr>
          <w:rFonts w:ascii="Arial" w:hAnsi="Arial" w:cs="Arial"/>
          <w:sz w:val="22"/>
          <w:szCs w:val="22"/>
        </w:rPr>
        <w:t>,</w:t>
      </w:r>
      <w:r w:rsidRPr="0064236E">
        <w:rPr>
          <w:rFonts w:ascii="Arial" w:hAnsi="Arial" w:cs="Arial"/>
          <w:sz w:val="22"/>
          <w:szCs w:val="22"/>
        </w:rPr>
        <w:t xml:space="preserve"> end of study</w:t>
      </w:r>
      <w:r>
        <w:rPr>
          <w:rFonts w:ascii="Arial" w:hAnsi="Arial" w:cs="Arial"/>
          <w:sz w:val="22"/>
          <w:szCs w:val="22"/>
        </w:rPr>
        <w:t>;</w:t>
      </w:r>
      <w:r w:rsidRPr="003A6B2D">
        <w:rPr>
          <w:rFonts w:ascii="Arial" w:hAnsi="Arial" w:cs="Arial"/>
          <w:sz w:val="22"/>
          <w:szCs w:val="22"/>
        </w:rPr>
        <w:t xml:space="preserve"> </w:t>
      </w:r>
      <w:r w:rsidRPr="0064236E">
        <w:rPr>
          <w:rFonts w:ascii="Arial" w:hAnsi="Arial" w:cs="Arial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,</w:t>
      </w:r>
      <w:r w:rsidRPr="0064236E">
        <w:rPr>
          <w:rFonts w:ascii="Arial" w:hAnsi="Arial" w:cs="Arial"/>
          <w:sz w:val="22"/>
          <w:szCs w:val="22"/>
        </w:rPr>
        <w:t xml:space="preserve"> extended</w:t>
      </w:r>
      <w:r w:rsidR="00E446E1">
        <w:rPr>
          <w:rFonts w:ascii="Arial" w:hAnsi="Arial" w:cs="Arial"/>
          <w:sz w:val="22"/>
          <w:szCs w:val="22"/>
        </w:rPr>
        <w:t xml:space="preserve"> </w:t>
      </w:r>
      <w:r w:rsidRPr="0064236E">
        <w:rPr>
          <w:rFonts w:ascii="Arial" w:hAnsi="Arial" w:cs="Arial"/>
          <w:sz w:val="22"/>
          <w:szCs w:val="22"/>
        </w:rPr>
        <w:t>release</w:t>
      </w:r>
      <w:r>
        <w:rPr>
          <w:rFonts w:ascii="Arial" w:hAnsi="Arial" w:cs="Arial"/>
          <w:sz w:val="22"/>
          <w:szCs w:val="22"/>
        </w:rPr>
        <w:t>;</w:t>
      </w:r>
      <w:r w:rsidRPr="0064236E">
        <w:rPr>
          <w:rFonts w:ascii="Arial" w:hAnsi="Arial" w:cs="Arial"/>
          <w:sz w:val="22"/>
          <w:szCs w:val="22"/>
        </w:rPr>
        <w:t xml:space="preserve"> MCC</w:t>
      </w:r>
      <w:r>
        <w:rPr>
          <w:rFonts w:ascii="Arial" w:hAnsi="Arial" w:cs="Arial"/>
          <w:sz w:val="22"/>
          <w:szCs w:val="22"/>
        </w:rPr>
        <w:t>,</w:t>
      </w:r>
      <w:r w:rsidRPr="0064236E">
        <w:rPr>
          <w:rFonts w:ascii="Arial" w:hAnsi="Arial" w:cs="Arial"/>
          <w:sz w:val="22"/>
          <w:szCs w:val="22"/>
        </w:rPr>
        <w:t xml:space="preserve"> modified Cooperstown cocktail</w:t>
      </w:r>
      <w:r>
        <w:rPr>
          <w:rFonts w:ascii="Arial" w:hAnsi="Arial" w:cs="Arial"/>
          <w:sz w:val="22"/>
          <w:szCs w:val="22"/>
        </w:rPr>
        <w:t>.</w:t>
      </w:r>
    </w:p>
    <w:p w14:paraId="31F8109A" w14:textId="2E4B0D59" w:rsidR="004E568A" w:rsidRDefault="004E568A"/>
    <w:sectPr w:rsidR="004E568A" w:rsidSect="00762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71C5D" w14:textId="77777777" w:rsidR="00762DB6" w:rsidRDefault="00762DB6" w:rsidP="003950E5">
      <w:pPr>
        <w:spacing w:line="240" w:lineRule="auto"/>
      </w:pPr>
      <w:r>
        <w:separator/>
      </w:r>
    </w:p>
  </w:endnote>
  <w:endnote w:type="continuationSeparator" w:id="0">
    <w:p w14:paraId="1D24C67B" w14:textId="77777777" w:rsidR="00762DB6" w:rsidRDefault="00762DB6" w:rsidP="00395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26930" w14:textId="77777777" w:rsidR="00762DB6" w:rsidRDefault="00762DB6" w:rsidP="003950E5">
      <w:pPr>
        <w:spacing w:line="240" w:lineRule="auto"/>
      </w:pPr>
      <w:r>
        <w:separator/>
      </w:r>
    </w:p>
  </w:footnote>
  <w:footnote w:type="continuationSeparator" w:id="0">
    <w:p w14:paraId="66E540AD" w14:textId="77777777" w:rsidR="00762DB6" w:rsidRDefault="00762DB6" w:rsidP="003950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2.1pt;height:12.1pt;visibility:visible" o:bullet="t">
        <v:imagedata r:id="rId1" o:title=""/>
      </v:shape>
    </w:pict>
  </w:numPicBullet>
  <w:abstractNum w:abstractNumId="0" w15:restartNumberingAfterBreak="0">
    <w:nsid w:val="03CF4672"/>
    <w:multiLevelType w:val="hybridMultilevel"/>
    <w:tmpl w:val="7E5E6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B70A4"/>
    <w:multiLevelType w:val="hybridMultilevel"/>
    <w:tmpl w:val="28BA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C5DD7"/>
    <w:multiLevelType w:val="hybridMultilevel"/>
    <w:tmpl w:val="DF320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D0A29"/>
    <w:multiLevelType w:val="hybridMultilevel"/>
    <w:tmpl w:val="D9344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B4806"/>
    <w:multiLevelType w:val="multilevel"/>
    <w:tmpl w:val="822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8107D"/>
    <w:multiLevelType w:val="hybridMultilevel"/>
    <w:tmpl w:val="93F6C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C0AE7"/>
    <w:multiLevelType w:val="hybridMultilevel"/>
    <w:tmpl w:val="C1FEE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222A2"/>
    <w:multiLevelType w:val="multilevel"/>
    <w:tmpl w:val="ACBEA6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8A1205D"/>
    <w:multiLevelType w:val="hybridMultilevel"/>
    <w:tmpl w:val="B040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76EA8"/>
    <w:multiLevelType w:val="hybridMultilevel"/>
    <w:tmpl w:val="EF9CEE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380353"/>
    <w:multiLevelType w:val="hybridMultilevel"/>
    <w:tmpl w:val="42FE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51D14"/>
    <w:multiLevelType w:val="hybridMultilevel"/>
    <w:tmpl w:val="83FAB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42710"/>
    <w:multiLevelType w:val="hybridMultilevel"/>
    <w:tmpl w:val="B6F6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B2307"/>
    <w:multiLevelType w:val="hybridMultilevel"/>
    <w:tmpl w:val="28BC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16D56"/>
    <w:multiLevelType w:val="hybridMultilevel"/>
    <w:tmpl w:val="29A61DE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C4806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b w:val="0"/>
        <w:i w:val="0"/>
      </w:rPr>
    </w:lvl>
    <w:lvl w:ilvl="3" w:tplc="9FB2F44A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61FB"/>
    <w:multiLevelType w:val="hybridMultilevel"/>
    <w:tmpl w:val="566E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670C9"/>
    <w:multiLevelType w:val="hybridMultilevel"/>
    <w:tmpl w:val="03D0A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F4CA7"/>
    <w:multiLevelType w:val="hybridMultilevel"/>
    <w:tmpl w:val="E884A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6753F"/>
    <w:multiLevelType w:val="hybridMultilevel"/>
    <w:tmpl w:val="7AE87B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90295B"/>
    <w:multiLevelType w:val="hybridMultilevel"/>
    <w:tmpl w:val="FB22EFFC"/>
    <w:lvl w:ilvl="0" w:tplc="6DA6148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52CB0"/>
    <w:multiLevelType w:val="hybridMultilevel"/>
    <w:tmpl w:val="09EAA9C2"/>
    <w:lvl w:ilvl="0" w:tplc="2D0C88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904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9857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4AC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205D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A23C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3686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23D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BC34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3B02363"/>
    <w:multiLevelType w:val="hybridMultilevel"/>
    <w:tmpl w:val="73DC3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96187"/>
    <w:multiLevelType w:val="hybridMultilevel"/>
    <w:tmpl w:val="84D8CAA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93D0D5F"/>
    <w:multiLevelType w:val="hybridMultilevel"/>
    <w:tmpl w:val="6BFC2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926DD3"/>
    <w:multiLevelType w:val="hybridMultilevel"/>
    <w:tmpl w:val="FCC0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F10094"/>
    <w:multiLevelType w:val="hybridMultilevel"/>
    <w:tmpl w:val="CB483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6011EB"/>
    <w:multiLevelType w:val="hybridMultilevel"/>
    <w:tmpl w:val="2DA8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C5BC7"/>
    <w:multiLevelType w:val="multilevel"/>
    <w:tmpl w:val="74B0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BE3107"/>
    <w:multiLevelType w:val="hybridMultilevel"/>
    <w:tmpl w:val="C2887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63043"/>
    <w:multiLevelType w:val="hybridMultilevel"/>
    <w:tmpl w:val="4F084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E75E8"/>
    <w:multiLevelType w:val="hybridMultilevel"/>
    <w:tmpl w:val="10DC0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B37F99"/>
    <w:multiLevelType w:val="hybridMultilevel"/>
    <w:tmpl w:val="D194CF9E"/>
    <w:lvl w:ilvl="0" w:tplc="5AB8D31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25F71"/>
    <w:multiLevelType w:val="hybridMultilevel"/>
    <w:tmpl w:val="7F381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371CC"/>
    <w:multiLevelType w:val="hybridMultilevel"/>
    <w:tmpl w:val="BD306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C864B2"/>
    <w:multiLevelType w:val="hybridMultilevel"/>
    <w:tmpl w:val="7A22E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D3550"/>
    <w:multiLevelType w:val="hybridMultilevel"/>
    <w:tmpl w:val="D3F64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AA52CC"/>
    <w:multiLevelType w:val="hybridMultilevel"/>
    <w:tmpl w:val="6C661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EC2E1D"/>
    <w:multiLevelType w:val="hybridMultilevel"/>
    <w:tmpl w:val="AD008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9F7B15"/>
    <w:multiLevelType w:val="hybridMultilevel"/>
    <w:tmpl w:val="4DD66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2728EB"/>
    <w:multiLevelType w:val="multilevel"/>
    <w:tmpl w:val="DFBC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531ED4"/>
    <w:multiLevelType w:val="hybridMultilevel"/>
    <w:tmpl w:val="AB80C1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2041AF"/>
    <w:multiLevelType w:val="hybridMultilevel"/>
    <w:tmpl w:val="260284F8"/>
    <w:lvl w:ilvl="0" w:tplc="2C96D61A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DB0560"/>
    <w:multiLevelType w:val="hybridMultilevel"/>
    <w:tmpl w:val="A202C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1C6E84"/>
    <w:multiLevelType w:val="hybridMultilevel"/>
    <w:tmpl w:val="25F0C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E22069"/>
    <w:multiLevelType w:val="hybridMultilevel"/>
    <w:tmpl w:val="0C00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B3886"/>
    <w:multiLevelType w:val="hybridMultilevel"/>
    <w:tmpl w:val="AEDA79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D26583"/>
    <w:multiLevelType w:val="hybridMultilevel"/>
    <w:tmpl w:val="2DA0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136315">
    <w:abstractNumId w:val="27"/>
  </w:num>
  <w:num w:numId="2" w16cid:durableId="640696478">
    <w:abstractNumId w:val="39"/>
  </w:num>
  <w:num w:numId="3" w16cid:durableId="76830489">
    <w:abstractNumId w:val="4"/>
  </w:num>
  <w:num w:numId="4" w16cid:durableId="264263993">
    <w:abstractNumId w:val="13"/>
  </w:num>
  <w:num w:numId="5" w16cid:durableId="1264611413">
    <w:abstractNumId w:val="26"/>
  </w:num>
  <w:num w:numId="6" w16cid:durableId="1804350352">
    <w:abstractNumId w:val="15"/>
  </w:num>
  <w:num w:numId="7" w16cid:durableId="1188059050">
    <w:abstractNumId w:val="35"/>
  </w:num>
  <w:num w:numId="8" w16cid:durableId="1867979789">
    <w:abstractNumId w:val="24"/>
  </w:num>
  <w:num w:numId="9" w16cid:durableId="521209271">
    <w:abstractNumId w:val="1"/>
  </w:num>
  <w:num w:numId="10" w16cid:durableId="805856635">
    <w:abstractNumId w:val="10"/>
  </w:num>
  <w:num w:numId="11" w16cid:durableId="1943612265">
    <w:abstractNumId w:val="32"/>
  </w:num>
  <w:num w:numId="12" w16cid:durableId="965741030">
    <w:abstractNumId w:val="14"/>
  </w:num>
  <w:num w:numId="13" w16cid:durableId="1346901514">
    <w:abstractNumId w:val="20"/>
  </w:num>
  <w:num w:numId="14" w16cid:durableId="1149401606">
    <w:abstractNumId w:val="12"/>
  </w:num>
  <w:num w:numId="15" w16cid:durableId="339281795">
    <w:abstractNumId w:val="28"/>
  </w:num>
  <w:num w:numId="16" w16cid:durableId="1476490683">
    <w:abstractNumId w:val="16"/>
  </w:num>
  <w:num w:numId="17" w16cid:durableId="303854570">
    <w:abstractNumId w:val="44"/>
  </w:num>
  <w:num w:numId="18" w16cid:durableId="2140106493">
    <w:abstractNumId w:val="2"/>
  </w:num>
  <w:num w:numId="19" w16cid:durableId="69040170">
    <w:abstractNumId w:val="18"/>
  </w:num>
  <w:num w:numId="20" w16cid:durableId="1010370529">
    <w:abstractNumId w:val="45"/>
  </w:num>
  <w:num w:numId="21" w16cid:durableId="883712988">
    <w:abstractNumId w:val="3"/>
  </w:num>
  <w:num w:numId="22" w16cid:durableId="400366767">
    <w:abstractNumId w:val="21"/>
  </w:num>
  <w:num w:numId="23" w16cid:durableId="903177683">
    <w:abstractNumId w:val="43"/>
  </w:num>
  <w:num w:numId="24" w16cid:durableId="224029628">
    <w:abstractNumId w:val="40"/>
  </w:num>
  <w:num w:numId="25" w16cid:durableId="1045716461">
    <w:abstractNumId w:val="9"/>
  </w:num>
  <w:num w:numId="26" w16cid:durableId="2117553471">
    <w:abstractNumId w:val="0"/>
  </w:num>
  <w:num w:numId="27" w16cid:durableId="2102069003">
    <w:abstractNumId w:val="19"/>
  </w:num>
  <w:num w:numId="28" w16cid:durableId="1317034915">
    <w:abstractNumId w:val="29"/>
  </w:num>
  <w:num w:numId="29" w16cid:durableId="63724561">
    <w:abstractNumId w:val="11"/>
  </w:num>
  <w:num w:numId="30" w16cid:durableId="995189277">
    <w:abstractNumId w:val="36"/>
  </w:num>
  <w:num w:numId="31" w16cid:durableId="691999848">
    <w:abstractNumId w:val="23"/>
  </w:num>
  <w:num w:numId="32" w16cid:durableId="1394889079">
    <w:abstractNumId w:val="37"/>
  </w:num>
  <w:num w:numId="33" w16cid:durableId="997078961">
    <w:abstractNumId w:val="33"/>
  </w:num>
  <w:num w:numId="34" w16cid:durableId="49233171">
    <w:abstractNumId w:val="17"/>
  </w:num>
  <w:num w:numId="35" w16cid:durableId="1941336337">
    <w:abstractNumId w:val="8"/>
  </w:num>
  <w:num w:numId="36" w16cid:durableId="2106723257">
    <w:abstractNumId w:val="34"/>
  </w:num>
  <w:num w:numId="37" w16cid:durableId="1149246564">
    <w:abstractNumId w:val="46"/>
  </w:num>
  <w:num w:numId="38" w16cid:durableId="1510562593">
    <w:abstractNumId w:val="38"/>
  </w:num>
  <w:num w:numId="39" w16cid:durableId="1892308067">
    <w:abstractNumId w:val="31"/>
  </w:num>
  <w:num w:numId="40" w16cid:durableId="747461685">
    <w:abstractNumId w:val="22"/>
  </w:num>
  <w:num w:numId="41" w16cid:durableId="480653614">
    <w:abstractNumId w:val="5"/>
  </w:num>
  <w:num w:numId="42" w16cid:durableId="1243492394">
    <w:abstractNumId w:val="30"/>
  </w:num>
  <w:num w:numId="43" w16cid:durableId="194777455">
    <w:abstractNumId w:val="42"/>
  </w:num>
  <w:num w:numId="44" w16cid:durableId="771172028">
    <w:abstractNumId w:val="41"/>
  </w:num>
  <w:num w:numId="45" w16cid:durableId="187527447">
    <w:abstractNumId w:val="25"/>
  </w:num>
  <w:num w:numId="46" w16cid:durableId="1062094937">
    <w:abstractNumId w:val="7"/>
  </w:num>
  <w:num w:numId="47" w16cid:durableId="287124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E5"/>
    <w:rsid w:val="003950E5"/>
    <w:rsid w:val="004E568A"/>
    <w:rsid w:val="005F18A8"/>
    <w:rsid w:val="00762DB6"/>
    <w:rsid w:val="007E6F55"/>
    <w:rsid w:val="00E4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D4104FA"/>
  <w15:chartTrackingRefBased/>
  <w15:docId w15:val="{A2427BEC-07F3-4A1B-8B69-6C5F303A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E5"/>
    <w:pPr>
      <w:spacing w:afterLines="120" w:after="288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0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950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Heading5"/>
    <w:next w:val="Normal"/>
    <w:link w:val="Heading3Char"/>
    <w:uiPriority w:val="9"/>
    <w:unhideWhenUsed/>
    <w:qFormat/>
    <w:rsid w:val="003950E5"/>
    <w:pPr>
      <w:spacing w:before="400" w:after="160" w:line="300" w:lineRule="auto"/>
      <w:outlineLvl w:val="2"/>
    </w:pPr>
    <w:rPr>
      <w:i/>
      <w:u w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50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950E5"/>
    <w:pPr>
      <w:keepNext/>
      <w:outlineLvl w:val="4"/>
    </w:pPr>
    <w:rPr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950E5"/>
    <w:pPr>
      <w:keepNext/>
      <w:outlineLvl w:val="5"/>
    </w:pPr>
    <w:rPr>
      <w:iCs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950E5"/>
    <w:pPr>
      <w:keepNext/>
      <w:contextualSpacing/>
      <w:jc w:val="center"/>
      <w:outlineLvl w:val="6"/>
    </w:pPr>
    <w:rPr>
      <w:rFonts w:ascii="Arial" w:eastAsiaTheme="minorHAnsi" w:hAnsi="Arial" w:cs="Arial"/>
      <w:b/>
      <w:color w:val="44546A" w:themeColor="text2"/>
      <w:sz w:val="20"/>
      <w:szCs w:val="20"/>
      <w:lang w:val="pt-BR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950E5"/>
    <w:pPr>
      <w:keepNext/>
      <w:outlineLvl w:val="7"/>
    </w:pPr>
    <w:rPr>
      <w:i/>
      <w:i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950E5"/>
    <w:pPr>
      <w:keepNext/>
      <w:spacing w:afterLines="100" w:after="240"/>
      <w:outlineLvl w:val="8"/>
    </w:pPr>
    <w:rPr>
      <w:rFonts w:ascii="TimesNewRomanPSMT" w:hAnsi="TimesNewRomanPSMT" w:cs="TimesNewRomanPSMT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0E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950E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950E5"/>
    <w:rPr>
      <w:rFonts w:ascii="Times New Roman" w:eastAsia="Times New Roman" w:hAnsi="Times New Roman" w:cs="Times New Roman"/>
      <w:i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950E5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950E5"/>
    <w:rPr>
      <w:rFonts w:ascii="Times New Roman" w:eastAsia="Times New Roman" w:hAnsi="Times New Roman" w:cs="Times New Roman"/>
      <w:kern w:val="0"/>
      <w:sz w:val="24"/>
      <w:szCs w:val="24"/>
      <w:u w:val="single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3950E5"/>
    <w:rPr>
      <w:rFonts w:ascii="Times New Roman" w:eastAsia="Times New Roman" w:hAnsi="Times New Roman" w:cs="Times New Roman"/>
      <w:iCs/>
      <w:kern w:val="0"/>
      <w:sz w:val="24"/>
      <w:szCs w:val="24"/>
      <w:u w:val="single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3950E5"/>
    <w:rPr>
      <w:rFonts w:ascii="Arial" w:hAnsi="Arial" w:cs="Arial"/>
      <w:b/>
      <w:color w:val="44546A" w:themeColor="text2"/>
      <w:kern w:val="0"/>
      <w:sz w:val="20"/>
      <w:szCs w:val="20"/>
      <w:lang w:val="pt-B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3950E5"/>
    <w:rPr>
      <w:rFonts w:ascii="Times New Roman" w:eastAsia="Times New Roman" w:hAnsi="Times New Roman" w:cs="Times New Roman"/>
      <w:i/>
      <w:iCs/>
      <w:color w:val="44546A" w:themeColor="text2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3950E5"/>
    <w:rPr>
      <w:rFonts w:ascii="TimesNewRomanPSMT" w:eastAsia="Times New Roman" w:hAnsi="TimesNewRomanPSMT" w:cs="TimesNewRomanPSMT"/>
      <w:b/>
      <w:bCs/>
      <w:i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3950E5"/>
    <w:pPr>
      <w:spacing w:before="100" w:beforeAutospacing="1" w:after="100" w:afterAutospacing="1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50E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950E5"/>
  </w:style>
  <w:style w:type="character" w:styleId="Emphasis">
    <w:name w:val="Emphasis"/>
    <w:basedOn w:val="DefaultParagraphFont"/>
    <w:uiPriority w:val="20"/>
    <w:qFormat/>
    <w:rsid w:val="003950E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95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950E5"/>
  </w:style>
  <w:style w:type="character" w:customStyle="1" w:styleId="CommentTextChar">
    <w:name w:val="Comment Text Char"/>
    <w:basedOn w:val="DefaultParagraphFont"/>
    <w:link w:val="CommentText"/>
    <w:uiPriority w:val="99"/>
    <w:rsid w:val="003950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unhideWhenUsed/>
    <w:rsid w:val="003950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950E5"/>
    <w:rPr>
      <w:rFonts w:ascii="Lucida Grande" w:eastAsia="Times New Roman" w:hAnsi="Lucida Grande" w:cs="Lucida Grande"/>
      <w:kern w:val="0"/>
      <w:sz w:val="18"/>
      <w:szCs w:val="18"/>
      <w14:ligatures w14:val="none"/>
    </w:rPr>
  </w:style>
  <w:style w:type="paragraph" w:customStyle="1" w:styleId="unindent">
    <w:name w:val="unindent"/>
    <w:basedOn w:val="Normal"/>
    <w:rsid w:val="003950E5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950E5"/>
    <w:pPr>
      <w:ind w:left="720"/>
    </w:pPr>
    <w:rPr>
      <w:rFonts w:ascii="Calibri" w:hAnsi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50E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950E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rsid w:val="003950E5"/>
    <w:pPr>
      <w:jc w:val="center"/>
    </w:pPr>
    <w:rPr>
      <w:rFonts w:ascii="Arial" w:hAnsi="Arial" w:cs="Arial"/>
      <w:sz w:val="22"/>
    </w:rPr>
  </w:style>
  <w:style w:type="paragraph" w:customStyle="1" w:styleId="EndNoteBibliography">
    <w:name w:val="EndNote Bibliography"/>
    <w:basedOn w:val="Normal"/>
    <w:rsid w:val="003950E5"/>
    <w:pPr>
      <w:spacing w:line="240" w:lineRule="auto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3950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0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950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0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3950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3950E5"/>
    <w:pPr>
      <w:spacing w:after="0" w:line="240" w:lineRule="auto"/>
    </w:pPr>
    <w:rPr>
      <w:rFonts w:eastAsiaTheme="minorEastAsia"/>
      <w:color w:val="000000" w:themeColor="text1" w:themeShade="BF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3950E5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E5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3950E5"/>
    <w:rPr>
      <w:b/>
      <w:bCs/>
    </w:rPr>
  </w:style>
  <w:style w:type="paragraph" w:customStyle="1" w:styleId="SP-headings">
    <w:name w:val="SP - headings"/>
    <w:basedOn w:val="Heading1"/>
    <w:link w:val="SP-headingsChar"/>
    <w:qFormat/>
    <w:rsid w:val="003950E5"/>
    <w:pPr>
      <w:spacing w:before="0" w:after="160" w:line="300" w:lineRule="auto"/>
    </w:pPr>
    <w:rPr>
      <w:rFonts w:ascii="Arial" w:hAnsi="Arial" w:cs="Times New Roman"/>
      <w:b/>
      <w:sz w:val="20"/>
      <w:szCs w:val="24"/>
    </w:rPr>
  </w:style>
  <w:style w:type="paragraph" w:customStyle="1" w:styleId="SP-subheadings">
    <w:name w:val="SP - subheadings"/>
    <w:basedOn w:val="SP-headings"/>
    <w:link w:val="SP-subheadingsChar"/>
    <w:qFormat/>
    <w:rsid w:val="003950E5"/>
    <w:pPr>
      <w:spacing w:before="400" w:afterLines="100" w:after="240" w:line="276" w:lineRule="auto"/>
      <w:outlineLvl w:val="1"/>
    </w:pPr>
    <w:rPr>
      <w:bCs/>
      <w:i/>
    </w:rPr>
  </w:style>
  <w:style w:type="character" w:customStyle="1" w:styleId="SP-headingsChar">
    <w:name w:val="SP - headings Char"/>
    <w:basedOn w:val="Heading1Char"/>
    <w:link w:val="SP-headings"/>
    <w:rsid w:val="003950E5"/>
    <w:rPr>
      <w:rFonts w:ascii="Arial" w:eastAsiaTheme="majorEastAsia" w:hAnsi="Arial" w:cs="Times New Roman"/>
      <w:b/>
      <w:color w:val="2F5496" w:themeColor="accent1" w:themeShade="BF"/>
      <w:kern w:val="0"/>
      <w:sz w:val="20"/>
      <w:szCs w:val="24"/>
      <w14:ligatures w14:val="none"/>
    </w:rPr>
  </w:style>
  <w:style w:type="paragraph" w:styleId="NoSpacing">
    <w:name w:val="No Spacing"/>
    <w:uiPriority w:val="1"/>
    <w:qFormat/>
    <w:rsid w:val="003950E5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customStyle="1" w:styleId="SP-subheadingsChar">
    <w:name w:val="SP - subheadings Char"/>
    <w:basedOn w:val="SP-headingsChar"/>
    <w:link w:val="SP-subheadings"/>
    <w:rsid w:val="003950E5"/>
    <w:rPr>
      <w:rFonts w:ascii="Arial" w:eastAsiaTheme="majorEastAsia" w:hAnsi="Arial" w:cs="Times New Roman"/>
      <w:b/>
      <w:bCs/>
      <w:i/>
      <w:color w:val="2F5496" w:themeColor="accent1" w:themeShade="BF"/>
      <w:kern w:val="0"/>
      <w:sz w:val="20"/>
      <w:szCs w:val="24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50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50E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950E5"/>
    <w:rPr>
      <w:color w:val="808080"/>
    </w:rPr>
  </w:style>
  <w:style w:type="paragraph" w:customStyle="1" w:styleId="FigureandTableHeading">
    <w:name w:val="Figure and Table Heading"/>
    <w:basedOn w:val="Normal"/>
    <w:link w:val="FigureandTableHeadingChar"/>
    <w:qFormat/>
    <w:rsid w:val="003950E5"/>
    <w:pPr>
      <w:keepNext/>
      <w:keepLines/>
      <w:spacing w:line="480" w:lineRule="auto"/>
      <w:outlineLvl w:val="0"/>
    </w:pPr>
    <w:rPr>
      <w:b/>
    </w:rPr>
  </w:style>
  <w:style w:type="character" w:customStyle="1" w:styleId="FigureandTableHeadingChar">
    <w:name w:val="Figure and Table Heading Char"/>
    <w:basedOn w:val="DefaultParagraphFont"/>
    <w:link w:val="FigureandTableHeading"/>
    <w:rsid w:val="003950E5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950E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3950E5"/>
  </w:style>
  <w:style w:type="character" w:customStyle="1" w:styleId="BodyTextChar">
    <w:name w:val="Body Text Char"/>
    <w:basedOn w:val="DefaultParagraphFont"/>
    <w:link w:val="BodyText"/>
    <w:uiPriority w:val="99"/>
    <w:rsid w:val="003950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3950E5"/>
    <w:rPr>
      <w:iCs/>
      <w:color w:val="44546A" w:themeColor="text2"/>
    </w:rPr>
  </w:style>
  <w:style w:type="character" w:customStyle="1" w:styleId="BodyText2Char">
    <w:name w:val="Body Text 2 Char"/>
    <w:basedOn w:val="DefaultParagraphFont"/>
    <w:link w:val="BodyText2"/>
    <w:uiPriority w:val="99"/>
    <w:rsid w:val="003950E5"/>
    <w:rPr>
      <w:rFonts w:ascii="Times New Roman" w:eastAsia="Times New Roman" w:hAnsi="Times New Roman" w:cs="Times New Roman"/>
      <w:iCs/>
      <w:color w:val="44546A" w:themeColor="text2"/>
      <w:kern w:val="0"/>
      <w:sz w:val="24"/>
      <w:szCs w:val="24"/>
      <w14:ligatures w14:val="none"/>
    </w:rPr>
  </w:style>
  <w:style w:type="paragraph" w:customStyle="1" w:styleId="Text">
    <w:name w:val="Text"/>
    <w:link w:val="TextChar1"/>
    <w:rsid w:val="003950E5"/>
    <w:pPr>
      <w:spacing w:after="120" w:line="240" w:lineRule="auto"/>
      <w:ind w:left="90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TextChar1">
    <w:name w:val="Text Char1"/>
    <w:link w:val="Text"/>
    <w:rsid w:val="003950E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InstructionChar">
    <w:name w:val="Instruction Char"/>
    <w:rsid w:val="003950E5"/>
    <w:rPr>
      <w:b/>
      <w:i/>
      <w:iCs/>
      <w:color w:val="FF6600"/>
      <w:sz w:val="24"/>
      <w:lang w:val="en-US" w:eastAsia="en-US" w:bidi="ar-SA"/>
    </w:rPr>
  </w:style>
  <w:style w:type="paragraph" w:customStyle="1" w:styleId="TableText">
    <w:name w:val="Table Text"/>
    <w:basedOn w:val="Normal"/>
    <w:rsid w:val="003950E5"/>
    <w:pPr>
      <w:keepLines/>
      <w:spacing w:before="40" w:after="40"/>
      <w:jc w:val="center"/>
    </w:pPr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3950E5"/>
    <w:rPr>
      <w:rFonts w:ascii="Arial" w:hAnsi="Arial" w:cs="Arial"/>
      <w:b/>
      <w:bCs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3950E5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950E5"/>
  </w:style>
  <w:style w:type="character" w:styleId="PageNumber">
    <w:name w:val="page number"/>
    <w:basedOn w:val="DefaultParagraphFont"/>
    <w:uiPriority w:val="99"/>
    <w:semiHidden/>
    <w:unhideWhenUsed/>
    <w:rsid w:val="003950E5"/>
  </w:style>
  <w:style w:type="character" w:customStyle="1" w:styleId="cf01">
    <w:name w:val="cf01"/>
    <w:basedOn w:val="DefaultParagraphFont"/>
    <w:rsid w:val="003950E5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DefaultParagraphFont"/>
    <w:rsid w:val="003950E5"/>
    <w:rPr>
      <w:rFonts w:ascii="Segoe UI" w:hAnsi="Segoe UI" w:cs="Segoe UI" w:hint="default"/>
      <w:i/>
      <w:iCs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50E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50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950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zwang@supernu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2533</Words>
  <Characters>14418</Characters>
  <Application>Microsoft Office Word</Application>
  <DocSecurity>0</DocSecurity>
  <Lines>1029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Lin</dc:creator>
  <cp:keywords/>
  <dc:description/>
  <cp:lastModifiedBy>Linda Goldstein</cp:lastModifiedBy>
  <cp:revision>2</cp:revision>
  <dcterms:created xsi:type="dcterms:W3CDTF">2024-03-29T19:36:00Z</dcterms:created>
  <dcterms:modified xsi:type="dcterms:W3CDTF">2024-03-29T19:36:00Z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3220c7-3ffd-46dd-8c13-008a0a46a045_Enabled">
    <vt:lpwstr>true</vt:lpwstr>
  </property>
  <property fmtid="{D5CDD505-2E9C-101B-9397-08002B2CF9AE}" pid="3" name="MSIP_Label_1f3220c7-3ffd-46dd-8c13-008a0a46a045_SetDate">
    <vt:lpwstr>2024-03-04T21:03:51Z</vt:lpwstr>
  </property>
  <property fmtid="{D5CDD505-2E9C-101B-9397-08002B2CF9AE}" pid="4" name="MSIP_Label_1f3220c7-3ffd-46dd-8c13-008a0a46a045_Method">
    <vt:lpwstr>Standard</vt:lpwstr>
  </property>
  <property fmtid="{D5CDD505-2E9C-101B-9397-08002B2CF9AE}" pid="5" name="MSIP_Label_1f3220c7-3ffd-46dd-8c13-008a0a46a045_Name">
    <vt:lpwstr>defa4170-0d19-0005-0002-bc88714345d2</vt:lpwstr>
  </property>
  <property fmtid="{D5CDD505-2E9C-101B-9397-08002B2CF9AE}" pid="6" name="MSIP_Label_1f3220c7-3ffd-46dd-8c13-008a0a46a045_SiteId">
    <vt:lpwstr>4b3b8e3c-5339-49ff-9726-e82b3c4422f7</vt:lpwstr>
  </property>
  <property fmtid="{D5CDD505-2E9C-101B-9397-08002B2CF9AE}" pid="7" name="MSIP_Label_1f3220c7-3ffd-46dd-8c13-008a0a46a045_ActionId">
    <vt:lpwstr>1bd47617-7e2c-4d58-ae49-d3b1a6be5cd2</vt:lpwstr>
  </property>
  <property fmtid="{D5CDD505-2E9C-101B-9397-08002B2CF9AE}" pid="8" name="MSIP_Label_1f3220c7-3ffd-46dd-8c13-008a0a46a045_ContentBits">
    <vt:lpwstr>0</vt:lpwstr>
  </property>
</Properties>
</file>