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8FC" w:rsidRPr="00F606C4" w:rsidRDefault="00466F87" w:rsidP="00F747C5">
      <w:pPr>
        <w:spacing w:after="0" w:line="480" w:lineRule="auto"/>
        <w:rPr>
          <w:rFonts w:ascii="Arial" w:hAnsi="Arial" w:cs="Arial"/>
          <w:b/>
          <w:caps/>
          <w:lang w:val="en-US"/>
        </w:rPr>
      </w:pPr>
      <w:r w:rsidRPr="00F606C4">
        <w:rPr>
          <w:rFonts w:ascii="Arial" w:hAnsi="Arial" w:cs="Arial"/>
          <w:lang w:val="en-US"/>
        </w:rPr>
        <w:t xml:space="preserve"> </w:t>
      </w:r>
      <w:r w:rsidR="003A3679" w:rsidRPr="00F606C4">
        <w:rPr>
          <w:rFonts w:ascii="Arial" w:hAnsi="Arial" w:cs="Arial"/>
          <w:b/>
          <w:lang w:val="en-US"/>
        </w:rPr>
        <w:t>1</w:t>
      </w:r>
      <w:r w:rsidR="003A3679" w:rsidRPr="00F606C4">
        <w:rPr>
          <w:rFonts w:ascii="Arial" w:hAnsi="Arial" w:cs="Arial"/>
          <w:lang w:val="en-US"/>
        </w:rPr>
        <w:t xml:space="preserve"> </w:t>
      </w:r>
      <w:r w:rsidR="006958FC" w:rsidRPr="00F606C4">
        <w:rPr>
          <w:rFonts w:ascii="Arial" w:hAnsi="Arial" w:cs="Arial"/>
          <w:b/>
          <w:caps/>
          <w:lang w:val="en-US"/>
        </w:rPr>
        <w:t xml:space="preserve">Supplementary </w:t>
      </w:r>
      <w:proofErr w:type="gramStart"/>
      <w:r w:rsidR="006958FC" w:rsidRPr="00F606C4">
        <w:rPr>
          <w:rFonts w:ascii="Arial" w:hAnsi="Arial" w:cs="Arial"/>
          <w:b/>
          <w:caps/>
          <w:lang w:val="en-US"/>
        </w:rPr>
        <w:t>methods</w:t>
      </w:r>
      <w:proofErr w:type="gramEnd"/>
    </w:p>
    <w:p w:rsidR="006958FC" w:rsidRPr="00F606C4" w:rsidRDefault="002078B0" w:rsidP="00120543">
      <w:pPr>
        <w:pStyle w:val="ListNoBullet"/>
        <w:spacing w:line="480" w:lineRule="auto"/>
        <w:rPr>
          <w:rFonts w:ascii="Arial" w:hAnsi="Arial" w:cs="Arial"/>
          <w:b/>
          <w:sz w:val="22"/>
          <w:szCs w:val="22"/>
        </w:rPr>
      </w:pPr>
      <w:r w:rsidRPr="00F606C4">
        <w:rPr>
          <w:rFonts w:ascii="Arial" w:hAnsi="Arial" w:cs="Arial"/>
          <w:b/>
          <w:sz w:val="22"/>
          <w:szCs w:val="22"/>
        </w:rPr>
        <w:t>1</w:t>
      </w:r>
      <w:r w:rsidR="003A3679" w:rsidRPr="00F606C4">
        <w:rPr>
          <w:rFonts w:ascii="Arial" w:hAnsi="Arial" w:cs="Arial"/>
          <w:b/>
          <w:sz w:val="22"/>
          <w:szCs w:val="22"/>
        </w:rPr>
        <w:t>.1</w:t>
      </w:r>
      <w:r w:rsidRPr="00F606C4">
        <w:rPr>
          <w:rFonts w:ascii="Arial" w:hAnsi="Arial" w:cs="Arial"/>
          <w:b/>
          <w:sz w:val="22"/>
          <w:szCs w:val="22"/>
        </w:rPr>
        <w:t xml:space="preserve"> </w:t>
      </w:r>
      <w:r w:rsidR="001D64B8">
        <w:rPr>
          <w:rFonts w:ascii="Arial" w:hAnsi="Arial" w:cs="Arial"/>
          <w:b/>
          <w:sz w:val="22"/>
          <w:szCs w:val="22"/>
        </w:rPr>
        <w:t>Building</w:t>
      </w:r>
      <w:r w:rsidR="006958FC" w:rsidRPr="00F606C4">
        <w:rPr>
          <w:rFonts w:ascii="Arial" w:hAnsi="Arial" w:cs="Arial"/>
          <w:b/>
          <w:sz w:val="22"/>
          <w:szCs w:val="22"/>
        </w:rPr>
        <w:t xml:space="preserve"> </w:t>
      </w:r>
      <w:r w:rsidRPr="00F606C4">
        <w:rPr>
          <w:rFonts w:ascii="Arial" w:hAnsi="Arial" w:cs="Arial"/>
          <w:b/>
          <w:sz w:val="22"/>
          <w:szCs w:val="22"/>
        </w:rPr>
        <w:t>P</w:t>
      </w:r>
      <w:r w:rsidR="00097B5D" w:rsidRPr="00F606C4">
        <w:rPr>
          <w:rFonts w:ascii="Arial" w:hAnsi="Arial" w:cs="Arial"/>
          <w:b/>
          <w:sz w:val="22"/>
          <w:szCs w:val="22"/>
        </w:rPr>
        <w:t>harmacokinetic</w:t>
      </w:r>
      <w:r w:rsidR="006958FC" w:rsidRPr="00F606C4">
        <w:rPr>
          <w:rFonts w:ascii="Arial" w:hAnsi="Arial" w:cs="Arial"/>
          <w:b/>
          <w:sz w:val="22"/>
          <w:szCs w:val="22"/>
        </w:rPr>
        <w:t xml:space="preserve"> </w:t>
      </w:r>
      <w:r w:rsidRPr="00F606C4">
        <w:rPr>
          <w:rFonts w:ascii="Arial" w:hAnsi="Arial" w:cs="Arial"/>
          <w:b/>
          <w:sz w:val="22"/>
          <w:szCs w:val="22"/>
        </w:rPr>
        <w:t>M</w:t>
      </w:r>
      <w:r w:rsidR="006958FC" w:rsidRPr="00F606C4">
        <w:rPr>
          <w:rFonts w:ascii="Arial" w:hAnsi="Arial" w:cs="Arial"/>
          <w:b/>
          <w:sz w:val="22"/>
          <w:szCs w:val="22"/>
        </w:rPr>
        <w:t>odels</w:t>
      </w:r>
    </w:p>
    <w:p w:rsidR="006958FC" w:rsidRPr="00F606C4" w:rsidRDefault="0010254D" w:rsidP="0010254D">
      <w:pPr>
        <w:spacing w:after="0" w:line="480" w:lineRule="auto"/>
        <w:rPr>
          <w:rFonts w:ascii="Arial" w:hAnsi="Arial" w:cs="Arial"/>
          <w:lang w:val="en-US"/>
        </w:rPr>
      </w:pPr>
      <w:r>
        <w:rPr>
          <w:rFonts w:ascii="Arial" w:hAnsi="Arial" w:cs="Arial"/>
          <w:lang w:val="en-US"/>
        </w:rPr>
        <w:t>B</w:t>
      </w:r>
      <w:r w:rsidR="006958FC" w:rsidRPr="00F606C4">
        <w:rPr>
          <w:rFonts w:ascii="Arial" w:hAnsi="Arial" w:cs="Arial"/>
          <w:lang w:val="en-US"/>
        </w:rPr>
        <w:t>ase model</w:t>
      </w:r>
      <w:r w:rsidR="00E91BB3">
        <w:rPr>
          <w:rFonts w:ascii="Arial" w:hAnsi="Arial" w:cs="Arial"/>
          <w:lang w:val="en-US"/>
        </w:rPr>
        <w:t>s</w:t>
      </w:r>
      <w:r w:rsidR="006958FC" w:rsidRPr="00F606C4">
        <w:rPr>
          <w:rFonts w:ascii="Arial" w:hAnsi="Arial" w:cs="Arial"/>
          <w:lang w:val="en-US"/>
        </w:rPr>
        <w:t xml:space="preserve"> for sunitinib and its metabolite </w:t>
      </w:r>
      <w:r w:rsidR="00E430F9" w:rsidRPr="00F606C4">
        <w:rPr>
          <w:rFonts w:ascii="Arial" w:hAnsi="Arial" w:cs="Arial"/>
          <w:lang w:val="en-US"/>
        </w:rPr>
        <w:t xml:space="preserve">SU12662 </w:t>
      </w:r>
      <w:r w:rsidR="00E91BB3" w:rsidRPr="00F606C4">
        <w:rPr>
          <w:rFonts w:ascii="Arial" w:hAnsi="Arial" w:cs="Arial"/>
          <w:lang w:val="en-US"/>
        </w:rPr>
        <w:t>w</w:t>
      </w:r>
      <w:r w:rsidR="00E91BB3">
        <w:rPr>
          <w:rFonts w:ascii="Arial" w:hAnsi="Arial" w:cs="Arial"/>
          <w:lang w:val="en-US"/>
        </w:rPr>
        <w:t>ere</w:t>
      </w:r>
      <w:r w:rsidR="00E91BB3" w:rsidRPr="00F606C4">
        <w:rPr>
          <w:rFonts w:ascii="Arial" w:hAnsi="Arial" w:cs="Arial"/>
          <w:lang w:val="en-US"/>
        </w:rPr>
        <w:t xml:space="preserve"> </w:t>
      </w:r>
      <w:r w:rsidR="006958FC" w:rsidRPr="00F606C4">
        <w:rPr>
          <w:rFonts w:ascii="Arial" w:hAnsi="Arial" w:cs="Arial"/>
          <w:lang w:val="en-US"/>
        </w:rPr>
        <w:t>developed</w:t>
      </w:r>
      <w:r>
        <w:rPr>
          <w:rFonts w:ascii="Arial" w:hAnsi="Arial" w:cs="Arial"/>
          <w:lang w:val="en-US"/>
        </w:rPr>
        <w:t xml:space="preserve"> consistent with the approach previously follow</w:t>
      </w:r>
      <w:r w:rsidR="008D59F6">
        <w:rPr>
          <w:rFonts w:ascii="Arial" w:hAnsi="Arial" w:cs="Arial"/>
          <w:lang w:val="en-US"/>
        </w:rPr>
        <w:t>ed</w:t>
      </w:r>
      <w:r>
        <w:rPr>
          <w:rFonts w:ascii="Arial" w:hAnsi="Arial" w:cs="Arial"/>
          <w:lang w:val="en-US"/>
        </w:rPr>
        <w:t xml:space="preserve"> by Houk et al </w:t>
      </w:r>
      <w:r w:rsidR="00BF0D02">
        <w:rPr>
          <w:rFonts w:ascii="Arial" w:hAnsi="Arial" w:cs="Arial"/>
          <w:lang w:val="en-US"/>
        </w:rPr>
        <w:fldChar w:fldCharType="begin">
          <w:fldData xml:space="preserve">PEVuZE5vdGU+PENpdGU+PEF1dGhvcj5Ib3VrPC9BdXRob3I+PFllYXI+MjAwOTwvWWVhcj48UmVj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</w:fldData>
        </w:fldChar>
      </w:r>
      <w:r>
        <w:rPr>
          <w:rFonts w:ascii="Arial" w:hAnsi="Arial" w:cs="Arial"/>
          <w:lang w:val="en-US"/>
        </w:rPr>
        <w:instrText xml:space="preserve"> ADDIN EN.CITE </w:instrText>
      </w:r>
      <w:r w:rsidR="00BF0D02">
        <w:rPr>
          <w:rFonts w:ascii="Arial" w:hAnsi="Arial" w:cs="Arial"/>
          <w:lang w:val="en-US"/>
        </w:rPr>
        <w:fldChar w:fldCharType="begin">
          <w:fldData xml:space="preserve">PEVuZE5vdGU+PENpdGU+PEF1dGhvcj5Ib3VrPC9BdXRob3I+PFllYXI+MjAwOTwvWWVhcj48UmVj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</w:fldData>
        </w:fldChar>
      </w:r>
      <w:r>
        <w:rPr>
          <w:rFonts w:ascii="Arial" w:hAnsi="Arial" w:cs="Arial"/>
          <w:lang w:val="en-US"/>
        </w:rPr>
        <w:instrText xml:space="preserve"> ADDIN EN.CITE.DATA </w:instrText>
      </w:r>
      <w:r w:rsidR="00BF0D02">
        <w:rPr>
          <w:rFonts w:ascii="Arial" w:hAnsi="Arial" w:cs="Arial"/>
          <w:lang w:val="en-US"/>
        </w:rPr>
      </w:r>
      <w:r w:rsidR="00BF0D02">
        <w:rPr>
          <w:rFonts w:ascii="Arial" w:hAnsi="Arial" w:cs="Arial"/>
          <w:lang w:val="en-US"/>
        </w:rPr>
        <w:fldChar w:fldCharType="end"/>
      </w:r>
      <w:r w:rsidR="00BF0D02">
        <w:rPr>
          <w:rFonts w:ascii="Arial" w:hAnsi="Arial" w:cs="Arial"/>
          <w:lang w:val="en-US"/>
        </w:rPr>
      </w:r>
      <w:r w:rsidR="00BF0D02">
        <w:rPr>
          <w:rFonts w:ascii="Arial" w:hAnsi="Arial" w:cs="Arial"/>
          <w:lang w:val="en-US"/>
        </w:rPr>
        <w:fldChar w:fldCharType="separate"/>
      </w:r>
      <w:r>
        <w:rPr>
          <w:rFonts w:ascii="Arial" w:hAnsi="Arial" w:cs="Arial"/>
          <w:noProof/>
          <w:lang w:val="en-US"/>
        </w:rPr>
        <w:t>[31]</w:t>
      </w:r>
      <w:r w:rsidR="00BF0D02">
        <w:rPr>
          <w:rFonts w:ascii="Arial" w:hAnsi="Arial" w:cs="Arial"/>
          <w:lang w:val="en-US"/>
        </w:rPr>
        <w:fldChar w:fldCharType="end"/>
      </w:r>
      <w:r w:rsidR="006958FC" w:rsidRPr="00F606C4">
        <w:rPr>
          <w:rFonts w:ascii="Arial" w:hAnsi="Arial" w:cs="Arial"/>
          <w:lang w:val="en-US"/>
        </w:rPr>
        <w:t xml:space="preserve">. Plasma concentration–time data were evaluated with a </w:t>
      </w:r>
      <w:r w:rsidR="002078B0" w:rsidRPr="00F606C4">
        <w:rPr>
          <w:rFonts w:ascii="Arial" w:hAnsi="Arial" w:cs="Arial"/>
          <w:lang w:val="en-US"/>
        </w:rPr>
        <w:t>two</w:t>
      </w:r>
      <w:r w:rsidR="006958FC" w:rsidRPr="00F606C4">
        <w:rPr>
          <w:rFonts w:ascii="Arial" w:hAnsi="Arial" w:cs="Arial"/>
          <w:lang w:val="en-US"/>
        </w:rPr>
        <w:t xml:space="preserve">-compartment model with first-order </w:t>
      </w:r>
      <w:r w:rsidR="00E430F9" w:rsidRPr="00F606C4">
        <w:rPr>
          <w:rFonts w:ascii="Arial" w:hAnsi="Arial" w:cs="Arial"/>
          <w:lang w:val="en-US"/>
        </w:rPr>
        <w:t xml:space="preserve">drug </w:t>
      </w:r>
      <w:r w:rsidR="006958FC" w:rsidRPr="00F606C4">
        <w:rPr>
          <w:rFonts w:ascii="Arial" w:hAnsi="Arial" w:cs="Arial"/>
          <w:lang w:val="en-US"/>
        </w:rPr>
        <w:t>absorption (K</w:t>
      </w:r>
      <w:r w:rsidR="006958FC" w:rsidRPr="00F606C4">
        <w:rPr>
          <w:rFonts w:ascii="Arial" w:hAnsi="Arial" w:cs="Arial"/>
          <w:vertAlign w:val="subscript"/>
          <w:lang w:val="en-US"/>
        </w:rPr>
        <w:t>a</w:t>
      </w:r>
      <w:r w:rsidR="006958FC" w:rsidRPr="00F606C4">
        <w:rPr>
          <w:rFonts w:ascii="Arial" w:hAnsi="Arial" w:cs="Arial"/>
          <w:lang w:val="en-US"/>
        </w:rPr>
        <w:t>) and a lag time to characterize the absorption process (t</w:t>
      </w:r>
      <w:r w:rsidR="006958FC" w:rsidRPr="00F606C4">
        <w:rPr>
          <w:rFonts w:ascii="Arial" w:hAnsi="Arial" w:cs="Arial"/>
          <w:vertAlign w:val="subscript"/>
          <w:lang w:val="en-US"/>
        </w:rPr>
        <w:t>lag</w:t>
      </w:r>
      <w:r w:rsidR="006958FC" w:rsidRPr="00F606C4">
        <w:rPr>
          <w:rFonts w:ascii="Arial" w:hAnsi="Arial" w:cs="Arial"/>
          <w:lang w:val="en-US"/>
        </w:rPr>
        <w:t xml:space="preserve">). Inter-subject variability was included on the following </w:t>
      </w:r>
      <w:r w:rsidR="00097B5D" w:rsidRPr="00F606C4">
        <w:rPr>
          <w:rFonts w:ascii="Arial" w:hAnsi="Arial" w:cs="Arial"/>
          <w:lang w:val="en-US"/>
        </w:rPr>
        <w:t>pharmacokinetic (</w:t>
      </w:r>
      <w:r w:rsidR="006958FC" w:rsidRPr="00F606C4">
        <w:rPr>
          <w:rFonts w:ascii="Arial" w:hAnsi="Arial" w:cs="Arial"/>
          <w:lang w:val="en-US"/>
        </w:rPr>
        <w:t>PK</w:t>
      </w:r>
      <w:r w:rsidR="00097B5D" w:rsidRPr="00F606C4">
        <w:rPr>
          <w:rFonts w:ascii="Arial" w:hAnsi="Arial" w:cs="Arial"/>
          <w:lang w:val="en-US"/>
        </w:rPr>
        <w:t>)</w:t>
      </w:r>
      <w:r w:rsidR="006958FC" w:rsidRPr="00F606C4">
        <w:rPr>
          <w:rFonts w:ascii="Arial" w:hAnsi="Arial" w:cs="Arial"/>
          <w:lang w:val="en-US"/>
        </w:rPr>
        <w:t xml:space="preserve"> parameters for sunitinib and its metabolite: apparent clearance (CL/F), central compartment apparent volume of distribution (V</w:t>
      </w:r>
      <w:r w:rsidR="006958FC" w:rsidRPr="00F606C4">
        <w:rPr>
          <w:rFonts w:ascii="Arial" w:hAnsi="Arial" w:cs="Arial"/>
          <w:vertAlign w:val="subscript"/>
          <w:lang w:val="en-US"/>
        </w:rPr>
        <w:t>c</w:t>
      </w:r>
      <w:r w:rsidR="006958FC" w:rsidRPr="00F606C4">
        <w:rPr>
          <w:rFonts w:ascii="Arial" w:hAnsi="Arial" w:cs="Arial"/>
          <w:lang w:val="en-US"/>
        </w:rPr>
        <w:t>/F), and K</w:t>
      </w:r>
      <w:r w:rsidR="006958FC" w:rsidRPr="00F606C4">
        <w:rPr>
          <w:rFonts w:ascii="Arial" w:hAnsi="Arial" w:cs="Arial"/>
          <w:vertAlign w:val="subscript"/>
          <w:lang w:val="en-US"/>
        </w:rPr>
        <w:t>a</w:t>
      </w:r>
      <w:r w:rsidR="006958FC" w:rsidRPr="00F606C4">
        <w:rPr>
          <w:rFonts w:ascii="Arial" w:hAnsi="Arial" w:cs="Arial"/>
          <w:lang w:val="en-US"/>
        </w:rPr>
        <w:t xml:space="preserve">. The covariates analyzed for CL/F were age (AGE), sex (SEX), body weight (BWT), race (RAC), baseline </w:t>
      </w:r>
      <w:r w:rsidR="00E430F9" w:rsidRPr="00F606C4">
        <w:rPr>
          <w:rFonts w:ascii="Arial" w:hAnsi="Arial" w:cs="Arial"/>
          <w:lang w:val="en-US"/>
        </w:rPr>
        <w:t>Eastern Cooperative Oncology Group performance status</w:t>
      </w:r>
      <w:r w:rsidR="006958FC" w:rsidRPr="00F606C4">
        <w:rPr>
          <w:rFonts w:ascii="Arial" w:hAnsi="Arial" w:cs="Arial"/>
          <w:lang w:val="en-US"/>
        </w:rPr>
        <w:t xml:space="preserve"> (</w:t>
      </w:r>
      <w:r w:rsidR="00B42FB8" w:rsidRPr="00F606C4">
        <w:rPr>
          <w:rFonts w:ascii="Arial" w:hAnsi="Arial" w:cs="Arial"/>
          <w:lang w:val="en-US"/>
        </w:rPr>
        <w:t>ECOG PS [</w:t>
      </w:r>
      <w:r w:rsidR="006958FC" w:rsidRPr="00F606C4">
        <w:rPr>
          <w:rFonts w:ascii="Arial" w:hAnsi="Arial" w:cs="Arial"/>
          <w:lang w:val="en-US"/>
        </w:rPr>
        <w:t>BEC</w:t>
      </w:r>
      <w:r w:rsidR="00B42FB8" w:rsidRPr="00F606C4">
        <w:rPr>
          <w:rFonts w:ascii="Arial" w:hAnsi="Arial" w:cs="Arial"/>
          <w:lang w:val="en-US"/>
        </w:rPr>
        <w:t>]</w:t>
      </w:r>
      <w:r w:rsidR="006958FC" w:rsidRPr="00F606C4">
        <w:rPr>
          <w:rFonts w:ascii="Arial" w:hAnsi="Arial" w:cs="Arial"/>
          <w:lang w:val="en-US"/>
        </w:rPr>
        <w:t>), tumor (TUMR), baseline creatinine clearance (</w:t>
      </w:r>
      <w:r w:rsidR="00E430F9" w:rsidRPr="00F606C4">
        <w:rPr>
          <w:rFonts w:ascii="Arial" w:hAnsi="Arial" w:cs="Arial"/>
          <w:lang w:val="en-US"/>
        </w:rPr>
        <w:t>BCrCl</w:t>
      </w:r>
      <w:r w:rsidR="006958FC" w:rsidRPr="00F606C4">
        <w:rPr>
          <w:rFonts w:ascii="Arial" w:hAnsi="Arial" w:cs="Arial"/>
          <w:lang w:val="en-US"/>
        </w:rPr>
        <w:t>)</w:t>
      </w:r>
      <w:r w:rsidR="00097B5D" w:rsidRPr="00F606C4">
        <w:rPr>
          <w:rFonts w:ascii="Arial" w:hAnsi="Arial" w:cs="Arial"/>
          <w:lang w:val="en-US"/>
        </w:rPr>
        <w:t>,</w:t>
      </w:r>
      <w:r w:rsidR="006958FC" w:rsidRPr="00F606C4">
        <w:rPr>
          <w:rFonts w:ascii="Arial" w:hAnsi="Arial" w:cs="Arial"/>
          <w:lang w:val="en-US"/>
        </w:rPr>
        <w:t xml:space="preserve"> and baseline pharmacodynamics (PD). The covariates analyzed for V</w:t>
      </w:r>
      <w:r w:rsidR="006958FC" w:rsidRPr="00F606C4">
        <w:rPr>
          <w:rFonts w:ascii="Arial" w:hAnsi="Arial" w:cs="Arial"/>
          <w:vertAlign w:val="subscript"/>
          <w:lang w:val="en-US"/>
        </w:rPr>
        <w:t>c</w:t>
      </w:r>
      <w:r w:rsidR="006958FC" w:rsidRPr="00F606C4">
        <w:rPr>
          <w:rFonts w:ascii="Arial" w:hAnsi="Arial" w:cs="Arial"/>
          <w:lang w:val="en-US"/>
        </w:rPr>
        <w:t>/F were AGE, SEX, BWT</w:t>
      </w:r>
      <w:r w:rsidR="00097B5D" w:rsidRPr="00F606C4">
        <w:rPr>
          <w:rFonts w:ascii="Arial" w:hAnsi="Arial" w:cs="Arial"/>
          <w:lang w:val="en-US"/>
        </w:rPr>
        <w:t>,</w:t>
      </w:r>
      <w:r w:rsidR="006958FC" w:rsidRPr="00F606C4">
        <w:rPr>
          <w:rFonts w:ascii="Arial" w:hAnsi="Arial" w:cs="Arial"/>
          <w:lang w:val="en-US"/>
        </w:rPr>
        <w:t xml:space="preserve"> and TUMR.</w:t>
      </w:r>
    </w:p>
    <w:p w:rsidR="006958FC" w:rsidRPr="00F606C4" w:rsidRDefault="006958FC" w:rsidP="002078B0">
      <w:pPr>
        <w:spacing w:after="0" w:line="480" w:lineRule="auto"/>
        <w:ind w:firstLine="720"/>
        <w:rPr>
          <w:rFonts w:ascii="Arial" w:hAnsi="Arial" w:cs="Arial"/>
          <w:lang w:val="en-US"/>
        </w:rPr>
      </w:pPr>
      <w:r w:rsidRPr="00F606C4">
        <w:rPr>
          <w:rFonts w:ascii="Arial" w:hAnsi="Arial" w:cs="Arial"/>
          <w:lang w:val="en-US"/>
        </w:rPr>
        <w:t>The categorical variables SEX, RAC, BEC, TUMR</w:t>
      </w:r>
      <w:r w:rsidR="00097B5D" w:rsidRPr="00F606C4">
        <w:rPr>
          <w:rFonts w:ascii="Arial" w:hAnsi="Arial" w:cs="Arial"/>
          <w:lang w:val="en-US"/>
        </w:rPr>
        <w:t>,</w:t>
      </w:r>
      <w:r w:rsidRPr="00F606C4">
        <w:rPr>
          <w:rFonts w:ascii="Arial" w:hAnsi="Arial" w:cs="Arial"/>
          <w:lang w:val="en-US"/>
        </w:rPr>
        <w:t xml:space="preserve"> and </w:t>
      </w:r>
      <w:r w:rsidR="000F0F5C" w:rsidRPr="00F606C4">
        <w:rPr>
          <w:rFonts w:ascii="Arial" w:hAnsi="Arial" w:cs="Arial"/>
          <w:lang w:val="en-US"/>
        </w:rPr>
        <w:t>dosing schedule (</w:t>
      </w:r>
      <w:r w:rsidRPr="00F606C4">
        <w:rPr>
          <w:rFonts w:ascii="Arial" w:hAnsi="Arial" w:cs="Arial"/>
          <w:lang w:val="en-US"/>
        </w:rPr>
        <w:t>SCH</w:t>
      </w:r>
      <w:r w:rsidR="000F0F5C" w:rsidRPr="00F606C4">
        <w:rPr>
          <w:rFonts w:ascii="Arial" w:hAnsi="Arial" w:cs="Arial"/>
          <w:lang w:val="en-US"/>
        </w:rPr>
        <w:t>)</w:t>
      </w:r>
      <w:r w:rsidRPr="00F606C4">
        <w:rPr>
          <w:rFonts w:ascii="Arial" w:hAnsi="Arial" w:cs="Arial"/>
          <w:lang w:val="en-US"/>
        </w:rPr>
        <w:t xml:space="preserve"> were coded “1” for female, Asian subject, ECOG</w:t>
      </w:r>
      <w:r w:rsidR="002078B0" w:rsidRPr="00F606C4">
        <w:rPr>
          <w:rFonts w:ascii="Arial" w:hAnsi="Arial" w:cs="Arial"/>
          <w:lang w:val="en-US"/>
        </w:rPr>
        <w:t xml:space="preserve"> PS </w:t>
      </w:r>
      <w:r w:rsidRPr="00F606C4">
        <w:rPr>
          <w:rFonts w:ascii="Arial" w:hAnsi="Arial" w:cs="Arial"/>
          <w:lang w:val="en-US"/>
        </w:rPr>
        <w:t xml:space="preserve">≥1, </w:t>
      </w:r>
      <w:r w:rsidR="009F5463" w:rsidRPr="00F606C4">
        <w:rPr>
          <w:rFonts w:ascii="Arial" w:hAnsi="Arial" w:cs="Arial"/>
          <w:lang w:val="en-US"/>
        </w:rPr>
        <w:t>gastrointestinal stromal tumor (</w:t>
      </w:r>
      <w:r w:rsidRPr="00F606C4">
        <w:rPr>
          <w:rFonts w:ascii="Arial" w:hAnsi="Arial" w:cs="Arial"/>
          <w:lang w:val="en-US"/>
        </w:rPr>
        <w:t>GIST</w:t>
      </w:r>
      <w:r w:rsidR="009F5463" w:rsidRPr="00F606C4">
        <w:rPr>
          <w:rFonts w:ascii="Arial" w:hAnsi="Arial" w:cs="Arial"/>
          <w:lang w:val="en-US"/>
        </w:rPr>
        <w:t>)</w:t>
      </w:r>
      <w:r w:rsidRPr="00F606C4">
        <w:rPr>
          <w:rFonts w:ascii="Arial" w:hAnsi="Arial" w:cs="Arial"/>
          <w:lang w:val="en-US"/>
        </w:rPr>
        <w:t xml:space="preserve">, and </w:t>
      </w:r>
      <w:r w:rsidR="00B42FB8" w:rsidRPr="00F606C4">
        <w:rPr>
          <w:rFonts w:ascii="Arial" w:hAnsi="Arial" w:cs="Arial"/>
          <w:lang w:val="en-US"/>
        </w:rPr>
        <w:t>continuous daily dosing (</w:t>
      </w:r>
      <w:r w:rsidRPr="00F606C4">
        <w:rPr>
          <w:rFonts w:ascii="Arial" w:hAnsi="Arial" w:cs="Arial"/>
          <w:lang w:val="en-US"/>
        </w:rPr>
        <w:t>CDD</w:t>
      </w:r>
      <w:r w:rsidR="00B42FB8" w:rsidRPr="00F606C4">
        <w:rPr>
          <w:rFonts w:ascii="Arial" w:hAnsi="Arial" w:cs="Arial"/>
          <w:lang w:val="en-US"/>
        </w:rPr>
        <w:t>)</w:t>
      </w:r>
      <w:r w:rsidRPr="00F606C4">
        <w:rPr>
          <w:rFonts w:ascii="Arial" w:hAnsi="Arial" w:cs="Arial"/>
          <w:lang w:val="en-US"/>
        </w:rPr>
        <w:t xml:space="preserve">, respectively, and “0” otherwise. Following an initial screening of the covariates using generalized additive modeling, each covariate identified was subjected to a selection algorithm based on the change in the extended least-squares minimum objective function (ΔMOF) with a significance level </w:t>
      </w:r>
      <w:r w:rsidR="00C74495" w:rsidRPr="00F606C4">
        <w:rPr>
          <w:rFonts w:ascii="Arial" w:hAnsi="Arial" w:cs="Arial"/>
          <w:lang w:val="en-US"/>
        </w:rPr>
        <w:t xml:space="preserve">(i.e. α) </w:t>
      </w:r>
      <w:r w:rsidRPr="00F606C4">
        <w:rPr>
          <w:rFonts w:ascii="Arial" w:hAnsi="Arial" w:cs="Arial"/>
          <w:lang w:val="en-US"/>
        </w:rPr>
        <w:t xml:space="preserve">set at 0.01 using </w:t>
      </w:r>
      <w:r w:rsidR="00E430F9" w:rsidRPr="00F606C4">
        <w:rPr>
          <w:rFonts w:ascii="Arial" w:hAnsi="Arial" w:cs="Arial"/>
          <w:lang w:val="en-US"/>
        </w:rPr>
        <w:t>nonlinear mixed-effects modeling (</w:t>
      </w:r>
      <w:r w:rsidRPr="00F606C4">
        <w:rPr>
          <w:rFonts w:ascii="Arial" w:hAnsi="Arial" w:cs="Arial"/>
          <w:lang w:val="en-US"/>
        </w:rPr>
        <w:t>NONMEM</w:t>
      </w:r>
      <w:r w:rsidR="00E430F9" w:rsidRPr="00F606C4">
        <w:rPr>
          <w:rFonts w:ascii="Arial" w:hAnsi="Arial" w:cs="Arial"/>
          <w:lang w:val="en-US"/>
        </w:rPr>
        <w:t>; v7.1.2)</w:t>
      </w:r>
      <w:r w:rsidRPr="00F606C4">
        <w:rPr>
          <w:rFonts w:ascii="Arial" w:hAnsi="Arial" w:cs="Arial"/>
          <w:lang w:val="en-US"/>
        </w:rPr>
        <w:t>. The full models obtained were subjected to a backward elimination algorithm with a significance level set at 0.001 to identify the final model. Both the base and the final models were assessed for model adequacy and goodness-of-fit. Plots of observed values</w:t>
      </w:r>
      <w:r w:rsidR="00C653B0" w:rsidRPr="00F606C4">
        <w:rPr>
          <w:rFonts w:ascii="Arial" w:hAnsi="Arial" w:cs="Arial"/>
          <w:lang w:val="en-US"/>
        </w:rPr>
        <w:t xml:space="preserve"> (DV) </w:t>
      </w:r>
      <w:r w:rsidRPr="00F606C4">
        <w:rPr>
          <w:rFonts w:ascii="Arial" w:hAnsi="Arial" w:cs="Arial"/>
          <w:lang w:val="en-US"/>
        </w:rPr>
        <w:t xml:space="preserve">versus population predicted values (PRED) and </w:t>
      </w:r>
      <w:r w:rsidR="00E430F9" w:rsidRPr="00F606C4">
        <w:rPr>
          <w:rFonts w:ascii="Arial" w:hAnsi="Arial" w:cs="Arial"/>
          <w:lang w:val="en-US"/>
        </w:rPr>
        <w:t xml:space="preserve">DV </w:t>
      </w:r>
      <w:r w:rsidRPr="00F606C4">
        <w:rPr>
          <w:rFonts w:ascii="Arial" w:hAnsi="Arial" w:cs="Arial"/>
          <w:lang w:val="en-US"/>
        </w:rPr>
        <w:t xml:space="preserve">versus individual predicted (IPRED) </w:t>
      </w:r>
      <w:r w:rsidR="00C653B0" w:rsidRPr="00F606C4">
        <w:rPr>
          <w:rFonts w:ascii="Arial" w:hAnsi="Arial" w:cs="Arial"/>
          <w:lang w:val="en-US"/>
        </w:rPr>
        <w:t xml:space="preserve">values </w:t>
      </w:r>
      <w:r w:rsidRPr="00F606C4">
        <w:rPr>
          <w:rFonts w:ascii="Arial" w:hAnsi="Arial" w:cs="Arial"/>
          <w:lang w:val="en-US"/>
        </w:rPr>
        <w:t xml:space="preserve">were evaluated for randomness around the line of unity. Plots of conditional weighted residual (CWRES) and individual weighted residual (IWRES) versus time were evaluated for randomness around the zero line to search for any systematic deviations with respect to time that may have suggested a deficiency </w:t>
      </w:r>
      <w:r w:rsidRPr="00F606C4">
        <w:rPr>
          <w:rFonts w:ascii="Arial" w:hAnsi="Arial" w:cs="Arial"/>
          <w:lang w:val="en-US"/>
        </w:rPr>
        <w:lastRenderedPageBreak/>
        <w:t xml:space="preserve">within the structural model. </w:t>
      </w:r>
      <w:r w:rsidR="00C74495" w:rsidRPr="00F606C4">
        <w:rPr>
          <w:rFonts w:ascii="Arial" w:hAnsi="Arial" w:cs="Arial"/>
          <w:lang w:val="en-US"/>
        </w:rPr>
        <w:t>Finally, v</w:t>
      </w:r>
      <w:r w:rsidRPr="00F606C4">
        <w:rPr>
          <w:rFonts w:ascii="Arial" w:hAnsi="Arial" w:cs="Arial"/>
          <w:lang w:val="en-US"/>
        </w:rPr>
        <w:t>isual predictive check</w:t>
      </w:r>
      <w:r w:rsidR="00C74495" w:rsidRPr="00F606C4">
        <w:rPr>
          <w:rFonts w:ascii="Arial" w:hAnsi="Arial" w:cs="Arial"/>
          <w:lang w:val="en-US"/>
        </w:rPr>
        <w:t>s</w:t>
      </w:r>
      <w:r w:rsidRPr="00F606C4">
        <w:rPr>
          <w:rFonts w:ascii="Arial" w:hAnsi="Arial" w:cs="Arial"/>
          <w:lang w:val="en-US"/>
        </w:rPr>
        <w:t xml:space="preserve"> (VPC) and bootstrapping techniques were used to </w:t>
      </w:r>
      <w:r w:rsidR="00C74495" w:rsidRPr="00F606C4">
        <w:rPr>
          <w:rFonts w:ascii="Arial" w:hAnsi="Arial" w:cs="Arial"/>
          <w:lang w:val="en-US"/>
        </w:rPr>
        <w:t>further evaluate the performance and stability of the base and final models as part of the internal and external validation of each model using the working and validation datasets, respectively.</w:t>
      </w:r>
    </w:p>
    <w:p w:rsidR="002078B0" w:rsidRPr="00F606C4" w:rsidRDefault="002078B0" w:rsidP="002078B0">
      <w:pPr>
        <w:spacing w:after="0" w:line="480" w:lineRule="auto"/>
        <w:ind w:firstLine="720"/>
        <w:rPr>
          <w:rFonts w:ascii="Arial" w:hAnsi="Arial" w:cs="Arial"/>
          <w:lang w:val="en-US"/>
        </w:rPr>
      </w:pPr>
    </w:p>
    <w:p w:rsidR="006958FC" w:rsidRPr="00F606C4" w:rsidRDefault="003A3679" w:rsidP="00120543">
      <w:pPr>
        <w:pStyle w:val="ListNoBullet"/>
        <w:spacing w:line="480" w:lineRule="auto"/>
        <w:rPr>
          <w:rFonts w:ascii="Arial" w:hAnsi="Arial" w:cs="Arial"/>
          <w:b/>
          <w:sz w:val="22"/>
          <w:szCs w:val="22"/>
        </w:rPr>
      </w:pPr>
      <w:r w:rsidRPr="00F606C4">
        <w:rPr>
          <w:rFonts w:ascii="Arial" w:hAnsi="Arial" w:cs="Arial"/>
          <w:b/>
          <w:sz w:val="22"/>
          <w:szCs w:val="22"/>
        </w:rPr>
        <w:t>1.</w:t>
      </w:r>
      <w:r w:rsidR="002078B0" w:rsidRPr="00F606C4">
        <w:rPr>
          <w:rFonts w:ascii="Arial" w:hAnsi="Arial" w:cs="Arial"/>
          <w:b/>
          <w:sz w:val="22"/>
          <w:szCs w:val="22"/>
        </w:rPr>
        <w:t xml:space="preserve">2 </w:t>
      </w:r>
      <w:r w:rsidR="00712561">
        <w:rPr>
          <w:rFonts w:ascii="Arial" w:hAnsi="Arial" w:cs="Arial"/>
          <w:b/>
          <w:sz w:val="22"/>
          <w:szCs w:val="22"/>
        </w:rPr>
        <w:t>Building</w:t>
      </w:r>
      <w:r w:rsidR="006958FC" w:rsidRPr="00F606C4">
        <w:rPr>
          <w:rFonts w:ascii="Arial" w:hAnsi="Arial" w:cs="Arial"/>
          <w:b/>
          <w:sz w:val="22"/>
          <w:szCs w:val="22"/>
        </w:rPr>
        <w:t xml:space="preserve"> </w:t>
      </w:r>
      <w:r w:rsidR="00712561">
        <w:rPr>
          <w:rFonts w:ascii="Arial" w:hAnsi="Arial" w:cs="Arial"/>
          <w:b/>
          <w:sz w:val="22"/>
          <w:szCs w:val="22"/>
        </w:rPr>
        <w:t xml:space="preserve">Sequential </w:t>
      </w:r>
      <w:r w:rsidR="002078B0" w:rsidRPr="00F606C4">
        <w:rPr>
          <w:rFonts w:ascii="Arial" w:hAnsi="Arial" w:cs="Arial"/>
          <w:b/>
          <w:sz w:val="22"/>
          <w:szCs w:val="22"/>
        </w:rPr>
        <w:t>P</w:t>
      </w:r>
      <w:r w:rsidR="00E95EBC" w:rsidRPr="00F606C4">
        <w:rPr>
          <w:rFonts w:ascii="Arial" w:hAnsi="Arial" w:cs="Arial"/>
          <w:b/>
          <w:sz w:val="22"/>
          <w:szCs w:val="22"/>
        </w:rPr>
        <w:t>harmacokinetic/</w:t>
      </w:r>
      <w:r w:rsidR="002078B0" w:rsidRPr="00F606C4">
        <w:rPr>
          <w:rFonts w:ascii="Arial" w:hAnsi="Arial" w:cs="Arial"/>
          <w:b/>
          <w:sz w:val="22"/>
          <w:szCs w:val="22"/>
        </w:rPr>
        <w:t>P</w:t>
      </w:r>
      <w:r w:rsidR="00E95EBC" w:rsidRPr="00F606C4">
        <w:rPr>
          <w:rFonts w:ascii="Arial" w:hAnsi="Arial" w:cs="Arial"/>
          <w:b/>
          <w:sz w:val="22"/>
          <w:szCs w:val="22"/>
        </w:rPr>
        <w:t>harmacodynamic</w:t>
      </w:r>
      <w:r w:rsidR="006958FC" w:rsidRPr="00F606C4">
        <w:rPr>
          <w:rFonts w:ascii="Arial" w:hAnsi="Arial" w:cs="Arial"/>
          <w:b/>
          <w:sz w:val="22"/>
          <w:szCs w:val="22"/>
        </w:rPr>
        <w:t xml:space="preserve"> </w:t>
      </w:r>
      <w:r w:rsidR="002078B0" w:rsidRPr="00F606C4">
        <w:rPr>
          <w:rFonts w:ascii="Arial" w:hAnsi="Arial" w:cs="Arial"/>
          <w:b/>
          <w:sz w:val="22"/>
          <w:szCs w:val="22"/>
        </w:rPr>
        <w:t>M</w:t>
      </w:r>
      <w:r w:rsidR="006958FC" w:rsidRPr="00F606C4">
        <w:rPr>
          <w:rFonts w:ascii="Arial" w:hAnsi="Arial" w:cs="Arial"/>
          <w:b/>
          <w:sz w:val="22"/>
          <w:szCs w:val="22"/>
        </w:rPr>
        <w:t>odels</w:t>
      </w:r>
    </w:p>
    <w:p w:rsidR="006958FC" w:rsidRPr="00F606C4" w:rsidRDefault="006958FC" w:rsidP="00120543">
      <w:pPr>
        <w:pStyle w:val="ListNoBullet"/>
        <w:spacing w:line="480" w:lineRule="auto"/>
        <w:rPr>
          <w:rFonts w:ascii="Arial" w:hAnsi="Arial" w:cs="Arial"/>
          <w:b/>
          <w:sz w:val="22"/>
          <w:szCs w:val="22"/>
        </w:rPr>
      </w:pPr>
      <w:r w:rsidRPr="00F606C4">
        <w:rPr>
          <w:rFonts w:ascii="Arial" w:hAnsi="Arial" w:cs="Arial"/>
          <w:sz w:val="22"/>
          <w:szCs w:val="22"/>
        </w:rPr>
        <w:t>The type of base models tested included the</w:t>
      </w:r>
      <w:r w:rsidR="006D17B2" w:rsidRPr="00F606C4">
        <w:rPr>
          <w:rFonts w:ascii="Arial" w:hAnsi="Arial" w:cs="Arial"/>
          <w:sz w:val="22"/>
          <w:szCs w:val="22"/>
        </w:rPr>
        <w:t xml:space="preserve"> </w:t>
      </w:r>
      <w:r w:rsidR="00CD0571" w:rsidRPr="00F606C4">
        <w:rPr>
          <w:rStyle w:val="ExampleText"/>
          <w:rFonts w:ascii="Arial" w:hAnsi="Arial" w:cs="Arial"/>
          <w:color w:val="000000"/>
          <w:sz w:val="22"/>
          <w:szCs w:val="22"/>
        </w:rPr>
        <w:t>transit compartments in series with feedback loop</w:t>
      </w:r>
      <w:r w:rsidR="00CD0571" w:rsidRPr="00F606C4">
        <w:rPr>
          <w:rStyle w:val="ExampleText"/>
          <w:rFonts w:ascii="Arial" w:hAnsi="Arial" w:cs="Arial"/>
          <w:color w:val="000000"/>
        </w:rPr>
        <w:t xml:space="preserve"> (</w:t>
      </w:r>
      <w:r w:rsidRPr="00F606C4">
        <w:rPr>
          <w:rFonts w:ascii="Arial" w:hAnsi="Arial" w:cs="Arial"/>
          <w:sz w:val="22"/>
          <w:szCs w:val="22"/>
        </w:rPr>
        <w:t>TCSFL</w:t>
      </w:r>
      <w:r w:rsidR="00CD0571" w:rsidRPr="00F606C4">
        <w:rPr>
          <w:rFonts w:ascii="Arial" w:hAnsi="Arial" w:cs="Arial"/>
          <w:sz w:val="22"/>
          <w:szCs w:val="22"/>
        </w:rPr>
        <w:t>)</w:t>
      </w:r>
      <w:r w:rsidRPr="00F606C4">
        <w:rPr>
          <w:rFonts w:ascii="Arial" w:hAnsi="Arial" w:cs="Arial"/>
          <w:sz w:val="22"/>
          <w:szCs w:val="22"/>
        </w:rPr>
        <w:t xml:space="preserve"> model, the indirect response (IDR) model, the IDR model with tolerance function, and the Gompertz tumor model. </w:t>
      </w:r>
      <w:r w:rsidR="002671B1" w:rsidRPr="009021C8">
        <w:rPr>
          <w:rFonts w:ascii="Arial" w:hAnsi="Arial" w:cs="Arial"/>
          <w:sz w:val="22"/>
          <w:szCs w:val="22"/>
        </w:rPr>
        <w:t>I</w:t>
      </w:r>
      <w:r w:rsidR="002671B1" w:rsidRPr="009021C8">
        <w:rPr>
          <w:rFonts w:asciiTheme="minorBidi" w:hAnsiTheme="minorBidi" w:cstheme="minorBidi"/>
          <w:sz w:val="22"/>
          <w:szCs w:val="22"/>
        </w:rPr>
        <w:t>n building the sequential PK/PD base models, the final PK model POSTHOC estimates for sunitinib with or without its active metabolite SU12662 were used as input parameters to predict the PK/PD parameters for different endpoints. For each endpoint, the EC</w:t>
      </w:r>
      <w:r w:rsidR="002671B1" w:rsidRPr="009021C8">
        <w:rPr>
          <w:rFonts w:asciiTheme="minorBidi" w:hAnsiTheme="minorBidi" w:cstheme="minorBidi"/>
          <w:sz w:val="22"/>
          <w:szCs w:val="22"/>
          <w:vertAlign w:val="subscript"/>
        </w:rPr>
        <w:t>50</w:t>
      </w:r>
      <w:r w:rsidR="002671B1" w:rsidRPr="009021C8">
        <w:rPr>
          <w:rFonts w:asciiTheme="minorBidi" w:hAnsiTheme="minorBidi" w:cstheme="minorBidi"/>
          <w:sz w:val="22"/>
          <w:szCs w:val="22"/>
        </w:rPr>
        <w:t xml:space="preserve"> (or K</w:t>
      </w:r>
      <w:r w:rsidR="002671B1" w:rsidRPr="009021C8">
        <w:rPr>
          <w:rFonts w:asciiTheme="minorBidi" w:hAnsiTheme="minorBidi" w:cstheme="minorBidi"/>
          <w:sz w:val="22"/>
          <w:szCs w:val="22"/>
          <w:vertAlign w:val="subscript"/>
        </w:rPr>
        <w:t>PD</w:t>
      </w:r>
      <w:r w:rsidR="002671B1" w:rsidRPr="009021C8">
        <w:rPr>
          <w:rFonts w:asciiTheme="minorBidi" w:hAnsiTheme="minorBidi" w:cstheme="minorBidi"/>
          <w:sz w:val="22"/>
          <w:szCs w:val="22"/>
        </w:rPr>
        <w:t>) of both the parent and the active metabolite was assumed to be the same. Overall, the inclusion of the active metabolite in the PK-PD models did not lead to an improvement in the model goodness-of-fit; therefore, only the final PK model POSTHOC estimates for the parent were used as input parameters in building the final sequential PK/PD models for different endpoints</w:t>
      </w:r>
      <w:r w:rsidR="002671B1" w:rsidRPr="009021C8">
        <w:t xml:space="preserve">. </w:t>
      </w:r>
      <w:r w:rsidRPr="00F606C4">
        <w:rPr>
          <w:rFonts w:ascii="Arial" w:hAnsi="Arial" w:cs="Arial"/>
          <w:sz w:val="22"/>
          <w:szCs w:val="22"/>
        </w:rPr>
        <w:t>Inter</w:t>
      </w:r>
      <w:bookmarkStart w:id="0" w:name="_GoBack"/>
      <w:bookmarkEnd w:id="0"/>
      <w:r w:rsidRPr="00F606C4">
        <w:rPr>
          <w:rFonts w:ascii="Arial" w:hAnsi="Arial" w:cs="Arial"/>
          <w:sz w:val="22"/>
          <w:szCs w:val="22"/>
        </w:rPr>
        <w:t xml:space="preserve">-individual variability was included on the following PK/PD parameters: the endpoint at baseline (BASE), </w:t>
      </w:r>
      <w:r w:rsidR="001716F2" w:rsidRPr="00F606C4">
        <w:rPr>
          <w:rFonts w:ascii="Arial" w:hAnsi="Arial" w:cs="Arial"/>
          <w:sz w:val="22"/>
          <w:szCs w:val="22"/>
        </w:rPr>
        <w:t>output elimination rate (K</w:t>
      </w:r>
      <w:r w:rsidR="001716F2" w:rsidRPr="00F606C4">
        <w:rPr>
          <w:rFonts w:ascii="Arial" w:hAnsi="Arial" w:cs="Arial"/>
          <w:sz w:val="22"/>
          <w:szCs w:val="22"/>
          <w:vertAlign w:val="subscript"/>
        </w:rPr>
        <w:t>out</w:t>
      </w:r>
      <w:r w:rsidR="001716F2" w:rsidRPr="00F606C4">
        <w:rPr>
          <w:rFonts w:ascii="Arial" w:hAnsi="Arial" w:cs="Arial"/>
          <w:sz w:val="22"/>
          <w:szCs w:val="22"/>
        </w:rPr>
        <w:t xml:space="preserve">), </w:t>
      </w:r>
      <w:r w:rsidR="001716F2" w:rsidRPr="00F606C4">
        <w:rPr>
          <w:rStyle w:val="ExampleText"/>
          <w:rFonts w:ascii="Arial" w:hAnsi="Arial" w:cs="Arial"/>
          <w:color w:val="000000"/>
          <w:sz w:val="22"/>
          <w:szCs w:val="22"/>
        </w:rPr>
        <w:t>tolerance function (K</w:t>
      </w:r>
      <w:r w:rsidR="001716F2" w:rsidRPr="00F606C4">
        <w:rPr>
          <w:rStyle w:val="ExampleText"/>
          <w:rFonts w:ascii="Arial" w:hAnsi="Arial" w:cs="Arial"/>
          <w:color w:val="000000"/>
          <w:sz w:val="22"/>
          <w:szCs w:val="22"/>
          <w:vertAlign w:val="subscript"/>
        </w:rPr>
        <w:t>tol</w:t>
      </w:r>
      <w:r w:rsidR="001716F2" w:rsidRPr="00F606C4">
        <w:rPr>
          <w:rStyle w:val="ExampleText"/>
          <w:rFonts w:ascii="Arial" w:hAnsi="Arial" w:cs="Arial"/>
          <w:color w:val="000000"/>
          <w:sz w:val="22"/>
          <w:szCs w:val="22"/>
        </w:rPr>
        <w:t>)</w:t>
      </w:r>
      <w:r w:rsidR="001716F2" w:rsidRPr="00F606C4">
        <w:rPr>
          <w:rFonts w:ascii="Arial" w:hAnsi="Arial" w:cs="Arial"/>
          <w:sz w:val="22"/>
          <w:szCs w:val="22"/>
        </w:rPr>
        <w:t>, maximum drug effect (E</w:t>
      </w:r>
      <w:r w:rsidR="001716F2" w:rsidRPr="00F606C4">
        <w:rPr>
          <w:rFonts w:ascii="Arial" w:hAnsi="Arial" w:cs="Arial"/>
          <w:sz w:val="22"/>
          <w:szCs w:val="22"/>
          <w:vertAlign w:val="subscript"/>
        </w:rPr>
        <w:t>max</w:t>
      </w:r>
      <w:r w:rsidR="001716F2" w:rsidRPr="00F606C4">
        <w:rPr>
          <w:rFonts w:ascii="Arial" w:hAnsi="Arial" w:cs="Arial"/>
          <w:sz w:val="22"/>
          <w:szCs w:val="22"/>
        </w:rPr>
        <w:t>)</w:t>
      </w:r>
      <w:r w:rsidR="00B56329" w:rsidRPr="00F606C4">
        <w:rPr>
          <w:rFonts w:ascii="Arial" w:hAnsi="Arial" w:cs="Arial"/>
          <w:sz w:val="22"/>
          <w:szCs w:val="22"/>
        </w:rPr>
        <w:t>, mean concentration producing 50% of the maximum effect (EC</w:t>
      </w:r>
      <w:r w:rsidR="00B56329" w:rsidRPr="00F606C4">
        <w:rPr>
          <w:rFonts w:ascii="Arial" w:hAnsi="Arial" w:cs="Arial"/>
          <w:sz w:val="22"/>
          <w:szCs w:val="22"/>
          <w:vertAlign w:val="subscript"/>
        </w:rPr>
        <w:t>50</w:t>
      </w:r>
      <w:r w:rsidR="00B56329" w:rsidRPr="00F606C4">
        <w:rPr>
          <w:rFonts w:ascii="Arial" w:hAnsi="Arial" w:cs="Arial"/>
          <w:sz w:val="22"/>
          <w:szCs w:val="22"/>
        </w:rPr>
        <w:t>)</w:t>
      </w:r>
      <w:r w:rsidR="00E95EBC" w:rsidRPr="00F606C4">
        <w:rPr>
          <w:rFonts w:ascii="Arial" w:hAnsi="Arial" w:cs="Arial"/>
          <w:sz w:val="22"/>
          <w:szCs w:val="22"/>
        </w:rPr>
        <w:t>,</w:t>
      </w:r>
      <w:r w:rsidRPr="00F606C4">
        <w:rPr>
          <w:rFonts w:ascii="Arial" w:hAnsi="Arial" w:cs="Arial"/>
          <w:sz w:val="22"/>
          <w:szCs w:val="22"/>
        </w:rPr>
        <w:t xml:space="preserve"> and </w:t>
      </w:r>
      <w:r w:rsidR="00B56329" w:rsidRPr="00F606C4">
        <w:rPr>
          <w:rStyle w:val="ExampleText"/>
          <w:rFonts w:ascii="Arial" w:hAnsi="Arial" w:cs="Arial"/>
          <w:color w:val="000000"/>
          <w:sz w:val="22"/>
          <w:szCs w:val="22"/>
        </w:rPr>
        <w:t>first-order rate constant (K</w:t>
      </w:r>
      <w:r w:rsidR="00B56329" w:rsidRPr="00F606C4">
        <w:rPr>
          <w:rStyle w:val="ExampleText"/>
          <w:rFonts w:ascii="Arial" w:hAnsi="Arial" w:cs="Arial"/>
          <w:color w:val="000000"/>
          <w:sz w:val="22"/>
          <w:szCs w:val="22"/>
          <w:vertAlign w:val="subscript"/>
        </w:rPr>
        <w:t>PD</w:t>
      </w:r>
      <w:r w:rsidR="00B56329" w:rsidRPr="00F606C4">
        <w:rPr>
          <w:rStyle w:val="ExampleText"/>
          <w:rFonts w:ascii="Arial" w:hAnsi="Arial" w:cs="Arial"/>
          <w:color w:val="000000"/>
          <w:sz w:val="22"/>
          <w:szCs w:val="22"/>
        </w:rPr>
        <w:t>)</w:t>
      </w:r>
      <w:r w:rsidRPr="00F606C4">
        <w:rPr>
          <w:rStyle w:val="ExampleText"/>
          <w:rFonts w:ascii="Arial" w:hAnsi="Arial" w:cs="Arial"/>
          <w:color w:val="000000"/>
          <w:sz w:val="22"/>
          <w:szCs w:val="22"/>
        </w:rPr>
        <w:t xml:space="preserve">. </w:t>
      </w:r>
      <w:r w:rsidR="00C74495" w:rsidRPr="00F606C4">
        <w:rPr>
          <w:rFonts w:ascii="Arial" w:hAnsi="Arial" w:cs="Arial"/>
          <w:sz w:val="22"/>
          <w:szCs w:val="22"/>
        </w:rPr>
        <w:t>The effect of AGE, SEX, BWT, RAC, BEC, TUMR</w:t>
      </w:r>
      <w:r w:rsidR="00E95EBC" w:rsidRPr="00F606C4">
        <w:rPr>
          <w:rFonts w:ascii="Arial" w:hAnsi="Arial" w:cs="Arial"/>
          <w:sz w:val="22"/>
          <w:szCs w:val="22"/>
        </w:rPr>
        <w:t>,</w:t>
      </w:r>
      <w:r w:rsidR="00C74495" w:rsidRPr="00F606C4">
        <w:rPr>
          <w:rFonts w:ascii="Arial" w:hAnsi="Arial" w:cs="Arial"/>
          <w:sz w:val="22"/>
          <w:szCs w:val="22"/>
        </w:rPr>
        <w:t xml:space="preserve"> and SCH were examined for PK/PD parameters and were coded as described above. Following an initial screening using </w:t>
      </w:r>
      <w:r w:rsidR="005D2808" w:rsidRPr="00F606C4">
        <w:rPr>
          <w:rFonts w:ascii="Arial" w:hAnsi="Arial" w:cs="Arial"/>
          <w:sz w:val="22"/>
          <w:szCs w:val="22"/>
        </w:rPr>
        <w:t>generalized additive modeling,</w:t>
      </w:r>
      <w:r w:rsidRPr="00F606C4">
        <w:rPr>
          <w:rStyle w:val="ExampleText"/>
          <w:rFonts w:ascii="Arial" w:hAnsi="Arial" w:cs="Arial"/>
          <w:color w:val="000000"/>
          <w:sz w:val="22"/>
          <w:szCs w:val="22"/>
        </w:rPr>
        <w:t xml:space="preserve"> </w:t>
      </w:r>
      <w:r w:rsidR="00C74495" w:rsidRPr="00F606C4">
        <w:rPr>
          <w:rStyle w:val="ExampleText"/>
          <w:rFonts w:ascii="Arial" w:hAnsi="Arial" w:cs="Arial"/>
          <w:color w:val="000000"/>
          <w:sz w:val="22"/>
          <w:szCs w:val="22"/>
        </w:rPr>
        <w:t xml:space="preserve">each covariate identified was subjected to </w:t>
      </w:r>
      <w:r w:rsidRPr="00F606C4">
        <w:rPr>
          <w:rFonts w:ascii="Arial" w:hAnsi="Arial" w:cs="Arial"/>
          <w:sz w:val="22"/>
          <w:szCs w:val="22"/>
        </w:rPr>
        <w:t>forward selection</w:t>
      </w:r>
      <w:r w:rsidR="00C74495" w:rsidRPr="00F606C4">
        <w:rPr>
          <w:rFonts w:ascii="Arial" w:hAnsi="Arial" w:cs="Arial"/>
          <w:sz w:val="22"/>
          <w:szCs w:val="22"/>
        </w:rPr>
        <w:t xml:space="preserve"> (α=0.01) </w:t>
      </w:r>
      <w:r w:rsidRPr="00F606C4">
        <w:rPr>
          <w:rFonts w:ascii="Arial" w:hAnsi="Arial" w:cs="Arial"/>
          <w:sz w:val="22"/>
          <w:szCs w:val="22"/>
        </w:rPr>
        <w:t xml:space="preserve">and backward elimination </w:t>
      </w:r>
      <w:r w:rsidR="00C74495" w:rsidRPr="00F606C4">
        <w:rPr>
          <w:rFonts w:ascii="Arial" w:hAnsi="Arial" w:cs="Arial"/>
          <w:sz w:val="22"/>
          <w:szCs w:val="22"/>
        </w:rPr>
        <w:t xml:space="preserve">(α=0.001) </w:t>
      </w:r>
      <w:r w:rsidRPr="00F606C4">
        <w:rPr>
          <w:rFonts w:ascii="Arial" w:hAnsi="Arial" w:cs="Arial"/>
          <w:sz w:val="22"/>
          <w:szCs w:val="22"/>
        </w:rPr>
        <w:t xml:space="preserve">procedures </w:t>
      </w:r>
      <w:r w:rsidR="00C74495" w:rsidRPr="00F606C4">
        <w:rPr>
          <w:rFonts w:ascii="Arial" w:hAnsi="Arial" w:cs="Arial"/>
          <w:sz w:val="22"/>
          <w:szCs w:val="22"/>
        </w:rPr>
        <w:t xml:space="preserve">using NONMEM </w:t>
      </w:r>
      <w:r w:rsidRPr="00F606C4">
        <w:rPr>
          <w:rFonts w:ascii="Arial" w:hAnsi="Arial" w:cs="Arial"/>
          <w:sz w:val="22"/>
          <w:szCs w:val="22"/>
        </w:rPr>
        <w:t xml:space="preserve">to </w:t>
      </w:r>
      <w:r w:rsidR="00C74495" w:rsidRPr="00F606C4">
        <w:rPr>
          <w:rFonts w:ascii="Arial" w:hAnsi="Arial" w:cs="Arial"/>
          <w:sz w:val="22"/>
          <w:szCs w:val="22"/>
        </w:rPr>
        <w:t>identify the final PK/PD model for each efficacy and safety endpoint</w:t>
      </w:r>
      <w:r w:rsidRPr="00F606C4">
        <w:rPr>
          <w:rFonts w:ascii="Arial" w:hAnsi="Arial" w:cs="Arial"/>
          <w:sz w:val="22"/>
          <w:szCs w:val="22"/>
        </w:rPr>
        <w:t>. Model adequacy</w:t>
      </w:r>
      <w:r w:rsidR="00A40FDC">
        <w:rPr>
          <w:rFonts w:ascii="Arial" w:hAnsi="Arial" w:cs="Arial"/>
          <w:sz w:val="22"/>
          <w:szCs w:val="22"/>
        </w:rPr>
        <w:t>, goodness of fit, and validation</w:t>
      </w:r>
      <w:r w:rsidRPr="00F606C4">
        <w:rPr>
          <w:rFonts w:ascii="Arial" w:hAnsi="Arial" w:cs="Arial"/>
          <w:sz w:val="22"/>
          <w:szCs w:val="22"/>
        </w:rPr>
        <w:t xml:space="preserve"> </w:t>
      </w:r>
      <w:r w:rsidR="00A40FDC">
        <w:rPr>
          <w:rFonts w:ascii="Arial" w:hAnsi="Arial" w:cs="Arial"/>
          <w:sz w:val="22"/>
          <w:szCs w:val="22"/>
        </w:rPr>
        <w:t xml:space="preserve">for </w:t>
      </w:r>
      <w:r w:rsidR="00A40FDC">
        <w:rPr>
          <w:rFonts w:ascii="Arial" w:hAnsi="Arial" w:cs="Arial"/>
          <w:sz w:val="22"/>
          <w:szCs w:val="22"/>
        </w:rPr>
        <w:lastRenderedPageBreak/>
        <w:t xml:space="preserve">each endpoint </w:t>
      </w:r>
      <w:r w:rsidRPr="00F606C4">
        <w:rPr>
          <w:rFonts w:ascii="Arial" w:hAnsi="Arial" w:cs="Arial"/>
          <w:sz w:val="22"/>
          <w:szCs w:val="22"/>
        </w:rPr>
        <w:t xml:space="preserve">was assessed in a similar manner as </w:t>
      </w:r>
      <w:r w:rsidR="00A40FDC">
        <w:rPr>
          <w:rFonts w:ascii="Arial" w:hAnsi="Arial" w:cs="Arial"/>
          <w:sz w:val="22"/>
          <w:szCs w:val="22"/>
        </w:rPr>
        <w:t xml:space="preserve">that described in </w:t>
      </w:r>
      <w:r w:rsidRPr="00F606C4">
        <w:rPr>
          <w:rFonts w:ascii="Arial" w:hAnsi="Arial" w:cs="Arial"/>
          <w:sz w:val="22"/>
          <w:szCs w:val="22"/>
        </w:rPr>
        <w:t>the PK model</w:t>
      </w:r>
      <w:r w:rsidR="00A40FDC">
        <w:rPr>
          <w:rFonts w:ascii="Arial" w:hAnsi="Arial" w:cs="Arial"/>
          <w:sz w:val="22"/>
          <w:szCs w:val="22"/>
        </w:rPr>
        <w:t xml:space="preserve"> section above</w:t>
      </w:r>
      <w:r w:rsidRPr="00F606C4">
        <w:rPr>
          <w:rFonts w:ascii="Arial" w:hAnsi="Arial" w:cs="Arial"/>
          <w:sz w:val="22"/>
          <w:szCs w:val="22"/>
        </w:rPr>
        <w:t>.</w:t>
      </w:r>
    </w:p>
    <w:p w:rsidR="003A3679" w:rsidRPr="00F606C4" w:rsidRDefault="003A3679" w:rsidP="00120543">
      <w:pPr>
        <w:pStyle w:val="ListNoBullet"/>
        <w:spacing w:line="480" w:lineRule="auto"/>
        <w:rPr>
          <w:rFonts w:ascii="Arial" w:hAnsi="Arial" w:cs="Arial"/>
          <w:b/>
          <w:sz w:val="22"/>
          <w:szCs w:val="22"/>
        </w:rPr>
      </w:pPr>
    </w:p>
    <w:p w:rsidR="006958FC" w:rsidRPr="00F606C4" w:rsidRDefault="003A3679" w:rsidP="00564836">
      <w:pPr>
        <w:pStyle w:val="ListNoBullet"/>
        <w:spacing w:line="480" w:lineRule="auto"/>
        <w:rPr>
          <w:rFonts w:ascii="Arial" w:hAnsi="Arial" w:cs="Arial"/>
          <w:b/>
          <w:sz w:val="22"/>
          <w:szCs w:val="22"/>
        </w:rPr>
      </w:pPr>
      <w:r w:rsidRPr="00F606C4">
        <w:rPr>
          <w:rFonts w:ascii="Arial" w:hAnsi="Arial" w:cs="Arial"/>
          <w:b/>
          <w:sz w:val="22"/>
          <w:szCs w:val="22"/>
        </w:rPr>
        <w:t xml:space="preserve">1.3 </w:t>
      </w:r>
      <w:r w:rsidR="00564836" w:rsidRPr="00564836">
        <w:rPr>
          <w:rFonts w:ascii="Arial" w:hAnsi="Arial" w:cs="Arial"/>
          <w:b/>
          <w:sz w:val="22"/>
          <w:szCs w:val="22"/>
        </w:rPr>
        <w:t>Patient Population Simulation</w:t>
      </w:r>
    </w:p>
    <w:p w:rsidR="00B13F2A" w:rsidRPr="00F606C4" w:rsidRDefault="00C74495" w:rsidP="00120543">
      <w:pPr>
        <w:pStyle w:val="ListNoBullet"/>
        <w:spacing w:line="480" w:lineRule="auto"/>
        <w:rPr>
          <w:rFonts w:ascii="Arial" w:hAnsi="Arial" w:cs="Arial"/>
          <w:sz w:val="22"/>
          <w:szCs w:val="22"/>
        </w:rPr>
      </w:pPr>
      <w:r w:rsidRPr="00F606C4">
        <w:rPr>
          <w:rFonts w:ascii="Arial" w:hAnsi="Arial" w:cs="Arial"/>
          <w:sz w:val="22"/>
          <w:szCs w:val="22"/>
        </w:rPr>
        <w:t xml:space="preserve">A set of 20 </w:t>
      </w:r>
      <w:r w:rsidR="006958FC" w:rsidRPr="00F606C4">
        <w:rPr>
          <w:rFonts w:ascii="Arial" w:hAnsi="Arial" w:cs="Arial"/>
          <w:sz w:val="22"/>
          <w:szCs w:val="22"/>
        </w:rPr>
        <w:t xml:space="preserve">trial simulations </w:t>
      </w:r>
      <w:r w:rsidRPr="00F606C4">
        <w:rPr>
          <w:rFonts w:ascii="Arial" w:hAnsi="Arial" w:cs="Arial"/>
          <w:sz w:val="22"/>
          <w:szCs w:val="22"/>
        </w:rPr>
        <w:t xml:space="preserve">were run </w:t>
      </w:r>
      <w:r w:rsidR="00CD0571" w:rsidRPr="00F606C4">
        <w:rPr>
          <w:rFonts w:ascii="Arial" w:hAnsi="Arial" w:cs="Arial"/>
          <w:sz w:val="22"/>
          <w:szCs w:val="22"/>
        </w:rPr>
        <w:t xml:space="preserve">for </w:t>
      </w:r>
      <w:r w:rsidRPr="00F606C4">
        <w:rPr>
          <w:rFonts w:ascii="Arial" w:hAnsi="Arial" w:cs="Arial"/>
          <w:sz w:val="22"/>
          <w:szCs w:val="22"/>
        </w:rPr>
        <w:t xml:space="preserve">GIST or </w:t>
      </w:r>
      <w:r w:rsidR="00002A94" w:rsidRPr="00F606C4">
        <w:rPr>
          <w:rFonts w:ascii="Arial" w:hAnsi="Arial" w:cs="Arial"/>
          <w:sz w:val="22"/>
          <w:szCs w:val="22"/>
        </w:rPr>
        <w:t>renal cell carcinoma (</w:t>
      </w:r>
      <w:r w:rsidRPr="00F606C4">
        <w:rPr>
          <w:rFonts w:ascii="Arial" w:hAnsi="Arial" w:cs="Arial"/>
          <w:sz w:val="22"/>
          <w:szCs w:val="22"/>
        </w:rPr>
        <w:t>RCC</w:t>
      </w:r>
      <w:r w:rsidR="00002A94" w:rsidRPr="00F606C4">
        <w:rPr>
          <w:rFonts w:ascii="Arial" w:hAnsi="Arial" w:cs="Arial"/>
          <w:sz w:val="22"/>
          <w:szCs w:val="22"/>
        </w:rPr>
        <w:t>)</w:t>
      </w:r>
      <w:r w:rsidRPr="00F606C4">
        <w:rPr>
          <w:rFonts w:ascii="Arial" w:hAnsi="Arial" w:cs="Arial"/>
          <w:sz w:val="22"/>
          <w:szCs w:val="22"/>
        </w:rPr>
        <w:t xml:space="preserve">, which </w:t>
      </w:r>
      <w:r w:rsidR="006958FC" w:rsidRPr="00F606C4">
        <w:rPr>
          <w:rFonts w:ascii="Arial" w:hAnsi="Arial" w:cs="Arial"/>
          <w:sz w:val="22"/>
          <w:szCs w:val="22"/>
        </w:rPr>
        <w:t xml:space="preserve">included weekly safety and target lesions </w:t>
      </w:r>
      <w:r w:rsidR="00002A94" w:rsidRPr="00F606C4">
        <w:rPr>
          <w:rFonts w:ascii="Arial" w:hAnsi="Arial" w:cs="Arial"/>
          <w:sz w:val="22"/>
          <w:szCs w:val="22"/>
        </w:rPr>
        <w:t>sum of longest diameter (</w:t>
      </w:r>
      <w:r w:rsidR="006958FC" w:rsidRPr="00F606C4">
        <w:rPr>
          <w:rFonts w:ascii="Arial" w:hAnsi="Arial" w:cs="Arial"/>
          <w:sz w:val="22"/>
          <w:szCs w:val="22"/>
        </w:rPr>
        <w:t>SLD</w:t>
      </w:r>
      <w:r w:rsidR="00002A94" w:rsidRPr="00F606C4">
        <w:rPr>
          <w:rFonts w:ascii="Arial" w:hAnsi="Arial" w:cs="Arial"/>
          <w:sz w:val="22"/>
          <w:szCs w:val="22"/>
        </w:rPr>
        <w:t>)</w:t>
      </w:r>
      <w:r w:rsidR="006958FC" w:rsidRPr="00F606C4">
        <w:rPr>
          <w:rFonts w:ascii="Arial" w:hAnsi="Arial" w:cs="Arial"/>
          <w:sz w:val="22"/>
          <w:szCs w:val="22"/>
        </w:rPr>
        <w:t xml:space="preserve"> assessments</w:t>
      </w:r>
      <w:r w:rsidR="00002A94" w:rsidRPr="00F606C4">
        <w:rPr>
          <w:rFonts w:ascii="Arial" w:hAnsi="Arial" w:cs="Arial"/>
          <w:sz w:val="22"/>
          <w:szCs w:val="22"/>
        </w:rPr>
        <w:t xml:space="preserve">; </w:t>
      </w:r>
      <w:r w:rsidR="006958FC" w:rsidRPr="00F606C4">
        <w:rPr>
          <w:rFonts w:ascii="Arial" w:hAnsi="Arial" w:cs="Arial"/>
          <w:sz w:val="22"/>
          <w:szCs w:val="22"/>
        </w:rPr>
        <w:t>subsequently, the simulation results were used to predict the average, minimum, or maximum predicted values for safety endpoints (</w:t>
      </w:r>
      <w:r w:rsidR="003B1577" w:rsidRPr="00F606C4">
        <w:rPr>
          <w:rFonts w:ascii="Arial" w:hAnsi="Arial" w:cs="Arial"/>
          <w:sz w:val="22"/>
          <w:szCs w:val="22"/>
        </w:rPr>
        <w:t>alanine aminotransferase [ALT], absolute neutrophil count [ANC]</w:t>
      </w:r>
      <w:r w:rsidR="006958FC" w:rsidRPr="00F606C4">
        <w:rPr>
          <w:rFonts w:ascii="Arial" w:hAnsi="Arial" w:cs="Arial"/>
          <w:sz w:val="22"/>
          <w:szCs w:val="22"/>
        </w:rPr>
        <w:t xml:space="preserve">, </w:t>
      </w:r>
      <w:r w:rsidR="00CF7D45" w:rsidRPr="00F606C4">
        <w:rPr>
          <w:rFonts w:ascii="Arial" w:hAnsi="Arial" w:cs="Arial"/>
          <w:sz w:val="22"/>
          <w:szCs w:val="22"/>
        </w:rPr>
        <w:t>aspartate aminotransferase [AST], diastolic blood pressure [DBP]</w:t>
      </w:r>
      <w:r w:rsidR="006958FC" w:rsidRPr="00F606C4">
        <w:rPr>
          <w:rFonts w:ascii="Arial" w:hAnsi="Arial" w:cs="Arial"/>
          <w:sz w:val="22"/>
          <w:szCs w:val="22"/>
        </w:rPr>
        <w:t xml:space="preserve">, </w:t>
      </w:r>
      <w:r w:rsidR="00CF7D45" w:rsidRPr="00F606C4">
        <w:rPr>
          <w:rFonts w:ascii="Arial" w:hAnsi="Arial" w:cs="Arial"/>
          <w:sz w:val="22"/>
          <w:szCs w:val="22"/>
        </w:rPr>
        <w:t>left ventricular ejection fraction [LVEF]</w:t>
      </w:r>
      <w:r w:rsidR="006958FC" w:rsidRPr="00F606C4">
        <w:rPr>
          <w:rFonts w:ascii="Arial" w:hAnsi="Arial" w:cs="Arial"/>
          <w:sz w:val="22"/>
          <w:szCs w:val="22"/>
        </w:rPr>
        <w:t xml:space="preserve">, </w:t>
      </w:r>
      <w:r w:rsidR="00CF7D45" w:rsidRPr="00F606C4">
        <w:rPr>
          <w:rFonts w:ascii="Arial" w:hAnsi="Arial" w:cs="Arial"/>
          <w:sz w:val="22"/>
          <w:szCs w:val="22"/>
        </w:rPr>
        <w:t xml:space="preserve">lymphocyte count [LC], </w:t>
      </w:r>
      <w:r w:rsidR="006958FC" w:rsidRPr="00F606C4">
        <w:rPr>
          <w:rFonts w:ascii="Arial" w:hAnsi="Arial" w:cs="Arial"/>
          <w:sz w:val="22"/>
          <w:szCs w:val="22"/>
        </w:rPr>
        <w:t xml:space="preserve">and </w:t>
      </w:r>
      <w:r w:rsidR="00CF7D45" w:rsidRPr="00F606C4">
        <w:rPr>
          <w:rFonts w:ascii="Arial" w:hAnsi="Arial" w:cs="Arial"/>
          <w:sz w:val="22"/>
          <w:szCs w:val="22"/>
        </w:rPr>
        <w:t>platelet count [PC]</w:t>
      </w:r>
      <w:r w:rsidR="006958FC" w:rsidRPr="00F606C4">
        <w:rPr>
          <w:rFonts w:ascii="Arial" w:hAnsi="Arial" w:cs="Arial"/>
          <w:sz w:val="22"/>
          <w:szCs w:val="22"/>
        </w:rPr>
        <w:t xml:space="preserve">) during cycle 3 and for the efficacy endpoint (target lesion SLD) during cycle 6 for each dosing schedule. Additionally, trough PK assessments were made on a weekly basis and a full PK profile was obtained on the last day of the on-treatment period to predict sunitinib and SU12662 PK parameters for each dosing schedule. </w:t>
      </w:r>
    </w:p>
    <w:p w:rsidR="006958FC" w:rsidRPr="00F606C4" w:rsidRDefault="006958FC" w:rsidP="00B13F2A">
      <w:pPr>
        <w:pStyle w:val="ListNoBullet"/>
        <w:spacing w:line="480" w:lineRule="auto"/>
        <w:ind w:firstLine="720"/>
        <w:rPr>
          <w:rFonts w:ascii="Arial" w:hAnsi="Arial" w:cs="Arial"/>
          <w:sz w:val="22"/>
          <w:szCs w:val="22"/>
        </w:rPr>
      </w:pPr>
      <w:r w:rsidRPr="00F606C4">
        <w:rPr>
          <w:rFonts w:ascii="Arial" w:hAnsi="Arial" w:cs="Arial"/>
          <w:sz w:val="22"/>
          <w:szCs w:val="22"/>
        </w:rPr>
        <w:t xml:space="preserve">Similarly, another set of 20 trial simulations were run </w:t>
      </w:r>
      <w:r w:rsidR="00B13F2A" w:rsidRPr="00F606C4">
        <w:rPr>
          <w:rFonts w:ascii="Arial" w:hAnsi="Arial" w:cs="Arial"/>
          <w:sz w:val="22"/>
          <w:szCs w:val="22"/>
        </w:rPr>
        <w:t xml:space="preserve">for </w:t>
      </w:r>
      <w:r w:rsidR="00C74495" w:rsidRPr="00F606C4">
        <w:rPr>
          <w:rFonts w:ascii="Arial" w:hAnsi="Arial" w:cs="Arial"/>
          <w:sz w:val="22"/>
          <w:szCs w:val="22"/>
        </w:rPr>
        <w:t xml:space="preserve">GIST or RCC, </w:t>
      </w:r>
      <w:r w:rsidRPr="00F606C4">
        <w:rPr>
          <w:rFonts w:ascii="Arial" w:hAnsi="Arial" w:cs="Arial"/>
          <w:sz w:val="22"/>
          <w:szCs w:val="22"/>
        </w:rPr>
        <w:t>which included safety and SLD assessments made twice every cycle. The twice</w:t>
      </w:r>
      <w:r w:rsidR="00B13F2A" w:rsidRPr="00F606C4">
        <w:rPr>
          <w:rFonts w:ascii="Arial" w:hAnsi="Arial" w:cs="Arial"/>
          <w:sz w:val="22"/>
          <w:szCs w:val="22"/>
        </w:rPr>
        <w:t>-</w:t>
      </w:r>
      <w:r w:rsidRPr="00F606C4">
        <w:rPr>
          <w:rFonts w:ascii="Arial" w:hAnsi="Arial" w:cs="Arial"/>
          <w:sz w:val="22"/>
          <w:szCs w:val="22"/>
        </w:rPr>
        <w:t xml:space="preserve">every-cycle frequency was also applied to the SLD assessments to account for </w:t>
      </w:r>
      <w:proofErr w:type="gramStart"/>
      <w:r w:rsidRPr="00F606C4">
        <w:rPr>
          <w:rFonts w:ascii="Arial" w:hAnsi="Arial" w:cs="Arial"/>
          <w:sz w:val="22"/>
          <w:szCs w:val="22"/>
        </w:rPr>
        <w:t>both intra</w:t>
      </w:r>
      <w:proofErr w:type="gramEnd"/>
      <w:r w:rsidRPr="00F606C4">
        <w:rPr>
          <w:rFonts w:ascii="Arial" w:hAnsi="Arial" w:cs="Arial"/>
          <w:sz w:val="22"/>
          <w:szCs w:val="22"/>
        </w:rPr>
        <w:t>- as well as inter-cycle SLD changes and disease progression. The assessments were made at the end of the on-treatment (</w:t>
      </w:r>
      <w:r w:rsidR="00002A94" w:rsidRPr="00F606C4">
        <w:rPr>
          <w:rFonts w:ascii="Arial" w:hAnsi="Arial" w:cs="Arial"/>
          <w:sz w:val="22"/>
          <w:szCs w:val="22"/>
        </w:rPr>
        <w:t>d</w:t>
      </w:r>
      <w:r w:rsidRPr="00F606C4">
        <w:rPr>
          <w:rFonts w:ascii="Arial" w:hAnsi="Arial" w:cs="Arial"/>
          <w:sz w:val="22"/>
          <w:szCs w:val="22"/>
        </w:rPr>
        <w:t>ay 28) and off-treatment (</w:t>
      </w:r>
      <w:r w:rsidR="00002A94" w:rsidRPr="00F606C4">
        <w:rPr>
          <w:rFonts w:ascii="Arial" w:hAnsi="Arial" w:cs="Arial"/>
          <w:sz w:val="22"/>
          <w:szCs w:val="22"/>
        </w:rPr>
        <w:t>d</w:t>
      </w:r>
      <w:r w:rsidRPr="00F606C4">
        <w:rPr>
          <w:rFonts w:ascii="Arial" w:hAnsi="Arial" w:cs="Arial"/>
          <w:sz w:val="22"/>
          <w:szCs w:val="22"/>
        </w:rPr>
        <w:t xml:space="preserve">ay 42) </w:t>
      </w:r>
      <w:r w:rsidR="00B13F2A" w:rsidRPr="00F606C4">
        <w:rPr>
          <w:rFonts w:ascii="Arial" w:hAnsi="Arial" w:cs="Arial"/>
          <w:sz w:val="22"/>
          <w:szCs w:val="22"/>
        </w:rPr>
        <w:t xml:space="preserve">period </w:t>
      </w:r>
      <w:r w:rsidRPr="00F606C4">
        <w:rPr>
          <w:rFonts w:ascii="Arial" w:hAnsi="Arial" w:cs="Arial"/>
          <w:sz w:val="22"/>
          <w:szCs w:val="22"/>
        </w:rPr>
        <w:t xml:space="preserve">for Schedule 4/2 </w:t>
      </w:r>
      <w:r w:rsidR="009F5463" w:rsidRPr="00F606C4">
        <w:rPr>
          <w:rFonts w:ascii="Arial" w:hAnsi="Arial" w:cs="Arial"/>
          <w:sz w:val="22"/>
          <w:szCs w:val="22"/>
        </w:rPr>
        <w:t xml:space="preserve">(i.e. 4 weeks-on/2-weeks-off treatment) </w:t>
      </w:r>
      <w:r w:rsidRPr="00F606C4">
        <w:rPr>
          <w:rFonts w:ascii="Arial" w:hAnsi="Arial" w:cs="Arial"/>
          <w:sz w:val="22"/>
          <w:szCs w:val="22"/>
        </w:rPr>
        <w:t>and at the end of the second on-treatment (</w:t>
      </w:r>
      <w:r w:rsidR="00002A94" w:rsidRPr="00F606C4">
        <w:rPr>
          <w:rFonts w:ascii="Arial" w:hAnsi="Arial" w:cs="Arial"/>
          <w:sz w:val="22"/>
          <w:szCs w:val="22"/>
        </w:rPr>
        <w:t>d</w:t>
      </w:r>
      <w:r w:rsidRPr="00F606C4">
        <w:rPr>
          <w:rFonts w:ascii="Arial" w:hAnsi="Arial" w:cs="Arial"/>
          <w:sz w:val="22"/>
          <w:szCs w:val="22"/>
        </w:rPr>
        <w:t>ay 35) and off-treatment (</w:t>
      </w:r>
      <w:r w:rsidR="00002A94" w:rsidRPr="00F606C4">
        <w:rPr>
          <w:rFonts w:ascii="Arial" w:hAnsi="Arial" w:cs="Arial"/>
          <w:sz w:val="22"/>
          <w:szCs w:val="22"/>
        </w:rPr>
        <w:t>d</w:t>
      </w:r>
      <w:r w:rsidRPr="00F606C4">
        <w:rPr>
          <w:rFonts w:ascii="Arial" w:hAnsi="Arial" w:cs="Arial"/>
          <w:sz w:val="22"/>
          <w:szCs w:val="22"/>
        </w:rPr>
        <w:t xml:space="preserve">ay 42) </w:t>
      </w:r>
      <w:r w:rsidR="00B13F2A" w:rsidRPr="00F606C4">
        <w:rPr>
          <w:rFonts w:ascii="Arial" w:hAnsi="Arial" w:cs="Arial"/>
          <w:sz w:val="22"/>
          <w:szCs w:val="22"/>
        </w:rPr>
        <w:t xml:space="preserve">period </w:t>
      </w:r>
      <w:r w:rsidRPr="00F606C4">
        <w:rPr>
          <w:rFonts w:ascii="Arial" w:hAnsi="Arial" w:cs="Arial"/>
          <w:sz w:val="22"/>
          <w:szCs w:val="22"/>
        </w:rPr>
        <w:t>for Schedule 2/1</w:t>
      </w:r>
      <w:r w:rsidR="009F5463" w:rsidRPr="00F606C4">
        <w:rPr>
          <w:rFonts w:ascii="Arial" w:hAnsi="Arial" w:cs="Arial"/>
          <w:sz w:val="22"/>
          <w:szCs w:val="22"/>
        </w:rPr>
        <w:t xml:space="preserve"> (i.e. 2-weeks-on/1-week-off treatment)</w:t>
      </w:r>
      <w:r w:rsidRPr="00F606C4">
        <w:rPr>
          <w:rFonts w:ascii="Arial" w:hAnsi="Arial" w:cs="Arial"/>
          <w:sz w:val="22"/>
          <w:szCs w:val="22"/>
        </w:rPr>
        <w:t xml:space="preserve">, during each cycle. Simulated data from this set of trial simulations were used to predict the incidence rate of different grades of adverse events </w:t>
      </w:r>
      <w:r w:rsidR="006973B6" w:rsidRPr="00F606C4">
        <w:rPr>
          <w:rFonts w:ascii="Arial" w:hAnsi="Arial" w:cs="Arial"/>
          <w:sz w:val="22"/>
          <w:szCs w:val="22"/>
        </w:rPr>
        <w:t xml:space="preserve">(AEs) </w:t>
      </w:r>
      <w:r w:rsidRPr="00F606C4">
        <w:rPr>
          <w:rFonts w:ascii="Arial" w:hAnsi="Arial" w:cs="Arial"/>
          <w:sz w:val="22"/>
          <w:szCs w:val="22"/>
        </w:rPr>
        <w:t>during the first 3 cycles for each of the safety endpoints</w:t>
      </w:r>
      <w:r w:rsidR="00002A94" w:rsidRPr="00F606C4">
        <w:rPr>
          <w:rFonts w:ascii="Arial" w:hAnsi="Arial" w:cs="Arial"/>
          <w:sz w:val="22"/>
          <w:szCs w:val="22"/>
        </w:rPr>
        <w:t xml:space="preserve"> (</w:t>
      </w:r>
      <w:r w:rsidRPr="00F606C4">
        <w:rPr>
          <w:rFonts w:ascii="Arial" w:hAnsi="Arial" w:cs="Arial"/>
          <w:sz w:val="22"/>
          <w:szCs w:val="22"/>
        </w:rPr>
        <w:t xml:space="preserve">based </w:t>
      </w:r>
      <w:r w:rsidR="00002A94" w:rsidRPr="00F606C4">
        <w:rPr>
          <w:rFonts w:ascii="Arial" w:hAnsi="Arial" w:cs="Arial"/>
          <w:sz w:val="22"/>
          <w:szCs w:val="22"/>
        </w:rPr>
        <w:t xml:space="preserve">on </w:t>
      </w:r>
      <w:r w:rsidR="003B1577" w:rsidRPr="00F606C4">
        <w:rPr>
          <w:rFonts w:ascii="Arial" w:hAnsi="Arial" w:cs="Arial"/>
          <w:sz w:val="22"/>
          <w:szCs w:val="22"/>
        </w:rPr>
        <w:t xml:space="preserve">National Cancer Institute Common Terminology Criteria for </w:t>
      </w:r>
      <w:r w:rsidR="00C653B0" w:rsidRPr="00F606C4">
        <w:rPr>
          <w:rFonts w:ascii="Arial" w:hAnsi="Arial" w:cs="Arial"/>
          <w:sz w:val="22"/>
          <w:szCs w:val="22"/>
        </w:rPr>
        <w:t>A</w:t>
      </w:r>
      <w:r w:rsidR="00B13F2A" w:rsidRPr="00F606C4">
        <w:rPr>
          <w:rFonts w:ascii="Arial" w:hAnsi="Arial" w:cs="Arial"/>
          <w:sz w:val="22"/>
          <w:szCs w:val="22"/>
        </w:rPr>
        <w:t xml:space="preserve">dverse Events, </w:t>
      </w:r>
      <w:r w:rsidRPr="00F606C4">
        <w:rPr>
          <w:rFonts w:ascii="Arial" w:hAnsi="Arial" w:cs="Arial"/>
          <w:sz w:val="22"/>
          <w:szCs w:val="22"/>
        </w:rPr>
        <w:t>version 3.0</w:t>
      </w:r>
      <w:r w:rsidR="00002A94" w:rsidRPr="00F606C4">
        <w:rPr>
          <w:rFonts w:ascii="Arial" w:hAnsi="Arial" w:cs="Arial"/>
          <w:sz w:val="22"/>
          <w:szCs w:val="22"/>
        </w:rPr>
        <w:t>)</w:t>
      </w:r>
      <w:r w:rsidRPr="00F606C4">
        <w:rPr>
          <w:rFonts w:ascii="Arial" w:hAnsi="Arial" w:cs="Arial"/>
          <w:sz w:val="22"/>
          <w:szCs w:val="22"/>
        </w:rPr>
        <w:t xml:space="preserve">, and to also predict </w:t>
      </w:r>
      <w:r w:rsidR="00DB12CA" w:rsidRPr="00F606C4">
        <w:rPr>
          <w:rFonts w:ascii="Arial" w:hAnsi="Arial" w:cs="Arial"/>
          <w:sz w:val="22"/>
          <w:szCs w:val="22"/>
        </w:rPr>
        <w:t>progression-free survival (</w:t>
      </w:r>
      <w:r w:rsidRPr="00F606C4">
        <w:rPr>
          <w:rFonts w:ascii="Arial" w:hAnsi="Arial" w:cs="Arial"/>
          <w:sz w:val="22"/>
          <w:szCs w:val="22"/>
        </w:rPr>
        <w:t>PFS</w:t>
      </w:r>
      <w:r w:rsidR="00DB12CA" w:rsidRPr="00F606C4">
        <w:rPr>
          <w:rFonts w:ascii="Arial" w:hAnsi="Arial" w:cs="Arial"/>
          <w:sz w:val="22"/>
          <w:szCs w:val="22"/>
        </w:rPr>
        <w:t>)</w:t>
      </w:r>
      <w:r w:rsidRPr="00F606C4">
        <w:rPr>
          <w:rFonts w:ascii="Arial" w:hAnsi="Arial" w:cs="Arial"/>
          <w:sz w:val="22"/>
          <w:szCs w:val="22"/>
        </w:rPr>
        <w:t>/</w:t>
      </w:r>
      <w:r w:rsidR="00DB12CA" w:rsidRPr="00F606C4">
        <w:rPr>
          <w:rFonts w:ascii="Arial" w:hAnsi="Arial" w:cs="Arial"/>
          <w:sz w:val="22"/>
          <w:szCs w:val="22"/>
        </w:rPr>
        <w:t xml:space="preserve">time to </w:t>
      </w:r>
      <w:r w:rsidR="006973B6" w:rsidRPr="00F606C4">
        <w:rPr>
          <w:rFonts w:ascii="Arial" w:hAnsi="Arial" w:cs="Arial"/>
          <w:sz w:val="22"/>
          <w:szCs w:val="22"/>
        </w:rPr>
        <w:t xml:space="preserve">tumor </w:t>
      </w:r>
      <w:r w:rsidR="00DB12CA" w:rsidRPr="00F606C4">
        <w:rPr>
          <w:rFonts w:ascii="Arial" w:hAnsi="Arial" w:cs="Arial"/>
          <w:sz w:val="22"/>
          <w:szCs w:val="22"/>
        </w:rPr>
        <w:lastRenderedPageBreak/>
        <w:t>progression (</w:t>
      </w:r>
      <w:r w:rsidRPr="00F606C4">
        <w:rPr>
          <w:rFonts w:ascii="Arial" w:hAnsi="Arial" w:cs="Arial"/>
          <w:sz w:val="22"/>
          <w:szCs w:val="22"/>
        </w:rPr>
        <w:t>T</w:t>
      </w:r>
      <w:r w:rsidR="00DB12CA" w:rsidRPr="00F606C4">
        <w:rPr>
          <w:rFonts w:ascii="Arial" w:hAnsi="Arial" w:cs="Arial"/>
          <w:sz w:val="22"/>
          <w:szCs w:val="22"/>
        </w:rPr>
        <w:t>T</w:t>
      </w:r>
      <w:r w:rsidRPr="00F606C4">
        <w:rPr>
          <w:rFonts w:ascii="Arial" w:hAnsi="Arial" w:cs="Arial"/>
          <w:sz w:val="22"/>
          <w:szCs w:val="22"/>
        </w:rPr>
        <w:t>P</w:t>
      </w:r>
      <w:r w:rsidR="00DB12CA" w:rsidRPr="00F606C4">
        <w:rPr>
          <w:rFonts w:ascii="Arial" w:hAnsi="Arial" w:cs="Arial"/>
          <w:sz w:val="22"/>
          <w:szCs w:val="22"/>
        </w:rPr>
        <w:t>)</w:t>
      </w:r>
      <w:r w:rsidRPr="00F606C4">
        <w:rPr>
          <w:rFonts w:ascii="Arial" w:hAnsi="Arial" w:cs="Arial"/>
          <w:sz w:val="22"/>
          <w:szCs w:val="22"/>
        </w:rPr>
        <w:t xml:space="preserve"> and </w:t>
      </w:r>
      <w:r w:rsidR="00DB12CA" w:rsidRPr="00F606C4">
        <w:rPr>
          <w:rFonts w:ascii="Arial" w:hAnsi="Arial" w:cs="Arial"/>
          <w:sz w:val="22"/>
          <w:szCs w:val="22"/>
        </w:rPr>
        <w:t>objective response rate (</w:t>
      </w:r>
      <w:r w:rsidRPr="00F606C4">
        <w:rPr>
          <w:rFonts w:ascii="Arial" w:hAnsi="Arial" w:cs="Arial"/>
          <w:sz w:val="22"/>
          <w:szCs w:val="22"/>
        </w:rPr>
        <w:t>ORR</w:t>
      </w:r>
      <w:r w:rsidR="00DB12CA" w:rsidRPr="00F606C4">
        <w:rPr>
          <w:rFonts w:ascii="Arial" w:hAnsi="Arial" w:cs="Arial"/>
          <w:sz w:val="22"/>
          <w:szCs w:val="22"/>
        </w:rPr>
        <w:t>)</w:t>
      </w:r>
      <w:r w:rsidRPr="00F606C4">
        <w:rPr>
          <w:rFonts w:ascii="Arial" w:hAnsi="Arial" w:cs="Arial"/>
          <w:sz w:val="22"/>
          <w:szCs w:val="22"/>
        </w:rPr>
        <w:t xml:space="preserve"> values based on predicted SLD for each dosing schedule.</w:t>
      </w:r>
    </w:p>
    <w:p w:rsidR="00B13F2A" w:rsidRPr="00F606C4" w:rsidRDefault="00B13F2A" w:rsidP="00120543">
      <w:pPr>
        <w:spacing w:after="0" w:line="480" w:lineRule="auto"/>
        <w:rPr>
          <w:rFonts w:ascii="Arial" w:hAnsi="Arial" w:cs="Arial"/>
          <w:b/>
          <w:caps/>
          <w:lang w:val="en-US"/>
        </w:rPr>
      </w:pPr>
    </w:p>
    <w:p w:rsidR="006958FC" w:rsidRPr="00F606C4" w:rsidRDefault="003A3679" w:rsidP="00120543">
      <w:pPr>
        <w:spacing w:after="0" w:line="480" w:lineRule="auto"/>
        <w:rPr>
          <w:rFonts w:ascii="Arial" w:hAnsi="Arial" w:cs="Arial"/>
          <w:b/>
          <w:caps/>
          <w:lang w:val="en-US"/>
        </w:rPr>
      </w:pPr>
      <w:r w:rsidRPr="00F606C4">
        <w:rPr>
          <w:rFonts w:ascii="Arial" w:hAnsi="Arial" w:cs="Arial"/>
          <w:b/>
          <w:caps/>
          <w:lang w:val="en-US"/>
        </w:rPr>
        <w:t xml:space="preserve">2 </w:t>
      </w:r>
      <w:r w:rsidR="006958FC" w:rsidRPr="00F606C4">
        <w:rPr>
          <w:rFonts w:ascii="Arial" w:hAnsi="Arial" w:cs="Arial"/>
          <w:b/>
          <w:caps/>
          <w:lang w:val="en-US"/>
        </w:rPr>
        <w:t>Supplementary results</w:t>
      </w:r>
    </w:p>
    <w:p w:rsidR="006958FC" w:rsidRPr="00F606C4" w:rsidRDefault="003A3679" w:rsidP="00120543">
      <w:pPr>
        <w:spacing w:after="0" w:line="480" w:lineRule="auto"/>
        <w:contextualSpacing/>
        <w:rPr>
          <w:rFonts w:ascii="Arial" w:hAnsi="Arial" w:cs="Arial"/>
          <w:b/>
          <w:lang w:val="en-US"/>
        </w:rPr>
      </w:pPr>
      <w:r w:rsidRPr="00F606C4">
        <w:rPr>
          <w:rFonts w:ascii="Arial" w:hAnsi="Arial" w:cs="Arial"/>
          <w:b/>
          <w:lang w:val="en-US"/>
        </w:rPr>
        <w:t xml:space="preserve">2.1 </w:t>
      </w:r>
      <w:r w:rsidR="006958FC" w:rsidRPr="00F606C4">
        <w:rPr>
          <w:rFonts w:ascii="Arial" w:hAnsi="Arial" w:cs="Arial"/>
          <w:b/>
          <w:lang w:val="en-US"/>
        </w:rPr>
        <w:t xml:space="preserve">Trial </w:t>
      </w:r>
      <w:r w:rsidR="00B13F2A" w:rsidRPr="00F606C4">
        <w:rPr>
          <w:rFonts w:ascii="Arial" w:hAnsi="Arial" w:cs="Arial"/>
          <w:b/>
          <w:lang w:val="en-US"/>
        </w:rPr>
        <w:t>S</w:t>
      </w:r>
      <w:r w:rsidR="006958FC" w:rsidRPr="00F606C4">
        <w:rPr>
          <w:rFonts w:ascii="Arial" w:hAnsi="Arial" w:cs="Arial"/>
          <w:b/>
          <w:lang w:val="en-US"/>
        </w:rPr>
        <w:t xml:space="preserve">imulations in GIST </w:t>
      </w:r>
      <w:r w:rsidRPr="00F606C4">
        <w:rPr>
          <w:rFonts w:ascii="Arial" w:hAnsi="Arial" w:cs="Arial"/>
          <w:b/>
          <w:lang w:val="en-US"/>
        </w:rPr>
        <w:t>P</w:t>
      </w:r>
      <w:r w:rsidR="006958FC" w:rsidRPr="00F606C4">
        <w:rPr>
          <w:rFonts w:ascii="Arial" w:hAnsi="Arial" w:cs="Arial"/>
          <w:b/>
          <w:lang w:val="en-US"/>
        </w:rPr>
        <w:t>atients</w:t>
      </w:r>
    </w:p>
    <w:p w:rsidR="006958FC" w:rsidRPr="00F606C4" w:rsidRDefault="003A3679" w:rsidP="00120543">
      <w:pPr>
        <w:spacing w:after="0" w:line="480" w:lineRule="auto"/>
        <w:contextualSpacing/>
        <w:rPr>
          <w:rFonts w:ascii="Arial" w:hAnsi="Arial" w:cs="Arial"/>
          <w:b/>
          <w:i/>
          <w:lang w:val="en-US"/>
        </w:rPr>
      </w:pPr>
      <w:r w:rsidRPr="00F606C4">
        <w:rPr>
          <w:rFonts w:ascii="Arial" w:hAnsi="Arial" w:cs="Arial"/>
          <w:b/>
          <w:i/>
          <w:lang w:val="en-US"/>
        </w:rPr>
        <w:t xml:space="preserve">2.1.1 </w:t>
      </w:r>
      <w:r w:rsidR="006958FC" w:rsidRPr="00F606C4">
        <w:rPr>
          <w:rFonts w:ascii="Arial" w:hAnsi="Arial" w:cs="Arial"/>
          <w:b/>
          <w:i/>
          <w:lang w:val="en-US"/>
        </w:rPr>
        <w:t xml:space="preserve">Pharmacokinetics </w:t>
      </w:r>
    </w:p>
    <w:p w:rsidR="006958FC" w:rsidRPr="00F606C4" w:rsidRDefault="006958FC" w:rsidP="00120543">
      <w:pPr>
        <w:spacing w:after="0" w:line="480" w:lineRule="auto"/>
        <w:rPr>
          <w:rFonts w:ascii="Arial" w:hAnsi="Arial" w:cs="Arial"/>
          <w:lang w:val="en-US"/>
        </w:rPr>
      </w:pPr>
      <w:r w:rsidRPr="00F606C4">
        <w:rPr>
          <w:rFonts w:ascii="Arial" w:hAnsi="Arial" w:cs="Arial"/>
          <w:lang w:val="en-US"/>
        </w:rPr>
        <w:t xml:space="preserve">Trial simulations on the PK model for sunitinib and its metabolite </w:t>
      </w:r>
      <w:r w:rsidR="00C653B0" w:rsidRPr="00F606C4">
        <w:rPr>
          <w:rFonts w:ascii="Arial" w:hAnsi="Arial" w:cs="Arial"/>
          <w:lang w:val="en-US"/>
        </w:rPr>
        <w:t xml:space="preserve">SU12662 </w:t>
      </w:r>
      <w:r w:rsidRPr="00F606C4">
        <w:rPr>
          <w:rFonts w:ascii="Arial" w:hAnsi="Arial" w:cs="Arial"/>
          <w:lang w:val="en-US"/>
        </w:rPr>
        <w:t>were run to predict their concentrations in patients with GIST when sunitinib was administered on Schedule 2/1 compared with Schedule 4/2 (</w:t>
      </w:r>
      <w:r w:rsidRPr="00F606C4">
        <w:rPr>
          <w:rFonts w:ascii="Arial" w:hAnsi="Arial" w:cs="Arial"/>
          <w:b/>
          <w:lang w:val="en-US"/>
        </w:rPr>
        <w:t>Sup</w:t>
      </w:r>
      <w:r w:rsidR="00F26993" w:rsidRPr="00F606C4">
        <w:rPr>
          <w:rFonts w:ascii="Arial" w:hAnsi="Arial" w:cs="Arial"/>
          <w:b/>
          <w:lang w:val="en-US"/>
        </w:rPr>
        <w:t xml:space="preserve">plementary </w:t>
      </w:r>
      <w:r w:rsidR="003A3679" w:rsidRPr="00F606C4">
        <w:rPr>
          <w:rFonts w:ascii="Arial" w:hAnsi="Arial" w:cs="Arial"/>
          <w:b/>
          <w:lang w:val="en-US"/>
        </w:rPr>
        <w:t>f</w:t>
      </w:r>
      <w:r w:rsidRPr="00F606C4">
        <w:rPr>
          <w:rFonts w:ascii="Arial" w:hAnsi="Arial" w:cs="Arial"/>
          <w:b/>
          <w:lang w:val="en-US"/>
        </w:rPr>
        <w:t xml:space="preserve">igure </w:t>
      </w:r>
      <w:r w:rsidR="003A3679" w:rsidRPr="00F606C4">
        <w:rPr>
          <w:rFonts w:ascii="Arial" w:hAnsi="Arial" w:cs="Arial"/>
          <w:b/>
          <w:lang w:val="en-US"/>
        </w:rPr>
        <w:t>S</w:t>
      </w:r>
      <w:r w:rsidR="00B42FB8" w:rsidRPr="00F606C4">
        <w:rPr>
          <w:rFonts w:ascii="Arial" w:hAnsi="Arial" w:cs="Arial"/>
          <w:b/>
          <w:lang w:val="en-US"/>
        </w:rPr>
        <w:t>6</w:t>
      </w:r>
      <w:r w:rsidRPr="00F606C4">
        <w:rPr>
          <w:rFonts w:ascii="Arial" w:hAnsi="Arial" w:cs="Arial"/>
          <w:lang w:val="en-US"/>
        </w:rPr>
        <w:t xml:space="preserve">). In GIST patients, mean (95% </w:t>
      </w:r>
      <w:r w:rsidR="00DB12CA" w:rsidRPr="00F606C4">
        <w:rPr>
          <w:rFonts w:ascii="Arial" w:hAnsi="Arial" w:cs="Arial"/>
          <w:lang w:val="en-US"/>
        </w:rPr>
        <w:t>confidence interval [</w:t>
      </w:r>
      <w:r w:rsidRPr="00F606C4">
        <w:rPr>
          <w:rFonts w:ascii="Arial" w:hAnsi="Arial" w:cs="Arial"/>
          <w:lang w:val="en-US"/>
        </w:rPr>
        <w:t>CI</w:t>
      </w:r>
      <w:r w:rsidR="00DB12CA" w:rsidRPr="00F606C4">
        <w:rPr>
          <w:rFonts w:ascii="Arial" w:hAnsi="Arial" w:cs="Arial"/>
          <w:lang w:val="en-US"/>
        </w:rPr>
        <w:t>]</w:t>
      </w:r>
      <w:r w:rsidRPr="00F606C4">
        <w:rPr>
          <w:rFonts w:ascii="Arial" w:hAnsi="Arial" w:cs="Arial"/>
          <w:lang w:val="en-US"/>
        </w:rPr>
        <w:t xml:space="preserve">) trough sunitinib concentrations during cycle 3 </w:t>
      </w:r>
      <w:r w:rsidR="004C44A0" w:rsidRPr="00F606C4">
        <w:rPr>
          <w:rFonts w:ascii="Arial" w:hAnsi="Arial" w:cs="Arial"/>
          <w:lang w:val="en-US"/>
        </w:rPr>
        <w:t xml:space="preserve">for </w:t>
      </w:r>
      <w:r w:rsidRPr="00F606C4">
        <w:rPr>
          <w:rFonts w:ascii="Arial" w:hAnsi="Arial" w:cs="Arial"/>
          <w:lang w:val="en-US"/>
        </w:rPr>
        <w:t>Schedule 4/2 and Schedule 2/1 were 33.2 (30.1</w:t>
      </w:r>
      <w:r w:rsidR="009F5463" w:rsidRPr="00F606C4">
        <w:rPr>
          <w:rFonts w:ascii="Arial" w:hAnsi="Arial" w:cs="Arial"/>
          <w:lang w:val="en-US"/>
        </w:rPr>
        <w:t>–</w:t>
      </w:r>
      <w:r w:rsidRPr="00F606C4">
        <w:rPr>
          <w:rFonts w:ascii="Arial" w:hAnsi="Arial" w:cs="Arial"/>
          <w:lang w:val="en-US"/>
        </w:rPr>
        <w:t>35.6) ng/mL and 33</w:t>
      </w:r>
      <w:r w:rsidR="00E71196" w:rsidRPr="00F606C4">
        <w:rPr>
          <w:rFonts w:ascii="Arial" w:hAnsi="Arial" w:cs="Arial"/>
          <w:lang w:val="en-US"/>
        </w:rPr>
        <w:t>.0</w:t>
      </w:r>
      <w:r w:rsidRPr="00F606C4">
        <w:rPr>
          <w:rFonts w:ascii="Arial" w:hAnsi="Arial" w:cs="Arial"/>
          <w:lang w:val="en-US"/>
        </w:rPr>
        <w:t xml:space="preserve"> (31.4</w:t>
      </w:r>
      <w:r w:rsidR="009F5463" w:rsidRPr="00F606C4">
        <w:rPr>
          <w:rFonts w:ascii="Arial" w:hAnsi="Arial" w:cs="Arial"/>
          <w:lang w:val="en-US"/>
        </w:rPr>
        <w:t>–</w:t>
      </w:r>
      <w:r w:rsidRPr="00F606C4">
        <w:rPr>
          <w:rFonts w:ascii="Arial" w:hAnsi="Arial" w:cs="Arial"/>
          <w:lang w:val="en-US"/>
        </w:rPr>
        <w:t>34.3) ng/m</w:t>
      </w:r>
      <w:r w:rsidR="00F26993" w:rsidRPr="00F606C4">
        <w:rPr>
          <w:rFonts w:ascii="Arial" w:hAnsi="Arial" w:cs="Arial"/>
          <w:lang w:val="en-US"/>
        </w:rPr>
        <w:t>L, respectively (</w:t>
      </w:r>
      <w:r w:rsidR="00F26993" w:rsidRPr="00F606C4">
        <w:rPr>
          <w:rFonts w:ascii="Arial" w:hAnsi="Arial" w:cs="Arial"/>
          <w:b/>
          <w:lang w:val="en-US"/>
        </w:rPr>
        <w:t xml:space="preserve">Supplementary </w:t>
      </w:r>
      <w:r w:rsidR="003A3679" w:rsidRPr="00F606C4">
        <w:rPr>
          <w:rFonts w:ascii="Arial" w:hAnsi="Arial" w:cs="Arial"/>
          <w:b/>
          <w:lang w:val="en-US"/>
        </w:rPr>
        <w:t>f</w:t>
      </w:r>
      <w:r w:rsidRPr="00F606C4">
        <w:rPr>
          <w:rFonts w:ascii="Arial" w:hAnsi="Arial" w:cs="Arial"/>
          <w:b/>
          <w:lang w:val="en-US"/>
        </w:rPr>
        <w:t xml:space="preserve">igure </w:t>
      </w:r>
      <w:r w:rsidR="003A3679" w:rsidRPr="00F606C4">
        <w:rPr>
          <w:rFonts w:ascii="Arial" w:hAnsi="Arial" w:cs="Arial"/>
          <w:b/>
          <w:lang w:val="en-US"/>
        </w:rPr>
        <w:t>S</w:t>
      </w:r>
      <w:r w:rsidR="009F5463" w:rsidRPr="00F606C4">
        <w:rPr>
          <w:rFonts w:ascii="Arial" w:hAnsi="Arial" w:cs="Arial"/>
          <w:b/>
          <w:lang w:val="en-US"/>
        </w:rPr>
        <w:t>6</w:t>
      </w:r>
      <w:r w:rsidR="003A3679" w:rsidRPr="00F606C4">
        <w:rPr>
          <w:rFonts w:ascii="Arial" w:hAnsi="Arial" w:cs="Arial"/>
          <w:b/>
          <w:lang w:val="en-US"/>
        </w:rPr>
        <w:t>a</w:t>
      </w:r>
      <w:r w:rsidRPr="00F606C4">
        <w:rPr>
          <w:rFonts w:ascii="Arial" w:hAnsi="Arial" w:cs="Arial"/>
          <w:lang w:val="en-US"/>
        </w:rPr>
        <w:t xml:space="preserve">). Mean (95% CI) trough SU12662 concentration in GIST patients during cycle 3 </w:t>
      </w:r>
      <w:r w:rsidR="004C44A0" w:rsidRPr="00F606C4">
        <w:rPr>
          <w:rFonts w:ascii="Arial" w:hAnsi="Arial" w:cs="Arial"/>
          <w:lang w:val="en-US"/>
        </w:rPr>
        <w:t>for</w:t>
      </w:r>
      <w:r w:rsidR="009F5463" w:rsidRPr="00F606C4">
        <w:rPr>
          <w:rFonts w:ascii="Arial" w:hAnsi="Arial" w:cs="Arial"/>
          <w:lang w:val="en-US"/>
        </w:rPr>
        <w:t xml:space="preserve"> </w:t>
      </w:r>
      <w:r w:rsidRPr="00F606C4">
        <w:rPr>
          <w:rFonts w:ascii="Arial" w:hAnsi="Arial" w:cs="Arial"/>
          <w:lang w:val="en-US"/>
        </w:rPr>
        <w:t xml:space="preserve">Schedule 4/2 and Schedule 2/1 </w:t>
      </w:r>
      <w:r w:rsidR="009F5463" w:rsidRPr="00F606C4">
        <w:rPr>
          <w:rFonts w:ascii="Arial" w:hAnsi="Arial" w:cs="Arial"/>
          <w:lang w:val="en-US"/>
        </w:rPr>
        <w:t xml:space="preserve">was </w:t>
      </w:r>
      <w:r w:rsidRPr="00F606C4">
        <w:rPr>
          <w:rFonts w:ascii="Arial" w:hAnsi="Arial" w:cs="Arial"/>
          <w:lang w:val="en-US"/>
        </w:rPr>
        <w:t>15</w:t>
      </w:r>
      <w:r w:rsidR="00E71196" w:rsidRPr="00F606C4">
        <w:rPr>
          <w:rFonts w:ascii="Arial" w:hAnsi="Arial" w:cs="Arial"/>
          <w:lang w:val="en-US"/>
        </w:rPr>
        <w:t>.0</w:t>
      </w:r>
      <w:r w:rsidRPr="00F606C4">
        <w:rPr>
          <w:rFonts w:ascii="Arial" w:hAnsi="Arial" w:cs="Arial"/>
          <w:lang w:val="en-US"/>
        </w:rPr>
        <w:t xml:space="preserve"> (12.9</w:t>
      </w:r>
      <w:r w:rsidR="009F5463" w:rsidRPr="00F606C4">
        <w:rPr>
          <w:rFonts w:ascii="Arial" w:hAnsi="Arial" w:cs="Arial"/>
          <w:lang w:val="en-US"/>
        </w:rPr>
        <w:t>–</w:t>
      </w:r>
      <w:r w:rsidRPr="00F606C4">
        <w:rPr>
          <w:rFonts w:ascii="Arial" w:hAnsi="Arial" w:cs="Arial"/>
          <w:lang w:val="en-US"/>
        </w:rPr>
        <w:t>16.4) ng/mL and 14.9 (13.8</w:t>
      </w:r>
      <w:r w:rsidR="009F5463" w:rsidRPr="00F606C4">
        <w:rPr>
          <w:rFonts w:ascii="Arial" w:hAnsi="Arial" w:cs="Arial"/>
          <w:lang w:val="en-US"/>
        </w:rPr>
        <w:t>–</w:t>
      </w:r>
      <w:r w:rsidRPr="00F606C4">
        <w:rPr>
          <w:rFonts w:ascii="Arial" w:hAnsi="Arial" w:cs="Arial"/>
          <w:lang w:val="en-US"/>
        </w:rPr>
        <w:t>15.7) ng/mL, respectively (</w:t>
      </w:r>
      <w:r w:rsidR="00F26993" w:rsidRPr="00F606C4">
        <w:rPr>
          <w:rFonts w:ascii="Arial" w:hAnsi="Arial" w:cs="Arial"/>
          <w:b/>
          <w:lang w:val="en-US"/>
        </w:rPr>
        <w:t xml:space="preserve">Supplementary </w:t>
      </w:r>
      <w:r w:rsidR="003A3679" w:rsidRPr="00F606C4">
        <w:rPr>
          <w:rFonts w:ascii="Arial" w:hAnsi="Arial" w:cs="Arial"/>
          <w:b/>
          <w:lang w:val="en-US"/>
        </w:rPr>
        <w:t>f</w:t>
      </w:r>
      <w:r w:rsidRPr="00F606C4">
        <w:rPr>
          <w:rFonts w:ascii="Arial" w:hAnsi="Arial" w:cs="Arial"/>
          <w:b/>
          <w:lang w:val="en-US"/>
        </w:rPr>
        <w:t xml:space="preserve">igure </w:t>
      </w:r>
      <w:r w:rsidR="003A3679" w:rsidRPr="00F606C4">
        <w:rPr>
          <w:rFonts w:ascii="Arial" w:hAnsi="Arial" w:cs="Arial"/>
          <w:b/>
          <w:lang w:val="en-US"/>
        </w:rPr>
        <w:t>S</w:t>
      </w:r>
      <w:r w:rsidR="009F5463" w:rsidRPr="00F606C4">
        <w:rPr>
          <w:rFonts w:ascii="Arial" w:hAnsi="Arial" w:cs="Arial"/>
          <w:b/>
          <w:lang w:val="en-US"/>
        </w:rPr>
        <w:t>6</w:t>
      </w:r>
      <w:r w:rsidR="003A3679" w:rsidRPr="00F606C4">
        <w:rPr>
          <w:rFonts w:ascii="Arial" w:hAnsi="Arial" w:cs="Arial"/>
          <w:b/>
          <w:lang w:val="en-US"/>
        </w:rPr>
        <w:t>c</w:t>
      </w:r>
      <w:r w:rsidRPr="00F606C4">
        <w:rPr>
          <w:rFonts w:ascii="Arial" w:hAnsi="Arial" w:cs="Arial"/>
          <w:lang w:val="en-US"/>
        </w:rPr>
        <w:t>). The duration of time at maximum and minimum drug concentrations during the respective on-treatment and off-treatment periods within a 42-day cycle were shorter for Schedule 2/1 compared with Schedule 4/2 for both sunitinib and its metaboli</w:t>
      </w:r>
      <w:r w:rsidR="00F26993" w:rsidRPr="00F606C4">
        <w:rPr>
          <w:rFonts w:ascii="Arial" w:hAnsi="Arial" w:cs="Arial"/>
          <w:lang w:val="en-US"/>
        </w:rPr>
        <w:t>te (</w:t>
      </w:r>
      <w:r w:rsidR="00F26993" w:rsidRPr="00F606C4">
        <w:rPr>
          <w:rFonts w:ascii="Arial" w:hAnsi="Arial" w:cs="Arial"/>
          <w:b/>
          <w:lang w:val="en-US"/>
        </w:rPr>
        <w:t xml:space="preserve">Supplementary </w:t>
      </w:r>
      <w:r w:rsidR="003A3679" w:rsidRPr="00F606C4">
        <w:rPr>
          <w:rFonts w:ascii="Arial" w:hAnsi="Arial" w:cs="Arial"/>
          <w:b/>
          <w:lang w:val="en-US"/>
        </w:rPr>
        <w:t>f</w:t>
      </w:r>
      <w:r w:rsidRPr="00F606C4">
        <w:rPr>
          <w:rFonts w:ascii="Arial" w:hAnsi="Arial" w:cs="Arial"/>
          <w:b/>
          <w:lang w:val="en-US"/>
        </w:rPr>
        <w:t xml:space="preserve">igure </w:t>
      </w:r>
      <w:r w:rsidR="004C44A0" w:rsidRPr="00F606C4">
        <w:rPr>
          <w:rFonts w:ascii="Arial" w:hAnsi="Arial" w:cs="Arial"/>
          <w:b/>
          <w:lang w:val="en-US"/>
        </w:rPr>
        <w:t>S</w:t>
      </w:r>
      <w:r w:rsidR="009F5463" w:rsidRPr="00F606C4">
        <w:rPr>
          <w:rFonts w:ascii="Arial" w:hAnsi="Arial" w:cs="Arial"/>
          <w:b/>
          <w:lang w:val="en-US"/>
        </w:rPr>
        <w:t>6</w:t>
      </w:r>
      <w:r w:rsidR="003A3679" w:rsidRPr="00F606C4">
        <w:rPr>
          <w:rFonts w:ascii="Arial" w:hAnsi="Arial" w:cs="Arial"/>
          <w:b/>
          <w:lang w:val="en-US"/>
        </w:rPr>
        <w:t>b</w:t>
      </w:r>
      <w:r w:rsidR="009F5463" w:rsidRPr="00F606C4">
        <w:rPr>
          <w:rFonts w:ascii="Arial" w:hAnsi="Arial" w:cs="Arial"/>
          <w:b/>
          <w:lang w:val="en-US"/>
        </w:rPr>
        <w:t xml:space="preserve">, </w:t>
      </w:r>
      <w:r w:rsidR="003A3679" w:rsidRPr="00F606C4">
        <w:rPr>
          <w:rFonts w:ascii="Arial" w:hAnsi="Arial" w:cs="Arial"/>
          <w:b/>
          <w:lang w:val="en-US"/>
        </w:rPr>
        <w:t>d</w:t>
      </w:r>
      <w:r w:rsidRPr="00F606C4">
        <w:rPr>
          <w:rFonts w:ascii="Arial" w:hAnsi="Arial" w:cs="Arial"/>
          <w:lang w:val="en-US"/>
        </w:rPr>
        <w:t xml:space="preserve">). During the last day of the on-drug period, mean sunitinib concentration </w:t>
      </w:r>
      <w:r w:rsidR="004C44A0" w:rsidRPr="00F606C4">
        <w:rPr>
          <w:rFonts w:ascii="Arial" w:hAnsi="Arial" w:cs="Arial"/>
          <w:lang w:val="en-US"/>
        </w:rPr>
        <w:t>for</w:t>
      </w:r>
      <w:r w:rsidR="009F5463" w:rsidRPr="00F606C4">
        <w:rPr>
          <w:rFonts w:ascii="Arial" w:hAnsi="Arial" w:cs="Arial"/>
          <w:lang w:val="en-US"/>
        </w:rPr>
        <w:t xml:space="preserve"> </w:t>
      </w:r>
      <w:r w:rsidRPr="00F606C4">
        <w:rPr>
          <w:rFonts w:ascii="Arial" w:hAnsi="Arial" w:cs="Arial"/>
          <w:lang w:val="en-US"/>
        </w:rPr>
        <w:t xml:space="preserve">Schedule 4/2 and Schedule 2/1 </w:t>
      </w:r>
      <w:r w:rsidR="009F5463" w:rsidRPr="00F606C4">
        <w:rPr>
          <w:rFonts w:ascii="Arial" w:hAnsi="Arial" w:cs="Arial"/>
          <w:lang w:val="en-US"/>
        </w:rPr>
        <w:t xml:space="preserve">was </w:t>
      </w:r>
      <w:proofErr w:type="gramStart"/>
      <w:r w:rsidRPr="00F606C4">
        <w:rPr>
          <w:rFonts w:ascii="Arial" w:hAnsi="Arial" w:cs="Arial"/>
          <w:lang w:val="en-US"/>
        </w:rPr>
        <w:t>52.1 (47.4</w:t>
      </w:r>
      <w:r w:rsidR="009F5463" w:rsidRPr="00F606C4">
        <w:rPr>
          <w:rFonts w:ascii="Arial" w:hAnsi="Arial" w:cs="Arial"/>
          <w:lang w:val="en-US"/>
        </w:rPr>
        <w:t>–</w:t>
      </w:r>
      <w:r w:rsidRPr="00F606C4">
        <w:rPr>
          <w:rFonts w:ascii="Arial" w:hAnsi="Arial" w:cs="Arial"/>
          <w:lang w:val="en-US"/>
        </w:rPr>
        <w:t>55.3) ng/mL</w:t>
      </w:r>
      <w:proofErr w:type="gramEnd"/>
      <w:r w:rsidRPr="00F606C4">
        <w:rPr>
          <w:rFonts w:ascii="Arial" w:hAnsi="Arial" w:cs="Arial"/>
          <w:lang w:val="en-US"/>
        </w:rPr>
        <w:t xml:space="preserve"> and 50.4 (47.7</w:t>
      </w:r>
      <w:r w:rsidR="009F5463" w:rsidRPr="00F606C4">
        <w:rPr>
          <w:rFonts w:ascii="Arial" w:hAnsi="Arial" w:cs="Arial"/>
          <w:lang w:val="en-US"/>
        </w:rPr>
        <w:t>–</w:t>
      </w:r>
      <w:r w:rsidRPr="00F606C4">
        <w:rPr>
          <w:rFonts w:ascii="Arial" w:hAnsi="Arial" w:cs="Arial"/>
          <w:lang w:val="en-US"/>
        </w:rPr>
        <w:t>51.7) ng/mL, respectively (</w:t>
      </w:r>
      <w:r w:rsidR="00F26993" w:rsidRPr="00F606C4">
        <w:rPr>
          <w:rFonts w:ascii="Arial" w:hAnsi="Arial" w:cs="Arial"/>
          <w:b/>
          <w:lang w:val="en-US"/>
        </w:rPr>
        <w:t xml:space="preserve">Supplementary </w:t>
      </w:r>
      <w:r w:rsidR="003A3679" w:rsidRPr="00F606C4">
        <w:rPr>
          <w:rFonts w:ascii="Arial" w:hAnsi="Arial" w:cs="Arial"/>
          <w:b/>
          <w:lang w:val="en-US"/>
        </w:rPr>
        <w:t>f</w:t>
      </w:r>
      <w:r w:rsidRPr="00F606C4">
        <w:rPr>
          <w:rFonts w:ascii="Arial" w:hAnsi="Arial" w:cs="Arial"/>
          <w:b/>
          <w:lang w:val="en-US"/>
        </w:rPr>
        <w:t xml:space="preserve">igure </w:t>
      </w:r>
      <w:r w:rsidR="004C44A0" w:rsidRPr="00F606C4">
        <w:rPr>
          <w:rFonts w:ascii="Arial" w:hAnsi="Arial" w:cs="Arial"/>
          <w:b/>
          <w:lang w:val="en-US"/>
        </w:rPr>
        <w:t>S</w:t>
      </w:r>
      <w:r w:rsidR="009F5463" w:rsidRPr="00F606C4">
        <w:rPr>
          <w:rFonts w:ascii="Arial" w:hAnsi="Arial" w:cs="Arial"/>
          <w:b/>
          <w:lang w:val="en-US"/>
        </w:rPr>
        <w:t>6</w:t>
      </w:r>
      <w:r w:rsidR="003A3679" w:rsidRPr="00F606C4">
        <w:rPr>
          <w:rFonts w:ascii="Arial" w:hAnsi="Arial" w:cs="Arial"/>
          <w:b/>
          <w:lang w:val="en-US"/>
        </w:rPr>
        <w:t>b</w:t>
      </w:r>
      <w:r w:rsidRPr="00F606C4">
        <w:rPr>
          <w:rFonts w:ascii="Arial" w:hAnsi="Arial" w:cs="Arial"/>
          <w:lang w:val="en-US"/>
        </w:rPr>
        <w:t xml:space="preserve">). Mean SU12662 concentration on this day </w:t>
      </w:r>
      <w:r w:rsidR="009F5463" w:rsidRPr="00F606C4">
        <w:rPr>
          <w:rFonts w:ascii="Arial" w:hAnsi="Arial" w:cs="Arial"/>
          <w:lang w:val="en-US"/>
        </w:rPr>
        <w:t xml:space="preserve">was </w:t>
      </w:r>
      <w:r w:rsidRPr="00F606C4">
        <w:rPr>
          <w:rFonts w:ascii="Arial" w:hAnsi="Arial" w:cs="Arial"/>
          <w:lang w:val="en-US"/>
        </w:rPr>
        <w:t>22.1 (19.2</w:t>
      </w:r>
      <w:r w:rsidR="009F5463" w:rsidRPr="00F606C4">
        <w:rPr>
          <w:rFonts w:ascii="Arial" w:hAnsi="Arial" w:cs="Arial"/>
          <w:lang w:val="en-US"/>
        </w:rPr>
        <w:t>–</w:t>
      </w:r>
      <w:r w:rsidRPr="00F606C4">
        <w:rPr>
          <w:rFonts w:ascii="Arial" w:hAnsi="Arial" w:cs="Arial"/>
          <w:lang w:val="en-US"/>
        </w:rPr>
        <w:t>23.9) ng/mL and 20.5 (19</w:t>
      </w:r>
      <w:r w:rsidR="00AC633B" w:rsidRPr="00F606C4">
        <w:rPr>
          <w:rFonts w:ascii="Arial" w:hAnsi="Arial" w:cs="Arial"/>
          <w:lang w:val="en-US"/>
        </w:rPr>
        <w:t>.0</w:t>
      </w:r>
      <w:r w:rsidR="009F5463" w:rsidRPr="00F606C4">
        <w:rPr>
          <w:rFonts w:ascii="Arial" w:hAnsi="Arial" w:cs="Arial"/>
          <w:lang w:val="en-US"/>
        </w:rPr>
        <w:t>–</w:t>
      </w:r>
      <w:r w:rsidRPr="00F606C4">
        <w:rPr>
          <w:rFonts w:ascii="Arial" w:hAnsi="Arial" w:cs="Arial"/>
          <w:lang w:val="en-US"/>
        </w:rPr>
        <w:t>21.4) ng/mL, respectively (</w:t>
      </w:r>
      <w:r w:rsidR="00F26993" w:rsidRPr="00F606C4">
        <w:rPr>
          <w:rFonts w:ascii="Arial" w:hAnsi="Arial" w:cs="Arial"/>
          <w:b/>
          <w:lang w:val="en-US"/>
        </w:rPr>
        <w:t xml:space="preserve">Supplementary </w:t>
      </w:r>
      <w:r w:rsidR="003A3679" w:rsidRPr="00F606C4">
        <w:rPr>
          <w:rFonts w:ascii="Arial" w:hAnsi="Arial" w:cs="Arial"/>
          <w:b/>
          <w:lang w:val="en-US"/>
        </w:rPr>
        <w:t>f</w:t>
      </w:r>
      <w:r w:rsidRPr="00F606C4">
        <w:rPr>
          <w:rFonts w:ascii="Arial" w:hAnsi="Arial" w:cs="Arial"/>
          <w:b/>
          <w:lang w:val="en-US"/>
        </w:rPr>
        <w:t xml:space="preserve">igure </w:t>
      </w:r>
      <w:r w:rsidR="004C44A0" w:rsidRPr="00F606C4">
        <w:rPr>
          <w:rFonts w:ascii="Arial" w:hAnsi="Arial" w:cs="Arial"/>
          <w:b/>
          <w:lang w:val="en-US"/>
        </w:rPr>
        <w:t>S</w:t>
      </w:r>
      <w:r w:rsidR="009F5463" w:rsidRPr="00F606C4">
        <w:rPr>
          <w:rFonts w:ascii="Arial" w:hAnsi="Arial" w:cs="Arial"/>
          <w:b/>
          <w:lang w:val="en-US"/>
        </w:rPr>
        <w:t>6</w:t>
      </w:r>
      <w:r w:rsidR="003A3679" w:rsidRPr="00F606C4">
        <w:rPr>
          <w:rFonts w:ascii="Arial" w:hAnsi="Arial" w:cs="Arial"/>
          <w:b/>
          <w:lang w:val="en-US"/>
        </w:rPr>
        <w:t>d</w:t>
      </w:r>
      <w:r w:rsidRPr="00F606C4">
        <w:rPr>
          <w:rFonts w:ascii="Arial" w:hAnsi="Arial" w:cs="Arial"/>
          <w:lang w:val="en-US"/>
        </w:rPr>
        <w:t xml:space="preserve">). </w:t>
      </w:r>
    </w:p>
    <w:p w:rsidR="006958FC" w:rsidRPr="00F606C4" w:rsidRDefault="006958FC" w:rsidP="00120543">
      <w:pPr>
        <w:spacing w:after="0" w:line="480" w:lineRule="auto"/>
        <w:contextualSpacing/>
        <w:rPr>
          <w:rFonts w:ascii="Arial" w:hAnsi="Arial" w:cs="Arial"/>
          <w:b/>
          <w:i/>
          <w:lang w:val="en-US"/>
        </w:rPr>
      </w:pPr>
    </w:p>
    <w:p w:rsidR="006958FC" w:rsidRPr="00F606C4" w:rsidRDefault="003A3679" w:rsidP="00120543">
      <w:pPr>
        <w:spacing w:after="0" w:line="480" w:lineRule="auto"/>
        <w:contextualSpacing/>
        <w:rPr>
          <w:rFonts w:ascii="Arial" w:hAnsi="Arial" w:cs="Arial"/>
          <w:b/>
          <w:i/>
          <w:lang w:val="en-US"/>
        </w:rPr>
      </w:pPr>
      <w:r w:rsidRPr="00F606C4">
        <w:rPr>
          <w:rFonts w:ascii="Arial" w:hAnsi="Arial" w:cs="Arial"/>
          <w:b/>
          <w:i/>
          <w:lang w:val="en-US"/>
        </w:rPr>
        <w:t xml:space="preserve">2.1.2 </w:t>
      </w:r>
      <w:r w:rsidR="006958FC" w:rsidRPr="00F606C4">
        <w:rPr>
          <w:rFonts w:ascii="Arial" w:hAnsi="Arial" w:cs="Arial"/>
          <w:b/>
          <w:i/>
          <w:lang w:val="en-US"/>
        </w:rPr>
        <w:t xml:space="preserve">Efficacy endpoint: target tumor </w:t>
      </w:r>
      <w:r w:rsidR="009F5463" w:rsidRPr="00F606C4">
        <w:rPr>
          <w:rFonts w:ascii="Arial" w:hAnsi="Arial" w:cs="Arial"/>
          <w:b/>
          <w:i/>
          <w:lang w:val="en-US"/>
        </w:rPr>
        <w:t>SLD</w:t>
      </w:r>
    </w:p>
    <w:p w:rsidR="006958FC" w:rsidRPr="00F606C4" w:rsidRDefault="006958FC" w:rsidP="00120543">
      <w:pPr>
        <w:spacing w:after="0" w:line="480" w:lineRule="auto"/>
        <w:rPr>
          <w:rFonts w:ascii="Arial" w:hAnsi="Arial" w:cs="Arial"/>
          <w:lang w:val="en-US"/>
        </w:rPr>
      </w:pPr>
      <w:r w:rsidRPr="00F606C4">
        <w:rPr>
          <w:rFonts w:ascii="Arial" w:hAnsi="Arial" w:cs="Arial"/>
          <w:lang w:val="en-US"/>
        </w:rPr>
        <w:t xml:space="preserve">Based on the final PK/PD efficacy model, trial simulations were performed to assess whether the predicted differences between the PK profiles of the two schedules had an impact on the efficacy of sunitinib in GIST patients. The endpoint used in this assessment was target tumor </w:t>
      </w:r>
      <w:r w:rsidRPr="00F606C4">
        <w:rPr>
          <w:rFonts w:ascii="Arial" w:hAnsi="Arial" w:cs="Arial"/>
          <w:lang w:val="en-US"/>
        </w:rPr>
        <w:lastRenderedPageBreak/>
        <w:t>SLD (</w:t>
      </w:r>
      <w:r w:rsidRPr="00F606C4">
        <w:rPr>
          <w:rFonts w:ascii="Arial" w:hAnsi="Arial" w:cs="Arial"/>
          <w:b/>
          <w:lang w:val="en-US"/>
        </w:rPr>
        <w:t xml:space="preserve">Supplementary </w:t>
      </w:r>
      <w:r w:rsidR="003A3679" w:rsidRPr="00F606C4">
        <w:rPr>
          <w:rFonts w:ascii="Arial" w:hAnsi="Arial" w:cs="Arial"/>
          <w:b/>
          <w:lang w:val="en-US"/>
        </w:rPr>
        <w:t>f</w:t>
      </w:r>
      <w:r w:rsidRPr="00F606C4">
        <w:rPr>
          <w:rFonts w:ascii="Arial" w:hAnsi="Arial" w:cs="Arial"/>
          <w:b/>
          <w:lang w:val="en-US"/>
        </w:rPr>
        <w:t xml:space="preserve">igure </w:t>
      </w:r>
      <w:r w:rsidR="004C44A0" w:rsidRPr="00F606C4">
        <w:rPr>
          <w:rFonts w:ascii="Arial" w:hAnsi="Arial" w:cs="Arial"/>
          <w:b/>
          <w:lang w:val="en-US"/>
        </w:rPr>
        <w:t>S</w:t>
      </w:r>
      <w:r w:rsidR="009F5463" w:rsidRPr="00F606C4">
        <w:rPr>
          <w:rFonts w:ascii="Arial" w:hAnsi="Arial" w:cs="Arial"/>
          <w:b/>
          <w:lang w:val="en-US"/>
        </w:rPr>
        <w:t>7</w:t>
      </w:r>
      <w:r w:rsidR="003A3679" w:rsidRPr="00F606C4">
        <w:rPr>
          <w:rFonts w:ascii="Arial" w:hAnsi="Arial" w:cs="Arial"/>
          <w:b/>
          <w:lang w:val="en-US"/>
        </w:rPr>
        <w:t>a</w:t>
      </w:r>
      <w:r w:rsidRPr="00F606C4">
        <w:rPr>
          <w:rFonts w:ascii="Arial" w:hAnsi="Arial" w:cs="Arial"/>
          <w:lang w:val="en-US"/>
        </w:rPr>
        <w:t xml:space="preserve">). Based on the simulation results, median (95% CI) SLD value at the end of cycle 6 for Schedule 4/2 and Schedule 2/1 </w:t>
      </w:r>
      <w:r w:rsidR="009F5463" w:rsidRPr="00F606C4">
        <w:rPr>
          <w:rFonts w:ascii="Arial" w:hAnsi="Arial" w:cs="Arial"/>
          <w:lang w:val="en-US"/>
        </w:rPr>
        <w:t xml:space="preserve">was </w:t>
      </w:r>
      <w:r w:rsidRPr="00F606C4">
        <w:rPr>
          <w:rFonts w:ascii="Arial" w:hAnsi="Arial" w:cs="Arial"/>
          <w:lang w:val="en-US"/>
        </w:rPr>
        <w:t>12.2 (11.6</w:t>
      </w:r>
      <w:r w:rsidR="009F5463" w:rsidRPr="00F606C4">
        <w:rPr>
          <w:rFonts w:ascii="Arial" w:hAnsi="Arial" w:cs="Arial"/>
          <w:lang w:val="en-US"/>
        </w:rPr>
        <w:t>–</w:t>
      </w:r>
      <w:r w:rsidRPr="00F606C4">
        <w:rPr>
          <w:rFonts w:ascii="Arial" w:hAnsi="Arial" w:cs="Arial"/>
          <w:lang w:val="en-US"/>
        </w:rPr>
        <w:t>12.8) cm and 12.0 (11.2</w:t>
      </w:r>
      <w:r w:rsidR="009F5463" w:rsidRPr="00F606C4">
        <w:rPr>
          <w:rFonts w:ascii="Arial" w:hAnsi="Arial" w:cs="Arial"/>
          <w:lang w:val="en-US"/>
        </w:rPr>
        <w:t>–</w:t>
      </w:r>
      <w:r w:rsidRPr="00F606C4">
        <w:rPr>
          <w:rFonts w:ascii="Arial" w:hAnsi="Arial" w:cs="Arial"/>
          <w:lang w:val="en-US"/>
        </w:rPr>
        <w:t xml:space="preserve">12.6) cm, respectively. Furthermore, the simulated SLD values were then used to estimate TTP and ORR. The predicted median (95% CI) for TTP </w:t>
      </w:r>
      <w:r w:rsidR="004C44A0" w:rsidRPr="00F606C4">
        <w:rPr>
          <w:rFonts w:ascii="Arial" w:hAnsi="Arial" w:cs="Arial"/>
          <w:lang w:val="en-US"/>
        </w:rPr>
        <w:t>for</w:t>
      </w:r>
      <w:r w:rsidR="009F5463" w:rsidRPr="00F606C4">
        <w:rPr>
          <w:rFonts w:ascii="Arial" w:hAnsi="Arial" w:cs="Arial"/>
          <w:lang w:val="en-US"/>
        </w:rPr>
        <w:t xml:space="preserve"> </w:t>
      </w:r>
      <w:r w:rsidRPr="00F606C4">
        <w:rPr>
          <w:rFonts w:ascii="Arial" w:hAnsi="Arial" w:cs="Arial"/>
          <w:lang w:val="en-US"/>
        </w:rPr>
        <w:t xml:space="preserve">Schedule 4/2 and Schedule 2/1 </w:t>
      </w:r>
      <w:r w:rsidR="009F5463" w:rsidRPr="00F606C4">
        <w:rPr>
          <w:rFonts w:ascii="Arial" w:hAnsi="Arial" w:cs="Arial"/>
          <w:lang w:val="en-US"/>
        </w:rPr>
        <w:t xml:space="preserve">was </w:t>
      </w:r>
      <w:r w:rsidRPr="00F606C4">
        <w:rPr>
          <w:rFonts w:ascii="Arial" w:hAnsi="Arial" w:cs="Arial"/>
          <w:lang w:val="en-US"/>
        </w:rPr>
        <w:t>26.7 (23.1</w:t>
      </w:r>
      <w:r w:rsidR="009C301A" w:rsidRPr="00F606C4">
        <w:rPr>
          <w:rFonts w:ascii="Arial" w:hAnsi="Arial" w:cs="Arial"/>
          <w:lang w:val="en-US"/>
        </w:rPr>
        <w:t>–</w:t>
      </w:r>
      <w:r w:rsidRPr="00F606C4">
        <w:rPr>
          <w:rFonts w:ascii="Arial" w:hAnsi="Arial" w:cs="Arial"/>
          <w:lang w:val="en-US"/>
        </w:rPr>
        <w:t>31.2) weeks and 27.7 (24.6</w:t>
      </w:r>
      <w:r w:rsidR="009C301A" w:rsidRPr="00F606C4">
        <w:rPr>
          <w:rFonts w:ascii="Arial" w:hAnsi="Arial" w:cs="Arial"/>
          <w:lang w:val="en-US"/>
        </w:rPr>
        <w:t>–</w:t>
      </w:r>
      <w:r w:rsidRPr="00F606C4">
        <w:rPr>
          <w:rFonts w:ascii="Arial" w:hAnsi="Arial" w:cs="Arial"/>
          <w:lang w:val="en-US"/>
        </w:rPr>
        <w:t xml:space="preserve">32.0) weeks, respectively. The predicted median ORR </w:t>
      </w:r>
      <w:r w:rsidR="004C44A0" w:rsidRPr="00F606C4">
        <w:rPr>
          <w:rFonts w:ascii="Arial" w:hAnsi="Arial" w:cs="Arial"/>
          <w:lang w:val="en-US"/>
        </w:rPr>
        <w:t xml:space="preserve">for </w:t>
      </w:r>
      <w:r w:rsidRPr="00F606C4">
        <w:rPr>
          <w:rFonts w:ascii="Arial" w:hAnsi="Arial" w:cs="Arial"/>
          <w:lang w:val="en-US"/>
        </w:rPr>
        <w:t xml:space="preserve">Schedule 4/2 and Schedule 2/1 </w:t>
      </w:r>
      <w:r w:rsidR="003A3679" w:rsidRPr="00F606C4">
        <w:rPr>
          <w:rFonts w:ascii="Arial" w:hAnsi="Arial" w:cs="Arial"/>
          <w:lang w:val="en-US"/>
        </w:rPr>
        <w:t xml:space="preserve">was </w:t>
      </w:r>
      <w:r w:rsidRPr="00F606C4">
        <w:rPr>
          <w:rFonts w:ascii="Arial" w:hAnsi="Arial" w:cs="Arial"/>
          <w:lang w:val="en-US"/>
        </w:rPr>
        <w:t>7.0% (2.5</w:t>
      </w:r>
      <w:r w:rsidR="009C301A" w:rsidRPr="00F606C4">
        <w:rPr>
          <w:rFonts w:ascii="Arial" w:hAnsi="Arial" w:cs="Arial"/>
          <w:lang w:val="en-US"/>
        </w:rPr>
        <w:t>–</w:t>
      </w:r>
      <w:r w:rsidRPr="00F606C4">
        <w:rPr>
          <w:rFonts w:ascii="Arial" w:hAnsi="Arial" w:cs="Arial"/>
          <w:lang w:val="en-US"/>
        </w:rPr>
        <w:t xml:space="preserve">11.1) and </w:t>
      </w:r>
      <w:r w:rsidR="000628CA" w:rsidRPr="00F606C4">
        <w:rPr>
          <w:rFonts w:ascii="Arial" w:hAnsi="Arial" w:cs="Arial"/>
          <w:lang w:val="en-US"/>
        </w:rPr>
        <w:t>7.0</w:t>
      </w:r>
      <w:r w:rsidRPr="00F606C4">
        <w:rPr>
          <w:rFonts w:ascii="Arial" w:hAnsi="Arial" w:cs="Arial"/>
          <w:lang w:val="en-US"/>
        </w:rPr>
        <w:t>% (5</w:t>
      </w:r>
      <w:r w:rsidR="000628CA" w:rsidRPr="00F606C4">
        <w:rPr>
          <w:rFonts w:ascii="Arial" w:hAnsi="Arial" w:cs="Arial"/>
          <w:lang w:val="en-US"/>
        </w:rPr>
        <w:t>.0</w:t>
      </w:r>
      <w:r w:rsidR="009C301A" w:rsidRPr="00F606C4">
        <w:rPr>
          <w:rFonts w:ascii="Arial" w:hAnsi="Arial" w:cs="Arial"/>
          <w:lang w:val="en-US"/>
        </w:rPr>
        <w:t>–</w:t>
      </w:r>
      <w:r w:rsidRPr="00F606C4">
        <w:rPr>
          <w:rFonts w:ascii="Arial" w:hAnsi="Arial" w:cs="Arial"/>
          <w:lang w:val="en-US"/>
        </w:rPr>
        <w:t xml:space="preserve">12.5), respectively. The differences between these two schedules in predicted efficacy outcomes were not considered clinically relevant. </w:t>
      </w:r>
    </w:p>
    <w:p w:rsidR="003A3679" w:rsidRPr="00F606C4" w:rsidRDefault="003A3679" w:rsidP="00120543">
      <w:pPr>
        <w:spacing w:after="0" w:line="480" w:lineRule="auto"/>
        <w:contextualSpacing/>
        <w:rPr>
          <w:rFonts w:ascii="Arial" w:hAnsi="Arial" w:cs="Arial"/>
          <w:b/>
          <w:i/>
          <w:lang w:val="en-US"/>
        </w:rPr>
      </w:pPr>
    </w:p>
    <w:p w:rsidR="006958FC" w:rsidRPr="00F606C4" w:rsidRDefault="003A3679" w:rsidP="00120543">
      <w:pPr>
        <w:spacing w:after="0" w:line="480" w:lineRule="auto"/>
        <w:contextualSpacing/>
        <w:rPr>
          <w:rFonts w:ascii="Arial" w:hAnsi="Arial" w:cs="Arial"/>
          <w:b/>
          <w:i/>
          <w:lang w:val="en-US"/>
        </w:rPr>
      </w:pPr>
      <w:r w:rsidRPr="00F606C4">
        <w:rPr>
          <w:rFonts w:ascii="Arial" w:hAnsi="Arial" w:cs="Arial"/>
          <w:b/>
          <w:i/>
          <w:lang w:val="en-US"/>
        </w:rPr>
        <w:t xml:space="preserve">2.1.3 </w:t>
      </w:r>
      <w:r w:rsidR="006958FC" w:rsidRPr="00F606C4">
        <w:rPr>
          <w:rFonts w:ascii="Arial" w:hAnsi="Arial" w:cs="Arial"/>
          <w:b/>
          <w:i/>
          <w:lang w:val="en-US"/>
        </w:rPr>
        <w:t>Safety endpoints</w:t>
      </w:r>
    </w:p>
    <w:p w:rsidR="006958FC" w:rsidRPr="00F606C4" w:rsidRDefault="006958FC" w:rsidP="00120543">
      <w:pPr>
        <w:spacing w:after="0" w:line="480" w:lineRule="auto"/>
        <w:rPr>
          <w:rFonts w:ascii="Arial" w:hAnsi="Arial" w:cs="Arial"/>
          <w:lang w:val="en-US"/>
        </w:rPr>
      </w:pPr>
      <w:r w:rsidRPr="00F606C4">
        <w:rPr>
          <w:rFonts w:ascii="Arial" w:hAnsi="Arial" w:cs="Arial"/>
          <w:lang w:val="en-US"/>
        </w:rPr>
        <w:t>Based on the final PK/PD safety models, trial simulations were performed for each of the endpoints to assess whether the predicted differences between the PK profiles of the two schedules had any impact on the selected safety endpoints in GIST patients. The simulation results indicated that the overall effect of sunitinib on the selected safety endpoints were similar between Schedules 4/2 and 2/1</w:t>
      </w:r>
      <w:r w:rsidR="00DB12CA" w:rsidRPr="00F606C4">
        <w:rPr>
          <w:rFonts w:ascii="Arial" w:hAnsi="Arial" w:cs="Arial"/>
          <w:lang w:val="en-US"/>
        </w:rPr>
        <w:t>,</w:t>
      </w:r>
      <w:r w:rsidRPr="00F606C4">
        <w:rPr>
          <w:rFonts w:ascii="Arial" w:hAnsi="Arial" w:cs="Arial"/>
          <w:lang w:val="en-US"/>
        </w:rPr>
        <w:t xml:space="preserve"> with the exception of PC for which Schedule 2/1 was associated with a significantly lower incidence of </w:t>
      </w:r>
      <w:r w:rsidR="00DB12CA" w:rsidRPr="00F606C4">
        <w:rPr>
          <w:rFonts w:ascii="Arial" w:hAnsi="Arial" w:cs="Arial"/>
          <w:lang w:val="en-US"/>
        </w:rPr>
        <w:t>g</w:t>
      </w:r>
      <w:r w:rsidRPr="00F606C4">
        <w:rPr>
          <w:rFonts w:ascii="Arial" w:hAnsi="Arial" w:cs="Arial"/>
          <w:lang w:val="en-US"/>
        </w:rPr>
        <w:t>rade</w:t>
      </w:r>
      <w:r w:rsidR="009C301A" w:rsidRPr="00F606C4">
        <w:rPr>
          <w:rFonts w:ascii="Arial" w:hAnsi="Arial" w:cs="Arial"/>
          <w:lang w:val="en-US"/>
        </w:rPr>
        <w:t>s</w:t>
      </w:r>
      <w:r w:rsidRPr="00F606C4">
        <w:rPr>
          <w:rFonts w:ascii="Arial" w:hAnsi="Arial" w:cs="Arial"/>
          <w:lang w:val="en-US"/>
        </w:rPr>
        <w:t xml:space="preserve"> 3 and 4 thrombocytopenic events than Schedule 4/2 (</w:t>
      </w:r>
      <w:r w:rsidR="000628CA" w:rsidRPr="00F606C4">
        <w:rPr>
          <w:rFonts w:ascii="Arial" w:hAnsi="Arial" w:cs="Arial"/>
          <w:lang w:val="en-US"/>
        </w:rPr>
        <w:t>4.0</w:t>
      </w:r>
      <w:r w:rsidRPr="00F606C4">
        <w:rPr>
          <w:rFonts w:ascii="Arial" w:hAnsi="Arial" w:cs="Arial"/>
          <w:lang w:val="en-US"/>
        </w:rPr>
        <w:t>% vs10.5</w:t>
      </w:r>
      <w:r w:rsidR="00F26993" w:rsidRPr="00F606C4">
        <w:rPr>
          <w:rFonts w:ascii="Arial" w:hAnsi="Arial" w:cs="Arial"/>
          <w:lang w:val="en-US"/>
        </w:rPr>
        <w:t xml:space="preserve">%) </w:t>
      </w:r>
      <w:proofErr w:type="gramStart"/>
      <w:r w:rsidR="00F26993" w:rsidRPr="00F606C4">
        <w:rPr>
          <w:rFonts w:ascii="Arial" w:hAnsi="Arial" w:cs="Arial"/>
          <w:lang w:val="en-US"/>
        </w:rPr>
        <w:t>(</w:t>
      </w:r>
      <w:r w:rsidR="00F26993" w:rsidRPr="00F606C4">
        <w:rPr>
          <w:rFonts w:ascii="Arial" w:hAnsi="Arial" w:cs="Arial"/>
          <w:b/>
          <w:lang w:val="en-US"/>
        </w:rPr>
        <w:t xml:space="preserve">Supplementary </w:t>
      </w:r>
      <w:r w:rsidR="003A3679" w:rsidRPr="00F606C4">
        <w:rPr>
          <w:rFonts w:ascii="Arial" w:hAnsi="Arial" w:cs="Arial"/>
          <w:b/>
          <w:lang w:val="en-US"/>
        </w:rPr>
        <w:t>f</w:t>
      </w:r>
      <w:r w:rsidRPr="00F606C4">
        <w:rPr>
          <w:rFonts w:ascii="Arial" w:hAnsi="Arial" w:cs="Arial"/>
          <w:b/>
          <w:lang w:val="en-US"/>
        </w:rPr>
        <w:t xml:space="preserve">igure </w:t>
      </w:r>
      <w:r w:rsidR="009C301A" w:rsidRPr="00F606C4">
        <w:rPr>
          <w:rFonts w:ascii="Arial" w:hAnsi="Arial" w:cs="Arial"/>
          <w:b/>
          <w:lang w:val="en-US"/>
        </w:rPr>
        <w:t>7</w:t>
      </w:r>
      <w:r w:rsidR="003A3679" w:rsidRPr="00F606C4">
        <w:rPr>
          <w:rFonts w:ascii="Arial" w:hAnsi="Arial" w:cs="Arial"/>
          <w:b/>
          <w:lang w:val="en-US"/>
        </w:rPr>
        <w:t>b–h</w:t>
      </w:r>
      <w:r w:rsidRPr="00F606C4">
        <w:rPr>
          <w:rFonts w:ascii="Arial" w:hAnsi="Arial" w:cs="Arial"/>
          <w:lang w:val="en-US"/>
        </w:rPr>
        <w:t>).</w:t>
      </w:r>
      <w:proofErr w:type="gramEnd"/>
      <w:r w:rsidRPr="00F606C4">
        <w:rPr>
          <w:rFonts w:ascii="Arial" w:hAnsi="Arial" w:cs="Arial"/>
          <w:lang w:val="en-US"/>
        </w:rPr>
        <w:t xml:space="preserve"> Additionally, median (95 </w:t>
      </w:r>
      <w:proofErr w:type="gramStart"/>
      <w:r w:rsidRPr="00F606C4">
        <w:rPr>
          <w:rFonts w:ascii="Arial" w:hAnsi="Arial" w:cs="Arial"/>
          <w:lang w:val="en-US"/>
        </w:rPr>
        <w:t>CI%</w:t>
      </w:r>
      <w:proofErr w:type="gramEnd"/>
      <w:r w:rsidRPr="00F606C4">
        <w:rPr>
          <w:rFonts w:ascii="Arial" w:hAnsi="Arial" w:cs="Arial"/>
          <w:lang w:val="en-US"/>
        </w:rPr>
        <w:t>) PC nadir values during cycle 3 were significantly higher for Schedule 2/1 compared with Schedule 4/2 (136</w:t>
      </w:r>
      <w:r w:rsidR="000628CA" w:rsidRPr="00F606C4">
        <w:rPr>
          <w:rFonts w:ascii="Arial" w:hAnsi="Arial" w:cs="Arial"/>
          <w:lang w:val="en-US"/>
        </w:rPr>
        <w:t xml:space="preserve"> [</w:t>
      </w:r>
      <w:r w:rsidRPr="00F606C4">
        <w:rPr>
          <w:rFonts w:ascii="Arial" w:hAnsi="Arial" w:cs="Arial"/>
          <w:lang w:val="en-US"/>
        </w:rPr>
        <w:t>128</w:t>
      </w:r>
      <w:r w:rsidR="009C301A" w:rsidRPr="00F606C4">
        <w:rPr>
          <w:rFonts w:ascii="Arial" w:hAnsi="Arial" w:cs="Arial"/>
          <w:lang w:val="en-US"/>
        </w:rPr>
        <w:t>–</w:t>
      </w:r>
      <w:r w:rsidRPr="00F606C4">
        <w:rPr>
          <w:rFonts w:ascii="Arial" w:hAnsi="Arial" w:cs="Arial"/>
          <w:lang w:val="en-US"/>
        </w:rPr>
        <w:t>145</w:t>
      </w:r>
      <w:r w:rsidR="000628CA" w:rsidRPr="00F606C4">
        <w:rPr>
          <w:rFonts w:ascii="Arial" w:hAnsi="Arial" w:cs="Arial"/>
          <w:lang w:val="en-US"/>
        </w:rPr>
        <w:t>]</w:t>
      </w:r>
      <w:r w:rsidRPr="00F606C4">
        <w:rPr>
          <w:rFonts w:ascii="Arial" w:hAnsi="Arial" w:cs="Arial"/>
          <w:lang w:val="en-US"/>
        </w:rPr>
        <w:t xml:space="preserve"> vs122</w:t>
      </w:r>
      <w:r w:rsidR="000628CA" w:rsidRPr="00F606C4">
        <w:rPr>
          <w:rFonts w:ascii="Arial" w:hAnsi="Arial" w:cs="Arial"/>
          <w:lang w:val="en-US"/>
        </w:rPr>
        <w:t xml:space="preserve"> [</w:t>
      </w:r>
      <w:r w:rsidRPr="00F606C4">
        <w:rPr>
          <w:rFonts w:ascii="Arial" w:hAnsi="Arial" w:cs="Arial"/>
          <w:lang w:val="en-US"/>
        </w:rPr>
        <w:t>111</w:t>
      </w:r>
      <w:r w:rsidR="009C301A" w:rsidRPr="00F606C4">
        <w:rPr>
          <w:rFonts w:ascii="Arial" w:hAnsi="Arial" w:cs="Arial"/>
          <w:lang w:val="en-US"/>
        </w:rPr>
        <w:t>–</w:t>
      </w:r>
      <w:r w:rsidRPr="00F606C4">
        <w:rPr>
          <w:rFonts w:ascii="Arial" w:hAnsi="Arial" w:cs="Arial"/>
          <w:lang w:val="en-US"/>
        </w:rPr>
        <w:t>132</w:t>
      </w:r>
      <w:r w:rsidR="000628CA" w:rsidRPr="00F606C4">
        <w:rPr>
          <w:rFonts w:ascii="Arial" w:hAnsi="Arial" w:cs="Arial"/>
          <w:lang w:val="en-US"/>
        </w:rPr>
        <w:t>]</w:t>
      </w:r>
      <w:r w:rsidRPr="00F606C4">
        <w:rPr>
          <w:rFonts w:ascii="Arial" w:hAnsi="Arial" w:cs="Arial"/>
          <w:lang w:val="en-US"/>
        </w:rPr>
        <w:t xml:space="preserve"> </w:t>
      </w:r>
      <w:r w:rsidR="009C301A" w:rsidRPr="00F606C4">
        <w:rPr>
          <w:rFonts w:ascii="Arial" w:hAnsi="Arial" w:cs="Arial"/>
          <w:lang w:val="en-US"/>
        </w:rPr>
        <w:sym w:font="Symbol" w:char="F0B4"/>
      </w:r>
      <w:r w:rsidR="00DB12CA" w:rsidRPr="00F606C4">
        <w:rPr>
          <w:rFonts w:ascii="Arial" w:hAnsi="Arial" w:cs="Arial"/>
          <w:lang w:val="en-US"/>
        </w:rPr>
        <w:t xml:space="preserve"> </w:t>
      </w:r>
      <w:r w:rsidRPr="00F606C4">
        <w:rPr>
          <w:rFonts w:ascii="Arial" w:hAnsi="Arial" w:cs="Arial"/>
          <w:lang w:val="en-US"/>
        </w:rPr>
        <w:t>10</w:t>
      </w:r>
      <w:r w:rsidRPr="00F606C4">
        <w:rPr>
          <w:rFonts w:ascii="Arial" w:hAnsi="Arial" w:cs="Arial"/>
          <w:vertAlign w:val="superscript"/>
          <w:lang w:val="en-US"/>
        </w:rPr>
        <w:t>3</w:t>
      </w:r>
      <w:r w:rsidRPr="00F606C4">
        <w:rPr>
          <w:rFonts w:ascii="Arial" w:hAnsi="Arial" w:cs="Arial"/>
          <w:lang w:val="en-US"/>
        </w:rPr>
        <w:t xml:space="preserve">/µL), further supporting the predicted lower incidence of </w:t>
      </w:r>
      <w:r w:rsidR="00DB12CA" w:rsidRPr="00F606C4">
        <w:rPr>
          <w:rFonts w:ascii="Arial" w:hAnsi="Arial" w:cs="Arial"/>
          <w:lang w:val="en-US"/>
        </w:rPr>
        <w:t>g</w:t>
      </w:r>
      <w:r w:rsidRPr="00F606C4">
        <w:rPr>
          <w:rFonts w:ascii="Arial" w:hAnsi="Arial" w:cs="Arial"/>
          <w:lang w:val="en-US"/>
        </w:rPr>
        <w:t>rade</w:t>
      </w:r>
      <w:r w:rsidR="009C301A" w:rsidRPr="00F606C4">
        <w:rPr>
          <w:rFonts w:ascii="Arial" w:hAnsi="Arial" w:cs="Arial"/>
          <w:lang w:val="en-US"/>
        </w:rPr>
        <w:t>s</w:t>
      </w:r>
      <w:r w:rsidRPr="00F606C4">
        <w:rPr>
          <w:rFonts w:ascii="Arial" w:hAnsi="Arial" w:cs="Arial"/>
          <w:lang w:val="en-US"/>
        </w:rPr>
        <w:t xml:space="preserve"> 3 and 4 thrombocytopenic events for Schedule 2/1 in GIST patients (</w:t>
      </w:r>
      <w:r w:rsidR="00F26993" w:rsidRPr="00F606C4">
        <w:rPr>
          <w:rFonts w:ascii="Arial" w:hAnsi="Arial" w:cs="Arial"/>
          <w:b/>
          <w:lang w:val="en-US"/>
        </w:rPr>
        <w:t xml:space="preserve">Supplementary </w:t>
      </w:r>
      <w:r w:rsidR="003A3679" w:rsidRPr="00F606C4">
        <w:rPr>
          <w:rFonts w:ascii="Arial" w:hAnsi="Arial" w:cs="Arial"/>
          <w:b/>
          <w:lang w:val="en-US"/>
        </w:rPr>
        <w:t>f</w:t>
      </w:r>
      <w:r w:rsidRPr="00F606C4">
        <w:rPr>
          <w:rFonts w:ascii="Arial" w:hAnsi="Arial" w:cs="Arial"/>
          <w:b/>
          <w:lang w:val="en-US"/>
        </w:rPr>
        <w:t xml:space="preserve">igure </w:t>
      </w:r>
      <w:r w:rsidR="009C301A" w:rsidRPr="00F606C4">
        <w:rPr>
          <w:rFonts w:ascii="Arial" w:hAnsi="Arial" w:cs="Arial"/>
          <w:b/>
          <w:lang w:val="en-US"/>
        </w:rPr>
        <w:t>7</w:t>
      </w:r>
      <w:r w:rsidR="003A3679" w:rsidRPr="00F606C4">
        <w:rPr>
          <w:rFonts w:ascii="Arial" w:hAnsi="Arial" w:cs="Arial"/>
          <w:b/>
          <w:lang w:val="en-US"/>
        </w:rPr>
        <w:t>b</w:t>
      </w:r>
      <w:r w:rsidRPr="00F606C4">
        <w:rPr>
          <w:rFonts w:ascii="Arial" w:hAnsi="Arial" w:cs="Arial"/>
          <w:lang w:val="en-US"/>
        </w:rPr>
        <w:t xml:space="preserve">). </w:t>
      </w:r>
    </w:p>
    <w:p w:rsidR="00864CB8" w:rsidRPr="00F606C4" w:rsidRDefault="00AA5FC4" w:rsidP="00120543">
      <w:pPr>
        <w:spacing w:after="0" w:line="480" w:lineRule="auto"/>
        <w:rPr>
          <w:rFonts w:ascii="Arial" w:hAnsi="Arial" w:cs="Arial"/>
          <w:b/>
          <w:lang w:val="en-US"/>
        </w:rPr>
      </w:pPr>
      <w:r w:rsidRPr="00F606C4">
        <w:rPr>
          <w:rFonts w:ascii="Arial" w:hAnsi="Arial" w:cs="Arial"/>
          <w:b/>
          <w:lang w:val="en-US"/>
        </w:rPr>
        <w:br w:type="page"/>
      </w:r>
    </w:p>
    <w:p w:rsidR="00EF6405" w:rsidRDefault="00EF6405" w:rsidP="009260D4">
      <w:pPr>
        <w:spacing w:after="0" w:line="480" w:lineRule="auto"/>
        <w:rPr>
          <w:rFonts w:ascii="Arial" w:hAnsi="Arial" w:cs="Arial"/>
          <w:b/>
          <w:lang w:val="en-US"/>
        </w:rPr>
      </w:pPr>
    </w:p>
    <w:p w:rsidR="00864CB8" w:rsidRPr="00F606C4" w:rsidRDefault="00864CB8" w:rsidP="00A957FA">
      <w:pPr>
        <w:spacing w:after="0" w:line="480" w:lineRule="auto"/>
        <w:rPr>
          <w:rFonts w:ascii="Arial" w:hAnsi="Arial" w:cs="Arial"/>
          <w:bCs/>
          <w:lang w:val="en-US"/>
        </w:rPr>
      </w:pPr>
      <w:r w:rsidRPr="00F606C4">
        <w:rPr>
          <w:rFonts w:ascii="Arial" w:hAnsi="Arial" w:cs="Arial"/>
          <w:b/>
          <w:lang w:val="en-US"/>
        </w:rPr>
        <w:t xml:space="preserve">Supplementary figure </w:t>
      </w:r>
      <w:r w:rsidR="00A957FA" w:rsidRPr="00F606C4">
        <w:rPr>
          <w:rFonts w:ascii="Arial" w:hAnsi="Arial" w:cs="Arial"/>
          <w:b/>
          <w:lang w:val="en-US"/>
        </w:rPr>
        <w:t>S</w:t>
      </w:r>
      <w:r w:rsidR="00A957FA">
        <w:rPr>
          <w:rFonts w:ascii="Arial" w:hAnsi="Arial" w:cs="Arial"/>
          <w:b/>
          <w:lang w:val="en-US"/>
        </w:rPr>
        <w:t>1</w:t>
      </w:r>
      <w:r w:rsidR="00A957FA" w:rsidRPr="00F606C4">
        <w:t xml:space="preserve"> </w:t>
      </w:r>
      <w:r w:rsidRPr="00F606C4">
        <w:rPr>
          <w:rFonts w:ascii="Arial" w:hAnsi="Arial" w:cs="Arial"/>
          <w:bCs/>
          <w:lang w:val="en-US"/>
        </w:rPr>
        <w:t>Goodness-of-fit diagnostic plots, weighted residuals</w:t>
      </w:r>
      <w:r w:rsidR="009260D4" w:rsidRPr="00F606C4">
        <w:rPr>
          <w:rFonts w:ascii="Arial" w:hAnsi="Arial" w:cs="Arial"/>
          <w:bCs/>
          <w:lang w:val="en-US"/>
        </w:rPr>
        <w:t xml:space="preserve"> vs time</w:t>
      </w:r>
      <w:r w:rsidRPr="00F606C4">
        <w:rPr>
          <w:rFonts w:ascii="Arial" w:hAnsi="Arial" w:cs="Arial"/>
          <w:bCs/>
          <w:lang w:val="en-US"/>
        </w:rPr>
        <w:t xml:space="preserve"> for (A) plasma concentrations of sunitinib (final PK model); (B) plasma concentrations of the sunitinib active metabolite SU12662 (final PK model); (C) efficacy endpoint sum of longest diameter in target lesions (final PK/PD model); and </w:t>
      </w:r>
    </w:p>
    <w:p w:rsidR="00864CB8" w:rsidRPr="00F606C4" w:rsidRDefault="00864CB8" w:rsidP="00864CB8">
      <w:pPr>
        <w:spacing w:after="0" w:line="480" w:lineRule="auto"/>
        <w:rPr>
          <w:rFonts w:ascii="Arial" w:hAnsi="Arial" w:cs="Arial"/>
          <w:bCs/>
          <w:lang w:val="en-US"/>
        </w:rPr>
      </w:pPr>
      <w:r w:rsidRPr="00F606C4">
        <w:rPr>
          <w:rFonts w:ascii="Arial" w:hAnsi="Arial" w:cs="Arial"/>
          <w:bCs/>
          <w:lang w:val="en-US"/>
        </w:rPr>
        <w:t xml:space="preserve">(D–J) selected safety endpoints (final PK/PD model). </w:t>
      </w:r>
    </w:p>
    <w:p w:rsidR="00C96E37" w:rsidRPr="00F606C4" w:rsidRDefault="00C96E37" w:rsidP="00827703">
      <w:pPr>
        <w:spacing w:after="0" w:line="480" w:lineRule="auto"/>
        <w:rPr>
          <w:rFonts w:ascii="Arial" w:hAnsi="Arial" w:cs="Arial"/>
          <w:bCs/>
          <w:lang w:val="en-US"/>
        </w:rPr>
      </w:pPr>
      <w:r w:rsidRPr="00F606C4">
        <w:rPr>
          <w:rFonts w:ascii="Arial" w:hAnsi="Arial" w:cs="Arial"/>
          <w:bCs/>
          <w:lang w:val="en-US"/>
        </w:rPr>
        <w:t xml:space="preserve">Solid blue lines are the predictions (PRED) regression lines. </w:t>
      </w:r>
      <w:r w:rsidR="00827703" w:rsidRPr="00F606C4">
        <w:rPr>
          <w:rFonts w:ascii="Arial" w:hAnsi="Arial" w:cs="Arial"/>
          <w:bCs/>
          <w:lang w:val="en-US"/>
        </w:rPr>
        <w:t xml:space="preserve">CWRES = weighted residuals; </w:t>
      </w:r>
      <w:r w:rsidRPr="00F606C4">
        <w:rPr>
          <w:rFonts w:ascii="Arial" w:hAnsi="Arial" w:cs="Arial"/>
          <w:bCs/>
          <w:lang w:val="en-US"/>
        </w:rPr>
        <w:t xml:space="preserve">PD = pharmacodynamics; PK = pharmacokinetics. </w:t>
      </w:r>
    </w:p>
    <w:p w:rsidR="00EF6405" w:rsidRDefault="00EF6405" w:rsidP="009260D4">
      <w:pPr>
        <w:spacing w:after="0" w:line="480" w:lineRule="auto"/>
        <w:rPr>
          <w:rFonts w:ascii="Arial" w:hAnsi="Arial" w:cs="Arial"/>
          <w:b/>
          <w:lang w:val="en-US"/>
        </w:rPr>
      </w:pPr>
    </w:p>
    <w:p w:rsidR="009260D4" w:rsidRPr="00F606C4" w:rsidRDefault="009260D4" w:rsidP="00A957FA">
      <w:pPr>
        <w:spacing w:after="0" w:line="480" w:lineRule="auto"/>
        <w:rPr>
          <w:rFonts w:ascii="Arial" w:hAnsi="Arial" w:cs="Arial"/>
          <w:bCs/>
          <w:lang w:val="en-US"/>
        </w:rPr>
      </w:pPr>
      <w:r w:rsidRPr="00F606C4">
        <w:rPr>
          <w:rFonts w:ascii="Arial" w:hAnsi="Arial" w:cs="Arial"/>
          <w:b/>
          <w:lang w:val="en-US"/>
        </w:rPr>
        <w:t xml:space="preserve">Supplementary figure </w:t>
      </w:r>
      <w:r w:rsidR="00A957FA" w:rsidRPr="00F606C4">
        <w:rPr>
          <w:rFonts w:ascii="Arial" w:hAnsi="Arial" w:cs="Arial"/>
          <w:b/>
          <w:lang w:val="en-US"/>
        </w:rPr>
        <w:t>S</w:t>
      </w:r>
      <w:r w:rsidR="00A957FA">
        <w:rPr>
          <w:rFonts w:ascii="Arial" w:hAnsi="Arial" w:cs="Arial"/>
          <w:b/>
          <w:lang w:val="en-US"/>
        </w:rPr>
        <w:t>2</w:t>
      </w:r>
      <w:r w:rsidR="00A957FA" w:rsidRPr="00F606C4">
        <w:t xml:space="preserve"> </w:t>
      </w:r>
      <w:r w:rsidRPr="00F606C4">
        <w:rPr>
          <w:rFonts w:ascii="Arial" w:hAnsi="Arial" w:cs="Arial"/>
          <w:bCs/>
          <w:lang w:val="en-US"/>
        </w:rPr>
        <w:t xml:space="preserve">Goodness-of-fit diagnostic plots, weighted residuals vs predicted for (A) plasma concentrations of sunitinib (final PK model); (B) plasma concentrations of the sunitinib active metabolite SU12662 (final PK model); (C) efficacy endpoint sum of longest diameter in target lesions (final PK/PD model); and </w:t>
      </w:r>
    </w:p>
    <w:p w:rsidR="009260D4" w:rsidRPr="00F606C4" w:rsidRDefault="009260D4" w:rsidP="009260D4">
      <w:pPr>
        <w:spacing w:after="0" w:line="480" w:lineRule="auto"/>
        <w:rPr>
          <w:rFonts w:ascii="Arial" w:hAnsi="Arial" w:cs="Arial"/>
          <w:bCs/>
          <w:lang w:val="en-US"/>
        </w:rPr>
      </w:pPr>
      <w:r w:rsidRPr="00F606C4">
        <w:rPr>
          <w:rFonts w:ascii="Arial" w:hAnsi="Arial" w:cs="Arial"/>
          <w:bCs/>
          <w:lang w:val="en-US"/>
        </w:rPr>
        <w:t xml:space="preserve">(D–J) selected safety endpoints (final PK/PD model). </w:t>
      </w:r>
    </w:p>
    <w:p w:rsidR="009260D4" w:rsidRPr="00F606C4" w:rsidRDefault="009260D4" w:rsidP="009260D4">
      <w:pPr>
        <w:spacing w:after="0" w:line="480" w:lineRule="auto"/>
        <w:rPr>
          <w:rFonts w:ascii="Arial" w:hAnsi="Arial" w:cs="Arial"/>
          <w:bCs/>
          <w:lang w:val="en-US"/>
        </w:rPr>
      </w:pPr>
      <w:r w:rsidRPr="00F606C4">
        <w:rPr>
          <w:rFonts w:ascii="Arial" w:hAnsi="Arial" w:cs="Arial"/>
          <w:bCs/>
          <w:lang w:val="en-US"/>
        </w:rPr>
        <w:t xml:space="preserve">Solid blue lines are the predictions (PRED) regression lines. </w:t>
      </w:r>
      <w:r w:rsidR="00827703" w:rsidRPr="00F606C4">
        <w:rPr>
          <w:rFonts w:ascii="Arial" w:hAnsi="Arial" w:cs="Arial"/>
          <w:bCs/>
          <w:lang w:val="en-US"/>
        </w:rPr>
        <w:t xml:space="preserve">CWRES = weighted residuals; </w:t>
      </w:r>
      <w:r w:rsidRPr="00F606C4">
        <w:rPr>
          <w:rFonts w:ascii="Arial" w:hAnsi="Arial" w:cs="Arial"/>
          <w:bCs/>
          <w:lang w:val="en-US"/>
        </w:rPr>
        <w:t xml:space="preserve">PD = pharmacodynamics; PK = pharmacokinetics. </w:t>
      </w:r>
    </w:p>
    <w:p w:rsidR="009260D4" w:rsidRPr="00F606C4" w:rsidRDefault="009260D4" w:rsidP="00864CB8">
      <w:pPr>
        <w:spacing w:after="0" w:line="480" w:lineRule="auto"/>
        <w:rPr>
          <w:rFonts w:ascii="Arial" w:hAnsi="Arial" w:cs="Arial"/>
          <w:bCs/>
          <w:lang w:val="en-US"/>
        </w:rPr>
      </w:pPr>
    </w:p>
    <w:p w:rsidR="00EF6405" w:rsidRDefault="00EF6405" w:rsidP="00A11299">
      <w:pPr>
        <w:spacing w:after="0" w:line="480" w:lineRule="auto"/>
        <w:rPr>
          <w:rFonts w:ascii="Arial" w:hAnsi="Arial" w:cs="Arial"/>
          <w:b/>
          <w:lang w:val="en-US"/>
        </w:rPr>
      </w:pPr>
    </w:p>
    <w:p w:rsidR="00EF6405" w:rsidRDefault="00EF6405" w:rsidP="00EF6405">
      <w:pPr>
        <w:spacing w:after="0" w:line="480" w:lineRule="auto"/>
        <w:rPr>
          <w:rFonts w:ascii="Arial" w:hAnsi="Arial" w:cs="Arial"/>
          <w:bCs/>
          <w:lang w:val="en-US"/>
        </w:rPr>
      </w:pPr>
    </w:p>
    <w:p w:rsidR="006958FC" w:rsidRPr="00F606C4" w:rsidRDefault="00F26993" w:rsidP="00A957FA">
      <w:pPr>
        <w:spacing w:after="0" w:line="480" w:lineRule="auto"/>
        <w:rPr>
          <w:rFonts w:ascii="Arial" w:hAnsi="Arial" w:cs="Arial"/>
          <w:lang w:val="en-US"/>
        </w:rPr>
      </w:pPr>
      <w:r w:rsidRPr="00F606C4">
        <w:rPr>
          <w:rFonts w:ascii="Arial" w:hAnsi="Arial" w:cs="Arial"/>
          <w:b/>
          <w:lang w:val="en-US"/>
        </w:rPr>
        <w:t xml:space="preserve">Supplementary </w:t>
      </w:r>
      <w:r w:rsidR="009C301A" w:rsidRPr="00F606C4">
        <w:rPr>
          <w:rFonts w:ascii="Arial" w:hAnsi="Arial" w:cs="Arial"/>
          <w:b/>
          <w:lang w:val="en-US"/>
        </w:rPr>
        <w:t>f</w:t>
      </w:r>
      <w:r w:rsidR="006958FC" w:rsidRPr="00F606C4">
        <w:rPr>
          <w:rFonts w:ascii="Arial" w:hAnsi="Arial" w:cs="Arial"/>
          <w:b/>
          <w:lang w:val="en-US"/>
        </w:rPr>
        <w:t xml:space="preserve">igure </w:t>
      </w:r>
      <w:r w:rsidR="00A957FA" w:rsidRPr="00F606C4">
        <w:rPr>
          <w:rFonts w:ascii="Arial" w:hAnsi="Arial" w:cs="Arial"/>
          <w:b/>
          <w:lang w:val="en-US"/>
        </w:rPr>
        <w:t>S</w:t>
      </w:r>
      <w:r w:rsidR="00A957FA">
        <w:rPr>
          <w:rFonts w:ascii="Arial" w:hAnsi="Arial" w:cs="Arial"/>
          <w:b/>
          <w:lang w:val="en-US"/>
        </w:rPr>
        <w:t>3</w:t>
      </w:r>
      <w:r w:rsidR="00A957FA" w:rsidRPr="00F606C4">
        <w:rPr>
          <w:rFonts w:ascii="Arial" w:hAnsi="Arial" w:cs="Arial"/>
          <w:lang w:val="en-US"/>
        </w:rPr>
        <w:t xml:space="preserve"> </w:t>
      </w:r>
      <w:r w:rsidR="00C74495" w:rsidRPr="00F606C4">
        <w:rPr>
          <w:rFonts w:ascii="Arial" w:hAnsi="Arial" w:cs="Arial"/>
          <w:lang w:val="en-US"/>
        </w:rPr>
        <w:t>Trial simulations p</w:t>
      </w:r>
      <w:r w:rsidR="006958FC" w:rsidRPr="00F606C4">
        <w:rPr>
          <w:rFonts w:ascii="Arial" w:hAnsi="Arial" w:cs="Arial"/>
          <w:lang w:val="en-US"/>
        </w:rPr>
        <w:t xml:space="preserve">redicted mean PK profiles </w:t>
      </w:r>
      <w:r w:rsidR="00C74495" w:rsidRPr="00F606C4">
        <w:rPr>
          <w:rFonts w:ascii="Arial" w:hAnsi="Arial" w:cs="Arial"/>
          <w:lang w:val="en-US"/>
        </w:rPr>
        <w:t>and median (9</w:t>
      </w:r>
      <w:r w:rsidR="00523EAC" w:rsidRPr="00F606C4">
        <w:rPr>
          <w:rFonts w:ascii="Arial" w:hAnsi="Arial" w:cs="Arial"/>
          <w:lang w:val="en-US"/>
        </w:rPr>
        <w:t>5%</w:t>
      </w:r>
      <w:r w:rsidR="00C74495" w:rsidRPr="00F606C4">
        <w:rPr>
          <w:rFonts w:ascii="Arial" w:hAnsi="Arial" w:cs="Arial"/>
          <w:lang w:val="en-US"/>
        </w:rPr>
        <w:t xml:space="preserve"> CI) PK parameters </w:t>
      </w:r>
      <w:r w:rsidR="006958FC" w:rsidRPr="00F606C4">
        <w:rPr>
          <w:rFonts w:ascii="Arial" w:hAnsi="Arial" w:cs="Arial"/>
          <w:lang w:val="en-US"/>
        </w:rPr>
        <w:t>during (A, C) cycle 3</w:t>
      </w:r>
      <w:r w:rsidR="00C74495" w:rsidRPr="00F606C4">
        <w:rPr>
          <w:rFonts w:ascii="Arial" w:hAnsi="Arial" w:cs="Arial"/>
          <w:lang w:val="en-US"/>
        </w:rPr>
        <w:t xml:space="preserve">, following weekly trough PK assessments, </w:t>
      </w:r>
      <w:r w:rsidR="006958FC" w:rsidRPr="00F606C4">
        <w:rPr>
          <w:rFonts w:ascii="Arial" w:hAnsi="Arial" w:cs="Arial"/>
          <w:lang w:val="en-US"/>
        </w:rPr>
        <w:t>and (B, D) the last day of the on-drug period</w:t>
      </w:r>
      <w:r w:rsidR="00C74495" w:rsidRPr="00F606C4">
        <w:rPr>
          <w:rFonts w:ascii="Arial" w:hAnsi="Arial" w:cs="Arial"/>
          <w:lang w:val="en-US"/>
        </w:rPr>
        <w:t>, following PK assessments</w:t>
      </w:r>
      <w:r w:rsidR="00A674EC" w:rsidRPr="00F606C4">
        <w:rPr>
          <w:rFonts w:ascii="Arial" w:hAnsi="Arial" w:cs="Arial"/>
          <w:lang w:val="en-US"/>
        </w:rPr>
        <w:t xml:space="preserve"> every 3 h</w:t>
      </w:r>
      <w:r w:rsidR="00C74495" w:rsidRPr="00F606C4">
        <w:rPr>
          <w:rFonts w:ascii="Arial" w:hAnsi="Arial" w:cs="Arial"/>
          <w:lang w:val="en-US"/>
        </w:rPr>
        <w:t>,</w:t>
      </w:r>
      <w:r w:rsidR="006958FC" w:rsidRPr="00F606C4">
        <w:rPr>
          <w:rFonts w:ascii="Arial" w:hAnsi="Arial" w:cs="Arial"/>
          <w:lang w:val="en-US"/>
        </w:rPr>
        <w:t xml:space="preserve"> for sunitinib and SU12662 in GIST patients receiving sunitinib 50 mg/day on Schedule 4/2 or Schedule 2/1.</w:t>
      </w:r>
    </w:p>
    <w:p w:rsidR="006958FC" w:rsidRPr="00F606C4" w:rsidRDefault="00293F0F" w:rsidP="00120543">
      <w:pPr>
        <w:spacing w:after="0" w:line="480" w:lineRule="auto"/>
        <w:rPr>
          <w:rFonts w:ascii="Arial" w:hAnsi="Arial" w:cs="Arial"/>
          <w:lang w:val="en-US"/>
        </w:rPr>
      </w:pPr>
      <w:proofErr w:type="gramStart"/>
      <w:r w:rsidRPr="00F606C4">
        <w:rPr>
          <w:rFonts w:ascii="Arial" w:hAnsi="Arial" w:cs="Arial"/>
          <w:lang w:val="en-US"/>
        </w:rPr>
        <w:t xml:space="preserve">CI, confidence interval; </w:t>
      </w:r>
      <w:r w:rsidR="006958FC" w:rsidRPr="00F606C4">
        <w:rPr>
          <w:rFonts w:ascii="Arial" w:hAnsi="Arial" w:cs="Arial"/>
          <w:lang w:val="en-US"/>
        </w:rPr>
        <w:t>GIST</w:t>
      </w:r>
      <w:r w:rsidRPr="00F606C4">
        <w:rPr>
          <w:rFonts w:ascii="Arial" w:hAnsi="Arial" w:cs="Arial"/>
          <w:lang w:val="en-US"/>
        </w:rPr>
        <w:t xml:space="preserve">, </w:t>
      </w:r>
      <w:r w:rsidR="006958FC" w:rsidRPr="00F606C4">
        <w:rPr>
          <w:rFonts w:ascii="Arial" w:hAnsi="Arial" w:cs="Arial"/>
          <w:lang w:val="en-US"/>
        </w:rPr>
        <w:t>gastrointestinal stromal tumor</w:t>
      </w:r>
      <w:r w:rsidRPr="00F606C4">
        <w:rPr>
          <w:rFonts w:ascii="Arial" w:hAnsi="Arial" w:cs="Arial"/>
          <w:lang w:val="en-US"/>
        </w:rPr>
        <w:t>; PK, pharmacokinetics.</w:t>
      </w:r>
      <w:proofErr w:type="gramEnd"/>
      <w:r w:rsidR="006958FC" w:rsidRPr="00F606C4">
        <w:rPr>
          <w:rFonts w:ascii="Arial" w:hAnsi="Arial" w:cs="Arial"/>
          <w:lang w:val="en-US"/>
        </w:rPr>
        <w:t xml:space="preserve"> </w:t>
      </w:r>
      <w:r w:rsidRPr="00F606C4">
        <w:rPr>
          <w:rFonts w:ascii="Arial" w:hAnsi="Arial" w:cs="Arial"/>
          <w:lang w:val="en-US"/>
        </w:rPr>
        <w:br/>
      </w:r>
      <w:r w:rsidR="006958FC" w:rsidRPr="00F606C4">
        <w:rPr>
          <w:rFonts w:ascii="Arial" w:hAnsi="Arial" w:cs="Arial"/>
          <w:lang w:val="en-US"/>
        </w:rPr>
        <w:t>Schedule 4/2: 4-weeks</w:t>
      </w:r>
      <w:r w:rsidR="006B551A" w:rsidRPr="00F606C4">
        <w:rPr>
          <w:rFonts w:ascii="Arial" w:hAnsi="Arial" w:cs="Arial"/>
          <w:lang w:val="en-US"/>
        </w:rPr>
        <w:t>-</w:t>
      </w:r>
      <w:r w:rsidR="006958FC" w:rsidRPr="00F606C4">
        <w:rPr>
          <w:rFonts w:ascii="Arial" w:hAnsi="Arial" w:cs="Arial"/>
          <w:lang w:val="en-US"/>
        </w:rPr>
        <w:t>on followed by 2-weeks</w:t>
      </w:r>
      <w:r w:rsidR="006B551A" w:rsidRPr="00F606C4">
        <w:rPr>
          <w:rFonts w:ascii="Arial" w:hAnsi="Arial" w:cs="Arial"/>
          <w:lang w:val="en-US"/>
        </w:rPr>
        <w:t>-</w:t>
      </w:r>
      <w:r w:rsidR="006958FC" w:rsidRPr="00F606C4">
        <w:rPr>
          <w:rFonts w:ascii="Arial" w:hAnsi="Arial" w:cs="Arial"/>
          <w:lang w:val="en-US"/>
        </w:rPr>
        <w:t>off treatment; Schedule 2/1: 2-weeks</w:t>
      </w:r>
      <w:r w:rsidR="006B551A" w:rsidRPr="00F606C4">
        <w:rPr>
          <w:rFonts w:ascii="Arial" w:hAnsi="Arial" w:cs="Arial"/>
          <w:lang w:val="en-US"/>
        </w:rPr>
        <w:t>-</w:t>
      </w:r>
      <w:r w:rsidR="006958FC" w:rsidRPr="00F606C4">
        <w:rPr>
          <w:rFonts w:ascii="Arial" w:hAnsi="Arial" w:cs="Arial"/>
          <w:lang w:val="en-US"/>
        </w:rPr>
        <w:t>on followed by 1-week</w:t>
      </w:r>
      <w:r w:rsidR="006B551A" w:rsidRPr="00F606C4">
        <w:rPr>
          <w:rFonts w:ascii="Arial" w:hAnsi="Arial" w:cs="Arial"/>
          <w:lang w:val="en-US"/>
        </w:rPr>
        <w:t>-</w:t>
      </w:r>
      <w:r w:rsidR="006958FC" w:rsidRPr="00F606C4">
        <w:rPr>
          <w:rFonts w:ascii="Arial" w:hAnsi="Arial" w:cs="Arial"/>
          <w:lang w:val="en-US"/>
        </w:rPr>
        <w:t>off treatment.</w:t>
      </w:r>
    </w:p>
    <w:p w:rsidR="00EF6405" w:rsidRDefault="00EF6405" w:rsidP="00120543">
      <w:pPr>
        <w:spacing w:after="0" w:line="480" w:lineRule="auto"/>
        <w:rPr>
          <w:rFonts w:ascii="Arial" w:hAnsi="Arial" w:cs="Arial"/>
          <w:b/>
          <w:lang w:val="en-US"/>
        </w:rPr>
      </w:pPr>
    </w:p>
    <w:p w:rsidR="006958FC" w:rsidRPr="00F606C4" w:rsidRDefault="00F26993" w:rsidP="00A957FA">
      <w:pPr>
        <w:spacing w:after="0" w:line="480" w:lineRule="auto"/>
        <w:rPr>
          <w:rFonts w:ascii="Arial" w:hAnsi="Arial" w:cs="Arial"/>
          <w:lang w:val="en-US"/>
        </w:rPr>
      </w:pPr>
      <w:r w:rsidRPr="00F606C4">
        <w:rPr>
          <w:rFonts w:ascii="Arial" w:hAnsi="Arial" w:cs="Arial"/>
          <w:b/>
          <w:lang w:val="en-US"/>
        </w:rPr>
        <w:t xml:space="preserve">Supplementary </w:t>
      </w:r>
      <w:r w:rsidR="009C301A" w:rsidRPr="00F606C4">
        <w:rPr>
          <w:rFonts w:ascii="Arial" w:hAnsi="Arial" w:cs="Arial"/>
          <w:b/>
          <w:lang w:val="en-US"/>
        </w:rPr>
        <w:t>f</w:t>
      </w:r>
      <w:r w:rsidR="006958FC" w:rsidRPr="00F606C4">
        <w:rPr>
          <w:rFonts w:ascii="Arial" w:hAnsi="Arial" w:cs="Arial"/>
          <w:b/>
          <w:lang w:val="en-US"/>
        </w:rPr>
        <w:t xml:space="preserve">igure </w:t>
      </w:r>
      <w:r w:rsidR="00A957FA" w:rsidRPr="00F606C4">
        <w:rPr>
          <w:rFonts w:ascii="Arial" w:hAnsi="Arial" w:cs="Arial"/>
          <w:b/>
          <w:lang w:val="en-US"/>
        </w:rPr>
        <w:t>S</w:t>
      </w:r>
      <w:r w:rsidR="00A957FA">
        <w:rPr>
          <w:rFonts w:ascii="Arial" w:hAnsi="Arial" w:cs="Arial"/>
          <w:b/>
          <w:lang w:val="en-US"/>
        </w:rPr>
        <w:t>4</w:t>
      </w:r>
      <w:r w:rsidR="00A957FA" w:rsidRPr="00F606C4">
        <w:rPr>
          <w:rFonts w:ascii="Arial" w:hAnsi="Arial" w:cs="Arial"/>
          <w:lang w:val="en-US"/>
        </w:rPr>
        <w:t xml:space="preserve"> </w:t>
      </w:r>
      <w:r w:rsidR="00611E78" w:rsidRPr="00F606C4">
        <w:rPr>
          <w:rFonts w:ascii="Arial" w:hAnsi="Arial" w:cs="Arial"/>
          <w:lang w:val="en-US"/>
        </w:rPr>
        <w:t>Trial simulations p</w:t>
      </w:r>
      <w:r w:rsidR="006958FC" w:rsidRPr="00F606C4">
        <w:rPr>
          <w:rFonts w:ascii="Arial" w:hAnsi="Arial" w:cs="Arial"/>
          <w:lang w:val="en-US"/>
        </w:rPr>
        <w:t>redicted mean profiles</w:t>
      </w:r>
      <w:r w:rsidR="00611E78" w:rsidRPr="00F606C4">
        <w:rPr>
          <w:rFonts w:ascii="Arial" w:hAnsi="Arial" w:cs="Arial"/>
          <w:lang w:val="en-US"/>
        </w:rPr>
        <w:t xml:space="preserve"> </w:t>
      </w:r>
      <w:r w:rsidR="00523EAC" w:rsidRPr="00F606C4">
        <w:rPr>
          <w:rFonts w:ascii="Arial" w:hAnsi="Arial" w:cs="Arial"/>
          <w:lang w:val="en-US"/>
        </w:rPr>
        <w:t xml:space="preserve">and median (95% </w:t>
      </w:r>
      <w:r w:rsidR="00611E78" w:rsidRPr="00F606C4">
        <w:rPr>
          <w:rFonts w:ascii="Arial" w:hAnsi="Arial" w:cs="Arial"/>
          <w:lang w:val="en-US"/>
        </w:rPr>
        <w:t>CI) values</w:t>
      </w:r>
      <w:r w:rsidR="006958FC" w:rsidRPr="00F606C4">
        <w:rPr>
          <w:rFonts w:ascii="Arial" w:hAnsi="Arial" w:cs="Arial"/>
          <w:lang w:val="en-US"/>
        </w:rPr>
        <w:t xml:space="preserve"> for (A) efficacy and (B–H) safety endpoints in GIST patients receiving sunitinib 50</w:t>
      </w:r>
      <w:r w:rsidR="001649F6" w:rsidRPr="00F606C4">
        <w:rPr>
          <w:rFonts w:ascii="Arial" w:hAnsi="Arial" w:cs="Arial"/>
          <w:lang w:val="en-US"/>
        </w:rPr>
        <w:t> </w:t>
      </w:r>
      <w:r w:rsidR="006958FC" w:rsidRPr="00F606C4">
        <w:rPr>
          <w:rFonts w:ascii="Arial" w:hAnsi="Arial" w:cs="Arial"/>
          <w:lang w:val="en-US"/>
        </w:rPr>
        <w:t xml:space="preserve">mg/day on Schedule 4/2 or Schedule 2/1, with corresponding predictions for TTP and ORR and </w:t>
      </w:r>
      <w:r w:rsidR="00293F0F" w:rsidRPr="00F606C4">
        <w:rPr>
          <w:rFonts w:ascii="Arial" w:hAnsi="Arial" w:cs="Arial"/>
          <w:lang w:val="en-US"/>
        </w:rPr>
        <w:t xml:space="preserve">AE </w:t>
      </w:r>
      <w:r w:rsidR="006958FC" w:rsidRPr="00F606C4">
        <w:rPr>
          <w:rFonts w:ascii="Arial" w:hAnsi="Arial" w:cs="Arial"/>
          <w:lang w:val="en-US"/>
        </w:rPr>
        <w:t>incident rates</w:t>
      </w:r>
      <w:r w:rsidR="00611E78" w:rsidRPr="00F606C4">
        <w:rPr>
          <w:rFonts w:ascii="Arial" w:hAnsi="Arial" w:cs="Arial"/>
          <w:lang w:val="en-US"/>
        </w:rPr>
        <w:t xml:space="preserve">, following </w:t>
      </w:r>
      <w:r w:rsidR="00523EAC" w:rsidRPr="00F606C4">
        <w:rPr>
          <w:rFonts w:ascii="Arial" w:hAnsi="Arial" w:cs="Arial"/>
          <w:lang w:val="en-US"/>
        </w:rPr>
        <w:t>assessments made twice every 6 weeks</w:t>
      </w:r>
      <w:r w:rsidR="006958FC" w:rsidRPr="00F606C4">
        <w:rPr>
          <w:rFonts w:ascii="Arial" w:hAnsi="Arial" w:cs="Arial"/>
          <w:lang w:val="en-US"/>
        </w:rPr>
        <w:t xml:space="preserve">. </w:t>
      </w:r>
    </w:p>
    <w:p w:rsidR="006958FC" w:rsidRPr="00DC5F0A" w:rsidRDefault="00293F0F" w:rsidP="00120543">
      <w:pPr>
        <w:spacing w:after="0" w:line="480" w:lineRule="auto"/>
        <w:rPr>
          <w:rFonts w:ascii="Arial" w:hAnsi="Arial" w:cs="Arial"/>
          <w:lang w:val="en-US"/>
        </w:rPr>
      </w:pPr>
      <w:r w:rsidRPr="00F606C4">
        <w:rPr>
          <w:rFonts w:ascii="Arial" w:hAnsi="Arial" w:cs="Arial"/>
          <w:lang w:val="en-US"/>
        </w:rPr>
        <w:t xml:space="preserve">AE, adverse event; </w:t>
      </w:r>
      <w:r w:rsidR="006958FC" w:rsidRPr="00F606C4">
        <w:rPr>
          <w:rFonts w:ascii="Arial" w:hAnsi="Arial" w:cs="Arial"/>
          <w:lang w:val="en-US"/>
        </w:rPr>
        <w:t>CI, confidence interval; G, grade of</w:t>
      </w:r>
      <w:r w:rsidRPr="00F606C4">
        <w:rPr>
          <w:rFonts w:ascii="Arial" w:hAnsi="Arial" w:cs="Arial"/>
          <w:lang w:val="en-US"/>
        </w:rPr>
        <w:t xml:space="preserve"> AE </w:t>
      </w:r>
      <w:r w:rsidR="006958FC" w:rsidRPr="00F606C4">
        <w:rPr>
          <w:rFonts w:ascii="Arial" w:hAnsi="Arial" w:cs="Arial"/>
          <w:lang w:val="en-US"/>
        </w:rPr>
        <w:t xml:space="preserve">intensity; </w:t>
      </w:r>
      <w:r w:rsidRPr="00F606C4">
        <w:rPr>
          <w:rFonts w:ascii="Arial" w:hAnsi="Arial" w:cs="Arial"/>
          <w:lang w:val="en-US"/>
        </w:rPr>
        <w:t xml:space="preserve">GIST, gastrointestinal stromal tumor; </w:t>
      </w:r>
      <w:r w:rsidR="006958FC" w:rsidRPr="00F606C4">
        <w:rPr>
          <w:rFonts w:ascii="Arial" w:hAnsi="Arial" w:cs="Arial"/>
          <w:lang w:val="en-US"/>
        </w:rPr>
        <w:t>ORR, objective response rate; T</w:t>
      </w:r>
      <w:r w:rsidRPr="00F606C4">
        <w:rPr>
          <w:rFonts w:ascii="Arial" w:hAnsi="Arial" w:cs="Arial"/>
          <w:lang w:val="en-US"/>
        </w:rPr>
        <w:t>T</w:t>
      </w:r>
      <w:r w:rsidR="006958FC" w:rsidRPr="00F606C4">
        <w:rPr>
          <w:rFonts w:ascii="Arial" w:hAnsi="Arial" w:cs="Arial"/>
          <w:lang w:val="en-US"/>
        </w:rPr>
        <w:t>P, time to progression</w:t>
      </w:r>
      <w:r w:rsidRPr="00F606C4">
        <w:rPr>
          <w:rFonts w:ascii="Arial" w:hAnsi="Arial" w:cs="Arial"/>
          <w:lang w:val="en-US"/>
        </w:rPr>
        <w:t xml:space="preserve">. </w:t>
      </w:r>
      <w:r w:rsidRPr="00F606C4">
        <w:rPr>
          <w:rFonts w:ascii="Arial" w:hAnsi="Arial" w:cs="Arial"/>
          <w:lang w:val="en-US"/>
        </w:rPr>
        <w:br/>
      </w:r>
      <w:r w:rsidR="006958FC" w:rsidRPr="00F606C4">
        <w:rPr>
          <w:rFonts w:ascii="Arial" w:hAnsi="Arial" w:cs="Arial"/>
          <w:lang w:val="en-US"/>
        </w:rPr>
        <w:t>Schedule 4/2: 4-weeks on treatment followed by 2-weeks off treatment; Schedule 2/1: 2-weeks on treatment followed by 1-week off treatment</w:t>
      </w:r>
      <w:r w:rsidRPr="00F606C4">
        <w:rPr>
          <w:rFonts w:ascii="Arial" w:hAnsi="Arial" w:cs="Arial"/>
          <w:lang w:val="en-US"/>
        </w:rPr>
        <w:t>.</w:t>
      </w:r>
    </w:p>
    <w:p w:rsidR="00ED480A" w:rsidRPr="00DC5F0A" w:rsidRDefault="00ED480A" w:rsidP="00120543">
      <w:pPr>
        <w:spacing w:after="0" w:line="480" w:lineRule="auto"/>
        <w:rPr>
          <w:rFonts w:ascii="Arial" w:hAnsi="Arial" w:cs="Arial"/>
          <w:lang w:val="en-US"/>
        </w:rPr>
      </w:pPr>
    </w:p>
    <w:p w:rsidR="00957783" w:rsidRPr="00DC5F0A" w:rsidRDefault="00957783" w:rsidP="00120543">
      <w:pPr>
        <w:spacing w:after="0" w:line="480" w:lineRule="auto"/>
        <w:rPr>
          <w:rFonts w:ascii="Arial" w:hAnsi="Arial" w:cs="Arial"/>
          <w:lang w:val="en-US"/>
        </w:rPr>
      </w:pPr>
    </w:p>
    <w:sectPr w:rsidR="00957783" w:rsidRPr="00DC5F0A" w:rsidSect="009050BF">
      <w:headerReference w:type="default" r:id="rId8"/>
      <w:footerReference w:type="default" r:id="rId9"/>
      <w:pgSz w:w="12240" w:h="15840" w:code="1"/>
      <w:pgMar w:top="1440" w:right="1440" w:bottom="144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BF1" w:rsidRDefault="007B3BF1" w:rsidP="00820384">
      <w:pPr>
        <w:spacing w:after="0" w:line="240" w:lineRule="auto"/>
      </w:pPr>
      <w:r>
        <w:separator/>
      </w:r>
    </w:p>
  </w:endnote>
  <w:endnote w:type="continuationSeparator" w:id="0">
    <w:p w:rsidR="007B3BF1" w:rsidRDefault="007B3BF1" w:rsidP="008203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DEE" w:rsidRPr="001B1CE3" w:rsidRDefault="00BF0D02">
    <w:pPr>
      <w:pStyle w:val="Footer"/>
      <w:jc w:val="right"/>
      <w:rPr>
        <w:rFonts w:ascii="Arial" w:hAnsi="Arial" w:cs="Arial"/>
      </w:rPr>
    </w:pPr>
    <w:r w:rsidRPr="001B1CE3">
      <w:rPr>
        <w:rFonts w:ascii="Arial" w:hAnsi="Arial" w:cs="Arial"/>
      </w:rPr>
      <w:fldChar w:fldCharType="begin"/>
    </w:r>
    <w:r w:rsidR="00083DEE" w:rsidRPr="001B1CE3">
      <w:rPr>
        <w:rFonts w:ascii="Arial" w:hAnsi="Arial" w:cs="Arial"/>
      </w:rPr>
      <w:instrText xml:space="preserve"> PAGE   \* MERGEFORMAT </w:instrText>
    </w:r>
    <w:r w:rsidRPr="001B1CE3">
      <w:rPr>
        <w:rFonts w:ascii="Arial" w:hAnsi="Arial" w:cs="Arial"/>
      </w:rPr>
      <w:fldChar w:fldCharType="separate"/>
    </w:r>
    <w:r w:rsidR="00711E11">
      <w:rPr>
        <w:rFonts w:ascii="Arial" w:hAnsi="Arial" w:cs="Arial"/>
        <w:noProof/>
      </w:rPr>
      <w:t>2</w:t>
    </w:r>
    <w:r w:rsidRPr="001B1CE3">
      <w:rPr>
        <w:rFonts w:ascii="Arial" w:hAnsi="Arial" w:cs="Arial"/>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BF1" w:rsidRDefault="007B3BF1" w:rsidP="00820384">
      <w:pPr>
        <w:spacing w:after="0" w:line="240" w:lineRule="auto"/>
      </w:pPr>
      <w:r>
        <w:separator/>
      </w:r>
    </w:p>
  </w:footnote>
  <w:footnote w:type="continuationSeparator" w:id="0">
    <w:p w:rsidR="007B3BF1" w:rsidRDefault="007B3BF1" w:rsidP="008203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DEE" w:rsidRPr="00FF440E" w:rsidRDefault="00083DEE">
    <w:pPr>
      <w:pStyle w:val="Header"/>
      <w:rPr>
        <w:rFonts w:ascii="Arial" w:hAnsi="Arial" w:cs="Arial"/>
      </w:rPr>
    </w:pPr>
    <w:r w:rsidRPr="00FF440E">
      <w:rPr>
        <w:rFonts w:ascii="Arial" w:hAnsi="Arial" w:cs="Arial"/>
      </w:rPr>
      <w:tab/>
    </w:r>
    <w:r w:rsidRPr="00FF440E">
      <w:rP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24FC6"/>
    <w:multiLevelType w:val="hybridMultilevel"/>
    <w:tmpl w:val="2D14B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1A0FC8"/>
    <w:multiLevelType w:val="hybridMultilevel"/>
    <w:tmpl w:val="B476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C178E2"/>
    <w:multiLevelType w:val="hybridMultilevel"/>
    <w:tmpl w:val="6ED0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F615A73"/>
    <w:multiLevelType w:val="hybridMultilevel"/>
    <w:tmpl w:val="8B6E8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521882"/>
    <w:multiLevelType w:val="hybridMultilevel"/>
    <w:tmpl w:val="C2B29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78792E"/>
    <w:multiLevelType w:val="hybridMultilevel"/>
    <w:tmpl w:val="5D04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F66317E"/>
    <w:multiLevelType w:val="hybridMultilevel"/>
    <w:tmpl w:val="787EE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4"/>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Clin Pharmacokinetics&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Layout&gt;"/>
    <w:docVar w:name="EN.Libraries" w:val="&lt;Libraries&gt;&lt;item db-id=&quot;fzwa2xv54wwf0aes0wc5z0x70zrrw5zx5sfz&quot;&gt;PKPD dosing&lt;record-ids&gt;&lt;item&gt;1&lt;/item&gt;&lt;item&gt;2&lt;/item&gt;&lt;item&gt;3&lt;/item&gt;&lt;item&gt;4&lt;/item&gt;&lt;item&gt;5&lt;/item&gt;&lt;item&gt;6&lt;/item&gt;&lt;item&gt;7&lt;/item&gt;&lt;item&gt;8&lt;/item&gt;&lt;item&gt;9&lt;/item&gt;&lt;item&gt;10&lt;/item&gt;&lt;item&gt;11&lt;/item&gt;&lt;item&gt;12&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40&lt;/item&gt;&lt;item&gt;42&lt;/item&gt;&lt;/record-ids&gt;&lt;/item&gt;&lt;/Libraries&gt;"/>
  </w:docVars>
  <w:rsids>
    <w:rsidRoot w:val="00872E17"/>
    <w:rsid w:val="00000F66"/>
    <w:rsid w:val="00002A94"/>
    <w:rsid w:val="000031EF"/>
    <w:rsid w:val="000048C5"/>
    <w:rsid w:val="000105FC"/>
    <w:rsid w:val="0001077D"/>
    <w:rsid w:val="00010DED"/>
    <w:rsid w:val="00011CBC"/>
    <w:rsid w:val="0001272C"/>
    <w:rsid w:val="000166A6"/>
    <w:rsid w:val="0001683C"/>
    <w:rsid w:val="000175E5"/>
    <w:rsid w:val="000176D3"/>
    <w:rsid w:val="0002049A"/>
    <w:rsid w:val="000211C2"/>
    <w:rsid w:val="0002199B"/>
    <w:rsid w:val="00023117"/>
    <w:rsid w:val="000251F2"/>
    <w:rsid w:val="00026A23"/>
    <w:rsid w:val="00026CF6"/>
    <w:rsid w:val="00027398"/>
    <w:rsid w:val="000301C0"/>
    <w:rsid w:val="000317CB"/>
    <w:rsid w:val="00031B2C"/>
    <w:rsid w:val="0003359F"/>
    <w:rsid w:val="00036D42"/>
    <w:rsid w:val="000414BB"/>
    <w:rsid w:val="000427DE"/>
    <w:rsid w:val="0004377B"/>
    <w:rsid w:val="00043CB4"/>
    <w:rsid w:val="00043F59"/>
    <w:rsid w:val="000446EF"/>
    <w:rsid w:val="0004541A"/>
    <w:rsid w:val="00045A1F"/>
    <w:rsid w:val="0004661C"/>
    <w:rsid w:val="00047380"/>
    <w:rsid w:val="00047E33"/>
    <w:rsid w:val="00053EE9"/>
    <w:rsid w:val="00054C26"/>
    <w:rsid w:val="00055B4D"/>
    <w:rsid w:val="000563D9"/>
    <w:rsid w:val="00060865"/>
    <w:rsid w:val="00061015"/>
    <w:rsid w:val="000611C1"/>
    <w:rsid w:val="00061C02"/>
    <w:rsid w:val="0006261B"/>
    <w:rsid w:val="000628CA"/>
    <w:rsid w:val="00063D93"/>
    <w:rsid w:val="000644F1"/>
    <w:rsid w:val="000648C4"/>
    <w:rsid w:val="0006497A"/>
    <w:rsid w:val="000657F6"/>
    <w:rsid w:val="0006603B"/>
    <w:rsid w:val="00072C3C"/>
    <w:rsid w:val="00073712"/>
    <w:rsid w:val="00073D62"/>
    <w:rsid w:val="000761F0"/>
    <w:rsid w:val="00076FF6"/>
    <w:rsid w:val="00077830"/>
    <w:rsid w:val="00077CAE"/>
    <w:rsid w:val="000801B1"/>
    <w:rsid w:val="00082229"/>
    <w:rsid w:val="00083DEE"/>
    <w:rsid w:val="00085778"/>
    <w:rsid w:val="000866E3"/>
    <w:rsid w:val="00086A6A"/>
    <w:rsid w:val="0008702D"/>
    <w:rsid w:val="000911F1"/>
    <w:rsid w:val="0009470D"/>
    <w:rsid w:val="00094A15"/>
    <w:rsid w:val="00094E57"/>
    <w:rsid w:val="00097B5D"/>
    <w:rsid w:val="000A0815"/>
    <w:rsid w:val="000A0EB1"/>
    <w:rsid w:val="000A1270"/>
    <w:rsid w:val="000A4C3D"/>
    <w:rsid w:val="000A4EC8"/>
    <w:rsid w:val="000A56DA"/>
    <w:rsid w:val="000A5835"/>
    <w:rsid w:val="000B0EF5"/>
    <w:rsid w:val="000B1D06"/>
    <w:rsid w:val="000B2407"/>
    <w:rsid w:val="000B2B01"/>
    <w:rsid w:val="000B3B60"/>
    <w:rsid w:val="000B539D"/>
    <w:rsid w:val="000B5888"/>
    <w:rsid w:val="000B69B7"/>
    <w:rsid w:val="000C06D6"/>
    <w:rsid w:val="000C2C3C"/>
    <w:rsid w:val="000C648D"/>
    <w:rsid w:val="000C6FC7"/>
    <w:rsid w:val="000C74B2"/>
    <w:rsid w:val="000C76A1"/>
    <w:rsid w:val="000D0355"/>
    <w:rsid w:val="000D0C45"/>
    <w:rsid w:val="000D0F58"/>
    <w:rsid w:val="000D15C5"/>
    <w:rsid w:val="000D19C0"/>
    <w:rsid w:val="000D3431"/>
    <w:rsid w:val="000D35D0"/>
    <w:rsid w:val="000D4AAB"/>
    <w:rsid w:val="000D600C"/>
    <w:rsid w:val="000D7615"/>
    <w:rsid w:val="000D784A"/>
    <w:rsid w:val="000E0E60"/>
    <w:rsid w:val="000E22FD"/>
    <w:rsid w:val="000E2B66"/>
    <w:rsid w:val="000E7ABD"/>
    <w:rsid w:val="000F09E4"/>
    <w:rsid w:val="000F0F5C"/>
    <w:rsid w:val="000F1A0E"/>
    <w:rsid w:val="000F1ED6"/>
    <w:rsid w:val="000F3299"/>
    <w:rsid w:val="000F4B2E"/>
    <w:rsid w:val="000F58A5"/>
    <w:rsid w:val="0010254D"/>
    <w:rsid w:val="00102BED"/>
    <w:rsid w:val="001034E0"/>
    <w:rsid w:val="0010700F"/>
    <w:rsid w:val="001077E6"/>
    <w:rsid w:val="0011027C"/>
    <w:rsid w:val="00110EC2"/>
    <w:rsid w:val="0011141E"/>
    <w:rsid w:val="001120A2"/>
    <w:rsid w:val="00113346"/>
    <w:rsid w:val="001136FC"/>
    <w:rsid w:val="00113FC0"/>
    <w:rsid w:val="00114FCB"/>
    <w:rsid w:val="00115DAF"/>
    <w:rsid w:val="00120543"/>
    <w:rsid w:val="0012162D"/>
    <w:rsid w:val="00122350"/>
    <w:rsid w:val="0012272C"/>
    <w:rsid w:val="0012375F"/>
    <w:rsid w:val="00123988"/>
    <w:rsid w:val="001257D8"/>
    <w:rsid w:val="00127267"/>
    <w:rsid w:val="00127740"/>
    <w:rsid w:val="001311A6"/>
    <w:rsid w:val="00132D71"/>
    <w:rsid w:val="00134F3C"/>
    <w:rsid w:val="001355C6"/>
    <w:rsid w:val="0013633C"/>
    <w:rsid w:val="001374FF"/>
    <w:rsid w:val="00140C0D"/>
    <w:rsid w:val="00141567"/>
    <w:rsid w:val="00143E0B"/>
    <w:rsid w:val="00145C72"/>
    <w:rsid w:val="001478FB"/>
    <w:rsid w:val="00151F13"/>
    <w:rsid w:val="001520F3"/>
    <w:rsid w:val="00153AAF"/>
    <w:rsid w:val="001557E4"/>
    <w:rsid w:val="0015620E"/>
    <w:rsid w:val="00156C16"/>
    <w:rsid w:val="00156D11"/>
    <w:rsid w:val="001577AC"/>
    <w:rsid w:val="00157955"/>
    <w:rsid w:val="001604C0"/>
    <w:rsid w:val="001608B3"/>
    <w:rsid w:val="0016163A"/>
    <w:rsid w:val="0016216D"/>
    <w:rsid w:val="001626E5"/>
    <w:rsid w:val="00163155"/>
    <w:rsid w:val="001649F6"/>
    <w:rsid w:val="001652F8"/>
    <w:rsid w:val="00165D7B"/>
    <w:rsid w:val="001660BC"/>
    <w:rsid w:val="00170304"/>
    <w:rsid w:val="001716F2"/>
    <w:rsid w:val="00172E2E"/>
    <w:rsid w:val="00173447"/>
    <w:rsid w:val="00174EDF"/>
    <w:rsid w:val="0017585D"/>
    <w:rsid w:val="00175EFC"/>
    <w:rsid w:val="00176BBD"/>
    <w:rsid w:val="00180B96"/>
    <w:rsid w:val="0018423A"/>
    <w:rsid w:val="00185D9C"/>
    <w:rsid w:val="0018775B"/>
    <w:rsid w:val="00187FED"/>
    <w:rsid w:val="0019106B"/>
    <w:rsid w:val="0019461E"/>
    <w:rsid w:val="00195916"/>
    <w:rsid w:val="001972D6"/>
    <w:rsid w:val="001972EE"/>
    <w:rsid w:val="00197E6E"/>
    <w:rsid w:val="001A074F"/>
    <w:rsid w:val="001A43A0"/>
    <w:rsid w:val="001A46D3"/>
    <w:rsid w:val="001C0EF2"/>
    <w:rsid w:val="001C1C1D"/>
    <w:rsid w:val="001C1EDB"/>
    <w:rsid w:val="001C4021"/>
    <w:rsid w:val="001C732C"/>
    <w:rsid w:val="001C7828"/>
    <w:rsid w:val="001C7ADA"/>
    <w:rsid w:val="001D116B"/>
    <w:rsid w:val="001D27C7"/>
    <w:rsid w:val="001D2FCC"/>
    <w:rsid w:val="001D64B8"/>
    <w:rsid w:val="001E3A93"/>
    <w:rsid w:val="001E4F02"/>
    <w:rsid w:val="001E7510"/>
    <w:rsid w:val="001F29A3"/>
    <w:rsid w:val="001F4003"/>
    <w:rsid w:val="001F5117"/>
    <w:rsid w:val="001F587C"/>
    <w:rsid w:val="001F75C5"/>
    <w:rsid w:val="00201CED"/>
    <w:rsid w:val="00201E71"/>
    <w:rsid w:val="00202EAD"/>
    <w:rsid w:val="00204516"/>
    <w:rsid w:val="002078B0"/>
    <w:rsid w:val="00212152"/>
    <w:rsid w:val="00212C91"/>
    <w:rsid w:val="002146A5"/>
    <w:rsid w:val="002160F5"/>
    <w:rsid w:val="002215E9"/>
    <w:rsid w:val="0022330E"/>
    <w:rsid w:val="00223780"/>
    <w:rsid w:val="00225B5E"/>
    <w:rsid w:val="0023156A"/>
    <w:rsid w:val="00233F97"/>
    <w:rsid w:val="00235566"/>
    <w:rsid w:val="00236BF1"/>
    <w:rsid w:val="00237699"/>
    <w:rsid w:val="00240A1D"/>
    <w:rsid w:val="0024268E"/>
    <w:rsid w:val="0024304C"/>
    <w:rsid w:val="00243CE1"/>
    <w:rsid w:val="00244384"/>
    <w:rsid w:val="00245F72"/>
    <w:rsid w:val="002461F8"/>
    <w:rsid w:val="00254682"/>
    <w:rsid w:val="00254F0B"/>
    <w:rsid w:val="0025556A"/>
    <w:rsid w:val="00257953"/>
    <w:rsid w:val="00257EE4"/>
    <w:rsid w:val="00260F04"/>
    <w:rsid w:val="00261EB2"/>
    <w:rsid w:val="00262E44"/>
    <w:rsid w:val="0026457C"/>
    <w:rsid w:val="00265B9C"/>
    <w:rsid w:val="002671B1"/>
    <w:rsid w:val="00271539"/>
    <w:rsid w:val="00272FAB"/>
    <w:rsid w:val="00275C9F"/>
    <w:rsid w:val="00275E5D"/>
    <w:rsid w:val="00275F4B"/>
    <w:rsid w:val="002879C9"/>
    <w:rsid w:val="00292897"/>
    <w:rsid w:val="00292AD3"/>
    <w:rsid w:val="00292FC5"/>
    <w:rsid w:val="00293F0F"/>
    <w:rsid w:val="00294292"/>
    <w:rsid w:val="00294EB9"/>
    <w:rsid w:val="00294F20"/>
    <w:rsid w:val="00296796"/>
    <w:rsid w:val="00296B5B"/>
    <w:rsid w:val="002970BF"/>
    <w:rsid w:val="002A0403"/>
    <w:rsid w:val="002A208C"/>
    <w:rsid w:val="002A33EA"/>
    <w:rsid w:val="002A39E6"/>
    <w:rsid w:val="002A3B7D"/>
    <w:rsid w:val="002A3DED"/>
    <w:rsid w:val="002A3F98"/>
    <w:rsid w:val="002A6016"/>
    <w:rsid w:val="002A6D70"/>
    <w:rsid w:val="002A71CB"/>
    <w:rsid w:val="002B028F"/>
    <w:rsid w:val="002B28CD"/>
    <w:rsid w:val="002B481D"/>
    <w:rsid w:val="002B5DA4"/>
    <w:rsid w:val="002C068B"/>
    <w:rsid w:val="002C301C"/>
    <w:rsid w:val="002C3EE3"/>
    <w:rsid w:val="002C6DFB"/>
    <w:rsid w:val="002D0F8A"/>
    <w:rsid w:val="002D172D"/>
    <w:rsid w:val="002D1887"/>
    <w:rsid w:val="002D33C4"/>
    <w:rsid w:val="002D4E53"/>
    <w:rsid w:val="002D6570"/>
    <w:rsid w:val="002D7104"/>
    <w:rsid w:val="002E3256"/>
    <w:rsid w:val="002E49D6"/>
    <w:rsid w:val="002E4EE7"/>
    <w:rsid w:val="002E7BB5"/>
    <w:rsid w:val="002F07E5"/>
    <w:rsid w:val="002F1173"/>
    <w:rsid w:val="002F1311"/>
    <w:rsid w:val="002F4BC8"/>
    <w:rsid w:val="002F6935"/>
    <w:rsid w:val="00301A30"/>
    <w:rsid w:val="0030415C"/>
    <w:rsid w:val="00304861"/>
    <w:rsid w:val="00305E52"/>
    <w:rsid w:val="00306BD7"/>
    <w:rsid w:val="0031086E"/>
    <w:rsid w:val="00310E22"/>
    <w:rsid w:val="00312B6D"/>
    <w:rsid w:val="0031683C"/>
    <w:rsid w:val="003172BC"/>
    <w:rsid w:val="00320A9F"/>
    <w:rsid w:val="00320F50"/>
    <w:rsid w:val="00321616"/>
    <w:rsid w:val="003218BA"/>
    <w:rsid w:val="00321DE2"/>
    <w:rsid w:val="00322FEA"/>
    <w:rsid w:val="0032633E"/>
    <w:rsid w:val="00327417"/>
    <w:rsid w:val="00327E70"/>
    <w:rsid w:val="00331966"/>
    <w:rsid w:val="0033250E"/>
    <w:rsid w:val="00332B88"/>
    <w:rsid w:val="003439F6"/>
    <w:rsid w:val="003446F2"/>
    <w:rsid w:val="003452C1"/>
    <w:rsid w:val="00347F28"/>
    <w:rsid w:val="00351314"/>
    <w:rsid w:val="003514B2"/>
    <w:rsid w:val="00351867"/>
    <w:rsid w:val="00351C4F"/>
    <w:rsid w:val="003534B2"/>
    <w:rsid w:val="003551AC"/>
    <w:rsid w:val="00357858"/>
    <w:rsid w:val="00362313"/>
    <w:rsid w:val="0036249F"/>
    <w:rsid w:val="00363285"/>
    <w:rsid w:val="0036369C"/>
    <w:rsid w:val="00363990"/>
    <w:rsid w:val="00364A86"/>
    <w:rsid w:val="00364E23"/>
    <w:rsid w:val="00365E94"/>
    <w:rsid w:val="003677D9"/>
    <w:rsid w:val="00367E3A"/>
    <w:rsid w:val="003700F7"/>
    <w:rsid w:val="00370400"/>
    <w:rsid w:val="00371A73"/>
    <w:rsid w:val="00371A9A"/>
    <w:rsid w:val="0037524F"/>
    <w:rsid w:val="003756D8"/>
    <w:rsid w:val="00377ED2"/>
    <w:rsid w:val="0038343C"/>
    <w:rsid w:val="00383887"/>
    <w:rsid w:val="00383F2C"/>
    <w:rsid w:val="00385BC0"/>
    <w:rsid w:val="003868B5"/>
    <w:rsid w:val="00387773"/>
    <w:rsid w:val="0039100C"/>
    <w:rsid w:val="0039170A"/>
    <w:rsid w:val="003950C1"/>
    <w:rsid w:val="00395611"/>
    <w:rsid w:val="003956FA"/>
    <w:rsid w:val="00395D3C"/>
    <w:rsid w:val="003A0BB3"/>
    <w:rsid w:val="003A28C2"/>
    <w:rsid w:val="003A3679"/>
    <w:rsid w:val="003A4912"/>
    <w:rsid w:val="003A4CB0"/>
    <w:rsid w:val="003A50FE"/>
    <w:rsid w:val="003A5B96"/>
    <w:rsid w:val="003B1577"/>
    <w:rsid w:val="003B17DD"/>
    <w:rsid w:val="003B28E3"/>
    <w:rsid w:val="003B36A4"/>
    <w:rsid w:val="003B3BF0"/>
    <w:rsid w:val="003B492B"/>
    <w:rsid w:val="003B5622"/>
    <w:rsid w:val="003B62D2"/>
    <w:rsid w:val="003B655D"/>
    <w:rsid w:val="003B7282"/>
    <w:rsid w:val="003B77CB"/>
    <w:rsid w:val="003C109E"/>
    <w:rsid w:val="003C3127"/>
    <w:rsid w:val="003C4B4C"/>
    <w:rsid w:val="003C5708"/>
    <w:rsid w:val="003C719F"/>
    <w:rsid w:val="003C7AC6"/>
    <w:rsid w:val="003D0DCB"/>
    <w:rsid w:val="003D1342"/>
    <w:rsid w:val="003D1463"/>
    <w:rsid w:val="003D3B89"/>
    <w:rsid w:val="003D7D39"/>
    <w:rsid w:val="003E0A28"/>
    <w:rsid w:val="003E0EA5"/>
    <w:rsid w:val="003E2789"/>
    <w:rsid w:val="003E4532"/>
    <w:rsid w:val="003E62A8"/>
    <w:rsid w:val="003F17AC"/>
    <w:rsid w:val="003F2875"/>
    <w:rsid w:val="003F35E4"/>
    <w:rsid w:val="003F5D46"/>
    <w:rsid w:val="0040412A"/>
    <w:rsid w:val="0040485F"/>
    <w:rsid w:val="00407212"/>
    <w:rsid w:val="00410942"/>
    <w:rsid w:val="00412418"/>
    <w:rsid w:val="00414D55"/>
    <w:rsid w:val="0041590D"/>
    <w:rsid w:val="00415E6F"/>
    <w:rsid w:val="00416E45"/>
    <w:rsid w:val="004204F2"/>
    <w:rsid w:val="00420D45"/>
    <w:rsid w:val="00430576"/>
    <w:rsid w:val="00430C6F"/>
    <w:rsid w:val="004310A9"/>
    <w:rsid w:val="00431444"/>
    <w:rsid w:val="004319AB"/>
    <w:rsid w:val="00432810"/>
    <w:rsid w:val="00437E01"/>
    <w:rsid w:val="00437E4A"/>
    <w:rsid w:val="0044034A"/>
    <w:rsid w:val="0044310C"/>
    <w:rsid w:val="0044560A"/>
    <w:rsid w:val="00445992"/>
    <w:rsid w:val="00447E3D"/>
    <w:rsid w:val="00450BB5"/>
    <w:rsid w:val="00450F9C"/>
    <w:rsid w:val="00451A3D"/>
    <w:rsid w:val="004528FE"/>
    <w:rsid w:val="00452E65"/>
    <w:rsid w:val="00454099"/>
    <w:rsid w:val="00454A2B"/>
    <w:rsid w:val="00462759"/>
    <w:rsid w:val="00462BED"/>
    <w:rsid w:val="0046378C"/>
    <w:rsid w:val="00466087"/>
    <w:rsid w:val="00466F87"/>
    <w:rsid w:val="004702C8"/>
    <w:rsid w:val="004706C5"/>
    <w:rsid w:val="00472228"/>
    <w:rsid w:val="00472B48"/>
    <w:rsid w:val="00473584"/>
    <w:rsid w:val="004738ED"/>
    <w:rsid w:val="004739E3"/>
    <w:rsid w:val="00473EC9"/>
    <w:rsid w:val="00474B0F"/>
    <w:rsid w:val="00474FCD"/>
    <w:rsid w:val="004753B6"/>
    <w:rsid w:val="0048042B"/>
    <w:rsid w:val="00480891"/>
    <w:rsid w:val="00482D60"/>
    <w:rsid w:val="004857D8"/>
    <w:rsid w:val="004863EB"/>
    <w:rsid w:val="0048670B"/>
    <w:rsid w:val="00487A04"/>
    <w:rsid w:val="00487A3F"/>
    <w:rsid w:val="00492E18"/>
    <w:rsid w:val="0049300E"/>
    <w:rsid w:val="00493821"/>
    <w:rsid w:val="00497F11"/>
    <w:rsid w:val="004A038E"/>
    <w:rsid w:val="004A18F1"/>
    <w:rsid w:val="004A1B30"/>
    <w:rsid w:val="004A5037"/>
    <w:rsid w:val="004A51CA"/>
    <w:rsid w:val="004A5780"/>
    <w:rsid w:val="004A6461"/>
    <w:rsid w:val="004A7FBD"/>
    <w:rsid w:val="004B0524"/>
    <w:rsid w:val="004B2C65"/>
    <w:rsid w:val="004B546C"/>
    <w:rsid w:val="004C18B2"/>
    <w:rsid w:val="004C233F"/>
    <w:rsid w:val="004C44A0"/>
    <w:rsid w:val="004D0D59"/>
    <w:rsid w:val="004D1E29"/>
    <w:rsid w:val="004D43E8"/>
    <w:rsid w:val="004D5710"/>
    <w:rsid w:val="004D6240"/>
    <w:rsid w:val="004E15B2"/>
    <w:rsid w:val="004E2B3F"/>
    <w:rsid w:val="004E5632"/>
    <w:rsid w:val="004E5A3B"/>
    <w:rsid w:val="004E62C5"/>
    <w:rsid w:val="004E6323"/>
    <w:rsid w:val="004E6FAF"/>
    <w:rsid w:val="004F0DA3"/>
    <w:rsid w:val="004F14E5"/>
    <w:rsid w:val="004F4C19"/>
    <w:rsid w:val="004F6622"/>
    <w:rsid w:val="004F6F76"/>
    <w:rsid w:val="00500852"/>
    <w:rsid w:val="0050212D"/>
    <w:rsid w:val="00502766"/>
    <w:rsid w:val="00505D6B"/>
    <w:rsid w:val="005072BE"/>
    <w:rsid w:val="00507310"/>
    <w:rsid w:val="005104B4"/>
    <w:rsid w:val="00514750"/>
    <w:rsid w:val="00521E20"/>
    <w:rsid w:val="00523A33"/>
    <w:rsid w:val="00523EAC"/>
    <w:rsid w:val="00524248"/>
    <w:rsid w:val="00524AEC"/>
    <w:rsid w:val="00525533"/>
    <w:rsid w:val="00527A53"/>
    <w:rsid w:val="005319EB"/>
    <w:rsid w:val="00532476"/>
    <w:rsid w:val="005324A9"/>
    <w:rsid w:val="0053335F"/>
    <w:rsid w:val="0053451E"/>
    <w:rsid w:val="00535A26"/>
    <w:rsid w:val="00535F94"/>
    <w:rsid w:val="005363D0"/>
    <w:rsid w:val="00536695"/>
    <w:rsid w:val="00536C66"/>
    <w:rsid w:val="0054110F"/>
    <w:rsid w:val="00541472"/>
    <w:rsid w:val="0054210F"/>
    <w:rsid w:val="00544E7E"/>
    <w:rsid w:val="005469DA"/>
    <w:rsid w:val="00546ADC"/>
    <w:rsid w:val="00547592"/>
    <w:rsid w:val="00547A97"/>
    <w:rsid w:val="00551AF6"/>
    <w:rsid w:val="00552B5E"/>
    <w:rsid w:val="00553DA6"/>
    <w:rsid w:val="00556AFF"/>
    <w:rsid w:val="00556E50"/>
    <w:rsid w:val="00557141"/>
    <w:rsid w:val="005578A0"/>
    <w:rsid w:val="00562E45"/>
    <w:rsid w:val="00563CBA"/>
    <w:rsid w:val="00563D91"/>
    <w:rsid w:val="00563F18"/>
    <w:rsid w:val="00564836"/>
    <w:rsid w:val="00571B09"/>
    <w:rsid w:val="00571B71"/>
    <w:rsid w:val="00571E08"/>
    <w:rsid w:val="00574FA8"/>
    <w:rsid w:val="00575282"/>
    <w:rsid w:val="00576752"/>
    <w:rsid w:val="005774A6"/>
    <w:rsid w:val="00577C83"/>
    <w:rsid w:val="00580016"/>
    <w:rsid w:val="0058093D"/>
    <w:rsid w:val="00580E7E"/>
    <w:rsid w:val="005811D6"/>
    <w:rsid w:val="005813CE"/>
    <w:rsid w:val="0058360F"/>
    <w:rsid w:val="00586413"/>
    <w:rsid w:val="00592AFE"/>
    <w:rsid w:val="00597384"/>
    <w:rsid w:val="005A0D80"/>
    <w:rsid w:val="005A379E"/>
    <w:rsid w:val="005A46CC"/>
    <w:rsid w:val="005A7187"/>
    <w:rsid w:val="005A7D85"/>
    <w:rsid w:val="005B02BF"/>
    <w:rsid w:val="005B114A"/>
    <w:rsid w:val="005B2759"/>
    <w:rsid w:val="005B2F98"/>
    <w:rsid w:val="005B31D1"/>
    <w:rsid w:val="005B6B6A"/>
    <w:rsid w:val="005B6C2F"/>
    <w:rsid w:val="005B7674"/>
    <w:rsid w:val="005C062A"/>
    <w:rsid w:val="005C069E"/>
    <w:rsid w:val="005C3CB8"/>
    <w:rsid w:val="005C5E60"/>
    <w:rsid w:val="005C6BE3"/>
    <w:rsid w:val="005C7505"/>
    <w:rsid w:val="005C7B55"/>
    <w:rsid w:val="005D0806"/>
    <w:rsid w:val="005D0EB5"/>
    <w:rsid w:val="005D17F7"/>
    <w:rsid w:val="005D2808"/>
    <w:rsid w:val="005D3531"/>
    <w:rsid w:val="005D5908"/>
    <w:rsid w:val="005D65E5"/>
    <w:rsid w:val="005D7CBD"/>
    <w:rsid w:val="005E0D20"/>
    <w:rsid w:val="005E0DAF"/>
    <w:rsid w:val="005E14B9"/>
    <w:rsid w:val="005E2692"/>
    <w:rsid w:val="005E3433"/>
    <w:rsid w:val="005E349A"/>
    <w:rsid w:val="005E3EA3"/>
    <w:rsid w:val="005E44E0"/>
    <w:rsid w:val="005E692B"/>
    <w:rsid w:val="005E6A7E"/>
    <w:rsid w:val="005F106C"/>
    <w:rsid w:val="005F2527"/>
    <w:rsid w:val="005F3A74"/>
    <w:rsid w:val="00602C57"/>
    <w:rsid w:val="0060619B"/>
    <w:rsid w:val="00606C9F"/>
    <w:rsid w:val="0060701E"/>
    <w:rsid w:val="00611E78"/>
    <w:rsid w:val="00612951"/>
    <w:rsid w:val="00612D47"/>
    <w:rsid w:val="006135C3"/>
    <w:rsid w:val="00613709"/>
    <w:rsid w:val="00613AD8"/>
    <w:rsid w:val="00615273"/>
    <w:rsid w:val="00622DAE"/>
    <w:rsid w:val="0062374B"/>
    <w:rsid w:val="00624DCA"/>
    <w:rsid w:val="006254DB"/>
    <w:rsid w:val="00625815"/>
    <w:rsid w:val="006300C2"/>
    <w:rsid w:val="006352D4"/>
    <w:rsid w:val="00637EAA"/>
    <w:rsid w:val="00641DCC"/>
    <w:rsid w:val="006420F2"/>
    <w:rsid w:val="0064214C"/>
    <w:rsid w:val="006429FD"/>
    <w:rsid w:val="00643665"/>
    <w:rsid w:val="0065030C"/>
    <w:rsid w:val="006514DA"/>
    <w:rsid w:val="00651FE3"/>
    <w:rsid w:val="00652546"/>
    <w:rsid w:val="00656FF0"/>
    <w:rsid w:val="006615C1"/>
    <w:rsid w:val="00661A38"/>
    <w:rsid w:val="00665107"/>
    <w:rsid w:val="00665F45"/>
    <w:rsid w:val="00667626"/>
    <w:rsid w:val="006703CF"/>
    <w:rsid w:val="006738C9"/>
    <w:rsid w:val="00676052"/>
    <w:rsid w:val="006760FA"/>
    <w:rsid w:val="00676D73"/>
    <w:rsid w:val="00676DD2"/>
    <w:rsid w:val="00676FEA"/>
    <w:rsid w:val="00681431"/>
    <w:rsid w:val="00682755"/>
    <w:rsid w:val="00683F9C"/>
    <w:rsid w:val="0068691E"/>
    <w:rsid w:val="00686BA2"/>
    <w:rsid w:val="00690118"/>
    <w:rsid w:val="00690AB7"/>
    <w:rsid w:val="0069209E"/>
    <w:rsid w:val="00692346"/>
    <w:rsid w:val="00693ECE"/>
    <w:rsid w:val="00694029"/>
    <w:rsid w:val="00694A7C"/>
    <w:rsid w:val="006958FC"/>
    <w:rsid w:val="00695E9B"/>
    <w:rsid w:val="006973B6"/>
    <w:rsid w:val="006A2D14"/>
    <w:rsid w:val="006A32F1"/>
    <w:rsid w:val="006A3871"/>
    <w:rsid w:val="006A39F6"/>
    <w:rsid w:val="006A5DBE"/>
    <w:rsid w:val="006A6FEA"/>
    <w:rsid w:val="006A7BEE"/>
    <w:rsid w:val="006B1278"/>
    <w:rsid w:val="006B19D1"/>
    <w:rsid w:val="006B202C"/>
    <w:rsid w:val="006B2A5D"/>
    <w:rsid w:val="006B38E2"/>
    <w:rsid w:val="006B3BBF"/>
    <w:rsid w:val="006B551A"/>
    <w:rsid w:val="006B57D7"/>
    <w:rsid w:val="006B6041"/>
    <w:rsid w:val="006B60F7"/>
    <w:rsid w:val="006C0F9D"/>
    <w:rsid w:val="006C2BEE"/>
    <w:rsid w:val="006C2D06"/>
    <w:rsid w:val="006C6637"/>
    <w:rsid w:val="006C6E8F"/>
    <w:rsid w:val="006C71DB"/>
    <w:rsid w:val="006C729A"/>
    <w:rsid w:val="006D17B2"/>
    <w:rsid w:val="006D244B"/>
    <w:rsid w:val="006D35EB"/>
    <w:rsid w:val="006D6712"/>
    <w:rsid w:val="006D71AA"/>
    <w:rsid w:val="006D7F48"/>
    <w:rsid w:val="006E316C"/>
    <w:rsid w:val="006E34FC"/>
    <w:rsid w:val="006E42A9"/>
    <w:rsid w:val="006E475A"/>
    <w:rsid w:val="006E6E6A"/>
    <w:rsid w:val="006E7621"/>
    <w:rsid w:val="006E7E99"/>
    <w:rsid w:val="006F093C"/>
    <w:rsid w:val="006F1DB2"/>
    <w:rsid w:val="006F2183"/>
    <w:rsid w:val="006F27CF"/>
    <w:rsid w:val="006F3A97"/>
    <w:rsid w:val="006F3E58"/>
    <w:rsid w:val="006F5503"/>
    <w:rsid w:val="006F5B9C"/>
    <w:rsid w:val="006F6283"/>
    <w:rsid w:val="006F64A0"/>
    <w:rsid w:val="006F7E6B"/>
    <w:rsid w:val="0070062B"/>
    <w:rsid w:val="00703307"/>
    <w:rsid w:val="00704EEA"/>
    <w:rsid w:val="00706BA3"/>
    <w:rsid w:val="00711E11"/>
    <w:rsid w:val="00711F19"/>
    <w:rsid w:val="00712561"/>
    <w:rsid w:val="00712714"/>
    <w:rsid w:val="00716049"/>
    <w:rsid w:val="00720727"/>
    <w:rsid w:val="007217B8"/>
    <w:rsid w:val="00724A4A"/>
    <w:rsid w:val="00726895"/>
    <w:rsid w:val="00726C8A"/>
    <w:rsid w:val="007274A5"/>
    <w:rsid w:val="00730CC3"/>
    <w:rsid w:val="00734169"/>
    <w:rsid w:val="007351BD"/>
    <w:rsid w:val="00735798"/>
    <w:rsid w:val="00735D3F"/>
    <w:rsid w:val="007371E0"/>
    <w:rsid w:val="00737930"/>
    <w:rsid w:val="00737C12"/>
    <w:rsid w:val="00742029"/>
    <w:rsid w:val="0074250B"/>
    <w:rsid w:val="007430C9"/>
    <w:rsid w:val="00743576"/>
    <w:rsid w:val="00750948"/>
    <w:rsid w:val="00751CEA"/>
    <w:rsid w:val="0075240C"/>
    <w:rsid w:val="0075384D"/>
    <w:rsid w:val="007540E1"/>
    <w:rsid w:val="00755D7B"/>
    <w:rsid w:val="0075686A"/>
    <w:rsid w:val="007610AC"/>
    <w:rsid w:val="007617F2"/>
    <w:rsid w:val="00762BED"/>
    <w:rsid w:val="00764423"/>
    <w:rsid w:val="007672B4"/>
    <w:rsid w:val="007739E9"/>
    <w:rsid w:val="0077403E"/>
    <w:rsid w:val="00774AFD"/>
    <w:rsid w:val="00775019"/>
    <w:rsid w:val="007759DA"/>
    <w:rsid w:val="00776622"/>
    <w:rsid w:val="007774D2"/>
    <w:rsid w:val="007808B5"/>
    <w:rsid w:val="007815B6"/>
    <w:rsid w:val="0078287E"/>
    <w:rsid w:val="00782D82"/>
    <w:rsid w:val="00783BF6"/>
    <w:rsid w:val="00784114"/>
    <w:rsid w:val="007860A6"/>
    <w:rsid w:val="0078676E"/>
    <w:rsid w:val="007870DB"/>
    <w:rsid w:val="007905C3"/>
    <w:rsid w:val="0079226A"/>
    <w:rsid w:val="007941CF"/>
    <w:rsid w:val="00795A09"/>
    <w:rsid w:val="00796386"/>
    <w:rsid w:val="0079667A"/>
    <w:rsid w:val="00797B53"/>
    <w:rsid w:val="007A05F6"/>
    <w:rsid w:val="007A079C"/>
    <w:rsid w:val="007A0E1E"/>
    <w:rsid w:val="007A292B"/>
    <w:rsid w:val="007A3222"/>
    <w:rsid w:val="007A3EC8"/>
    <w:rsid w:val="007A40EF"/>
    <w:rsid w:val="007B007C"/>
    <w:rsid w:val="007B239B"/>
    <w:rsid w:val="007B3BF1"/>
    <w:rsid w:val="007B4D22"/>
    <w:rsid w:val="007B539A"/>
    <w:rsid w:val="007B7174"/>
    <w:rsid w:val="007C51AC"/>
    <w:rsid w:val="007D15E6"/>
    <w:rsid w:val="007D2D10"/>
    <w:rsid w:val="007D3776"/>
    <w:rsid w:val="007D53B5"/>
    <w:rsid w:val="007D6861"/>
    <w:rsid w:val="007D6CE5"/>
    <w:rsid w:val="007D7AA5"/>
    <w:rsid w:val="007D7CAF"/>
    <w:rsid w:val="007E0765"/>
    <w:rsid w:val="007E2406"/>
    <w:rsid w:val="007E4EB8"/>
    <w:rsid w:val="007E6BAD"/>
    <w:rsid w:val="007E74F3"/>
    <w:rsid w:val="007E7506"/>
    <w:rsid w:val="007F086A"/>
    <w:rsid w:val="007F0B5C"/>
    <w:rsid w:val="007F0BA0"/>
    <w:rsid w:val="007F390A"/>
    <w:rsid w:val="007F3D28"/>
    <w:rsid w:val="007F43CD"/>
    <w:rsid w:val="007F721A"/>
    <w:rsid w:val="007F7B9F"/>
    <w:rsid w:val="00802764"/>
    <w:rsid w:val="008027CF"/>
    <w:rsid w:val="00803D27"/>
    <w:rsid w:val="00807BB2"/>
    <w:rsid w:val="00807CB9"/>
    <w:rsid w:val="00810A63"/>
    <w:rsid w:val="008118FF"/>
    <w:rsid w:val="00811A9F"/>
    <w:rsid w:val="00811BD6"/>
    <w:rsid w:val="00811F05"/>
    <w:rsid w:val="00814ED9"/>
    <w:rsid w:val="00816268"/>
    <w:rsid w:val="00817375"/>
    <w:rsid w:val="00817828"/>
    <w:rsid w:val="00820384"/>
    <w:rsid w:val="00820616"/>
    <w:rsid w:val="00820917"/>
    <w:rsid w:val="00820B61"/>
    <w:rsid w:val="00820EBF"/>
    <w:rsid w:val="00821692"/>
    <w:rsid w:val="008228E1"/>
    <w:rsid w:val="00826C4B"/>
    <w:rsid w:val="00827703"/>
    <w:rsid w:val="00831633"/>
    <w:rsid w:val="00831790"/>
    <w:rsid w:val="008324A8"/>
    <w:rsid w:val="00833330"/>
    <w:rsid w:val="0083666B"/>
    <w:rsid w:val="00837528"/>
    <w:rsid w:val="00840E40"/>
    <w:rsid w:val="008421BC"/>
    <w:rsid w:val="00842496"/>
    <w:rsid w:val="00843E1C"/>
    <w:rsid w:val="00845A84"/>
    <w:rsid w:val="00846AD2"/>
    <w:rsid w:val="00847E37"/>
    <w:rsid w:val="00851192"/>
    <w:rsid w:val="00852177"/>
    <w:rsid w:val="008522BC"/>
    <w:rsid w:val="008536AD"/>
    <w:rsid w:val="00853D6E"/>
    <w:rsid w:val="00855D49"/>
    <w:rsid w:val="0085729B"/>
    <w:rsid w:val="00860DF9"/>
    <w:rsid w:val="00864CB8"/>
    <w:rsid w:val="00866A74"/>
    <w:rsid w:val="00872E17"/>
    <w:rsid w:val="00872FF7"/>
    <w:rsid w:val="008766A7"/>
    <w:rsid w:val="00877080"/>
    <w:rsid w:val="00881B57"/>
    <w:rsid w:val="00881BA7"/>
    <w:rsid w:val="0088221F"/>
    <w:rsid w:val="00883E91"/>
    <w:rsid w:val="00885C83"/>
    <w:rsid w:val="00887539"/>
    <w:rsid w:val="00890D3C"/>
    <w:rsid w:val="00891DFD"/>
    <w:rsid w:val="00891E39"/>
    <w:rsid w:val="0089386B"/>
    <w:rsid w:val="00894264"/>
    <w:rsid w:val="008973FF"/>
    <w:rsid w:val="008A0214"/>
    <w:rsid w:val="008A159A"/>
    <w:rsid w:val="008A2A7B"/>
    <w:rsid w:val="008A347F"/>
    <w:rsid w:val="008A3BCE"/>
    <w:rsid w:val="008A6A0E"/>
    <w:rsid w:val="008B1466"/>
    <w:rsid w:val="008B1817"/>
    <w:rsid w:val="008B31BA"/>
    <w:rsid w:val="008B55D6"/>
    <w:rsid w:val="008B5B0E"/>
    <w:rsid w:val="008B6B47"/>
    <w:rsid w:val="008B6D0D"/>
    <w:rsid w:val="008B7D69"/>
    <w:rsid w:val="008C3BD0"/>
    <w:rsid w:val="008C491F"/>
    <w:rsid w:val="008C62C1"/>
    <w:rsid w:val="008D1B33"/>
    <w:rsid w:val="008D2FC4"/>
    <w:rsid w:val="008D3AD7"/>
    <w:rsid w:val="008D4161"/>
    <w:rsid w:val="008D59F6"/>
    <w:rsid w:val="008E05D4"/>
    <w:rsid w:val="008E0DE2"/>
    <w:rsid w:val="008E2A62"/>
    <w:rsid w:val="008E2CE8"/>
    <w:rsid w:val="008E54F8"/>
    <w:rsid w:val="008E5582"/>
    <w:rsid w:val="008F0A2B"/>
    <w:rsid w:val="008F2A4D"/>
    <w:rsid w:val="008F3056"/>
    <w:rsid w:val="008F3103"/>
    <w:rsid w:val="008F39F7"/>
    <w:rsid w:val="008F42E0"/>
    <w:rsid w:val="008F53FD"/>
    <w:rsid w:val="008F7850"/>
    <w:rsid w:val="0090003A"/>
    <w:rsid w:val="00901E8E"/>
    <w:rsid w:val="009021C8"/>
    <w:rsid w:val="00903D65"/>
    <w:rsid w:val="009050BF"/>
    <w:rsid w:val="009067AA"/>
    <w:rsid w:val="00906A4F"/>
    <w:rsid w:val="009073CD"/>
    <w:rsid w:val="00907E4B"/>
    <w:rsid w:val="009117C5"/>
    <w:rsid w:val="00912F70"/>
    <w:rsid w:val="0091434F"/>
    <w:rsid w:val="00920948"/>
    <w:rsid w:val="009218D3"/>
    <w:rsid w:val="009225FC"/>
    <w:rsid w:val="009260D4"/>
    <w:rsid w:val="00926BB6"/>
    <w:rsid w:val="00930140"/>
    <w:rsid w:val="009337DE"/>
    <w:rsid w:val="009363DD"/>
    <w:rsid w:val="0093759E"/>
    <w:rsid w:val="00940BA0"/>
    <w:rsid w:val="009431C6"/>
    <w:rsid w:val="00943495"/>
    <w:rsid w:val="009450C0"/>
    <w:rsid w:val="00945538"/>
    <w:rsid w:val="009464AE"/>
    <w:rsid w:val="009547DD"/>
    <w:rsid w:val="00955C86"/>
    <w:rsid w:val="00956C40"/>
    <w:rsid w:val="00957122"/>
    <w:rsid w:val="00957783"/>
    <w:rsid w:val="009611A4"/>
    <w:rsid w:val="00962430"/>
    <w:rsid w:val="0096321B"/>
    <w:rsid w:val="0096454B"/>
    <w:rsid w:val="00966566"/>
    <w:rsid w:val="00966D6F"/>
    <w:rsid w:val="00971492"/>
    <w:rsid w:val="00975EE7"/>
    <w:rsid w:val="009761BC"/>
    <w:rsid w:val="00976BA0"/>
    <w:rsid w:val="00976C24"/>
    <w:rsid w:val="00985732"/>
    <w:rsid w:val="00985A1C"/>
    <w:rsid w:val="009860E2"/>
    <w:rsid w:val="009863F8"/>
    <w:rsid w:val="00990508"/>
    <w:rsid w:val="0099064B"/>
    <w:rsid w:val="00990D75"/>
    <w:rsid w:val="00991BD4"/>
    <w:rsid w:val="00991F32"/>
    <w:rsid w:val="00994C0E"/>
    <w:rsid w:val="00994FB5"/>
    <w:rsid w:val="00995BCE"/>
    <w:rsid w:val="00996792"/>
    <w:rsid w:val="00996D33"/>
    <w:rsid w:val="009A0188"/>
    <w:rsid w:val="009A13AE"/>
    <w:rsid w:val="009A1AC8"/>
    <w:rsid w:val="009A257E"/>
    <w:rsid w:val="009A44DD"/>
    <w:rsid w:val="009A4E8D"/>
    <w:rsid w:val="009A6C86"/>
    <w:rsid w:val="009B0A6C"/>
    <w:rsid w:val="009B0F91"/>
    <w:rsid w:val="009B144A"/>
    <w:rsid w:val="009B2B2C"/>
    <w:rsid w:val="009B3BE8"/>
    <w:rsid w:val="009B75A7"/>
    <w:rsid w:val="009B7D85"/>
    <w:rsid w:val="009B7EAB"/>
    <w:rsid w:val="009C0058"/>
    <w:rsid w:val="009C00E8"/>
    <w:rsid w:val="009C0274"/>
    <w:rsid w:val="009C116F"/>
    <w:rsid w:val="009C268A"/>
    <w:rsid w:val="009C28AC"/>
    <w:rsid w:val="009C29EB"/>
    <w:rsid w:val="009C2B00"/>
    <w:rsid w:val="009C301A"/>
    <w:rsid w:val="009C3F20"/>
    <w:rsid w:val="009C5750"/>
    <w:rsid w:val="009C7612"/>
    <w:rsid w:val="009C7DCA"/>
    <w:rsid w:val="009D4007"/>
    <w:rsid w:val="009D43F3"/>
    <w:rsid w:val="009D5FBF"/>
    <w:rsid w:val="009D6B37"/>
    <w:rsid w:val="009E006D"/>
    <w:rsid w:val="009E0B47"/>
    <w:rsid w:val="009E2F8E"/>
    <w:rsid w:val="009E3DF2"/>
    <w:rsid w:val="009E56C3"/>
    <w:rsid w:val="009E63F6"/>
    <w:rsid w:val="009E725A"/>
    <w:rsid w:val="009F0902"/>
    <w:rsid w:val="009F20E3"/>
    <w:rsid w:val="009F239F"/>
    <w:rsid w:val="009F38C1"/>
    <w:rsid w:val="009F3FA4"/>
    <w:rsid w:val="009F4088"/>
    <w:rsid w:val="009F5463"/>
    <w:rsid w:val="009F6B8B"/>
    <w:rsid w:val="009F7EDD"/>
    <w:rsid w:val="009F7EFF"/>
    <w:rsid w:val="00A00397"/>
    <w:rsid w:val="00A04BC9"/>
    <w:rsid w:val="00A06589"/>
    <w:rsid w:val="00A072DF"/>
    <w:rsid w:val="00A0780C"/>
    <w:rsid w:val="00A07E3D"/>
    <w:rsid w:val="00A11299"/>
    <w:rsid w:val="00A1207E"/>
    <w:rsid w:val="00A136E2"/>
    <w:rsid w:val="00A14CD2"/>
    <w:rsid w:val="00A1667A"/>
    <w:rsid w:val="00A171A3"/>
    <w:rsid w:val="00A20D57"/>
    <w:rsid w:val="00A22BA6"/>
    <w:rsid w:val="00A2349D"/>
    <w:rsid w:val="00A23CBC"/>
    <w:rsid w:val="00A24A20"/>
    <w:rsid w:val="00A30836"/>
    <w:rsid w:val="00A3163B"/>
    <w:rsid w:val="00A35637"/>
    <w:rsid w:val="00A37B21"/>
    <w:rsid w:val="00A40465"/>
    <w:rsid w:val="00A40FDC"/>
    <w:rsid w:val="00A42D0B"/>
    <w:rsid w:val="00A44838"/>
    <w:rsid w:val="00A462AD"/>
    <w:rsid w:val="00A477F4"/>
    <w:rsid w:val="00A510B7"/>
    <w:rsid w:val="00A51815"/>
    <w:rsid w:val="00A51FC1"/>
    <w:rsid w:val="00A528AF"/>
    <w:rsid w:val="00A52981"/>
    <w:rsid w:val="00A52BA6"/>
    <w:rsid w:val="00A5313A"/>
    <w:rsid w:val="00A53C4E"/>
    <w:rsid w:val="00A54CE4"/>
    <w:rsid w:val="00A5658B"/>
    <w:rsid w:val="00A57C97"/>
    <w:rsid w:val="00A60A33"/>
    <w:rsid w:val="00A617D3"/>
    <w:rsid w:val="00A66193"/>
    <w:rsid w:val="00A670AA"/>
    <w:rsid w:val="00A674EC"/>
    <w:rsid w:val="00A678EE"/>
    <w:rsid w:val="00A710B7"/>
    <w:rsid w:val="00A719B0"/>
    <w:rsid w:val="00A71D87"/>
    <w:rsid w:val="00A72AC3"/>
    <w:rsid w:val="00A732DF"/>
    <w:rsid w:val="00A73705"/>
    <w:rsid w:val="00A75B31"/>
    <w:rsid w:val="00A7674F"/>
    <w:rsid w:val="00A8080A"/>
    <w:rsid w:val="00A81A08"/>
    <w:rsid w:val="00A82AFA"/>
    <w:rsid w:val="00A82DDE"/>
    <w:rsid w:val="00A83313"/>
    <w:rsid w:val="00A85D75"/>
    <w:rsid w:val="00A86483"/>
    <w:rsid w:val="00A8653A"/>
    <w:rsid w:val="00A86A35"/>
    <w:rsid w:val="00A9011E"/>
    <w:rsid w:val="00A94205"/>
    <w:rsid w:val="00A957FA"/>
    <w:rsid w:val="00A96898"/>
    <w:rsid w:val="00A97A54"/>
    <w:rsid w:val="00A97C3C"/>
    <w:rsid w:val="00A97D6F"/>
    <w:rsid w:val="00AA0F1A"/>
    <w:rsid w:val="00AA1A31"/>
    <w:rsid w:val="00AA3D5C"/>
    <w:rsid w:val="00AA5FC4"/>
    <w:rsid w:val="00AA6D4F"/>
    <w:rsid w:val="00AB00E6"/>
    <w:rsid w:val="00AB0624"/>
    <w:rsid w:val="00AB0EA4"/>
    <w:rsid w:val="00AB106C"/>
    <w:rsid w:val="00AB1139"/>
    <w:rsid w:val="00AB3B7E"/>
    <w:rsid w:val="00AB441B"/>
    <w:rsid w:val="00AB4E9C"/>
    <w:rsid w:val="00AB5E2F"/>
    <w:rsid w:val="00AC0C40"/>
    <w:rsid w:val="00AC2055"/>
    <w:rsid w:val="00AC282F"/>
    <w:rsid w:val="00AC4F4E"/>
    <w:rsid w:val="00AC633B"/>
    <w:rsid w:val="00AC75D9"/>
    <w:rsid w:val="00AD1A20"/>
    <w:rsid w:val="00AD27A1"/>
    <w:rsid w:val="00AD2CD2"/>
    <w:rsid w:val="00AD5C63"/>
    <w:rsid w:val="00AD6383"/>
    <w:rsid w:val="00AE2649"/>
    <w:rsid w:val="00AE398D"/>
    <w:rsid w:val="00AE410A"/>
    <w:rsid w:val="00AE4BB9"/>
    <w:rsid w:val="00AE5B8E"/>
    <w:rsid w:val="00AE6024"/>
    <w:rsid w:val="00AE61BD"/>
    <w:rsid w:val="00AE776B"/>
    <w:rsid w:val="00AF024A"/>
    <w:rsid w:val="00AF263F"/>
    <w:rsid w:val="00AF46A7"/>
    <w:rsid w:val="00AF4732"/>
    <w:rsid w:val="00AF4A7D"/>
    <w:rsid w:val="00AF7759"/>
    <w:rsid w:val="00AF7A5E"/>
    <w:rsid w:val="00AF7E8F"/>
    <w:rsid w:val="00B00BD8"/>
    <w:rsid w:val="00B010E5"/>
    <w:rsid w:val="00B017BD"/>
    <w:rsid w:val="00B0443A"/>
    <w:rsid w:val="00B05042"/>
    <w:rsid w:val="00B05D67"/>
    <w:rsid w:val="00B067A0"/>
    <w:rsid w:val="00B101FC"/>
    <w:rsid w:val="00B10FA3"/>
    <w:rsid w:val="00B113BA"/>
    <w:rsid w:val="00B135BB"/>
    <w:rsid w:val="00B13BA7"/>
    <w:rsid w:val="00B13F2A"/>
    <w:rsid w:val="00B1648E"/>
    <w:rsid w:val="00B21755"/>
    <w:rsid w:val="00B22B7A"/>
    <w:rsid w:val="00B23455"/>
    <w:rsid w:val="00B2672C"/>
    <w:rsid w:val="00B27329"/>
    <w:rsid w:val="00B33C5F"/>
    <w:rsid w:val="00B33E22"/>
    <w:rsid w:val="00B35D0B"/>
    <w:rsid w:val="00B42551"/>
    <w:rsid w:val="00B42FB8"/>
    <w:rsid w:val="00B43031"/>
    <w:rsid w:val="00B443E9"/>
    <w:rsid w:val="00B45A64"/>
    <w:rsid w:val="00B46312"/>
    <w:rsid w:val="00B509CA"/>
    <w:rsid w:val="00B530AB"/>
    <w:rsid w:val="00B545DA"/>
    <w:rsid w:val="00B55487"/>
    <w:rsid w:val="00B56329"/>
    <w:rsid w:val="00B57C40"/>
    <w:rsid w:val="00B611BE"/>
    <w:rsid w:val="00B62A18"/>
    <w:rsid w:val="00B63E79"/>
    <w:rsid w:val="00B6689C"/>
    <w:rsid w:val="00B66C39"/>
    <w:rsid w:val="00B71DB3"/>
    <w:rsid w:val="00B7392E"/>
    <w:rsid w:val="00B74F78"/>
    <w:rsid w:val="00B80581"/>
    <w:rsid w:val="00B80DB0"/>
    <w:rsid w:val="00B81446"/>
    <w:rsid w:val="00B82540"/>
    <w:rsid w:val="00B82796"/>
    <w:rsid w:val="00B82B27"/>
    <w:rsid w:val="00B830C1"/>
    <w:rsid w:val="00B84955"/>
    <w:rsid w:val="00B84A03"/>
    <w:rsid w:val="00B84A0D"/>
    <w:rsid w:val="00B86255"/>
    <w:rsid w:val="00B86B3A"/>
    <w:rsid w:val="00B9080B"/>
    <w:rsid w:val="00B91BDE"/>
    <w:rsid w:val="00B92E9D"/>
    <w:rsid w:val="00B93609"/>
    <w:rsid w:val="00B93742"/>
    <w:rsid w:val="00B96407"/>
    <w:rsid w:val="00B97184"/>
    <w:rsid w:val="00BA0E9F"/>
    <w:rsid w:val="00BA10E4"/>
    <w:rsid w:val="00BA3C5D"/>
    <w:rsid w:val="00BA3CBF"/>
    <w:rsid w:val="00BA480A"/>
    <w:rsid w:val="00BA70CF"/>
    <w:rsid w:val="00BA77E9"/>
    <w:rsid w:val="00BA7C34"/>
    <w:rsid w:val="00BA7CC4"/>
    <w:rsid w:val="00BB0FD1"/>
    <w:rsid w:val="00BB24DD"/>
    <w:rsid w:val="00BB265C"/>
    <w:rsid w:val="00BB3765"/>
    <w:rsid w:val="00BB43B6"/>
    <w:rsid w:val="00BB68AD"/>
    <w:rsid w:val="00BB714C"/>
    <w:rsid w:val="00BC52F5"/>
    <w:rsid w:val="00BC5502"/>
    <w:rsid w:val="00BC5609"/>
    <w:rsid w:val="00BC5942"/>
    <w:rsid w:val="00BC596D"/>
    <w:rsid w:val="00BC77C3"/>
    <w:rsid w:val="00BD128D"/>
    <w:rsid w:val="00BD27AD"/>
    <w:rsid w:val="00BD3897"/>
    <w:rsid w:val="00BD4537"/>
    <w:rsid w:val="00BD4962"/>
    <w:rsid w:val="00BE1C04"/>
    <w:rsid w:val="00BE2C17"/>
    <w:rsid w:val="00BE6719"/>
    <w:rsid w:val="00BE6B33"/>
    <w:rsid w:val="00BF0D02"/>
    <w:rsid w:val="00BF228C"/>
    <w:rsid w:val="00BF3F72"/>
    <w:rsid w:val="00BF7661"/>
    <w:rsid w:val="00BF7F5F"/>
    <w:rsid w:val="00C001A3"/>
    <w:rsid w:val="00C01E19"/>
    <w:rsid w:val="00C02B0D"/>
    <w:rsid w:val="00C02B90"/>
    <w:rsid w:val="00C05CD5"/>
    <w:rsid w:val="00C068ED"/>
    <w:rsid w:val="00C0774D"/>
    <w:rsid w:val="00C1341F"/>
    <w:rsid w:val="00C1598B"/>
    <w:rsid w:val="00C15E5E"/>
    <w:rsid w:val="00C16D6A"/>
    <w:rsid w:val="00C173F1"/>
    <w:rsid w:val="00C22AFD"/>
    <w:rsid w:val="00C2329A"/>
    <w:rsid w:val="00C23C8A"/>
    <w:rsid w:val="00C24389"/>
    <w:rsid w:val="00C26F6D"/>
    <w:rsid w:val="00C27A1A"/>
    <w:rsid w:val="00C3109D"/>
    <w:rsid w:val="00C318A4"/>
    <w:rsid w:val="00C3327B"/>
    <w:rsid w:val="00C3335B"/>
    <w:rsid w:val="00C3461E"/>
    <w:rsid w:val="00C3579F"/>
    <w:rsid w:val="00C36E60"/>
    <w:rsid w:val="00C37015"/>
    <w:rsid w:val="00C37CA3"/>
    <w:rsid w:val="00C41663"/>
    <w:rsid w:val="00C41723"/>
    <w:rsid w:val="00C41BC5"/>
    <w:rsid w:val="00C44E9B"/>
    <w:rsid w:val="00C453BE"/>
    <w:rsid w:val="00C4721E"/>
    <w:rsid w:val="00C50761"/>
    <w:rsid w:val="00C51261"/>
    <w:rsid w:val="00C55123"/>
    <w:rsid w:val="00C574CC"/>
    <w:rsid w:val="00C6140C"/>
    <w:rsid w:val="00C617E9"/>
    <w:rsid w:val="00C63121"/>
    <w:rsid w:val="00C63A5D"/>
    <w:rsid w:val="00C64684"/>
    <w:rsid w:val="00C653B0"/>
    <w:rsid w:val="00C65991"/>
    <w:rsid w:val="00C66185"/>
    <w:rsid w:val="00C662D3"/>
    <w:rsid w:val="00C664A1"/>
    <w:rsid w:val="00C66C52"/>
    <w:rsid w:val="00C670AB"/>
    <w:rsid w:val="00C72C0C"/>
    <w:rsid w:val="00C73249"/>
    <w:rsid w:val="00C73D42"/>
    <w:rsid w:val="00C74495"/>
    <w:rsid w:val="00C771EE"/>
    <w:rsid w:val="00C80865"/>
    <w:rsid w:val="00C80E55"/>
    <w:rsid w:val="00C81401"/>
    <w:rsid w:val="00C82E74"/>
    <w:rsid w:val="00C855C8"/>
    <w:rsid w:val="00C90264"/>
    <w:rsid w:val="00C91EEB"/>
    <w:rsid w:val="00C92E03"/>
    <w:rsid w:val="00C945E8"/>
    <w:rsid w:val="00C94B9C"/>
    <w:rsid w:val="00C94D8A"/>
    <w:rsid w:val="00C95052"/>
    <w:rsid w:val="00C95C12"/>
    <w:rsid w:val="00C96E37"/>
    <w:rsid w:val="00CA2E05"/>
    <w:rsid w:val="00CA4A6B"/>
    <w:rsid w:val="00CA5D75"/>
    <w:rsid w:val="00CA7141"/>
    <w:rsid w:val="00CA7CE9"/>
    <w:rsid w:val="00CB03A3"/>
    <w:rsid w:val="00CB19B0"/>
    <w:rsid w:val="00CB23D5"/>
    <w:rsid w:val="00CB2422"/>
    <w:rsid w:val="00CB32C2"/>
    <w:rsid w:val="00CB396B"/>
    <w:rsid w:val="00CB544E"/>
    <w:rsid w:val="00CB5924"/>
    <w:rsid w:val="00CC0ACD"/>
    <w:rsid w:val="00CC11E1"/>
    <w:rsid w:val="00CC28BF"/>
    <w:rsid w:val="00CC2EE1"/>
    <w:rsid w:val="00CC3632"/>
    <w:rsid w:val="00CC7F35"/>
    <w:rsid w:val="00CD0571"/>
    <w:rsid w:val="00CD3399"/>
    <w:rsid w:val="00CD3EEC"/>
    <w:rsid w:val="00CD4E24"/>
    <w:rsid w:val="00CD53FE"/>
    <w:rsid w:val="00CD75E2"/>
    <w:rsid w:val="00CD7FA7"/>
    <w:rsid w:val="00CE22D1"/>
    <w:rsid w:val="00CE2D31"/>
    <w:rsid w:val="00CE2FDF"/>
    <w:rsid w:val="00CE4F4C"/>
    <w:rsid w:val="00CE6347"/>
    <w:rsid w:val="00CF103C"/>
    <w:rsid w:val="00CF1F09"/>
    <w:rsid w:val="00CF4758"/>
    <w:rsid w:val="00CF5393"/>
    <w:rsid w:val="00CF7BFC"/>
    <w:rsid w:val="00CF7D45"/>
    <w:rsid w:val="00D01938"/>
    <w:rsid w:val="00D01F4A"/>
    <w:rsid w:val="00D02364"/>
    <w:rsid w:val="00D0267E"/>
    <w:rsid w:val="00D02A35"/>
    <w:rsid w:val="00D033D6"/>
    <w:rsid w:val="00D0378C"/>
    <w:rsid w:val="00D054F4"/>
    <w:rsid w:val="00D05844"/>
    <w:rsid w:val="00D059B3"/>
    <w:rsid w:val="00D07B54"/>
    <w:rsid w:val="00D10169"/>
    <w:rsid w:val="00D121F1"/>
    <w:rsid w:val="00D1265D"/>
    <w:rsid w:val="00D13C47"/>
    <w:rsid w:val="00D1422A"/>
    <w:rsid w:val="00D14822"/>
    <w:rsid w:val="00D14C9F"/>
    <w:rsid w:val="00D21325"/>
    <w:rsid w:val="00D23A23"/>
    <w:rsid w:val="00D25D6E"/>
    <w:rsid w:val="00D41812"/>
    <w:rsid w:val="00D45D26"/>
    <w:rsid w:val="00D4649F"/>
    <w:rsid w:val="00D50E6B"/>
    <w:rsid w:val="00D533B5"/>
    <w:rsid w:val="00D536CD"/>
    <w:rsid w:val="00D539E8"/>
    <w:rsid w:val="00D56071"/>
    <w:rsid w:val="00D5722E"/>
    <w:rsid w:val="00D60F29"/>
    <w:rsid w:val="00D61F48"/>
    <w:rsid w:val="00D6239A"/>
    <w:rsid w:val="00D6682D"/>
    <w:rsid w:val="00D670B7"/>
    <w:rsid w:val="00D7067E"/>
    <w:rsid w:val="00D71E82"/>
    <w:rsid w:val="00D72DDC"/>
    <w:rsid w:val="00D72ECD"/>
    <w:rsid w:val="00D734A0"/>
    <w:rsid w:val="00D73AA8"/>
    <w:rsid w:val="00D741AB"/>
    <w:rsid w:val="00D76572"/>
    <w:rsid w:val="00D80192"/>
    <w:rsid w:val="00D814CB"/>
    <w:rsid w:val="00D835D6"/>
    <w:rsid w:val="00D83E0E"/>
    <w:rsid w:val="00D83F6B"/>
    <w:rsid w:val="00D85AC9"/>
    <w:rsid w:val="00D86EFA"/>
    <w:rsid w:val="00D8784E"/>
    <w:rsid w:val="00D87D8F"/>
    <w:rsid w:val="00D925E4"/>
    <w:rsid w:val="00D96C96"/>
    <w:rsid w:val="00D97FA6"/>
    <w:rsid w:val="00DA0881"/>
    <w:rsid w:val="00DA0A54"/>
    <w:rsid w:val="00DA34F4"/>
    <w:rsid w:val="00DA61EF"/>
    <w:rsid w:val="00DA7C0C"/>
    <w:rsid w:val="00DB0657"/>
    <w:rsid w:val="00DB11F2"/>
    <w:rsid w:val="00DB12CA"/>
    <w:rsid w:val="00DB1943"/>
    <w:rsid w:val="00DB22A4"/>
    <w:rsid w:val="00DB23C8"/>
    <w:rsid w:val="00DB2A40"/>
    <w:rsid w:val="00DB2C8E"/>
    <w:rsid w:val="00DB4705"/>
    <w:rsid w:val="00DB53F2"/>
    <w:rsid w:val="00DB5458"/>
    <w:rsid w:val="00DB6B87"/>
    <w:rsid w:val="00DC2730"/>
    <w:rsid w:val="00DC2B24"/>
    <w:rsid w:val="00DC3C24"/>
    <w:rsid w:val="00DC4307"/>
    <w:rsid w:val="00DC4990"/>
    <w:rsid w:val="00DC5F0A"/>
    <w:rsid w:val="00DC7D70"/>
    <w:rsid w:val="00DD0133"/>
    <w:rsid w:val="00DD100E"/>
    <w:rsid w:val="00DD1698"/>
    <w:rsid w:val="00DD25EE"/>
    <w:rsid w:val="00DD2FD9"/>
    <w:rsid w:val="00DD3144"/>
    <w:rsid w:val="00DD337B"/>
    <w:rsid w:val="00DD5141"/>
    <w:rsid w:val="00DD53BE"/>
    <w:rsid w:val="00DE004B"/>
    <w:rsid w:val="00DE077E"/>
    <w:rsid w:val="00DE1A89"/>
    <w:rsid w:val="00DE3B80"/>
    <w:rsid w:val="00DE6109"/>
    <w:rsid w:val="00DE751B"/>
    <w:rsid w:val="00DF1DDF"/>
    <w:rsid w:val="00DF25E6"/>
    <w:rsid w:val="00DF36D9"/>
    <w:rsid w:val="00DF4909"/>
    <w:rsid w:val="00DF4F82"/>
    <w:rsid w:val="00DF6702"/>
    <w:rsid w:val="00E02815"/>
    <w:rsid w:val="00E02F38"/>
    <w:rsid w:val="00E02FAA"/>
    <w:rsid w:val="00E04D9A"/>
    <w:rsid w:val="00E06547"/>
    <w:rsid w:val="00E1161D"/>
    <w:rsid w:val="00E131F7"/>
    <w:rsid w:val="00E14347"/>
    <w:rsid w:val="00E1571B"/>
    <w:rsid w:val="00E1784B"/>
    <w:rsid w:val="00E23764"/>
    <w:rsid w:val="00E25099"/>
    <w:rsid w:val="00E2571F"/>
    <w:rsid w:val="00E3024E"/>
    <w:rsid w:val="00E30ECB"/>
    <w:rsid w:val="00E31776"/>
    <w:rsid w:val="00E31875"/>
    <w:rsid w:val="00E31F00"/>
    <w:rsid w:val="00E33C7D"/>
    <w:rsid w:val="00E33E11"/>
    <w:rsid w:val="00E354AD"/>
    <w:rsid w:val="00E37C32"/>
    <w:rsid w:val="00E430F9"/>
    <w:rsid w:val="00E44FE9"/>
    <w:rsid w:val="00E45722"/>
    <w:rsid w:val="00E45AB8"/>
    <w:rsid w:val="00E46431"/>
    <w:rsid w:val="00E4665A"/>
    <w:rsid w:val="00E47A78"/>
    <w:rsid w:val="00E504A5"/>
    <w:rsid w:val="00E50A6A"/>
    <w:rsid w:val="00E515E0"/>
    <w:rsid w:val="00E52210"/>
    <w:rsid w:val="00E536F5"/>
    <w:rsid w:val="00E571CC"/>
    <w:rsid w:val="00E57908"/>
    <w:rsid w:val="00E57BBD"/>
    <w:rsid w:val="00E613EC"/>
    <w:rsid w:val="00E62B95"/>
    <w:rsid w:val="00E6414B"/>
    <w:rsid w:val="00E7106F"/>
    <w:rsid w:val="00E71196"/>
    <w:rsid w:val="00E73108"/>
    <w:rsid w:val="00E73B18"/>
    <w:rsid w:val="00E73F82"/>
    <w:rsid w:val="00E751DA"/>
    <w:rsid w:val="00E75582"/>
    <w:rsid w:val="00E76A10"/>
    <w:rsid w:val="00E8567A"/>
    <w:rsid w:val="00E86376"/>
    <w:rsid w:val="00E90700"/>
    <w:rsid w:val="00E9124B"/>
    <w:rsid w:val="00E91BB3"/>
    <w:rsid w:val="00E92906"/>
    <w:rsid w:val="00E93446"/>
    <w:rsid w:val="00E93A72"/>
    <w:rsid w:val="00E943BE"/>
    <w:rsid w:val="00E95AD1"/>
    <w:rsid w:val="00E95EBC"/>
    <w:rsid w:val="00E96736"/>
    <w:rsid w:val="00E970D9"/>
    <w:rsid w:val="00E97D15"/>
    <w:rsid w:val="00EA0D33"/>
    <w:rsid w:val="00EA3F8F"/>
    <w:rsid w:val="00EB1C0C"/>
    <w:rsid w:val="00EB27BA"/>
    <w:rsid w:val="00EB310C"/>
    <w:rsid w:val="00EB3829"/>
    <w:rsid w:val="00EB47BF"/>
    <w:rsid w:val="00EB7399"/>
    <w:rsid w:val="00EC0D38"/>
    <w:rsid w:val="00EC0DF3"/>
    <w:rsid w:val="00EC497D"/>
    <w:rsid w:val="00EC7B0C"/>
    <w:rsid w:val="00ED0225"/>
    <w:rsid w:val="00ED0556"/>
    <w:rsid w:val="00ED480A"/>
    <w:rsid w:val="00ED513B"/>
    <w:rsid w:val="00ED5BC2"/>
    <w:rsid w:val="00ED7B86"/>
    <w:rsid w:val="00ED7E8D"/>
    <w:rsid w:val="00EE0E3C"/>
    <w:rsid w:val="00EE2880"/>
    <w:rsid w:val="00EE447A"/>
    <w:rsid w:val="00EF05E5"/>
    <w:rsid w:val="00EF5022"/>
    <w:rsid w:val="00EF5BF9"/>
    <w:rsid w:val="00EF61CD"/>
    <w:rsid w:val="00EF6405"/>
    <w:rsid w:val="00EF6767"/>
    <w:rsid w:val="00EF7D78"/>
    <w:rsid w:val="00F007AB"/>
    <w:rsid w:val="00F00CDC"/>
    <w:rsid w:val="00F00DFE"/>
    <w:rsid w:val="00F0199D"/>
    <w:rsid w:val="00F0428A"/>
    <w:rsid w:val="00F044F5"/>
    <w:rsid w:val="00F04E39"/>
    <w:rsid w:val="00F10237"/>
    <w:rsid w:val="00F11CA5"/>
    <w:rsid w:val="00F11E9E"/>
    <w:rsid w:val="00F1333B"/>
    <w:rsid w:val="00F1386B"/>
    <w:rsid w:val="00F155E9"/>
    <w:rsid w:val="00F16CFD"/>
    <w:rsid w:val="00F179AF"/>
    <w:rsid w:val="00F20813"/>
    <w:rsid w:val="00F22B69"/>
    <w:rsid w:val="00F23199"/>
    <w:rsid w:val="00F235EF"/>
    <w:rsid w:val="00F249D6"/>
    <w:rsid w:val="00F24FE0"/>
    <w:rsid w:val="00F26993"/>
    <w:rsid w:val="00F27265"/>
    <w:rsid w:val="00F27A0B"/>
    <w:rsid w:val="00F31BF9"/>
    <w:rsid w:val="00F3311E"/>
    <w:rsid w:val="00F40828"/>
    <w:rsid w:val="00F40CC9"/>
    <w:rsid w:val="00F40F5D"/>
    <w:rsid w:val="00F43BC1"/>
    <w:rsid w:val="00F44F4C"/>
    <w:rsid w:val="00F4668F"/>
    <w:rsid w:val="00F47015"/>
    <w:rsid w:val="00F476E0"/>
    <w:rsid w:val="00F5169C"/>
    <w:rsid w:val="00F51C85"/>
    <w:rsid w:val="00F5272B"/>
    <w:rsid w:val="00F53435"/>
    <w:rsid w:val="00F53725"/>
    <w:rsid w:val="00F56548"/>
    <w:rsid w:val="00F606C4"/>
    <w:rsid w:val="00F62048"/>
    <w:rsid w:val="00F63890"/>
    <w:rsid w:val="00F64934"/>
    <w:rsid w:val="00F6496F"/>
    <w:rsid w:val="00F65B90"/>
    <w:rsid w:val="00F65F36"/>
    <w:rsid w:val="00F678FD"/>
    <w:rsid w:val="00F70C90"/>
    <w:rsid w:val="00F70CF8"/>
    <w:rsid w:val="00F71B71"/>
    <w:rsid w:val="00F71F34"/>
    <w:rsid w:val="00F721EE"/>
    <w:rsid w:val="00F72B52"/>
    <w:rsid w:val="00F735E1"/>
    <w:rsid w:val="00F740DC"/>
    <w:rsid w:val="00F747C5"/>
    <w:rsid w:val="00F76B96"/>
    <w:rsid w:val="00F7779E"/>
    <w:rsid w:val="00F802BD"/>
    <w:rsid w:val="00F81396"/>
    <w:rsid w:val="00F8156A"/>
    <w:rsid w:val="00F83118"/>
    <w:rsid w:val="00F838F6"/>
    <w:rsid w:val="00F84004"/>
    <w:rsid w:val="00F84295"/>
    <w:rsid w:val="00F8437F"/>
    <w:rsid w:val="00F84CB9"/>
    <w:rsid w:val="00F851CB"/>
    <w:rsid w:val="00F85869"/>
    <w:rsid w:val="00F85E75"/>
    <w:rsid w:val="00F86D9B"/>
    <w:rsid w:val="00F87196"/>
    <w:rsid w:val="00F879CD"/>
    <w:rsid w:val="00F90300"/>
    <w:rsid w:val="00F908C4"/>
    <w:rsid w:val="00F93520"/>
    <w:rsid w:val="00F9490E"/>
    <w:rsid w:val="00F97765"/>
    <w:rsid w:val="00FA0EFA"/>
    <w:rsid w:val="00FA108C"/>
    <w:rsid w:val="00FA2703"/>
    <w:rsid w:val="00FA2842"/>
    <w:rsid w:val="00FA3FBA"/>
    <w:rsid w:val="00FA3FCC"/>
    <w:rsid w:val="00FA6F4C"/>
    <w:rsid w:val="00FA7811"/>
    <w:rsid w:val="00FB076A"/>
    <w:rsid w:val="00FB1CAE"/>
    <w:rsid w:val="00FB4213"/>
    <w:rsid w:val="00FB7C95"/>
    <w:rsid w:val="00FC0664"/>
    <w:rsid w:val="00FC5672"/>
    <w:rsid w:val="00FC5902"/>
    <w:rsid w:val="00FC66D8"/>
    <w:rsid w:val="00FC7695"/>
    <w:rsid w:val="00FC79C7"/>
    <w:rsid w:val="00FC7F48"/>
    <w:rsid w:val="00FD7EB9"/>
    <w:rsid w:val="00FE4DCB"/>
    <w:rsid w:val="00FE4E9F"/>
    <w:rsid w:val="00FF0710"/>
    <w:rsid w:val="00FF11C6"/>
    <w:rsid w:val="00FF1EBA"/>
    <w:rsid w:val="00FF3A04"/>
    <w:rsid w:val="00FF572E"/>
    <w:rsid w:val="00FF675B"/>
    <w:rsid w:val="00FF6A7A"/>
    <w:rsid w:val="00FF763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E17"/>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E17"/>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Text"/>
    <w:link w:val="TableTextChar"/>
    <w:rsid w:val="00872E17"/>
    <w:rPr>
      <w:rFonts w:ascii="Times New Roman" w:eastAsia="Times New Roman" w:hAnsi="Times New Roman" w:cs="Arial"/>
    </w:rPr>
  </w:style>
  <w:style w:type="character" w:customStyle="1" w:styleId="TableTextChar">
    <w:name w:val="TableText Char"/>
    <w:link w:val="TableText"/>
    <w:rsid w:val="00872E17"/>
    <w:rPr>
      <w:rFonts w:ascii="Times New Roman" w:eastAsia="Times New Roman" w:hAnsi="Times New Roman" w:cs="Arial"/>
      <w:lang w:val="en-US" w:eastAsia="en-US" w:bidi="ar-SA"/>
    </w:rPr>
  </w:style>
  <w:style w:type="paragraph" w:styleId="BalloonText">
    <w:name w:val="Balloon Text"/>
    <w:basedOn w:val="Normal"/>
    <w:link w:val="BalloonTextChar"/>
    <w:uiPriority w:val="99"/>
    <w:semiHidden/>
    <w:unhideWhenUsed/>
    <w:rsid w:val="00872E17"/>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872E17"/>
    <w:rPr>
      <w:rFonts w:ascii="Tahoma" w:hAnsi="Tahoma" w:cs="Tahoma"/>
      <w:sz w:val="16"/>
      <w:szCs w:val="16"/>
    </w:rPr>
  </w:style>
  <w:style w:type="character" w:styleId="CommentReference">
    <w:name w:val="annotation reference"/>
    <w:uiPriority w:val="99"/>
    <w:semiHidden/>
    <w:unhideWhenUsed/>
    <w:rsid w:val="00872E17"/>
    <w:rPr>
      <w:sz w:val="16"/>
      <w:szCs w:val="16"/>
    </w:rPr>
  </w:style>
  <w:style w:type="paragraph" w:styleId="CommentText">
    <w:name w:val="annotation text"/>
    <w:basedOn w:val="Normal"/>
    <w:link w:val="CommentTextChar"/>
    <w:uiPriority w:val="99"/>
    <w:unhideWhenUsed/>
    <w:rsid w:val="00872E17"/>
    <w:pPr>
      <w:spacing w:line="240" w:lineRule="auto"/>
    </w:pPr>
    <w:rPr>
      <w:sz w:val="20"/>
      <w:szCs w:val="20"/>
      <w:lang/>
    </w:rPr>
  </w:style>
  <w:style w:type="character" w:customStyle="1" w:styleId="CommentTextChar">
    <w:name w:val="Comment Text Char"/>
    <w:link w:val="CommentText"/>
    <w:uiPriority w:val="99"/>
    <w:rsid w:val="00872E17"/>
    <w:rPr>
      <w:sz w:val="20"/>
      <w:szCs w:val="20"/>
      <w:lang w:val="en-GB"/>
    </w:rPr>
  </w:style>
  <w:style w:type="paragraph" w:styleId="CommentSubject">
    <w:name w:val="annotation subject"/>
    <w:basedOn w:val="CommentText"/>
    <w:next w:val="CommentText"/>
    <w:link w:val="CommentSubjectChar"/>
    <w:uiPriority w:val="99"/>
    <w:semiHidden/>
    <w:unhideWhenUsed/>
    <w:rsid w:val="00872E17"/>
    <w:rPr>
      <w:b/>
      <w:bCs/>
    </w:rPr>
  </w:style>
  <w:style w:type="character" w:customStyle="1" w:styleId="CommentSubjectChar">
    <w:name w:val="Comment Subject Char"/>
    <w:link w:val="CommentSubject"/>
    <w:uiPriority w:val="99"/>
    <w:semiHidden/>
    <w:rsid w:val="00872E17"/>
    <w:rPr>
      <w:b/>
      <w:bCs/>
      <w:sz w:val="20"/>
      <w:szCs w:val="20"/>
      <w:lang w:val="en-GB"/>
    </w:rPr>
  </w:style>
  <w:style w:type="paragraph" w:styleId="Revision">
    <w:name w:val="Revision"/>
    <w:hidden/>
    <w:uiPriority w:val="99"/>
    <w:semiHidden/>
    <w:rsid w:val="00872E17"/>
    <w:rPr>
      <w:sz w:val="22"/>
      <w:szCs w:val="22"/>
      <w:lang w:val="en-GB"/>
    </w:rPr>
  </w:style>
  <w:style w:type="paragraph" w:customStyle="1" w:styleId="TableTextCentered">
    <w:name w:val="TableText Centered"/>
    <w:rsid w:val="00872E17"/>
    <w:pPr>
      <w:jc w:val="center"/>
    </w:pPr>
    <w:rPr>
      <w:rFonts w:ascii="Times New Roman" w:eastAsia="Times New Roman" w:hAnsi="Times New Roman"/>
    </w:rPr>
  </w:style>
  <w:style w:type="paragraph" w:customStyle="1" w:styleId="TableTextColHead">
    <w:name w:val="TableText Col Head"/>
    <w:rsid w:val="00872E17"/>
    <w:pPr>
      <w:jc w:val="center"/>
    </w:pPr>
    <w:rPr>
      <w:rFonts w:ascii="Times New Roman" w:eastAsia="Times New Roman" w:hAnsi="Times New Roman"/>
      <w:b/>
    </w:rPr>
  </w:style>
  <w:style w:type="character" w:styleId="PlaceholderText">
    <w:name w:val="Placeholder Text"/>
    <w:uiPriority w:val="99"/>
    <w:semiHidden/>
    <w:rsid w:val="00872E17"/>
    <w:rPr>
      <w:color w:val="808080"/>
    </w:rPr>
  </w:style>
  <w:style w:type="paragraph" w:customStyle="1" w:styleId="Paragraph">
    <w:name w:val="Paragraph"/>
    <w:link w:val="ParagraphChar"/>
    <w:rsid w:val="00872E17"/>
    <w:pPr>
      <w:spacing w:after="240"/>
    </w:pPr>
    <w:rPr>
      <w:rFonts w:ascii="Times New Roman" w:eastAsia="Times New Roman" w:hAnsi="Times New Roman"/>
      <w:sz w:val="24"/>
      <w:szCs w:val="24"/>
    </w:rPr>
  </w:style>
  <w:style w:type="character" w:customStyle="1" w:styleId="ParagraphChar">
    <w:name w:val="Paragraph Char"/>
    <w:link w:val="Paragraph"/>
    <w:rsid w:val="00872E17"/>
    <w:rPr>
      <w:rFonts w:ascii="Times New Roman" w:eastAsia="Times New Roman" w:hAnsi="Times New Roman"/>
      <w:sz w:val="24"/>
      <w:szCs w:val="24"/>
      <w:lang w:val="en-US" w:eastAsia="en-US" w:bidi="ar-SA"/>
    </w:rPr>
  </w:style>
  <w:style w:type="paragraph" w:styleId="Header">
    <w:name w:val="header"/>
    <w:basedOn w:val="Normal"/>
    <w:link w:val="HeaderChar"/>
    <w:uiPriority w:val="99"/>
    <w:unhideWhenUsed/>
    <w:rsid w:val="00872E17"/>
    <w:pPr>
      <w:tabs>
        <w:tab w:val="center" w:pos="4513"/>
        <w:tab w:val="right" w:pos="9026"/>
      </w:tabs>
      <w:spacing w:after="0" w:line="240" w:lineRule="auto"/>
    </w:pPr>
    <w:rPr>
      <w:sz w:val="20"/>
      <w:szCs w:val="20"/>
      <w:lang/>
    </w:rPr>
  </w:style>
  <w:style w:type="character" w:customStyle="1" w:styleId="HeaderChar">
    <w:name w:val="Header Char"/>
    <w:link w:val="Header"/>
    <w:uiPriority w:val="99"/>
    <w:rsid w:val="00872E17"/>
    <w:rPr>
      <w:lang w:val="en-GB"/>
    </w:rPr>
  </w:style>
  <w:style w:type="paragraph" w:styleId="Footer">
    <w:name w:val="footer"/>
    <w:basedOn w:val="Normal"/>
    <w:link w:val="FooterChar"/>
    <w:uiPriority w:val="99"/>
    <w:unhideWhenUsed/>
    <w:rsid w:val="00872E17"/>
    <w:pPr>
      <w:tabs>
        <w:tab w:val="center" w:pos="4513"/>
        <w:tab w:val="right" w:pos="9026"/>
      </w:tabs>
      <w:spacing w:after="0" w:line="240" w:lineRule="auto"/>
    </w:pPr>
    <w:rPr>
      <w:sz w:val="20"/>
      <w:szCs w:val="20"/>
      <w:lang/>
    </w:rPr>
  </w:style>
  <w:style w:type="character" w:customStyle="1" w:styleId="FooterChar">
    <w:name w:val="Footer Char"/>
    <w:link w:val="Footer"/>
    <w:uiPriority w:val="99"/>
    <w:rsid w:val="00872E17"/>
    <w:rPr>
      <w:lang w:val="en-GB"/>
    </w:rPr>
  </w:style>
  <w:style w:type="paragraph" w:styleId="ListParagraph">
    <w:name w:val="List Paragraph"/>
    <w:basedOn w:val="Normal"/>
    <w:uiPriority w:val="34"/>
    <w:qFormat/>
    <w:rsid w:val="00872E17"/>
    <w:pPr>
      <w:ind w:left="720"/>
      <w:contextualSpacing/>
    </w:pPr>
  </w:style>
  <w:style w:type="character" w:customStyle="1" w:styleId="ExampleText">
    <w:name w:val="Example Text"/>
    <w:rsid w:val="00872E17"/>
    <w:rPr>
      <w:color w:val="FF0000"/>
    </w:rPr>
  </w:style>
  <w:style w:type="character" w:customStyle="1" w:styleId="BlueText">
    <w:name w:val="Blue Text"/>
    <w:rsid w:val="00872E17"/>
    <w:rPr>
      <w:color w:val="0000FF"/>
    </w:rPr>
  </w:style>
  <w:style w:type="paragraph" w:customStyle="1" w:styleId="ListNoBullet">
    <w:name w:val="List No Bullet"/>
    <w:rsid w:val="00872E17"/>
    <w:rPr>
      <w:rFonts w:ascii="Times New Roman" w:eastAsia="Times New Roman" w:hAnsi="Times New Roman"/>
      <w:sz w:val="24"/>
    </w:rPr>
  </w:style>
  <w:style w:type="character" w:styleId="Hyperlink">
    <w:name w:val="Hyperlink"/>
    <w:uiPriority w:val="99"/>
    <w:unhideWhenUsed/>
    <w:rsid w:val="00872E17"/>
    <w:rPr>
      <w:color w:val="0563C1"/>
      <w:u w:val="single"/>
    </w:rPr>
  </w:style>
  <w:style w:type="paragraph" w:customStyle="1" w:styleId="EndNoteBibliographyTitle">
    <w:name w:val="EndNote Bibliography Title"/>
    <w:basedOn w:val="Normal"/>
    <w:link w:val="EndNoteBibliographyTitleChar"/>
    <w:rsid w:val="00872E17"/>
    <w:pPr>
      <w:spacing w:after="0"/>
      <w:jc w:val="center"/>
    </w:pPr>
    <w:rPr>
      <w:noProof/>
      <w:sz w:val="20"/>
      <w:szCs w:val="20"/>
      <w:lang/>
    </w:rPr>
  </w:style>
  <w:style w:type="character" w:customStyle="1" w:styleId="EndNoteBibliographyTitleChar">
    <w:name w:val="EndNote Bibliography Title Char"/>
    <w:link w:val="EndNoteBibliographyTitle"/>
    <w:rsid w:val="00872E17"/>
    <w:rPr>
      <w:rFonts w:ascii="Calibri" w:hAnsi="Calibri"/>
      <w:noProof/>
    </w:rPr>
  </w:style>
  <w:style w:type="paragraph" w:customStyle="1" w:styleId="EndNoteBibliography">
    <w:name w:val="EndNote Bibliography"/>
    <w:basedOn w:val="Normal"/>
    <w:link w:val="EndNoteBibliographyChar"/>
    <w:rsid w:val="00872E17"/>
    <w:pPr>
      <w:spacing w:line="240" w:lineRule="auto"/>
    </w:pPr>
    <w:rPr>
      <w:noProof/>
      <w:sz w:val="20"/>
      <w:szCs w:val="20"/>
      <w:lang/>
    </w:rPr>
  </w:style>
  <w:style w:type="character" w:customStyle="1" w:styleId="EndNoteBibliographyChar">
    <w:name w:val="EndNote Bibliography Char"/>
    <w:link w:val="EndNoteBibliography"/>
    <w:rsid w:val="00872E17"/>
    <w:rPr>
      <w:rFonts w:ascii="Calibri" w:hAnsi="Calibri"/>
      <w:noProof/>
    </w:rPr>
  </w:style>
  <w:style w:type="paragraph" w:customStyle="1" w:styleId="acknowledgements">
    <w:name w:val="acknowledgements"/>
    <w:basedOn w:val="Normal"/>
    <w:next w:val="Normal"/>
    <w:rsid w:val="00872E17"/>
    <w:pPr>
      <w:overflowPunct w:val="0"/>
      <w:autoSpaceDE w:val="0"/>
      <w:autoSpaceDN w:val="0"/>
      <w:adjustRightInd w:val="0"/>
      <w:spacing w:before="240" w:after="0" w:line="360" w:lineRule="auto"/>
      <w:textAlignment w:val="baseline"/>
    </w:pPr>
    <w:rPr>
      <w:rFonts w:ascii="Times New Roman" w:eastAsia="Times New Roman" w:hAnsi="Times New Roman"/>
      <w:sz w:val="20"/>
      <w:szCs w:val="20"/>
      <w:lang w:eastAsia="de-DE" w:bidi="en-US"/>
    </w:rPr>
  </w:style>
  <w:style w:type="character" w:customStyle="1" w:styleId="TableText12">
    <w:name w:val="TableText 12"/>
    <w:rsid w:val="009A4E8D"/>
    <w:rPr>
      <w:rFonts w:ascii="Times New Roman" w:hAnsi="Times New Roman"/>
      <w:sz w:val="24"/>
    </w:rPr>
  </w:style>
  <w:style w:type="paragraph" w:customStyle="1" w:styleId="Default">
    <w:name w:val="Default"/>
    <w:rsid w:val="00500852"/>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E17"/>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E1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link w:val="TableTextChar"/>
    <w:rsid w:val="00872E17"/>
    <w:rPr>
      <w:rFonts w:ascii="Times New Roman" w:eastAsia="Times New Roman" w:hAnsi="Times New Roman" w:cs="Arial"/>
    </w:rPr>
  </w:style>
  <w:style w:type="character" w:customStyle="1" w:styleId="TableTextChar">
    <w:name w:val="TableText Char"/>
    <w:link w:val="TableText"/>
    <w:rsid w:val="00872E17"/>
    <w:rPr>
      <w:rFonts w:ascii="Times New Roman" w:eastAsia="Times New Roman" w:hAnsi="Times New Roman" w:cs="Arial"/>
      <w:lang w:val="en-US" w:eastAsia="en-US" w:bidi="ar-SA"/>
    </w:rPr>
  </w:style>
  <w:style w:type="paragraph" w:styleId="BalloonText">
    <w:name w:val="Balloon Text"/>
    <w:basedOn w:val="Normal"/>
    <w:link w:val="BalloonTextChar"/>
    <w:uiPriority w:val="99"/>
    <w:semiHidden/>
    <w:unhideWhenUsed/>
    <w:rsid w:val="00872E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72E17"/>
    <w:rPr>
      <w:rFonts w:ascii="Tahoma" w:hAnsi="Tahoma" w:cs="Tahoma"/>
      <w:sz w:val="16"/>
      <w:szCs w:val="16"/>
    </w:rPr>
  </w:style>
  <w:style w:type="character" w:styleId="CommentReference">
    <w:name w:val="annotation reference"/>
    <w:uiPriority w:val="99"/>
    <w:semiHidden/>
    <w:unhideWhenUsed/>
    <w:rsid w:val="00872E17"/>
    <w:rPr>
      <w:sz w:val="16"/>
      <w:szCs w:val="16"/>
    </w:rPr>
  </w:style>
  <w:style w:type="paragraph" w:styleId="CommentText">
    <w:name w:val="annotation text"/>
    <w:basedOn w:val="Normal"/>
    <w:link w:val="CommentTextChar"/>
    <w:uiPriority w:val="99"/>
    <w:unhideWhenUsed/>
    <w:rsid w:val="00872E17"/>
    <w:pPr>
      <w:spacing w:line="240" w:lineRule="auto"/>
    </w:pPr>
    <w:rPr>
      <w:sz w:val="20"/>
      <w:szCs w:val="20"/>
      <w:lang w:eastAsia="x-none"/>
    </w:rPr>
  </w:style>
  <w:style w:type="character" w:customStyle="1" w:styleId="CommentTextChar">
    <w:name w:val="Comment Text Char"/>
    <w:link w:val="CommentText"/>
    <w:uiPriority w:val="99"/>
    <w:rsid w:val="00872E17"/>
    <w:rPr>
      <w:sz w:val="20"/>
      <w:szCs w:val="20"/>
      <w:lang w:val="en-GB"/>
    </w:rPr>
  </w:style>
  <w:style w:type="paragraph" w:styleId="CommentSubject">
    <w:name w:val="annotation subject"/>
    <w:basedOn w:val="CommentText"/>
    <w:next w:val="CommentText"/>
    <w:link w:val="CommentSubjectChar"/>
    <w:uiPriority w:val="99"/>
    <w:semiHidden/>
    <w:unhideWhenUsed/>
    <w:rsid w:val="00872E17"/>
    <w:rPr>
      <w:b/>
      <w:bCs/>
    </w:rPr>
  </w:style>
  <w:style w:type="character" w:customStyle="1" w:styleId="CommentSubjectChar">
    <w:name w:val="Comment Subject Char"/>
    <w:link w:val="CommentSubject"/>
    <w:uiPriority w:val="99"/>
    <w:semiHidden/>
    <w:rsid w:val="00872E17"/>
    <w:rPr>
      <w:b/>
      <w:bCs/>
      <w:sz w:val="20"/>
      <w:szCs w:val="20"/>
      <w:lang w:val="en-GB"/>
    </w:rPr>
  </w:style>
  <w:style w:type="paragraph" w:styleId="Revision">
    <w:name w:val="Revision"/>
    <w:hidden/>
    <w:uiPriority w:val="99"/>
    <w:semiHidden/>
    <w:rsid w:val="00872E17"/>
    <w:rPr>
      <w:sz w:val="22"/>
      <w:szCs w:val="22"/>
      <w:lang w:val="en-GB"/>
    </w:rPr>
  </w:style>
  <w:style w:type="paragraph" w:customStyle="1" w:styleId="TableTextCentered">
    <w:name w:val="TableText Centered"/>
    <w:rsid w:val="00872E17"/>
    <w:pPr>
      <w:jc w:val="center"/>
    </w:pPr>
    <w:rPr>
      <w:rFonts w:ascii="Times New Roman" w:eastAsia="Times New Roman" w:hAnsi="Times New Roman"/>
    </w:rPr>
  </w:style>
  <w:style w:type="paragraph" w:customStyle="1" w:styleId="TableTextColHead">
    <w:name w:val="TableText Col Head"/>
    <w:rsid w:val="00872E17"/>
    <w:pPr>
      <w:jc w:val="center"/>
    </w:pPr>
    <w:rPr>
      <w:rFonts w:ascii="Times New Roman" w:eastAsia="Times New Roman" w:hAnsi="Times New Roman"/>
      <w:b/>
    </w:rPr>
  </w:style>
  <w:style w:type="character" w:styleId="PlaceholderText">
    <w:name w:val="Placeholder Text"/>
    <w:uiPriority w:val="99"/>
    <w:semiHidden/>
    <w:rsid w:val="00872E17"/>
    <w:rPr>
      <w:color w:val="808080"/>
    </w:rPr>
  </w:style>
  <w:style w:type="paragraph" w:customStyle="1" w:styleId="Paragraph">
    <w:name w:val="Paragraph"/>
    <w:link w:val="ParagraphChar"/>
    <w:rsid w:val="00872E17"/>
    <w:pPr>
      <w:spacing w:after="240"/>
    </w:pPr>
    <w:rPr>
      <w:rFonts w:ascii="Times New Roman" w:eastAsia="Times New Roman" w:hAnsi="Times New Roman"/>
      <w:sz w:val="24"/>
      <w:szCs w:val="24"/>
    </w:rPr>
  </w:style>
  <w:style w:type="character" w:customStyle="1" w:styleId="ParagraphChar">
    <w:name w:val="Paragraph Char"/>
    <w:link w:val="Paragraph"/>
    <w:rsid w:val="00872E17"/>
    <w:rPr>
      <w:rFonts w:ascii="Times New Roman" w:eastAsia="Times New Roman" w:hAnsi="Times New Roman"/>
      <w:sz w:val="24"/>
      <w:szCs w:val="24"/>
      <w:lang w:val="en-US" w:eastAsia="en-US" w:bidi="ar-SA"/>
    </w:rPr>
  </w:style>
  <w:style w:type="paragraph" w:styleId="Header">
    <w:name w:val="header"/>
    <w:basedOn w:val="Normal"/>
    <w:link w:val="HeaderChar"/>
    <w:uiPriority w:val="99"/>
    <w:unhideWhenUsed/>
    <w:rsid w:val="00872E17"/>
    <w:pPr>
      <w:tabs>
        <w:tab w:val="center" w:pos="4513"/>
        <w:tab w:val="right" w:pos="9026"/>
      </w:tabs>
      <w:spacing w:after="0" w:line="240" w:lineRule="auto"/>
    </w:pPr>
    <w:rPr>
      <w:sz w:val="20"/>
      <w:szCs w:val="20"/>
      <w:lang w:eastAsia="x-none"/>
    </w:rPr>
  </w:style>
  <w:style w:type="character" w:customStyle="1" w:styleId="HeaderChar">
    <w:name w:val="Header Char"/>
    <w:link w:val="Header"/>
    <w:uiPriority w:val="99"/>
    <w:rsid w:val="00872E17"/>
    <w:rPr>
      <w:lang w:val="en-GB"/>
    </w:rPr>
  </w:style>
  <w:style w:type="paragraph" w:styleId="Footer">
    <w:name w:val="footer"/>
    <w:basedOn w:val="Normal"/>
    <w:link w:val="FooterChar"/>
    <w:uiPriority w:val="99"/>
    <w:unhideWhenUsed/>
    <w:rsid w:val="00872E17"/>
    <w:pPr>
      <w:tabs>
        <w:tab w:val="center" w:pos="4513"/>
        <w:tab w:val="right" w:pos="9026"/>
      </w:tabs>
      <w:spacing w:after="0" w:line="240" w:lineRule="auto"/>
    </w:pPr>
    <w:rPr>
      <w:sz w:val="20"/>
      <w:szCs w:val="20"/>
      <w:lang w:eastAsia="x-none"/>
    </w:rPr>
  </w:style>
  <w:style w:type="character" w:customStyle="1" w:styleId="FooterChar">
    <w:name w:val="Footer Char"/>
    <w:link w:val="Footer"/>
    <w:uiPriority w:val="99"/>
    <w:rsid w:val="00872E17"/>
    <w:rPr>
      <w:lang w:val="en-GB"/>
    </w:rPr>
  </w:style>
  <w:style w:type="paragraph" w:styleId="ListParagraph">
    <w:name w:val="List Paragraph"/>
    <w:basedOn w:val="Normal"/>
    <w:uiPriority w:val="34"/>
    <w:qFormat/>
    <w:rsid w:val="00872E17"/>
    <w:pPr>
      <w:ind w:left="720"/>
      <w:contextualSpacing/>
    </w:pPr>
  </w:style>
  <w:style w:type="character" w:customStyle="1" w:styleId="ExampleText">
    <w:name w:val="Example Text"/>
    <w:rsid w:val="00872E17"/>
    <w:rPr>
      <w:color w:val="FF0000"/>
    </w:rPr>
  </w:style>
  <w:style w:type="character" w:customStyle="1" w:styleId="BlueText">
    <w:name w:val="Blue Text"/>
    <w:rsid w:val="00872E17"/>
    <w:rPr>
      <w:color w:val="0000FF"/>
    </w:rPr>
  </w:style>
  <w:style w:type="paragraph" w:customStyle="1" w:styleId="ListNoBullet">
    <w:name w:val="List No Bullet"/>
    <w:rsid w:val="00872E17"/>
    <w:rPr>
      <w:rFonts w:ascii="Times New Roman" w:eastAsia="Times New Roman" w:hAnsi="Times New Roman"/>
      <w:sz w:val="24"/>
    </w:rPr>
  </w:style>
  <w:style w:type="character" w:styleId="Hyperlink">
    <w:name w:val="Hyperlink"/>
    <w:uiPriority w:val="99"/>
    <w:unhideWhenUsed/>
    <w:rsid w:val="00872E17"/>
    <w:rPr>
      <w:color w:val="0563C1"/>
      <w:u w:val="single"/>
    </w:rPr>
  </w:style>
  <w:style w:type="paragraph" w:customStyle="1" w:styleId="EndNoteBibliographyTitle">
    <w:name w:val="EndNote Bibliography Title"/>
    <w:basedOn w:val="Normal"/>
    <w:link w:val="EndNoteBibliographyTitleChar"/>
    <w:rsid w:val="00872E17"/>
    <w:pPr>
      <w:spacing w:after="0"/>
      <w:jc w:val="center"/>
    </w:pPr>
    <w:rPr>
      <w:noProof/>
      <w:sz w:val="20"/>
      <w:szCs w:val="20"/>
      <w:lang w:val="x-none" w:eastAsia="x-none"/>
    </w:rPr>
  </w:style>
  <w:style w:type="character" w:customStyle="1" w:styleId="EndNoteBibliographyTitleChar">
    <w:name w:val="EndNote Bibliography Title Char"/>
    <w:link w:val="EndNoteBibliographyTitle"/>
    <w:rsid w:val="00872E17"/>
    <w:rPr>
      <w:rFonts w:ascii="Calibri" w:hAnsi="Calibri"/>
      <w:noProof/>
    </w:rPr>
  </w:style>
  <w:style w:type="paragraph" w:customStyle="1" w:styleId="EndNoteBibliography">
    <w:name w:val="EndNote Bibliography"/>
    <w:basedOn w:val="Normal"/>
    <w:link w:val="EndNoteBibliographyChar"/>
    <w:rsid w:val="00872E17"/>
    <w:pPr>
      <w:spacing w:line="240" w:lineRule="auto"/>
    </w:pPr>
    <w:rPr>
      <w:noProof/>
      <w:sz w:val="20"/>
      <w:szCs w:val="20"/>
      <w:lang w:val="x-none" w:eastAsia="x-none"/>
    </w:rPr>
  </w:style>
  <w:style w:type="character" w:customStyle="1" w:styleId="EndNoteBibliographyChar">
    <w:name w:val="EndNote Bibliography Char"/>
    <w:link w:val="EndNoteBibliography"/>
    <w:rsid w:val="00872E17"/>
    <w:rPr>
      <w:rFonts w:ascii="Calibri" w:hAnsi="Calibri"/>
      <w:noProof/>
    </w:rPr>
  </w:style>
  <w:style w:type="paragraph" w:customStyle="1" w:styleId="acknowledgements">
    <w:name w:val="acknowledgements"/>
    <w:basedOn w:val="Normal"/>
    <w:next w:val="Normal"/>
    <w:rsid w:val="00872E17"/>
    <w:pPr>
      <w:overflowPunct w:val="0"/>
      <w:autoSpaceDE w:val="0"/>
      <w:autoSpaceDN w:val="0"/>
      <w:adjustRightInd w:val="0"/>
      <w:spacing w:before="240" w:after="0" w:line="360" w:lineRule="auto"/>
      <w:textAlignment w:val="baseline"/>
    </w:pPr>
    <w:rPr>
      <w:rFonts w:ascii="Times New Roman" w:eastAsia="Times New Roman" w:hAnsi="Times New Roman"/>
      <w:sz w:val="20"/>
      <w:szCs w:val="20"/>
      <w:lang w:eastAsia="de-DE" w:bidi="en-US"/>
    </w:rPr>
  </w:style>
  <w:style w:type="character" w:customStyle="1" w:styleId="TableText12">
    <w:name w:val="TableText 12"/>
    <w:rsid w:val="009A4E8D"/>
    <w:rPr>
      <w:rFonts w:ascii="Times New Roman" w:hAnsi="Times New Roman"/>
      <w:sz w:val="24"/>
    </w:rPr>
  </w:style>
  <w:style w:type="paragraph" w:customStyle="1" w:styleId="Default">
    <w:name w:val="Default"/>
    <w:rsid w:val="00500852"/>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525561464">
      <w:bodyDiv w:val="1"/>
      <w:marLeft w:val="0"/>
      <w:marRight w:val="0"/>
      <w:marTop w:val="0"/>
      <w:marBottom w:val="0"/>
      <w:divBdr>
        <w:top w:val="none" w:sz="0" w:space="0" w:color="auto"/>
        <w:left w:val="none" w:sz="0" w:space="0" w:color="auto"/>
        <w:bottom w:val="none" w:sz="0" w:space="0" w:color="auto"/>
        <w:right w:val="none" w:sz="0" w:space="0" w:color="auto"/>
      </w:divBdr>
    </w:div>
    <w:div w:id="958990061">
      <w:bodyDiv w:val="1"/>
      <w:marLeft w:val="0"/>
      <w:marRight w:val="0"/>
      <w:marTop w:val="0"/>
      <w:marBottom w:val="0"/>
      <w:divBdr>
        <w:top w:val="none" w:sz="0" w:space="0" w:color="auto"/>
        <w:left w:val="none" w:sz="0" w:space="0" w:color="auto"/>
        <w:bottom w:val="none" w:sz="0" w:space="0" w:color="auto"/>
        <w:right w:val="none" w:sz="0" w:space="0" w:color="auto"/>
      </w:divBdr>
      <w:divsChild>
        <w:div w:id="301932427">
          <w:marLeft w:val="0"/>
          <w:marRight w:val="0"/>
          <w:marTop w:val="0"/>
          <w:marBottom w:val="0"/>
          <w:divBdr>
            <w:top w:val="none" w:sz="0" w:space="0" w:color="auto"/>
            <w:left w:val="none" w:sz="0" w:space="0" w:color="auto"/>
            <w:bottom w:val="none" w:sz="0" w:space="0" w:color="auto"/>
            <w:right w:val="none" w:sz="0" w:space="0" w:color="auto"/>
          </w:divBdr>
        </w:div>
        <w:div w:id="996615234">
          <w:marLeft w:val="0"/>
          <w:marRight w:val="0"/>
          <w:marTop w:val="0"/>
          <w:marBottom w:val="0"/>
          <w:divBdr>
            <w:top w:val="none" w:sz="0" w:space="0" w:color="auto"/>
            <w:left w:val="none" w:sz="0" w:space="0" w:color="auto"/>
            <w:bottom w:val="none" w:sz="0" w:space="0" w:color="auto"/>
            <w:right w:val="none" w:sz="0" w:space="0" w:color="auto"/>
          </w:divBdr>
        </w:div>
        <w:div w:id="1476218918">
          <w:marLeft w:val="0"/>
          <w:marRight w:val="0"/>
          <w:marTop w:val="0"/>
          <w:marBottom w:val="0"/>
          <w:divBdr>
            <w:top w:val="none" w:sz="0" w:space="0" w:color="auto"/>
            <w:left w:val="none" w:sz="0" w:space="0" w:color="auto"/>
            <w:bottom w:val="none" w:sz="0" w:space="0" w:color="auto"/>
            <w:right w:val="none" w:sz="0" w:space="0" w:color="auto"/>
          </w:divBdr>
        </w:div>
        <w:div w:id="1543247071">
          <w:marLeft w:val="0"/>
          <w:marRight w:val="0"/>
          <w:marTop w:val="0"/>
          <w:marBottom w:val="0"/>
          <w:divBdr>
            <w:top w:val="none" w:sz="0" w:space="0" w:color="auto"/>
            <w:left w:val="none" w:sz="0" w:space="0" w:color="auto"/>
            <w:bottom w:val="none" w:sz="0" w:space="0" w:color="auto"/>
            <w:right w:val="none" w:sz="0" w:space="0" w:color="auto"/>
          </w:divBdr>
        </w:div>
        <w:div w:id="1586187265">
          <w:marLeft w:val="0"/>
          <w:marRight w:val="0"/>
          <w:marTop w:val="0"/>
          <w:marBottom w:val="0"/>
          <w:divBdr>
            <w:top w:val="none" w:sz="0" w:space="0" w:color="auto"/>
            <w:left w:val="none" w:sz="0" w:space="0" w:color="auto"/>
            <w:bottom w:val="none" w:sz="0" w:space="0" w:color="auto"/>
            <w:right w:val="none" w:sz="0" w:space="0" w:color="auto"/>
          </w:divBdr>
        </w:div>
      </w:divsChild>
    </w:div>
    <w:div w:id="106529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EBD08-24C1-4CB5-A5A5-71E9F57B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1743</Words>
  <Characters>10019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11739</CharactersWithSpaces>
  <SharedDoc>false</SharedDoc>
  <HLinks>
    <vt:vector size="6" baseType="variant">
      <vt:variant>
        <vt:i4>8323101</vt:i4>
      </vt:variant>
      <vt:variant>
        <vt:i4>0</vt:i4>
      </vt:variant>
      <vt:variant>
        <vt:i4>0</vt:i4>
      </vt:variant>
      <vt:variant>
        <vt:i4>5</vt:i4>
      </vt:variant>
      <vt:variant>
        <vt:lpwstr>mailto:Reza.Khosravan@pfizer.com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2016-04-01T21:51:00Z</dcterms:created>
  <dcterms:modified xsi:type="dcterms:W3CDTF">2016-04-18T13:10:00Z</dcterms:modified>
</cp:coreProperties>
</file>