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B73" w:rsidRPr="0057054A" w:rsidRDefault="00480B73" w:rsidP="00480B73">
      <w:pPr>
        <w:pStyle w:val="TABLEonderschrift"/>
        <w:rPr>
          <w:sz w:val="18"/>
        </w:rPr>
      </w:pPr>
      <w:proofErr w:type="gramStart"/>
      <w:r w:rsidRPr="0057054A">
        <w:rPr>
          <w:sz w:val="18"/>
        </w:rPr>
        <w:t xml:space="preserve">Supplementary table </w:t>
      </w:r>
      <w:r w:rsidRPr="0057054A">
        <w:rPr>
          <w:sz w:val="18"/>
        </w:rPr>
        <w:fldChar w:fldCharType="begin"/>
      </w:r>
      <w:r w:rsidRPr="0057054A">
        <w:rPr>
          <w:sz w:val="18"/>
        </w:rPr>
        <w:instrText xml:space="preserve"> SEQ Supplementary_table \* ARABIC </w:instrText>
      </w:r>
      <w:r w:rsidRPr="0057054A">
        <w:rPr>
          <w:sz w:val="18"/>
        </w:rPr>
        <w:fldChar w:fldCharType="separate"/>
      </w:r>
      <w:r w:rsidRPr="0057054A">
        <w:rPr>
          <w:noProof/>
          <w:sz w:val="18"/>
        </w:rPr>
        <w:t>1</w:t>
      </w:r>
      <w:r w:rsidRPr="0057054A">
        <w:rPr>
          <w:noProof/>
          <w:sz w:val="18"/>
        </w:rPr>
        <w:fldChar w:fldCharType="end"/>
      </w:r>
      <w:r w:rsidRPr="0057054A">
        <w:rPr>
          <w:noProof/>
          <w:sz w:val="18"/>
        </w:rPr>
        <w:t>.</w:t>
      </w:r>
      <w:proofErr w:type="gramEnd"/>
      <w:r w:rsidRPr="0057054A">
        <w:rPr>
          <w:noProof/>
          <w:sz w:val="18"/>
        </w:rPr>
        <w:t xml:space="preserve"> Pentavalent antimonials</w:t>
      </w:r>
      <w:r w:rsidRPr="0057054A">
        <w:rPr>
          <w:sz w:val="18"/>
        </w:rPr>
        <w:t xml:space="preserve">: general information on the pharmacokinetic studies. Data provided as either a) </w:t>
      </w:r>
      <w:proofErr w:type="spellStart"/>
      <w:r w:rsidRPr="0057054A">
        <w:rPr>
          <w:sz w:val="18"/>
        </w:rPr>
        <w:t>mean±standard</w:t>
      </w:r>
      <w:proofErr w:type="spellEnd"/>
      <w:r w:rsidRPr="0057054A">
        <w:rPr>
          <w:sz w:val="18"/>
        </w:rPr>
        <w:t xml:space="preserve"> deviation </w:t>
      </w:r>
      <w:r>
        <w:rPr>
          <w:sz w:val="18"/>
        </w:rPr>
        <w:t>or median (range)</w:t>
      </w:r>
      <w:r w:rsidRPr="0057054A">
        <w:rPr>
          <w:sz w:val="18"/>
        </w:rPr>
        <w:t xml:space="preserve">, unless indicated otherwise. </w:t>
      </w:r>
    </w:p>
    <w:p w:rsidR="00480B73" w:rsidRPr="002658C0" w:rsidRDefault="00480B73" w:rsidP="00480B73">
      <w:pPr>
        <w:rPr>
          <w:color w:val="000000" w:themeColor="text1"/>
        </w:rPr>
      </w:pPr>
    </w:p>
    <w:tbl>
      <w:tblPr>
        <w:tblStyle w:val="TableGrid"/>
        <w:tblW w:w="13716" w:type="dxa"/>
        <w:tblLayout w:type="fixed"/>
        <w:tblLook w:val="04A0"/>
      </w:tblPr>
      <w:tblGrid>
        <w:gridCol w:w="825"/>
        <w:gridCol w:w="1268"/>
        <w:gridCol w:w="1134"/>
        <w:gridCol w:w="850"/>
        <w:gridCol w:w="993"/>
        <w:gridCol w:w="1134"/>
        <w:gridCol w:w="850"/>
        <w:gridCol w:w="1134"/>
        <w:gridCol w:w="709"/>
        <w:gridCol w:w="992"/>
        <w:gridCol w:w="992"/>
        <w:gridCol w:w="1276"/>
        <w:gridCol w:w="1035"/>
        <w:gridCol w:w="180"/>
        <w:gridCol w:w="56"/>
        <w:gridCol w:w="180"/>
        <w:gridCol w:w="108"/>
      </w:tblGrid>
      <w:tr w:rsidR="00480B73" w:rsidRPr="002658C0" w:rsidTr="00264CE2">
        <w:trPr>
          <w:trHeight w:val="740"/>
        </w:trPr>
        <w:tc>
          <w:tcPr>
            <w:tcW w:w="825"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Author</w:t>
            </w:r>
          </w:p>
        </w:tc>
        <w:tc>
          <w:tcPr>
            <w:tcW w:w="1268"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Patient population</w:t>
            </w:r>
          </w:p>
        </w:tc>
        <w:tc>
          <w:tcPr>
            <w:tcW w:w="1134"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Country</w:t>
            </w:r>
          </w:p>
        </w:tc>
        <w:tc>
          <w:tcPr>
            <w:tcW w:w="850"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 xml:space="preserve"># patients </w:t>
            </w:r>
          </w:p>
          <w:p w:rsidR="00480B73" w:rsidRPr="002658C0" w:rsidRDefault="00480B73" w:rsidP="00264CE2">
            <w:pPr>
              <w:jc w:val="both"/>
              <w:rPr>
                <w:rFonts w:cs="Times New Roman"/>
                <w:b/>
                <w:color w:val="000000" w:themeColor="text1"/>
                <w:sz w:val="16"/>
                <w:szCs w:val="16"/>
              </w:rPr>
            </w:pPr>
          </w:p>
        </w:tc>
        <w:tc>
          <w:tcPr>
            <w:tcW w:w="993"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 xml:space="preserve">Age </w:t>
            </w:r>
          </w:p>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(years)</w:t>
            </w:r>
          </w:p>
        </w:tc>
        <w:tc>
          <w:tcPr>
            <w:tcW w:w="1134"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Weight (kg)</w:t>
            </w:r>
          </w:p>
        </w:tc>
        <w:tc>
          <w:tcPr>
            <w:tcW w:w="850"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Gender (%male)</w:t>
            </w:r>
          </w:p>
        </w:tc>
        <w:tc>
          <w:tcPr>
            <w:tcW w:w="1134"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Pr>
                <w:rFonts w:cs="Times New Roman"/>
                <w:b/>
                <w:sz w:val="16"/>
                <w:szCs w:val="16"/>
              </w:rPr>
              <w:t xml:space="preserve">Formulation / </w:t>
            </w:r>
            <w:r w:rsidRPr="00163B4B">
              <w:rPr>
                <w:rFonts w:cs="Times New Roman"/>
                <w:b/>
                <w:sz w:val="16"/>
                <w:szCs w:val="16"/>
              </w:rPr>
              <w:t>Brand</w:t>
            </w:r>
          </w:p>
        </w:tc>
        <w:tc>
          <w:tcPr>
            <w:tcW w:w="709" w:type="dxa"/>
            <w:tcBorders>
              <w:top w:val="nil"/>
              <w:left w:val="nil"/>
              <w:bottom w:val="single" w:sz="4" w:space="0" w:color="auto"/>
              <w:right w:val="nil"/>
            </w:tcBorders>
          </w:tcPr>
          <w:p w:rsidR="00480B73"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IM/IV/</w:t>
            </w:r>
          </w:p>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Oral</w:t>
            </w:r>
          </w:p>
        </w:tc>
        <w:tc>
          <w:tcPr>
            <w:tcW w:w="992"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Analytical method</w:t>
            </w:r>
          </w:p>
        </w:tc>
        <w:tc>
          <w:tcPr>
            <w:tcW w:w="992"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LLOQ (µg/mL plasma)</w:t>
            </w:r>
          </w:p>
        </w:tc>
        <w:tc>
          <w:tcPr>
            <w:tcW w:w="1276"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PK analysis</w:t>
            </w:r>
          </w:p>
        </w:tc>
        <w:tc>
          <w:tcPr>
            <w:tcW w:w="1035" w:type="dxa"/>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b/>
                <w:color w:val="000000" w:themeColor="text1"/>
                <w:sz w:val="16"/>
                <w:szCs w:val="16"/>
              </w:rPr>
              <w:t>Model</w:t>
            </w:r>
          </w:p>
        </w:tc>
        <w:tc>
          <w:tcPr>
            <w:tcW w:w="524" w:type="dxa"/>
            <w:gridSpan w:val="4"/>
            <w:tcBorders>
              <w:top w:val="nil"/>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p>
        </w:tc>
      </w:tr>
      <w:tr w:rsidR="00480B73" w:rsidRPr="00E561A8" w:rsidTr="00264CE2">
        <w:trPr>
          <w:trHeight w:val="70"/>
        </w:trPr>
        <w:tc>
          <w:tcPr>
            <w:tcW w:w="13716" w:type="dxa"/>
            <w:gridSpan w:val="17"/>
            <w:tcBorders>
              <w:top w:val="single" w:sz="4" w:space="0" w:color="auto"/>
              <w:left w:val="nil"/>
              <w:bottom w:val="single" w:sz="4" w:space="0" w:color="auto"/>
              <w:right w:val="nil"/>
            </w:tcBorders>
            <w:shd w:val="pct10" w:color="auto" w:fill="auto"/>
          </w:tcPr>
          <w:p w:rsidR="00480B73" w:rsidRPr="00E561A8" w:rsidRDefault="00480B73" w:rsidP="00264CE2">
            <w:pPr>
              <w:jc w:val="both"/>
              <w:rPr>
                <w:rFonts w:cs="Times New Roman"/>
                <w:b/>
                <w:color w:val="000000" w:themeColor="text1"/>
                <w:sz w:val="16"/>
                <w:szCs w:val="16"/>
              </w:rPr>
            </w:pPr>
          </w:p>
        </w:tc>
      </w:tr>
      <w:tr w:rsidR="00480B73" w:rsidRPr="002658C0" w:rsidTr="00264CE2">
        <w:trPr>
          <w:gridAfter w:val="1"/>
          <w:wAfter w:w="108" w:type="dxa"/>
          <w:trHeight w:val="786"/>
        </w:trPr>
        <w:tc>
          <w:tcPr>
            <w:tcW w:w="825"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 xml:space="preserve">Al-Jaser et al. </w:t>
            </w:r>
            <w:r>
              <w:rPr>
                <w:color w:val="000000" w:themeColor="text1"/>
                <w:sz w:val="16"/>
                <w:szCs w:val="16"/>
              </w:rPr>
              <w:fldChar w:fldCharType="begin" w:fldLock="1"/>
            </w:r>
            <w:r>
              <w:rPr>
                <w:color w:val="000000" w:themeColor="text1"/>
                <w:sz w:val="16"/>
                <w:szCs w:val="16"/>
              </w:rPr>
              <w:instrText>ADDIN CSL_CITATION { "citationItems" : [ { "id" : "ITEM-1", "itemData" : { "author" : [ { "dropping-particle" : "", "family" : "Al-Jaser", "given" : "M", "non-dropping-particle" : "", "parse-names" : false, "suffix" : "" }, { "dropping-particle" : "", "family" : "El-Yazigi", "given" : "A.", "non-dropping-particle" : "", "parse-names" : false, "suffix" : "" }, { "dropping-particle" : "", "family" : "Croft", "given" : "S L", "non-dropping-particle" : "", "parse-names" : false, "suffix" : "" } ], "container-title" : "Pharmaceutical Research", "id" : "ITEM-1", "issued" : { "date-parts" : [ [ "1995" ] ] }, "page" : "111-114", "title" : "Pharmacokinetics of antimony in patients treated with sodium stibogluconate for cutaneous leishmaniasis", "type" : "article-journal", "volume" : "12" }, "uris" : [ "http://www.mendeley.com/documents/?uuid=44dca9ec-57e8-4d48-951d-033e4c99a02d" ] } ], "mendeley" : { "formattedCitation" : "[30]", "plainTextFormattedCitation" : "[30]", "previouslyFormattedCitation" : "[30]" }, "properties" : { "noteIndex" : 0 }, "schema" : "https://github.com/citation-style-language/schema/raw/master/csl-citation.json" }</w:instrText>
            </w:r>
            <w:r>
              <w:rPr>
                <w:color w:val="000000" w:themeColor="text1"/>
                <w:sz w:val="16"/>
                <w:szCs w:val="16"/>
              </w:rPr>
              <w:fldChar w:fldCharType="separate"/>
            </w:r>
            <w:r w:rsidRPr="009F49CA">
              <w:rPr>
                <w:noProof/>
                <w:color w:val="000000" w:themeColor="text1"/>
                <w:sz w:val="16"/>
                <w:szCs w:val="16"/>
              </w:rPr>
              <w:t>[30]</w:t>
            </w:r>
            <w:r>
              <w:rPr>
                <w:color w:val="000000" w:themeColor="text1"/>
                <w:sz w:val="16"/>
                <w:szCs w:val="16"/>
              </w:rPr>
              <w:fldChar w:fldCharType="end"/>
            </w:r>
          </w:p>
        </w:tc>
        <w:tc>
          <w:tcPr>
            <w:tcW w:w="1268"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Pr>
                <w:color w:val="000000" w:themeColor="text1"/>
                <w:sz w:val="16"/>
                <w:szCs w:val="16"/>
              </w:rPr>
              <w:t>Cutaneous leishmaniasis</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Saudi Arabia</w:t>
            </w:r>
          </w:p>
        </w:tc>
        <w:tc>
          <w:tcPr>
            <w:tcW w:w="850"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29</w:t>
            </w:r>
          </w:p>
        </w:tc>
        <w:tc>
          <w:tcPr>
            <w:tcW w:w="993"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32.3±7.3</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60-75</w:t>
            </w:r>
          </w:p>
        </w:tc>
        <w:tc>
          <w:tcPr>
            <w:tcW w:w="850"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100%</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rPr>
              <w:t>Pentostam (</w:t>
            </w:r>
            <w:r>
              <w:rPr>
                <w:rFonts w:cs="Times New Roman"/>
                <w:color w:val="000000" w:themeColor="text1"/>
                <w:sz w:val="16"/>
              </w:rPr>
              <w:t>SSG)</w:t>
            </w:r>
          </w:p>
        </w:tc>
        <w:tc>
          <w:tcPr>
            <w:tcW w:w="709"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IM</w:t>
            </w:r>
          </w:p>
        </w:tc>
        <w:tc>
          <w:tcPr>
            <w:tcW w:w="992" w:type="dxa"/>
            <w:tcBorders>
              <w:top w:val="single" w:sz="4" w:space="0" w:color="auto"/>
              <w:left w:val="nil"/>
              <w:bottom w:val="single" w:sz="4" w:space="0" w:color="auto"/>
              <w:right w:val="nil"/>
            </w:tcBorders>
          </w:tcPr>
          <w:p w:rsidR="00480B73" w:rsidRDefault="00480B73" w:rsidP="00264CE2">
            <w:pPr>
              <w:jc w:val="both"/>
              <w:rPr>
                <w:rFonts w:cs="Times New Roman"/>
                <w:color w:val="000000" w:themeColor="text1"/>
                <w:sz w:val="16"/>
                <w:szCs w:val="16"/>
              </w:rPr>
            </w:pPr>
            <w:r>
              <w:rPr>
                <w:rFonts w:cs="Times New Roman"/>
                <w:color w:val="000000" w:themeColor="text1"/>
                <w:sz w:val="16"/>
                <w:szCs w:val="16"/>
              </w:rPr>
              <w:t>ET AAS</w:t>
            </w:r>
            <w:r w:rsidRPr="006C3716">
              <w:rPr>
                <w:rFonts w:cs="Times New Roman"/>
                <w:color w:val="000000" w:themeColor="text1"/>
                <w:sz w:val="16"/>
                <w:szCs w:val="16"/>
              </w:rPr>
              <w:t xml:space="preserve"> </w:t>
            </w:r>
          </w:p>
          <w:p w:rsidR="00480B73" w:rsidRPr="002658C0" w:rsidRDefault="00480B73" w:rsidP="00264CE2">
            <w:pPr>
              <w:jc w:val="both"/>
              <w:rPr>
                <w:rFonts w:cs="Times New Roman"/>
                <w:color w:val="000000" w:themeColor="text1"/>
                <w:sz w:val="16"/>
                <w:szCs w:val="16"/>
              </w:rPr>
            </w:pPr>
            <w:r w:rsidRPr="006C3716">
              <w:rPr>
                <w:rFonts w:cs="Times New Roman"/>
                <w:color w:val="000000" w:themeColor="text1"/>
                <w:sz w:val="16"/>
                <w:szCs w:val="16"/>
              </w:rPr>
              <w:t>(total antimony)</w:t>
            </w:r>
          </w:p>
        </w:tc>
        <w:tc>
          <w:tcPr>
            <w:tcW w:w="992"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N/A</w:t>
            </w:r>
          </w:p>
        </w:tc>
        <w:tc>
          <w:tcPr>
            <w:tcW w:w="1276"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Pr>
                <w:rFonts w:cs="Times New Roman"/>
                <w:color w:val="000000" w:themeColor="text1"/>
                <w:sz w:val="16"/>
                <w:szCs w:val="18"/>
              </w:rPr>
              <w:t>Compartmental (individual-based)</w:t>
            </w:r>
            <w:r w:rsidRPr="002658C0">
              <w:rPr>
                <w:rFonts w:cs="Times New Roman"/>
                <w:color w:val="000000" w:themeColor="text1"/>
                <w:sz w:val="16"/>
                <w:szCs w:val="18"/>
              </w:rPr>
              <w:t xml:space="preserve"> </w:t>
            </w:r>
          </w:p>
        </w:tc>
        <w:tc>
          <w:tcPr>
            <w:tcW w:w="1215" w:type="dxa"/>
            <w:gridSpan w:val="2"/>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1-CMT</w:t>
            </w:r>
          </w:p>
        </w:tc>
        <w:tc>
          <w:tcPr>
            <w:tcW w:w="236" w:type="dxa"/>
            <w:gridSpan w:val="2"/>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p>
        </w:tc>
      </w:tr>
      <w:tr w:rsidR="00480B73" w:rsidRPr="002658C0" w:rsidTr="00264CE2">
        <w:trPr>
          <w:gridAfter w:val="1"/>
          <w:wAfter w:w="108" w:type="dxa"/>
          <w:trHeight w:val="786"/>
        </w:trPr>
        <w:tc>
          <w:tcPr>
            <w:tcW w:w="825"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 xml:space="preserve">Chulay et al. </w:t>
            </w:r>
            <w:r>
              <w:rPr>
                <w:rFonts w:cs="Times New Roman"/>
                <w:color w:val="000000" w:themeColor="text1"/>
                <w:sz w:val="16"/>
                <w:szCs w:val="16"/>
              </w:rPr>
              <w:fldChar w:fldCharType="begin" w:fldLock="1"/>
            </w:r>
            <w:r>
              <w:rPr>
                <w:rFonts w:cs="Times New Roman"/>
                <w:color w:val="000000" w:themeColor="text1"/>
                <w:sz w:val="16"/>
                <w:szCs w:val="16"/>
              </w:rPr>
              <w:instrText>ADDIN CSL_CITATION { "citationItems" : [ { "id" : "ITEM-1", "itemData" : { "DOI" : "10.1016/0035-9203(88)90266-0", "ISBN" : "0035-9203 (Print)\\r0035-9203 (Linking)", "ISSN" : "00359203", "PMID" : "2845611", "abstract" : "5 patients with visceral leishmaniasis were treated with sodium stibogluconate (2 patients) or meglumine antimoniate (3 patients) given intramuscularly at a dose of 10 mg antimony (Sb) per kg body weight daily for 30 d. Blood samples were obtained at intervals during treatment and blood Sb concentrations measured by anodic stripping voltametry. The pharmacokinetics of both drugs were remarkably similar, with peak concentrations of approximately 10 mg/litre occurring 2 h after the initial dose. Most of the Sb was eliminated rapidly, but nadir Sb concentrations increased gradually during treatment from 0??04-0??08 mg/litre 24 h after the first dose to 0??19-0??33 mg/litre 24 h after the 30th dose. For both drugs, the data were best described by a two compartment, three term pharmacokinetic model representing an initial absorption phase with a mean half-life of 0??85 h, a rapid elimination phase with a mean half-life of 2??02 h, and a slow elimination phase with a mean half-life of 76 h. The slow terminal elimination phase may be related to in vivo conversion of pentavalent Sb to trivalent Sb, which could contribute to the toxicity associated with long-term, high dose therapy. ?? 1988.", "author" : [ { "dropping-particle" : "", "family" : "Chulay", "given" : "J. D.", "non-dropping-particle" : "", "parse-names" : false, "suffix" : "" }, { "dropping-particle" : "", "family" : "Fleckenstein", "given" : "L.", "non-dropping-particle" : "", "parse-names" : false, "suffix" : "" }, { "dropping-particle" : "", "family" : "Smith", "given" : "D. H.", "non-dropping-particle" : "", "parse-names" : false, "suffix" : "" } ], "container-title" : "Transactions of the Royal Society of Tropical Medicine and Hygiene", "id" : "ITEM-1", "issue" : "1", "issued" : { "date-parts" : [ [ "1988" ] ] }, "page" : "69-72", "title" : "Pharmacokinetics of antimony during treatment of visceral leishmaniasis with sodium stibogluconate or meglumine antimoniate", "type" : "article-journal", "volume" : "82" }, "uris" : [ "http://www.mendeley.com/documents/?uuid=c702b66d-2fcc-4072-b820-be8ec909ef7e" ] } ], "mendeley" : { "formattedCitation" : "[18]", "plainTextFormattedCitation" : "[18]", "previouslyFormattedCitation" : "[18]" }, "properties" : { "noteIndex" : 0 }, "schema" : "https://github.com/citation-style-language/schema/raw/master/csl-citation.json" }</w:instrText>
            </w:r>
            <w:r>
              <w:rPr>
                <w:rFonts w:cs="Times New Roman"/>
                <w:color w:val="000000" w:themeColor="text1"/>
                <w:sz w:val="16"/>
                <w:szCs w:val="16"/>
              </w:rPr>
              <w:fldChar w:fldCharType="separate"/>
            </w:r>
            <w:r w:rsidRPr="009F49CA">
              <w:rPr>
                <w:rFonts w:cs="Times New Roman"/>
                <w:noProof/>
                <w:color w:val="000000" w:themeColor="text1"/>
                <w:sz w:val="16"/>
                <w:szCs w:val="16"/>
              </w:rPr>
              <w:t>[18]</w:t>
            </w:r>
            <w:r>
              <w:rPr>
                <w:rFonts w:cs="Times New Roman"/>
                <w:color w:val="000000" w:themeColor="text1"/>
                <w:sz w:val="16"/>
                <w:szCs w:val="16"/>
              </w:rPr>
              <w:fldChar w:fldCharType="end"/>
            </w:r>
          </w:p>
        </w:tc>
        <w:tc>
          <w:tcPr>
            <w:tcW w:w="1268" w:type="dxa"/>
            <w:tcBorders>
              <w:top w:val="single" w:sz="4" w:space="0" w:color="auto"/>
              <w:left w:val="nil"/>
              <w:bottom w:val="single" w:sz="4" w:space="0" w:color="auto"/>
              <w:right w:val="nil"/>
            </w:tcBorders>
          </w:tcPr>
          <w:p w:rsidR="00480B73" w:rsidRDefault="00480B73" w:rsidP="00264CE2">
            <w:pPr>
              <w:jc w:val="both"/>
              <w:rPr>
                <w:rFonts w:cs="Times New Roman"/>
                <w:color w:val="000000" w:themeColor="text1"/>
                <w:sz w:val="16"/>
                <w:szCs w:val="16"/>
              </w:rPr>
            </w:pPr>
            <w:r>
              <w:rPr>
                <w:rFonts w:cs="Times New Roman"/>
                <w:color w:val="000000" w:themeColor="text1"/>
                <w:sz w:val="16"/>
                <w:szCs w:val="16"/>
              </w:rPr>
              <w:t xml:space="preserve">Visceral </w:t>
            </w:r>
          </w:p>
          <w:p w:rsidR="00480B73" w:rsidRPr="002658C0" w:rsidRDefault="00480B73" w:rsidP="00264CE2">
            <w:pPr>
              <w:jc w:val="both"/>
              <w:rPr>
                <w:rFonts w:cs="Times New Roman"/>
                <w:color w:val="000000" w:themeColor="text1"/>
                <w:sz w:val="16"/>
                <w:szCs w:val="16"/>
              </w:rPr>
            </w:pPr>
            <w:r>
              <w:rPr>
                <w:rFonts w:cs="Times New Roman"/>
                <w:color w:val="000000" w:themeColor="text1"/>
                <w:sz w:val="16"/>
                <w:szCs w:val="16"/>
              </w:rPr>
              <w:t>leishmaniasis</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Kenya</w:t>
            </w:r>
          </w:p>
        </w:tc>
        <w:tc>
          <w:tcPr>
            <w:tcW w:w="850"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5</w:t>
            </w:r>
          </w:p>
        </w:tc>
        <w:tc>
          <w:tcPr>
            <w:tcW w:w="993"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31.4±20.3</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47.4±8.05</w:t>
            </w:r>
          </w:p>
        </w:tc>
        <w:tc>
          <w:tcPr>
            <w:tcW w:w="850"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N/A</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rPr>
              <w:t>Pentostam (</w:t>
            </w:r>
            <w:r>
              <w:rPr>
                <w:rFonts w:cs="Times New Roman"/>
                <w:color w:val="000000" w:themeColor="text1"/>
                <w:sz w:val="16"/>
              </w:rPr>
              <w:t>SSG)</w:t>
            </w:r>
            <w:r w:rsidRPr="002658C0">
              <w:rPr>
                <w:rFonts w:cs="Times New Roman"/>
                <w:color w:val="000000" w:themeColor="text1"/>
                <w:sz w:val="16"/>
              </w:rPr>
              <w:t xml:space="preserve"> (n=2) / </w:t>
            </w:r>
            <w:r w:rsidRPr="004772E6">
              <w:rPr>
                <w:color w:val="000000" w:themeColor="text1"/>
                <w:sz w:val="16"/>
                <w:szCs w:val="16"/>
              </w:rPr>
              <w:t>Glucantime (MA)</w:t>
            </w:r>
            <w:r w:rsidRPr="002658C0">
              <w:rPr>
                <w:rFonts w:cs="Times New Roman"/>
                <w:color w:val="000000" w:themeColor="text1"/>
                <w:sz w:val="16"/>
              </w:rPr>
              <w:t xml:space="preserve"> (n=3)</w:t>
            </w:r>
          </w:p>
        </w:tc>
        <w:tc>
          <w:tcPr>
            <w:tcW w:w="709"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IM</w:t>
            </w:r>
          </w:p>
        </w:tc>
        <w:tc>
          <w:tcPr>
            <w:tcW w:w="992"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20"/>
              </w:rPr>
              <w:t>Anodic stripping voltametry (total antimony</w:t>
            </w:r>
            <w:r>
              <w:rPr>
                <w:rFonts w:cs="Times New Roman"/>
                <w:color w:val="000000" w:themeColor="text1"/>
                <w:sz w:val="16"/>
                <w:szCs w:val="20"/>
              </w:rPr>
              <w:t>)</w:t>
            </w:r>
          </w:p>
        </w:tc>
        <w:tc>
          <w:tcPr>
            <w:tcW w:w="992"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0.03</w:t>
            </w:r>
          </w:p>
        </w:tc>
        <w:tc>
          <w:tcPr>
            <w:tcW w:w="1276"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Pr>
                <w:rFonts w:cs="Times New Roman"/>
                <w:color w:val="000000" w:themeColor="text1"/>
                <w:sz w:val="16"/>
                <w:szCs w:val="18"/>
              </w:rPr>
              <w:t>Compartmental (individual-based)</w:t>
            </w:r>
          </w:p>
        </w:tc>
        <w:tc>
          <w:tcPr>
            <w:tcW w:w="1215" w:type="dxa"/>
            <w:gridSpan w:val="2"/>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rPr>
              <w:t>2-CMT with lag-time for 4/5 patients</w:t>
            </w:r>
          </w:p>
        </w:tc>
        <w:tc>
          <w:tcPr>
            <w:tcW w:w="236" w:type="dxa"/>
            <w:gridSpan w:val="2"/>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p>
        </w:tc>
      </w:tr>
      <w:tr w:rsidR="00480B73" w:rsidRPr="002658C0" w:rsidTr="00264CE2">
        <w:trPr>
          <w:gridAfter w:val="2"/>
          <w:wAfter w:w="288" w:type="dxa"/>
          <w:trHeight w:val="63"/>
        </w:trPr>
        <w:tc>
          <w:tcPr>
            <w:tcW w:w="825" w:type="dxa"/>
            <w:tcBorders>
              <w:top w:val="single" w:sz="4" w:space="0" w:color="auto"/>
              <w:left w:val="nil"/>
              <w:bottom w:val="nil"/>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 xml:space="preserve">Cruz et al. </w:t>
            </w:r>
            <w:r>
              <w:rPr>
                <w:color w:val="000000" w:themeColor="text1"/>
                <w:sz w:val="16"/>
                <w:szCs w:val="16"/>
              </w:rPr>
              <w:fldChar w:fldCharType="begin" w:fldLock="1"/>
            </w:r>
            <w:r>
              <w:rPr>
                <w:color w:val="000000" w:themeColor="text1"/>
                <w:sz w:val="16"/>
                <w:szCs w:val="16"/>
              </w:rPr>
              <w:instrText>ADDIN CSL_CITATION { "citationItems" : [ { "id" : "ITEM-1", "itemData" : { "DOI" : "10.1086/510860", "ISBN" : "0022-1899 (Print)", "ISSN" : "0022-1899, 1537-6613", "PMID" : "17230422", "abstract" : "BACKGROUND: In some settings, the response to pentavalent antimonial therapy for leishmaniasis may be lower in children than in adults. We hypothesized that there are age-dependent pharmacokinetic differences of potential clinical relevance. METHODS: We compared the pharmacokinetics of antimony (Sb) in adults and 2 groups of children 3-6 years old who had cutaneous leishmaniasis treated with intramuscular meglumine antimoniate. Adults (n=9) and the first group of children (n=9) received 20 mg Sb/kg/day for 20 days; the second group of children (n=6) received 20 mg Sb/kg for 19 days and 30 mg Sb/kg on day 20. Drug exposure was assessed by the area under the 24-h time-concentration curve (AUC(0-24)) in plasma. RESULTS: Children (vs. adults) who received 20 mg/kg had a 42% lower AUC(0-24) (mean +/- SE, 111+/-7 vs. 190+/-10 mg x h/L, compared with adults; P&lt;.001), a 16% lower peak concentration (32.7+/-0.9 vs. 38.8+/-2.1 mg/L; P=.04), and a 75% higher weight-adjusted clearance (0.185+/-0.013 vs. 0.106+/-0.006 L/h/kg; P&lt;.001). The 30 mg/kg dose in children increased the AUC(0-24) to 164+/-10 mg x h/L and the peak concentration to 43.8+/-2.3 mg/L. CONCLUSIONS: Drug exposure is significantly lower in children than in adults treated with the same weight-adjusted regimen of meglumine antimoniate, which primarily stems from a higher antimony clearance rate.", "author" : [ { "dropping-particle" : "", "family" : "Cruz", "given" : "Adriana", "non-dropping-particle" : "", "parse-names" : false, "suffix" : "" }, { "dropping-particle" : "", "family" : "Rainey", "given" : "Petrie M", "non-dropping-particle" : "", "parse-names" : false, "suffix" : "" }, { "dropping-particle" : "", "family" : "Herwaldt", "given" : "Barbara L", "non-dropping-particle" : "", "parse-names" : false, "suffix" : "" }, { "dropping-particle" : "", "family" : "Stagni", "given" : "Grazia", "non-dropping-particle" : "", "parse-names" : false, "suffix" : "" }, { "dropping-particle" : "", "family" : "Palacios", "given" : "Ricardo", "non-dropping-particle" : "", "parse-names" : false, "suffix" : "" }, { "dropping-particle" : "", "family" : "Trujillo", "given" : "Rodolfo", "non-dropping-particle" : "", "parse-names" : false, "suffix" : "" }, { "dropping-particle" : "", "family" : "Saravia", "given" : "Nancy G", "non-dropping-particle" : "", "parse-names" : false, "suffix" : "" } ], "container-title" : "The Journal of infectious diseases", "id" : "ITEM-1", "issue" : "4", "issued" : { "date-parts" : [ [ "2007" ] ] }, "page" : "602-608", "title" : "Pharmacokinetics of antimony in children treated for leishmaniasis with meglumine antimoniate", "type" : "article-journal", "volume" : "195" }, "uris" : [ "http://www.mendeley.com/documents/?uuid=9bf80a2e-3725-4f8d-81d6-74e20ac6d27f" ] } ], "mendeley" : { "formattedCitation" : "[11]", "plainTextFormattedCitation" : "[11]", "previouslyFormattedCitation" : "[11]" }, "properties" : { "noteIndex" : 0 }, "schema" : "https://github.com/citation-style-language/schema/raw/master/csl-citation.json" }</w:instrText>
            </w:r>
            <w:r>
              <w:rPr>
                <w:color w:val="000000" w:themeColor="text1"/>
                <w:sz w:val="16"/>
                <w:szCs w:val="16"/>
              </w:rPr>
              <w:fldChar w:fldCharType="separate"/>
            </w:r>
            <w:r w:rsidRPr="009F49CA">
              <w:rPr>
                <w:noProof/>
                <w:color w:val="000000" w:themeColor="text1"/>
                <w:sz w:val="16"/>
                <w:szCs w:val="16"/>
              </w:rPr>
              <w:t>[11]</w:t>
            </w:r>
            <w:r>
              <w:rPr>
                <w:color w:val="000000" w:themeColor="text1"/>
                <w:sz w:val="16"/>
                <w:szCs w:val="16"/>
              </w:rPr>
              <w:fldChar w:fldCharType="end"/>
            </w:r>
          </w:p>
        </w:tc>
        <w:tc>
          <w:tcPr>
            <w:tcW w:w="2402" w:type="dxa"/>
            <w:gridSpan w:val="2"/>
            <w:tcBorders>
              <w:top w:val="single" w:sz="4" w:space="0" w:color="auto"/>
              <w:left w:val="nil"/>
              <w:bottom w:val="nil"/>
              <w:right w:val="nil"/>
            </w:tcBorders>
          </w:tcPr>
          <w:p w:rsidR="00480B73" w:rsidRPr="002658C0" w:rsidRDefault="00480B73" w:rsidP="00264CE2">
            <w:pPr>
              <w:jc w:val="both"/>
              <w:rPr>
                <w:color w:val="000000" w:themeColor="text1"/>
                <w:sz w:val="16"/>
                <w:szCs w:val="16"/>
              </w:rPr>
            </w:pPr>
            <w:r w:rsidRPr="00552772">
              <w:rPr>
                <w:rFonts w:cs="Times New Roman"/>
                <w:color w:val="000000" w:themeColor="text1"/>
                <w:sz w:val="16"/>
                <w:szCs w:val="16"/>
              </w:rPr>
              <w:t>Cutaneous leishmaniasis</w:t>
            </w:r>
          </w:p>
        </w:tc>
        <w:tc>
          <w:tcPr>
            <w:tcW w:w="850" w:type="dxa"/>
            <w:tcBorders>
              <w:top w:val="single" w:sz="4" w:space="0" w:color="auto"/>
              <w:left w:val="nil"/>
              <w:bottom w:val="nil"/>
              <w:right w:val="nil"/>
            </w:tcBorders>
          </w:tcPr>
          <w:p w:rsidR="00480B73" w:rsidRDefault="00480B73" w:rsidP="00264CE2">
            <w:pPr>
              <w:jc w:val="both"/>
              <w:rPr>
                <w:color w:val="000000" w:themeColor="text1"/>
                <w:sz w:val="16"/>
                <w:szCs w:val="16"/>
              </w:rPr>
            </w:pPr>
          </w:p>
        </w:tc>
        <w:tc>
          <w:tcPr>
            <w:tcW w:w="993" w:type="dxa"/>
            <w:tcBorders>
              <w:top w:val="single" w:sz="4" w:space="0" w:color="auto"/>
              <w:left w:val="nil"/>
              <w:bottom w:val="nil"/>
              <w:right w:val="nil"/>
            </w:tcBorders>
          </w:tcPr>
          <w:p w:rsidR="00480B73" w:rsidRPr="002658C0" w:rsidRDefault="00480B73" w:rsidP="00264CE2">
            <w:pPr>
              <w:jc w:val="both"/>
              <w:rPr>
                <w:color w:val="000000" w:themeColor="text1"/>
                <w:sz w:val="16"/>
                <w:szCs w:val="16"/>
              </w:rPr>
            </w:pPr>
          </w:p>
        </w:tc>
        <w:tc>
          <w:tcPr>
            <w:tcW w:w="1134" w:type="dxa"/>
            <w:tcBorders>
              <w:top w:val="single" w:sz="4" w:space="0" w:color="auto"/>
              <w:left w:val="nil"/>
              <w:bottom w:val="nil"/>
              <w:right w:val="nil"/>
            </w:tcBorders>
          </w:tcPr>
          <w:p w:rsidR="00480B73" w:rsidRPr="002658C0" w:rsidRDefault="00480B73" w:rsidP="00264CE2">
            <w:pPr>
              <w:jc w:val="both"/>
              <w:rPr>
                <w:color w:val="000000" w:themeColor="text1"/>
                <w:sz w:val="16"/>
                <w:szCs w:val="16"/>
              </w:rPr>
            </w:pPr>
          </w:p>
        </w:tc>
        <w:tc>
          <w:tcPr>
            <w:tcW w:w="850" w:type="dxa"/>
            <w:tcBorders>
              <w:top w:val="single" w:sz="4" w:space="0" w:color="auto"/>
              <w:left w:val="nil"/>
              <w:bottom w:val="nil"/>
              <w:right w:val="nil"/>
            </w:tcBorders>
          </w:tcPr>
          <w:p w:rsidR="00480B73" w:rsidRPr="002658C0" w:rsidRDefault="00480B73" w:rsidP="00264CE2">
            <w:pPr>
              <w:jc w:val="both"/>
              <w:rPr>
                <w:rFonts w:cs="Times New Roman"/>
                <w:color w:val="000000" w:themeColor="text1"/>
                <w:sz w:val="16"/>
                <w:szCs w:val="16"/>
              </w:rPr>
            </w:pPr>
          </w:p>
        </w:tc>
        <w:tc>
          <w:tcPr>
            <w:tcW w:w="1134" w:type="dxa"/>
            <w:tcBorders>
              <w:top w:val="single" w:sz="4" w:space="0" w:color="auto"/>
              <w:left w:val="nil"/>
              <w:bottom w:val="nil"/>
              <w:right w:val="nil"/>
            </w:tcBorders>
          </w:tcPr>
          <w:p w:rsidR="00480B73" w:rsidRPr="004772E6" w:rsidRDefault="00480B73" w:rsidP="00264CE2">
            <w:pPr>
              <w:jc w:val="both"/>
              <w:rPr>
                <w:color w:val="000000" w:themeColor="text1"/>
                <w:sz w:val="16"/>
                <w:szCs w:val="16"/>
              </w:rPr>
            </w:pPr>
          </w:p>
        </w:tc>
        <w:tc>
          <w:tcPr>
            <w:tcW w:w="709" w:type="dxa"/>
            <w:tcBorders>
              <w:top w:val="single" w:sz="4" w:space="0" w:color="auto"/>
              <w:left w:val="nil"/>
              <w:bottom w:val="nil"/>
              <w:right w:val="nil"/>
            </w:tcBorders>
          </w:tcPr>
          <w:p w:rsidR="00480B73" w:rsidRPr="002658C0" w:rsidRDefault="00480B73" w:rsidP="00264CE2">
            <w:pPr>
              <w:jc w:val="both"/>
              <w:rPr>
                <w:color w:val="000000" w:themeColor="text1"/>
                <w:sz w:val="16"/>
                <w:szCs w:val="16"/>
              </w:rPr>
            </w:pPr>
          </w:p>
        </w:tc>
        <w:tc>
          <w:tcPr>
            <w:tcW w:w="992" w:type="dxa"/>
            <w:tcBorders>
              <w:top w:val="single" w:sz="4" w:space="0" w:color="auto"/>
              <w:left w:val="nil"/>
              <w:bottom w:val="nil"/>
              <w:right w:val="nil"/>
            </w:tcBorders>
          </w:tcPr>
          <w:p w:rsidR="00480B73" w:rsidRDefault="00480B73" w:rsidP="00264CE2">
            <w:pPr>
              <w:jc w:val="both"/>
              <w:rPr>
                <w:rFonts w:cs="Times New Roman"/>
                <w:color w:val="000000" w:themeColor="text1"/>
                <w:sz w:val="16"/>
                <w:szCs w:val="16"/>
              </w:rPr>
            </w:pPr>
          </w:p>
        </w:tc>
        <w:tc>
          <w:tcPr>
            <w:tcW w:w="992" w:type="dxa"/>
            <w:tcBorders>
              <w:top w:val="single" w:sz="4" w:space="0" w:color="auto"/>
              <w:left w:val="nil"/>
              <w:bottom w:val="nil"/>
              <w:right w:val="nil"/>
            </w:tcBorders>
          </w:tcPr>
          <w:p w:rsidR="00480B73" w:rsidRPr="002658C0" w:rsidRDefault="00480B73" w:rsidP="00264CE2">
            <w:pPr>
              <w:jc w:val="both"/>
              <w:rPr>
                <w:rFonts w:cs="Times New Roman"/>
                <w:color w:val="000000" w:themeColor="text1"/>
                <w:sz w:val="16"/>
                <w:szCs w:val="16"/>
              </w:rPr>
            </w:pPr>
          </w:p>
        </w:tc>
        <w:tc>
          <w:tcPr>
            <w:tcW w:w="1276" w:type="dxa"/>
            <w:tcBorders>
              <w:top w:val="single" w:sz="4" w:space="0" w:color="auto"/>
              <w:left w:val="nil"/>
              <w:bottom w:val="nil"/>
              <w:right w:val="nil"/>
            </w:tcBorders>
          </w:tcPr>
          <w:p w:rsidR="00480B73" w:rsidRPr="002658C0" w:rsidRDefault="00480B73" w:rsidP="00264CE2">
            <w:pPr>
              <w:jc w:val="both"/>
              <w:rPr>
                <w:rFonts w:cs="Times New Roman"/>
                <w:color w:val="000000" w:themeColor="text1"/>
                <w:sz w:val="16"/>
                <w:szCs w:val="16"/>
              </w:rPr>
            </w:pPr>
          </w:p>
        </w:tc>
        <w:tc>
          <w:tcPr>
            <w:tcW w:w="1035" w:type="dxa"/>
            <w:tcBorders>
              <w:top w:val="single" w:sz="4" w:space="0" w:color="auto"/>
              <w:left w:val="nil"/>
              <w:bottom w:val="nil"/>
              <w:right w:val="nil"/>
            </w:tcBorders>
          </w:tcPr>
          <w:p w:rsidR="00480B73" w:rsidRPr="002658C0" w:rsidRDefault="00480B73" w:rsidP="00264CE2">
            <w:pPr>
              <w:jc w:val="both"/>
              <w:rPr>
                <w:color w:val="000000" w:themeColor="text1"/>
                <w:sz w:val="16"/>
                <w:szCs w:val="16"/>
              </w:rPr>
            </w:pPr>
          </w:p>
        </w:tc>
        <w:tc>
          <w:tcPr>
            <w:tcW w:w="236" w:type="dxa"/>
            <w:gridSpan w:val="2"/>
            <w:tcBorders>
              <w:top w:val="single" w:sz="4" w:space="0" w:color="auto"/>
              <w:left w:val="nil"/>
              <w:bottom w:val="nil"/>
              <w:right w:val="nil"/>
            </w:tcBorders>
          </w:tcPr>
          <w:p w:rsidR="00480B73" w:rsidRDefault="00480B73" w:rsidP="00264CE2">
            <w:pPr>
              <w:jc w:val="both"/>
              <w:rPr>
                <w:rFonts w:cs="Times New Roman"/>
                <w:color w:val="000000" w:themeColor="text1"/>
                <w:sz w:val="16"/>
                <w:szCs w:val="16"/>
              </w:rPr>
            </w:pPr>
          </w:p>
        </w:tc>
      </w:tr>
      <w:tr w:rsidR="00480B73" w:rsidRPr="002658C0" w:rsidTr="00264CE2">
        <w:trPr>
          <w:gridAfter w:val="2"/>
          <w:wAfter w:w="288" w:type="dxa"/>
          <w:trHeight w:val="786"/>
        </w:trPr>
        <w:tc>
          <w:tcPr>
            <w:tcW w:w="825" w:type="dxa"/>
            <w:tcBorders>
              <w:top w:val="nil"/>
              <w:left w:val="nil"/>
              <w:bottom w:val="nil"/>
              <w:right w:val="nil"/>
            </w:tcBorders>
          </w:tcPr>
          <w:p w:rsidR="00480B73" w:rsidRPr="002658C0" w:rsidRDefault="00480B73" w:rsidP="00264CE2">
            <w:pPr>
              <w:jc w:val="both"/>
              <w:rPr>
                <w:color w:val="000000" w:themeColor="text1"/>
                <w:sz w:val="16"/>
                <w:szCs w:val="16"/>
              </w:rPr>
            </w:pPr>
          </w:p>
        </w:tc>
        <w:tc>
          <w:tcPr>
            <w:tcW w:w="1268" w:type="dxa"/>
            <w:tcBorders>
              <w:top w:val="nil"/>
              <w:left w:val="nil"/>
              <w:bottom w:val="dashed" w:sz="4" w:space="0" w:color="auto"/>
              <w:right w:val="nil"/>
            </w:tcBorders>
          </w:tcPr>
          <w:p w:rsidR="00480B73" w:rsidRPr="00552772" w:rsidRDefault="00480B73" w:rsidP="00264CE2">
            <w:pPr>
              <w:jc w:val="both"/>
              <w:rPr>
                <w:rFonts w:cs="Times New Roman"/>
                <w:color w:val="000000" w:themeColor="text1"/>
                <w:sz w:val="16"/>
                <w:szCs w:val="16"/>
                <w:u w:val="single"/>
              </w:rPr>
            </w:pPr>
            <w:r w:rsidRPr="00552772">
              <w:rPr>
                <w:rFonts w:cs="Times New Roman"/>
                <w:color w:val="000000" w:themeColor="text1"/>
                <w:sz w:val="16"/>
                <w:szCs w:val="16"/>
                <w:u w:val="single"/>
              </w:rPr>
              <w:t>Adult</w:t>
            </w:r>
          </w:p>
          <w:p w:rsidR="00480B73" w:rsidRDefault="00480B73" w:rsidP="00264CE2">
            <w:pPr>
              <w:jc w:val="both"/>
              <w:rPr>
                <w:color w:val="000000" w:themeColor="text1"/>
                <w:sz w:val="16"/>
                <w:szCs w:val="16"/>
              </w:rPr>
            </w:pPr>
            <w:r w:rsidRPr="002658C0">
              <w:rPr>
                <w:color w:val="000000" w:themeColor="text1"/>
                <w:sz w:val="16"/>
                <w:szCs w:val="16"/>
              </w:rPr>
              <w:t>20 mg/kg/day</w:t>
            </w:r>
          </w:p>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20 days</w:t>
            </w:r>
          </w:p>
        </w:tc>
        <w:tc>
          <w:tcPr>
            <w:tcW w:w="1134" w:type="dxa"/>
            <w:tcBorders>
              <w:top w:val="nil"/>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Colombia</w:t>
            </w:r>
          </w:p>
        </w:tc>
        <w:tc>
          <w:tcPr>
            <w:tcW w:w="850" w:type="dxa"/>
            <w:tcBorders>
              <w:top w:val="nil"/>
              <w:left w:val="nil"/>
              <w:bottom w:val="dashed" w:sz="4" w:space="0" w:color="auto"/>
              <w:right w:val="nil"/>
            </w:tcBorders>
          </w:tcPr>
          <w:p w:rsidR="00480B73" w:rsidRPr="002658C0" w:rsidRDefault="00480B73" w:rsidP="00264CE2">
            <w:pPr>
              <w:jc w:val="both"/>
              <w:rPr>
                <w:color w:val="000000" w:themeColor="text1"/>
                <w:sz w:val="16"/>
                <w:szCs w:val="16"/>
              </w:rPr>
            </w:pPr>
            <w:r>
              <w:rPr>
                <w:color w:val="000000" w:themeColor="text1"/>
                <w:sz w:val="16"/>
                <w:szCs w:val="16"/>
              </w:rPr>
              <w:t>9</w:t>
            </w:r>
          </w:p>
        </w:tc>
        <w:tc>
          <w:tcPr>
            <w:tcW w:w="993" w:type="dxa"/>
            <w:tcBorders>
              <w:top w:val="nil"/>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26 (20-36)</w:t>
            </w:r>
          </w:p>
          <w:p w:rsidR="00480B73" w:rsidRPr="002658C0" w:rsidRDefault="00480B73" w:rsidP="00264CE2">
            <w:pPr>
              <w:jc w:val="both"/>
              <w:rPr>
                <w:color w:val="000000" w:themeColor="text1"/>
                <w:sz w:val="16"/>
                <w:szCs w:val="16"/>
              </w:rPr>
            </w:pPr>
          </w:p>
        </w:tc>
        <w:tc>
          <w:tcPr>
            <w:tcW w:w="1134" w:type="dxa"/>
            <w:tcBorders>
              <w:top w:val="nil"/>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62 (56-120)</w:t>
            </w:r>
          </w:p>
          <w:p w:rsidR="00480B73" w:rsidRPr="002658C0" w:rsidRDefault="00480B73" w:rsidP="00264CE2">
            <w:pPr>
              <w:jc w:val="both"/>
              <w:rPr>
                <w:color w:val="000000" w:themeColor="text1"/>
                <w:sz w:val="16"/>
                <w:szCs w:val="16"/>
              </w:rPr>
            </w:pPr>
          </w:p>
        </w:tc>
        <w:tc>
          <w:tcPr>
            <w:tcW w:w="850" w:type="dxa"/>
            <w:tcBorders>
              <w:top w:val="nil"/>
              <w:left w:val="nil"/>
              <w:bottom w:val="dashed"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100%</w:t>
            </w:r>
          </w:p>
          <w:p w:rsidR="00480B73" w:rsidRPr="002658C0" w:rsidRDefault="00480B73" w:rsidP="00264CE2">
            <w:pPr>
              <w:jc w:val="both"/>
              <w:rPr>
                <w:rFonts w:cs="Times New Roman"/>
                <w:color w:val="000000" w:themeColor="text1"/>
                <w:sz w:val="16"/>
                <w:szCs w:val="16"/>
              </w:rPr>
            </w:pPr>
          </w:p>
        </w:tc>
        <w:tc>
          <w:tcPr>
            <w:tcW w:w="1134" w:type="dxa"/>
            <w:tcBorders>
              <w:top w:val="nil"/>
              <w:left w:val="nil"/>
              <w:bottom w:val="dashed" w:sz="4" w:space="0" w:color="auto"/>
              <w:right w:val="nil"/>
            </w:tcBorders>
          </w:tcPr>
          <w:p w:rsidR="00480B73" w:rsidRPr="002658C0" w:rsidRDefault="00480B73" w:rsidP="00264CE2">
            <w:pPr>
              <w:jc w:val="both"/>
              <w:rPr>
                <w:color w:val="000000" w:themeColor="text1"/>
                <w:sz w:val="16"/>
                <w:szCs w:val="16"/>
              </w:rPr>
            </w:pPr>
            <w:r w:rsidRPr="004772E6">
              <w:rPr>
                <w:color w:val="000000" w:themeColor="text1"/>
                <w:sz w:val="16"/>
                <w:szCs w:val="16"/>
              </w:rPr>
              <w:t>Glucantime (MA)</w:t>
            </w:r>
          </w:p>
        </w:tc>
        <w:tc>
          <w:tcPr>
            <w:tcW w:w="709" w:type="dxa"/>
            <w:tcBorders>
              <w:top w:val="nil"/>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IM</w:t>
            </w:r>
          </w:p>
        </w:tc>
        <w:tc>
          <w:tcPr>
            <w:tcW w:w="992" w:type="dxa"/>
            <w:tcBorders>
              <w:top w:val="nil"/>
              <w:left w:val="nil"/>
              <w:bottom w:val="dashed" w:sz="4" w:space="0" w:color="auto"/>
              <w:right w:val="nil"/>
            </w:tcBorders>
          </w:tcPr>
          <w:p w:rsidR="00480B73" w:rsidRDefault="00480B73" w:rsidP="00264CE2">
            <w:pPr>
              <w:jc w:val="both"/>
              <w:rPr>
                <w:rFonts w:cs="Times New Roman"/>
                <w:color w:val="000000" w:themeColor="text1"/>
                <w:sz w:val="16"/>
                <w:szCs w:val="16"/>
              </w:rPr>
            </w:pPr>
            <w:r>
              <w:rPr>
                <w:rFonts w:cs="Times New Roman"/>
                <w:color w:val="000000" w:themeColor="text1"/>
                <w:sz w:val="16"/>
                <w:szCs w:val="16"/>
              </w:rPr>
              <w:t>ET AAS</w:t>
            </w:r>
          </w:p>
          <w:p w:rsidR="00480B73" w:rsidRPr="002658C0" w:rsidRDefault="00480B73" w:rsidP="00264CE2">
            <w:pPr>
              <w:jc w:val="both"/>
              <w:rPr>
                <w:rFonts w:cs="Times New Roman"/>
                <w:color w:val="000000" w:themeColor="text1"/>
                <w:sz w:val="16"/>
                <w:szCs w:val="16"/>
              </w:rPr>
            </w:pPr>
            <w:r>
              <w:rPr>
                <w:rFonts w:cs="Times New Roman"/>
                <w:color w:val="000000" w:themeColor="text1"/>
                <w:sz w:val="16"/>
                <w:szCs w:val="16"/>
              </w:rPr>
              <w:t>(total antimon</w:t>
            </w:r>
            <w:r w:rsidRPr="006C3716">
              <w:rPr>
                <w:rFonts w:cs="Times New Roman"/>
                <w:color w:val="000000" w:themeColor="text1"/>
                <w:sz w:val="16"/>
                <w:szCs w:val="16"/>
              </w:rPr>
              <w:t>y)</w:t>
            </w:r>
          </w:p>
        </w:tc>
        <w:tc>
          <w:tcPr>
            <w:tcW w:w="992" w:type="dxa"/>
            <w:tcBorders>
              <w:top w:val="nil"/>
              <w:left w:val="nil"/>
              <w:bottom w:val="dashed"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0.05</w:t>
            </w:r>
          </w:p>
        </w:tc>
        <w:tc>
          <w:tcPr>
            <w:tcW w:w="1276" w:type="dxa"/>
            <w:tcBorders>
              <w:top w:val="nil"/>
              <w:left w:val="nil"/>
              <w:bottom w:val="dashed" w:sz="4" w:space="0" w:color="auto"/>
              <w:right w:val="nil"/>
            </w:tcBorders>
          </w:tcPr>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 xml:space="preserve">NCA </w:t>
            </w:r>
          </w:p>
        </w:tc>
        <w:tc>
          <w:tcPr>
            <w:tcW w:w="1035" w:type="dxa"/>
            <w:tcBorders>
              <w:top w:val="nil"/>
              <w:left w:val="nil"/>
              <w:bottom w:val="dashed" w:sz="4" w:space="0" w:color="auto"/>
              <w:right w:val="nil"/>
            </w:tcBorders>
          </w:tcPr>
          <w:p w:rsidR="00480B73" w:rsidRPr="002658C0" w:rsidRDefault="00480B73" w:rsidP="00264CE2">
            <w:pPr>
              <w:jc w:val="both"/>
              <w:rPr>
                <w:color w:val="000000" w:themeColor="text1"/>
                <w:sz w:val="16"/>
                <w:szCs w:val="16"/>
              </w:rPr>
            </w:pPr>
            <w:r>
              <w:rPr>
                <w:rFonts w:cs="Times New Roman"/>
                <w:color w:val="000000" w:themeColor="text1"/>
                <w:sz w:val="16"/>
                <w:szCs w:val="16"/>
              </w:rPr>
              <w:t>-</w:t>
            </w:r>
          </w:p>
        </w:tc>
        <w:tc>
          <w:tcPr>
            <w:tcW w:w="236" w:type="dxa"/>
            <w:gridSpan w:val="2"/>
            <w:tcBorders>
              <w:top w:val="nil"/>
              <w:left w:val="nil"/>
              <w:bottom w:val="dashed" w:sz="4" w:space="0" w:color="auto"/>
              <w:right w:val="nil"/>
            </w:tcBorders>
          </w:tcPr>
          <w:p w:rsidR="00480B73" w:rsidRDefault="00480B73" w:rsidP="00264CE2">
            <w:pPr>
              <w:jc w:val="both"/>
              <w:rPr>
                <w:rFonts w:cs="Times New Roman"/>
                <w:color w:val="000000" w:themeColor="text1"/>
                <w:sz w:val="16"/>
                <w:szCs w:val="16"/>
              </w:rPr>
            </w:pPr>
          </w:p>
        </w:tc>
      </w:tr>
      <w:tr w:rsidR="00480B73" w:rsidRPr="002658C0" w:rsidTr="00264CE2">
        <w:trPr>
          <w:gridAfter w:val="2"/>
          <w:wAfter w:w="288" w:type="dxa"/>
          <w:trHeight w:val="786"/>
        </w:trPr>
        <w:tc>
          <w:tcPr>
            <w:tcW w:w="825" w:type="dxa"/>
            <w:tcBorders>
              <w:top w:val="nil"/>
              <w:left w:val="nil"/>
              <w:bottom w:val="nil"/>
              <w:right w:val="nil"/>
            </w:tcBorders>
          </w:tcPr>
          <w:p w:rsidR="00480B73" w:rsidRPr="002658C0" w:rsidRDefault="00480B73" w:rsidP="00264CE2">
            <w:pPr>
              <w:jc w:val="both"/>
              <w:rPr>
                <w:color w:val="000000" w:themeColor="text1"/>
                <w:sz w:val="16"/>
                <w:szCs w:val="16"/>
              </w:rPr>
            </w:pPr>
          </w:p>
        </w:tc>
        <w:tc>
          <w:tcPr>
            <w:tcW w:w="1268" w:type="dxa"/>
            <w:tcBorders>
              <w:top w:val="dashed" w:sz="4" w:space="0" w:color="auto"/>
              <w:left w:val="nil"/>
              <w:bottom w:val="dashed" w:sz="4" w:space="0" w:color="auto"/>
              <w:right w:val="nil"/>
            </w:tcBorders>
          </w:tcPr>
          <w:p w:rsidR="00480B73" w:rsidRPr="00552772" w:rsidRDefault="00480B73" w:rsidP="00264CE2">
            <w:pPr>
              <w:jc w:val="both"/>
              <w:rPr>
                <w:rFonts w:cs="Times New Roman"/>
                <w:color w:val="000000" w:themeColor="text1"/>
                <w:sz w:val="16"/>
                <w:szCs w:val="16"/>
                <w:u w:val="single"/>
              </w:rPr>
            </w:pPr>
            <w:r w:rsidRPr="00552772">
              <w:rPr>
                <w:rFonts w:cs="Times New Roman"/>
                <w:color w:val="000000" w:themeColor="text1"/>
                <w:sz w:val="16"/>
                <w:szCs w:val="16"/>
                <w:u w:val="single"/>
              </w:rPr>
              <w:t>Child</w:t>
            </w:r>
          </w:p>
          <w:p w:rsidR="00480B73" w:rsidRDefault="00480B73" w:rsidP="00264CE2">
            <w:pPr>
              <w:jc w:val="both"/>
              <w:rPr>
                <w:color w:val="000000" w:themeColor="text1"/>
                <w:sz w:val="16"/>
                <w:szCs w:val="16"/>
              </w:rPr>
            </w:pPr>
            <w:r w:rsidRPr="002658C0">
              <w:rPr>
                <w:color w:val="000000" w:themeColor="text1"/>
                <w:sz w:val="16"/>
                <w:szCs w:val="16"/>
              </w:rPr>
              <w:t>20 mg/kg/day</w:t>
            </w:r>
          </w:p>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20 days</w:t>
            </w:r>
          </w:p>
        </w:tc>
        <w:tc>
          <w:tcPr>
            <w:tcW w:w="1134" w:type="dxa"/>
            <w:tcBorders>
              <w:top w:val="dashed" w:sz="4" w:space="0" w:color="auto"/>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Colombia</w:t>
            </w:r>
          </w:p>
        </w:tc>
        <w:tc>
          <w:tcPr>
            <w:tcW w:w="850" w:type="dxa"/>
            <w:tcBorders>
              <w:top w:val="dashed" w:sz="4" w:space="0" w:color="auto"/>
              <w:left w:val="nil"/>
              <w:bottom w:val="dashed" w:sz="4" w:space="0" w:color="auto"/>
              <w:right w:val="nil"/>
            </w:tcBorders>
          </w:tcPr>
          <w:p w:rsidR="00480B73" w:rsidRPr="002658C0" w:rsidRDefault="00480B73" w:rsidP="00264CE2">
            <w:pPr>
              <w:jc w:val="both"/>
              <w:rPr>
                <w:color w:val="000000" w:themeColor="text1"/>
                <w:sz w:val="16"/>
                <w:szCs w:val="16"/>
              </w:rPr>
            </w:pPr>
            <w:r>
              <w:rPr>
                <w:color w:val="000000" w:themeColor="text1"/>
                <w:sz w:val="16"/>
                <w:szCs w:val="16"/>
              </w:rPr>
              <w:t>9</w:t>
            </w:r>
          </w:p>
        </w:tc>
        <w:tc>
          <w:tcPr>
            <w:tcW w:w="993" w:type="dxa"/>
            <w:tcBorders>
              <w:top w:val="dashed" w:sz="4" w:space="0" w:color="auto"/>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4 (3-6)</w:t>
            </w:r>
          </w:p>
          <w:p w:rsidR="00480B73" w:rsidRPr="002658C0" w:rsidRDefault="00480B73" w:rsidP="00264CE2">
            <w:pPr>
              <w:jc w:val="both"/>
              <w:rPr>
                <w:color w:val="000000" w:themeColor="text1"/>
                <w:sz w:val="16"/>
                <w:szCs w:val="16"/>
              </w:rPr>
            </w:pPr>
          </w:p>
        </w:tc>
        <w:tc>
          <w:tcPr>
            <w:tcW w:w="1134" w:type="dxa"/>
            <w:tcBorders>
              <w:top w:val="dashed" w:sz="4" w:space="0" w:color="auto"/>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15(13-18)</w:t>
            </w:r>
          </w:p>
          <w:p w:rsidR="00480B73" w:rsidRPr="002658C0" w:rsidRDefault="00480B73" w:rsidP="00264CE2">
            <w:pPr>
              <w:jc w:val="both"/>
              <w:rPr>
                <w:color w:val="000000" w:themeColor="text1"/>
                <w:sz w:val="16"/>
                <w:szCs w:val="16"/>
              </w:rPr>
            </w:pPr>
          </w:p>
        </w:tc>
        <w:tc>
          <w:tcPr>
            <w:tcW w:w="850" w:type="dxa"/>
            <w:tcBorders>
              <w:top w:val="dashed" w:sz="4" w:space="0" w:color="auto"/>
              <w:left w:val="nil"/>
              <w:bottom w:val="dashed"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33%</w:t>
            </w:r>
          </w:p>
          <w:p w:rsidR="00480B73" w:rsidRPr="002658C0" w:rsidRDefault="00480B73" w:rsidP="00264CE2">
            <w:pPr>
              <w:jc w:val="both"/>
              <w:rPr>
                <w:rFonts w:cs="Times New Roman"/>
                <w:color w:val="000000" w:themeColor="text1"/>
                <w:sz w:val="16"/>
                <w:szCs w:val="16"/>
              </w:rPr>
            </w:pPr>
          </w:p>
        </w:tc>
        <w:tc>
          <w:tcPr>
            <w:tcW w:w="1134" w:type="dxa"/>
            <w:tcBorders>
              <w:top w:val="dashed" w:sz="4" w:space="0" w:color="auto"/>
              <w:left w:val="nil"/>
              <w:bottom w:val="dashed" w:sz="4" w:space="0" w:color="auto"/>
              <w:right w:val="nil"/>
            </w:tcBorders>
          </w:tcPr>
          <w:p w:rsidR="00480B73" w:rsidRPr="002658C0" w:rsidRDefault="00480B73" w:rsidP="00264CE2">
            <w:pPr>
              <w:jc w:val="both"/>
              <w:rPr>
                <w:color w:val="000000" w:themeColor="text1"/>
                <w:sz w:val="16"/>
                <w:szCs w:val="16"/>
              </w:rPr>
            </w:pPr>
            <w:r w:rsidRPr="004772E6">
              <w:rPr>
                <w:color w:val="000000" w:themeColor="text1"/>
                <w:sz w:val="16"/>
                <w:szCs w:val="16"/>
              </w:rPr>
              <w:t>Glucantime (MA)</w:t>
            </w:r>
          </w:p>
        </w:tc>
        <w:tc>
          <w:tcPr>
            <w:tcW w:w="709" w:type="dxa"/>
            <w:tcBorders>
              <w:top w:val="dashed" w:sz="4" w:space="0" w:color="auto"/>
              <w:left w:val="nil"/>
              <w:bottom w:val="dashed"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IM</w:t>
            </w:r>
          </w:p>
        </w:tc>
        <w:tc>
          <w:tcPr>
            <w:tcW w:w="992" w:type="dxa"/>
            <w:tcBorders>
              <w:top w:val="dashed" w:sz="4" w:space="0" w:color="auto"/>
              <w:left w:val="nil"/>
              <w:bottom w:val="dashed" w:sz="4" w:space="0" w:color="auto"/>
              <w:right w:val="nil"/>
            </w:tcBorders>
          </w:tcPr>
          <w:p w:rsidR="00480B73" w:rsidRDefault="00480B73" w:rsidP="00264CE2">
            <w:pPr>
              <w:jc w:val="both"/>
              <w:rPr>
                <w:rFonts w:cs="Times New Roman"/>
                <w:color w:val="000000" w:themeColor="text1"/>
                <w:sz w:val="16"/>
                <w:szCs w:val="16"/>
              </w:rPr>
            </w:pPr>
            <w:r>
              <w:rPr>
                <w:rFonts w:cs="Times New Roman"/>
                <w:color w:val="000000" w:themeColor="text1"/>
                <w:sz w:val="16"/>
                <w:szCs w:val="16"/>
              </w:rPr>
              <w:t>ET AAS</w:t>
            </w:r>
          </w:p>
          <w:p w:rsidR="00480B73" w:rsidRPr="002658C0" w:rsidRDefault="00480B73" w:rsidP="00264CE2">
            <w:pPr>
              <w:jc w:val="both"/>
              <w:rPr>
                <w:rFonts w:cs="Times New Roman"/>
                <w:color w:val="000000" w:themeColor="text1"/>
                <w:sz w:val="16"/>
                <w:szCs w:val="16"/>
              </w:rPr>
            </w:pPr>
            <w:r w:rsidRPr="006C3716">
              <w:rPr>
                <w:rFonts w:cs="Times New Roman"/>
                <w:color w:val="000000" w:themeColor="text1"/>
                <w:sz w:val="16"/>
                <w:szCs w:val="16"/>
              </w:rPr>
              <w:t>(total antimony)</w:t>
            </w:r>
          </w:p>
        </w:tc>
        <w:tc>
          <w:tcPr>
            <w:tcW w:w="992" w:type="dxa"/>
            <w:tcBorders>
              <w:top w:val="dashed" w:sz="4" w:space="0" w:color="auto"/>
              <w:left w:val="nil"/>
              <w:bottom w:val="dashed"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0.05</w:t>
            </w:r>
          </w:p>
        </w:tc>
        <w:tc>
          <w:tcPr>
            <w:tcW w:w="1276" w:type="dxa"/>
            <w:tcBorders>
              <w:top w:val="dashed" w:sz="4" w:space="0" w:color="auto"/>
              <w:left w:val="nil"/>
              <w:bottom w:val="dashed" w:sz="4" w:space="0" w:color="auto"/>
              <w:right w:val="nil"/>
            </w:tcBorders>
          </w:tcPr>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 xml:space="preserve">NCA </w:t>
            </w:r>
          </w:p>
        </w:tc>
        <w:tc>
          <w:tcPr>
            <w:tcW w:w="1035" w:type="dxa"/>
            <w:tcBorders>
              <w:top w:val="dashed" w:sz="4" w:space="0" w:color="auto"/>
              <w:left w:val="nil"/>
              <w:bottom w:val="dashed" w:sz="4" w:space="0" w:color="auto"/>
              <w:right w:val="nil"/>
            </w:tcBorders>
          </w:tcPr>
          <w:p w:rsidR="00480B73" w:rsidRPr="002658C0" w:rsidRDefault="00480B73" w:rsidP="00264CE2">
            <w:pPr>
              <w:jc w:val="both"/>
              <w:rPr>
                <w:color w:val="000000" w:themeColor="text1"/>
                <w:sz w:val="16"/>
                <w:szCs w:val="16"/>
              </w:rPr>
            </w:pPr>
            <w:r>
              <w:rPr>
                <w:rFonts w:cs="Times New Roman"/>
                <w:color w:val="000000" w:themeColor="text1"/>
                <w:sz w:val="16"/>
                <w:szCs w:val="16"/>
              </w:rPr>
              <w:t>-</w:t>
            </w:r>
          </w:p>
        </w:tc>
        <w:tc>
          <w:tcPr>
            <w:tcW w:w="236" w:type="dxa"/>
            <w:gridSpan w:val="2"/>
            <w:tcBorders>
              <w:top w:val="dashed" w:sz="4" w:space="0" w:color="auto"/>
              <w:left w:val="nil"/>
              <w:bottom w:val="dashed" w:sz="4" w:space="0" w:color="auto"/>
              <w:right w:val="nil"/>
            </w:tcBorders>
          </w:tcPr>
          <w:p w:rsidR="00480B73" w:rsidRDefault="00480B73" w:rsidP="00264CE2">
            <w:pPr>
              <w:jc w:val="both"/>
              <w:rPr>
                <w:rFonts w:cs="Times New Roman"/>
                <w:color w:val="000000" w:themeColor="text1"/>
                <w:sz w:val="16"/>
                <w:szCs w:val="16"/>
              </w:rPr>
            </w:pPr>
          </w:p>
        </w:tc>
      </w:tr>
      <w:tr w:rsidR="00480B73" w:rsidRPr="002658C0" w:rsidTr="00264CE2">
        <w:trPr>
          <w:gridAfter w:val="2"/>
          <w:wAfter w:w="288" w:type="dxa"/>
          <w:trHeight w:val="786"/>
        </w:trPr>
        <w:tc>
          <w:tcPr>
            <w:tcW w:w="825" w:type="dxa"/>
            <w:tcBorders>
              <w:top w:val="nil"/>
              <w:left w:val="nil"/>
              <w:bottom w:val="single" w:sz="4" w:space="0" w:color="auto"/>
              <w:right w:val="nil"/>
            </w:tcBorders>
          </w:tcPr>
          <w:p w:rsidR="00480B73" w:rsidRPr="002658C0" w:rsidRDefault="00480B73" w:rsidP="00264CE2">
            <w:pPr>
              <w:jc w:val="both"/>
              <w:rPr>
                <w:color w:val="000000" w:themeColor="text1"/>
                <w:sz w:val="16"/>
                <w:szCs w:val="16"/>
              </w:rPr>
            </w:pPr>
          </w:p>
        </w:tc>
        <w:tc>
          <w:tcPr>
            <w:tcW w:w="1268" w:type="dxa"/>
            <w:tcBorders>
              <w:top w:val="dashed" w:sz="4" w:space="0" w:color="auto"/>
              <w:left w:val="nil"/>
              <w:bottom w:val="single" w:sz="4" w:space="0" w:color="auto"/>
              <w:right w:val="nil"/>
            </w:tcBorders>
          </w:tcPr>
          <w:p w:rsidR="00480B73" w:rsidRPr="00552772" w:rsidRDefault="00480B73" w:rsidP="00264CE2">
            <w:pPr>
              <w:jc w:val="both"/>
              <w:rPr>
                <w:rFonts w:cs="Times New Roman"/>
                <w:color w:val="000000" w:themeColor="text1"/>
                <w:sz w:val="16"/>
                <w:szCs w:val="16"/>
                <w:u w:val="single"/>
              </w:rPr>
            </w:pPr>
            <w:r w:rsidRPr="00552772">
              <w:rPr>
                <w:rFonts w:cs="Times New Roman"/>
                <w:color w:val="000000" w:themeColor="text1"/>
                <w:sz w:val="16"/>
                <w:szCs w:val="16"/>
                <w:u w:val="single"/>
              </w:rPr>
              <w:t>Child</w:t>
            </w:r>
          </w:p>
          <w:p w:rsidR="00480B73" w:rsidRDefault="00480B73" w:rsidP="00264CE2">
            <w:pPr>
              <w:jc w:val="both"/>
              <w:rPr>
                <w:color w:val="000000" w:themeColor="text1"/>
                <w:sz w:val="16"/>
                <w:szCs w:val="16"/>
              </w:rPr>
            </w:pPr>
            <w:r>
              <w:rPr>
                <w:color w:val="000000" w:themeColor="text1"/>
                <w:sz w:val="16"/>
                <w:szCs w:val="16"/>
              </w:rPr>
              <w:t>20 mg/kg/day</w:t>
            </w:r>
          </w:p>
          <w:p w:rsidR="00480B73" w:rsidRPr="002658C0" w:rsidRDefault="00480B73" w:rsidP="00264CE2">
            <w:pPr>
              <w:jc w:val="both"/>
              <w:rPr>
                <w:color w:val="000000" w:themeColor="text1"/>
                <w:sz w:val="16"/>
                <w:szCs w:val="16"/>
              </w:rPr>
            </w:pPr>
            <w:r w:rsidRPr="002658C0">
              <w:rPr>
                <w:color w:val="000000" w:themeColor="text1"/>
                <w:sz w:val="16"/>
                <w:szCs w:val="16"/>
              </w:rPr>
              <w:t>19 days</w:t>
            </w:r>
          </w:p>
          <w:p w:rsidR="00480B73" w:rsidRDefault="00480B73" w:rsidP="00264CE2">
            <w:pPr>
              <w:jc w:val="both"/>
              <w:rPr>
                <w:color w:val="000000" w:themeColor="text1"/>
                <w:sz w:val="16"/>
                <w:szCs w:val="16"/>
              </w:rPr>
            </w:pPr>
            <w:r w:rsidRPr="002658C0">
              <w:rPr>
                <w:color w:val="000000" w:themeColor="text1"/>
                <w:sz w:val="16"/>
                <w:szCs w:val="16"/>
              </w:rPr>
              <w:t xml:space="preserve">30 mg/kg/day </w:t>
            </w:r>
          </w:p>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day 20</w:t>
            </w:r>
          </w:p>
        </w:tc>
        <w:tc>
          <w:tcPr>
            <w:tcW w:w="1134" w:type="dxa"/>
            <w:tcBorders>
              <w:top w:val="dashed"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Colombia</w:t>
            </w:r>
          </w:p>
        </w:tc>
        <w:tc>
          <w:tcPr>
            <w:tcW w:w="850" w:type="dxa"/>
            <w:tcBorders>
              <w:top w:val="dashed"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6</w:t>
            </w:r>
          </w:p>
        </w:tc>
        <w:tc>
          <w:tcPr>
            <w:tcW w:w="993" w:type="dxa"/>
            <w:tcBorders>
              <w:top w:val="dashed"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4.5 (3-6)</w:t>
            </w:r>
          </w:p>
        </w:tc>
        <w:tc>
          <w:tcPr>
            <w:tcW w:w="1134" w:type="dxa"/>
            <w:tcBorders>
              <w:top w:val="dashed"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17.5 (13-21)</w:t>
            </w:r>
          </w:p>
        </w:tc>
        <w:tc>
          <w:tcPr>
            <w:tcW w:w="850" w:type="dxa"/>
            <w:tcBorders>
              <w:top w:val="dashed"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50%</w:t>
            </w:r>
          </w:p>
        </w:tc>
        <w:tc>
          <w:tcPr>
            <w:tcW w:w="1134" w:type="dxa"/>
            <w:tcBorders>
              <w:top w:val="dashed"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Glucantime (</w:t>
            </w:r>
            <w:r>
              <w:rPr>
                <w:color w:val="000000" w:themeColor="text1"/>
                <w:sz w:val="16"/>
                <w:szCs w:val="16"/>
              </w:rPr>
              <w:t>MA)</w:t>
            </w:r>
          </w:p>
        </w:tc>
        <w:tc>
          <w:tcPr>
            <w:tcW w:w="709" w:type="dxa"/>
            <w:tcBorders>
              <w:top w:val="dashed"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color w:val="000000" w:themeColor="text1"/>
                <w:sz w:val="16"/>
                <w:szCs w:val="16"/>
              </w:rPr>
              <w:t>IM</w:t>
            </w:r>
          </w:p>
        </w:tc>
        <w:tc>
          <w:tcPr>
            <w:tcW w:w="992" w:type="dxa"/>
            <w:tcBorders>
              <w:top w:val="dashed" w:sz="4" w:space="0" w:color="auto"/>
              <w:left w:val="nil"/>
              <w:bottom w:val="single" w:sz="4" w:space="0" w:color="auto"/>
              <w:right w:val="nil"/>
            </w:tcBorders>
          </w:tcPr>
          <w:p w:rsidR="00480B73" w:rsidRDefault="00480B73" w:rsidP="00264CE2">
            <w:pPr>
              <w:jc w:val="both"/>
              <w:rPr>
                <w:rFonts w:cs="Times New Roman"/>
                <w:color w:val="000000" w:themeColor="text1"/>
                <w:sz w:val="16"/>
                <w:szCs w:val="16"/>
              </w:rPr>
            </w:pPr>
            <w:r>
              <w:rPr>
                <w:rFonts w:cs="Times New Roman"/>
                <w:color w:val="000000" w:themeColor="text1"/>
                <w:sz w:val="16"/>
                <w:szCs w:val="16"/>
              </w:rPr>
              <w:t>ET AAS</w:t>
            </w:r>
          </w:p>
          <w:p w:rsidR="00480B73" w:rsidRPr="002658C0" w:rsidRDefault="00480B73" w:rsidP="00264CE2">
            <w:pPr>
              <w:jc w:val="both"/>
              <w:rPr>
                <w:rFonts w:cs="Times New Roman"/>
                <w:color w:val="000000" w:themeColor="text1"/>
                <w:sz w:val="16"/>
                <w:szCs w:val="16"/>
              </w:rPr>
            </w:pPr>
            <w:r w:rsidRPr="006C3716">
              <w:rPr>
                <w:rFonts w:cs="Times New Roman"/>
                <w:color w:val="000000" w:themeColor="text1"/>
                <w:sz w:val="16"/>
                <w:szCs w:val="16"/>
              </w:rPr>
              <w:t>(total antimony)</w:t>
            </w:r>
          </w:p>
        </w:tc>
        <w:tc>
          <w:tcPr>
            <w:tcW w:w="992" w:type="dxa"/>
            <w:tcBorders>
              <w:top w:val="dashed"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0.05</w:t>
            </w:r>
          </w:p>
        </w:tc>
        <w:tc>
          <w:tcPr>
            <w:tcW w:w="1276" w:type="dxa"/>
            <w:tcBorders>
              <w:top w:val="dashed"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 xml:space="preserve">NCA </w:t>
            </w:r>
          </w:p>
        </w:tc>
        <w:tc>
          <w:tcPr>
            <w:tcW w:w="1035" w:type="dxa"/>
            <w:tcBorders>
              <w:top w:val="dashed"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Pr>
                <w:rFonts w:cs="Times New Roman"/>
                <w:color w:val="000000" w:themeColor="text1"/>
                <w:sz w:val="16"/>
                <w:szCs w:val="16"/>
              </w:rPr>
              <w:t>-</w:t>
            </w:r>
          </w:p>
        </w:tc>
        <w:tc>
          <w:tcPr>
            <w:tcW w:w="236" w:type="dxa"/>
            <w:gridSpan w:val="2"/>
            <w:tcBorders>
              <w:top w:val="dashed"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p>
        </w:tc>
      </w:tr>
      <w:tr w:rsidR="00480B73" w:rsidRPr="002658C0" w:rsidTr="00264CE2">
        <w:trPr>
          <w:gridAfter w:val="1"/>
          <w:wAfter w:w="108" w:type="dxa"/>
          <w:trHeight w:val="786"/>
        </w:trPr>
        <w:tc>
          <w:tcPr>
            <w:tcW w:w="825" w:type="dxa"/>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Pamplin et al</w:t>
            </w:r>
            <w:r>
              <w:rPr>
                <w:color w:val="000000" w:themeColor="text1"/>
                <w:sz w:val="16"/>
                <w:szCs w:val="16"/>
              </w:rPr>
              <w:t>.</w:t>
            </w:r>
            <w:r w:rsidRPr="002658C0">
              <w:rPr>
                <w:color w:val="000000" w:themeColor="text1"/>
                <w:sz w:val="16"/>
                <w:szCs w:val="16"/>
              </w:rPr>
              <w:t xml:space="preserve"> </w:t>
            </w:r>
            <w:r>
              <w:rPr>
                <w:color w:val="000000" w:themeColor="text1"/>
                <w:sz w:val="16"/>
                <w:szCs w:val="16"/>
              </w:rPr>
              <w:fldChar w:fldCharType="begin" w:fldLock="1"/>
            </w:r>
            <w:r>
              <w:rPr>
                <w:color w:val="000000" w:themeColor="text1"/>
                <w:sz w:val="16"/>
                <w:szCs w:val="16"/>
              </w:rPr>
              <w:instrText>ADDIN CSL_CITATION { "citationItems" : [ { "id" : "ITEM-1", "itemData" : { "author" : [ { "dropping-particle" : "", "family" : "Pamplin", "given" : "C L", "non-dropping-particle" : "", "parse-names" : false, "suffix" : "" }, { "dropping-particle" : "", "family" : "Desjardins", "given" : "R", "non-dropping-particle" : "", "parse-names" : false, "suffix" : "" }, { "dropping-particle" : "", "family" : "Chulay", "given" : "J", "non-dropping-particle" : "", "parse-names" : false, "suffix" : "" }, { "dropping-particle" : "", "family" : "Tramont", "given" : "E", "non-dropping-particle" : "", "parse-names" : false, "suffix" : "" }, { "dropping-particle" : "", "family" : "Hendricks", "given" : "L", "non-dropping-particle" : "", "parse-names" : false, "suffix" : "" }, { "dropping-particle" : "", "family" : "Canfield", "given" : "C", "non-dropping-particle" : "", "parse-names" : false, "suffix" : "" } ], "container-title" : "Clinical Pharmacology &amp; Therapeutics", "id" : "ITEM-1", "issued" : { "date-parts" : [ [ "1981" ] ] }, "page" : "270-271", "title" : "Pharmacokinetics of antimony during sodium stibogluconate therapy for cutaneous leishmaniasis", "type" : "article-journal", "volume" : "29" }, "uris" : [ "http://www.mendeley.com/documents/?uuid=7b36c6d4-abe0-443b-9c35-8f2a5be272a0" ] } ], "mendeley" : { "formattedCitation" : "[29]", "plainTextFormattedCitation" : "[29]", "previouslyFormattedCitation" : "[29]" }, "properties" : { "noteIndex" : 0 }, "schema" : "https://github.com/citation-style-language/schema/raw/master/csl-citation.json" }</w:instrText>
            </w:r>
            <w:r>
              <w:rPr>
                <w:color w:val="000000" w:themeColor="text1"/>
                <w:sz w:val="16"/>
                <w:szCs w:val="16"/>
              </w:rPr>
              <w:fldChar w:fldCharType="separate"/>
            </w:r>
            <w:r w:rsidRPr="009F49CA">
              <w:rPr>
                <w:noProof/>
                <w:color w:val="000000" w:themeColor="text1"/>
                <w:sz w:val="16"/>
                <w:szCs w:val="16"/>
              </w:rPr>
              <w:t>[29]</w:t>
            </w:r>
            <w:r>
              <w:rPr>
                <w:color w:val="000000" w:themeColor="text1"/>
                <w:sz w:val="16"/>
                <w:szCs w:val="16"/>
              </w:rPr>
              <w:fldChar w:fldCharType="end"/>
            </w:r>
          </w:p>
        </w:tc>
        <w:tc>
          <w:tcPr>
            <w:tcW w:w="1268"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Pr>
                <w:color w:val="000000" w:themeColor="text1"/>
                <w:sz w:val="16"/>
                <w:szCs w:val="16"/>
              </w:rPr>
              <w:t>Cutaneous leishmaniasis</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US</w:t>
            </w:r>
          </w:p>
        </w:tc>
        <w:tc>
          <w:tcPr>
            <w:tcW w:w="850" w:type="dxa"/>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10</w:t>
            </w:r>
          </w:p>
        </w:tc>
        <w:tc>
          <w:tcPr>
            <w:tcW w:w="993" w:type="dxa"/>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N/A</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color w:val="000000" w:themeColor="text1"/>
                <w:sz w:val="16"/>
                <w:szCs w:val="16"/>
              </w:rPr>
              <w:t>N/A</w:t>
            </w:r>
          </w:p>
        </w:tc>
        <w:tc>
          <w:tcPr>
            <w:tcW w:w="850"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N/A</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rFonts w:cs="Times New Roman"/>
                <w:color w:val="000000" w:themeColor="text1"/>
                <w:sz w:val="16"/>
              </w:rPr>
              <w:t>Pentostam (</w:t>
            </w:r>
            <w:r>
              <w:rPr>
                <w:rFonts w:cs="Times New Roman"/>
                <w:color w:val="000000" w:themeColor="text1"/>
                <w:sz w:val="16"/>
              </w:rPr>
              <w:t>SSG)</w:t>
            </w:r>
          </w:p>
        </w:tc>
        <w:tc>
          <w:tcPr>
            <w:tcW w:w="709"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IV</w:t>
            </w:r>
          </w:p>
        </w:tc>
        <w:tc>
          <w:tcPr>
            <w:tcW w:w="992"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 xml:space="preserve">Aniotic </w:t>
            </w:r>
            <w:r>
              <w:rPr>
                <w:rFonts w:cs="Times New Roman"/>
                <w:color w:val="000000" w:themeColor="text1"/>
                <w:sz w:val="16"/>
                <w:szCs w:val="16"/>
              </w:rPr>
              <w:t>v</w:t>
            </w:r>
            <w:r w:rsidRPr="002658C0">
              <w:rPr>
                <w:rFonts w:cs="Times New Roman"/>
                <w:color w:val="000000" w:themeColor="text1"/>
                <w:sz w:val="16"/>
                <w:szCs w:val="16"/>
              </w:rPr>
              <w:t>oltametry</w:t>
            </w:r>
            <w:r>
              <w:rPr>
                <w:rFonts w:cs="Times New Roman"/>
                <w:color w:val="000000" w:themeColor="text1"/>
                <w:sz w:val="16"/>
                <w:szCs w:val="16"/>
              </w:rPr>
              <w:t xml:space="preserve"> (total antimony)</w:t>
            </w:r>
          </w:p>
        </w:tc>
        <w:tc>
          <w:tcPr>
            <w:tcW w:w="992"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N/A</w:t>
            </w:r>
          </w:p>
        </w:tc>
        <w:tc>
          <w:tcPr>
            <w:tcW w:w="1276" w:type="dxa"/>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Pr>
                <w:rFonts w:cs="Times New Roman"/>
                <w:color w:val="000000" w:themeColor="text1"/>
                <w:sz w:val="16"/>
                <w:szCs w:val="18"/>
              </w:rPr>
              <w:t>Compartmental (individual-based)</w:t>
            </w:r>
          </w:p>
        </w:tc>
        <w:tc>
          <w:tcPr>
            <w:tcW w:w="1215" w:type="dxa"/>
            <w:gridSpan w:val="2"/>
            <w:tcBorders>
              <w:top w:val="single" w:sz="4" w:space="0" w:color="auto"/>
              <w:left w:val="nil"/>
              <w:bottom w:val="single" w:sz="4" w:space="0" w:color="auto"/>
              <w:right w:val="nil"/>
            </w:tcBorders>
          </w:tcPr>
          <w:p w:rsidR="00480B73" w:rsidRPr="002658C0" w:rsidRDefault="00480B73" w:rsidP="00264CE2">
            <w:pPr>
              <w:jc w:val="both"/>
              <w:rPr>
                <w:color w:val="000000" w:themeColor="text1"/>
                <w:sz w:val="16"/>
                <w:szCs w:val="16"/>
              </w:rPr>
            </w:pPr>
            <w:r w:rsidRPr="002658C0">
              <w:rPr>
                <w:rFonts w:cs="Times New Roman"/>
                <w:color w:val="000000" w:themeColor="text1"/>
                <w:sz w:val="16"/>
                <w:szCs w:val="16"/>
              </w:rPr>
              <w:t>3-CMT</w:t>
            </w:r>
          </w:p>
        </w:tc>
        <w:tc>
          <w:tcPr>
            <w:tcW w:w="236" w:type="dxa"/>
            <w:gridSpan w:val="2"/>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p>
        </w:tc>
      </w:tr>
      <w:tr w:rsidR="00480B73" w:rsidRPr="002658C0" w:rsidTr="00264CE2">
        <w:trPr>
          <w:gridAfter w:val="1"/>
          <w:wAfter w:w="108" w:type="dxa"/>
          <w:trHeight w:val="786"/>
        </w:trPr>
        <w:tc>
          <w:tcPr>
            <w:tcW w:w="825"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color w:val="000000" w:themeColor="text1"/>
                <w:sz w:val="16"/>
                <w:szCs w:val="16"/>
              </w:rPr>
              <w:t xml:space="preserve">Zaghloul et al. </w:t>
            </w:r>
            <w:r>
              <w:rPr>
                <w:color w:val="000000" w:themeColor="text1"/>
                <w:sz w:val="16"/>
                <w:szCs w:val="16"/>
              </w:rPr>
              <w:fldChar w:fldCharType="begin" w:fldLock="1"/>
            </w:r>
            <w:r>
              <w:rPr>
                <w:color w:val="000000" w:themeColor="text1"/>
                <w:sz w:val="16"/>
                <w:szCs w:val="16"/>
              </w:rPr>
              <w:instrText>ADDIN CSL_CITATION { "citationItems" : [ { "id" : "ITEM-1", "itemData" : { "DOI" : "10.1177/0091270009347674", "ISSN" : "1552-4604", "PMID" : "20663995", "abstract" : "The efficacy and pharmacokinetics of antimony were explored in 12 young male patients with cutaneous leishmaniasis following intramuscular administration of sodium stibogluconate equivalent to 600 mg of antimony (Sb). Patients' cure rate was evaluated up to 6 weeks after treatment. Blood samples were collected at different time periods on the first and last days of a 3-week treatment. Twenty-four-hour urine samples were also collected on both occasions for the estimation of renal clearance (CL(r)). The blood concentrations of the Sb time profile were best described by a 2-compartment model with a first-order absorption rate. The mean absorption half-life was 0.21 \u00b1 0.023 and 0.36 \u00b1 0.18 hours for the first and last doses, respectively. A rapid distribution phase was followed by a slower elimination phase of a half-life of 9.4 \u00b1 1.9 and 9.69 \u00b1 2.3 hours for both days, respectively. An accumulation index of 2.33 was calculated. The fraction of dose excreted in urine was 0.386 \u00b1 0.11 and 0.326 \u00b1 0.05 on both occasions, respectively. The mean CL(r) was 4.88 \u00b1 1.13 and 4.58 \u00b1 1.05 L/h. In the current study, all of the patients were completely healed by week 6 after the end of treatment, as judged by the treating physician. In conclusion, the blood profile of antimony seems to be multicompartmental in nature.", "author" : [ { "dropping-particle" : "", "family" : "Zaghloul", "given" : "Iman Y", "non-dropping-particle" : "", "parse-names" : false, "suffix" : "" }, { "dropping-particle" : "", "family" : "Radwan", "given" : "Mahasen A", "non-dropping-particle" : "", "parse-names" : false, "suffix" : "" }, { "dropping-particle" : "", "family" : "Jaser", "given" : "May H", "non-dropping-particle" : "Al", "parse-names" : false, "suffix" : "" }, { "dropping-particle" : "", "family" : "Issa", "given" : "Ramadan", "non-dropping-particle" : "Al", "parse-names" : false, "suffix" : "" } ], "container-title" : "Journal of clinical pharmacology", "id" : "ITEM-1", "issue" : "11", "issued" : { "date-parts" : [ [ "2010" ] ] }, "page" : "1230-1237", "title" : "Clinical efficacy and pharmacokinetics of antimony in cutaneous leishmaniasis patients treated with sodium stibogluconate.", "type" : "article-journal", "volume" : "50" }, "uris" : [ "http://www.mendeley.com/documents/?uuid=da311dd5-1d0b-456c-8842-ba77bf33f1c4" ] } ], "mendeley" : { "formattedCitation" : "[19]", "plainTextFormattedCitation" : "[19]", "previouslyFormattedCitation" : "[19]" }, "properties" : { "noteIndex" : 0 }, "schema" : "https://github.com/citation-style-language/schema/raw/master/csl-citation.json" }</w:instrText>
            </w:r>
            <w:r>
              <w:rPr>
                <w:color w:val="000000" w:themeColor="text1"/>
                <w:sz w:val="16"/>
                <w:szCs w:val="16"/>
              </w:rPr>
              <w:fldChar w:fldCharType="separate"/>
            </w:r>
            <w:r w:rsidRPr="009F49CA">
              <w:rPr>
                <w:noProof/>
                <w:color w:val="000000" w:themeColor="text1"/>
                <w:sz w:val="16"/>
                <w:szCs w:val="16"/>
              </w:rPr>
              <w:t>[19]</w:t>
            </w:r>
            <w:r>
              <w:rPr>
                <w:color w:val="000000" w:themeColor="text1"/>
                <w:sz w:val="16"/>
                <w:szCs w:val="16"/>
              </w:rPr>
              <w:fldChar w:fldCharType="end"/>
            </w:r>
          </w:p>
        </w:tc>
        <w:tc>
          <w:tcPr>
            <w:tcW w:w="1268"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u w:val="single"/>
              </w:rPr>
            </w:pPr>
            <w:r>
              <w:rPr>
                <w:color w:val="000000" w:themeColor="text1"/>
                <w:sz w:val="16"/>
                <w:szCs w:val="16"/>
              </w:rPr>
              <w:t>Cutaneous leishmaniasis</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color w:val="000000" w:themeColor="text1"/>
                <w:sz w:val="16"/>
                <w:szCs w:val="16"/>
              </w:rPr>
              <w:t>Saudi Arabia</w:t>
            </w:r>
          </w:p>
        </w:tc>
        <w:tc>
          <w:tcPr>
            <w:tcW w:w="850"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color w:val="000000" w:themeColor="text1"/>
                <w:sz w:val="16"/>
                <w:szCs w:val="16"/>
              </w:rPr>
              <w:t>12</w:t>
            </w:r>
          </w:p>
        </w:tc>
        <w:tc>
          <w:tcPr>
            <w:tcW w:w="993"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color w:val="000000" w:themeColor="text1"/>
                <w:sz w:val="16"/>
                <w:szCs w:val="16"/>
              </w:rPr>
              <w:t>31.1±7.0</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color w:val="000000" w:themeColor="text1"/>
                <w:sz w:val="16"/>
                <w:szCs w:val="16"/>
              </w:rPr>
              <w:t>66.4±8.7</w:t>
            </w:r>
          </w:p>
        </w:tc>
        <w:tc>
          <w:tcPr>
            <w:tcW w:w="850"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sidRPr="002658C0">
              <w:rPr>
                <w:rFonts w:cs="Times New Roman"/>
                <w:color w:val="000000" w:themeColor="text1"/>
                <w:sz w:val="16"/>
                <w:szCs w:val="16"/>
              </w:rPr>
              <w:t>100%</w:t>
            </w:r>
          </w:p>
        </w:tc>
        <w:tc>
          <w:tcPr>
            <w:tcW w:w="1134"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color w:val="000000" w:themeColor="text1"/>
                <w:sz w:val="16"/>
              </w:rPr>
              <w:t>Pentostam (</w:t>
            </w:r>
            <w:r>
              <w:rPr>
                <w:rFonts w:cs="Times New Roman"/>
                <w:color w:val="000000" w:themeColor="text1"/>
                <w:sz w:val="16"/>
              </w:rPr>
              <w:t>SSG)</w:t>
            </w:r>
          </w:p>
        </w:tc>
        <w:tc>
          <w:tcPr>
            <w:tcW w:w="709"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color w:val="000000" w:themeColor="text1"/>
                <w:sz w:val="16"/>
                <w:szCs w:val="16"/>
              </w:rPr>
              <w:t>IM</w:t>
            </w:r>
          </w:p>
        </w:tc>
        <w:tc>
          <w:tcPr>
            <w:tcW w:w="992" w:type="dxa"/>
            <w:tcBorders>
              <w:top w:val="single" w:sz="4" w:space="0" w:color="auto"/>
              <w:left w:val="nil"/>
              <w:bottom w:val="single" w:sz="4" w:space="0" w:color="auto"/>
              <w:right w:val="nil"/>
            </w:tcBorders>
          </w:tcPr>
          <w:p w:rsidR="00480B73" w:rsidRDefault="00480B73" w:rsidP="00264CE2">
            <w:pPr>
              <w:jc w:val="both"/>
              <w:rPr>
                <w:rFonts w:cs="Times New Roman"/>
                <w:color w:val="000000" w:themeColor="text1"/>
                <w:sz w:val="16"/>
                <w:szCs w:val="16"/>
              </w:rPr>
            </w:pPr>
            <w:r>
              <w:rPr>
                <w:rFonts w:cs="Times New Roman"/>
                <w:color w:val="000000" w:themeColor="text1"/>
                <w:sz w:val="16"/>
                <w:szCs w:val="16"/>
              </w:rPr>
              <w:t>ET AAS</w:t>
            </w:r>
          </w:p>
          <w:p w:rsidR="00480B73" w:rsidRPr="002658C0" w:rsidRDefault="00480B73" w:rsidP="00264CE2">
            <w:pPr>
              <w:jc w:val="both"/>
              <w:rPr>
                <w:rFonts w:cs="Times New Roman"/>
                <w:b/>
                <w:color w:val="000000" w:themeColor="text1"/>
                <w:sz w:val="16"/>
                <w:szCs w:val="16"/>
              </w:rPr>
            </w:pPr>
            <w:r w:rsidRPr="006C3716">
              <w:rPr>
                <w:rFonts w:cs="Times New Roman"/>
                <w:color w:val="000000" w:themeColor="text1"/>
                <w:sz w:val="16"/>
                <w:szCs w:val="16"/>
              </w:rPr>
              <w:t>(total antimony)</w:t>
            </w:r>
          </w:p>
        </w:tc>
        <w:tc>
          <w:tcPr>
            <w:tcW w:w="992" w:type="dxa"/>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color w:val="000000" w:themeColor="text1"/>
                <w:sz w:val="16"/>
                <w:szCs w:val="16"/>
              </w:rPr>
              <w:t>0.008</w:t>
            </w:r>
          </w:p>
        </w:tc>
        <w:tc>
          <w:tcPr>
            <w:tcW w:w="1276" w:type="dxa"/>
            <w:tcBorders>
              <w:top w:val="single" w:sz="4" w:space="0" w:color="auto"/>
              <w:left w:val="nil"/>
              <w:bottom w:val="single" w:sz="4" w:space="0" w:color="auto"/>
              <w:right w:val="nil"/>
            </w:tcBorders>
          </w:tcPr>
          <w:p w:rsidR="00480B73" w:rsidRPr="002658C0" w:rsidRDefault="00480B73" w:rsidP="00264CE2">
            <w:pPr>
              <w:jc w:val="both"/>
              <w:rPr>
                <w:rFonts w:cs="Times New Roman"/>
                <w:color w:val="000000" w:themeColor="text1"/>
                <w:sz w:val="16"/>
                <w:szCs w:val="16"/>
              </w:rPr>
            </w:pPr>
            <w:r>
              <w:rPr>
                <w:rFonts w:cs="Times New Roman"/>
                <w:color w:val="000000" w:themeColor="text1"/>
                <w:sz w:val="16"/>
                <w:szCs w:val="18"/>
              </w:rPr>
              <w:t>Compartmental (individual-based) / NCA</w:t>
            </w:r>
          </w:p>
        </w:tc>
        <w:tc>
          <w:tcPr>
            <w:tcW w:w="1215" w:type="dxa"/>
            <w:gridSpan w:val="2"/>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r w:rsidRPr="002658C0">
              <w:rPr>
                <w:rFonts w:cs="Times New Roman"/>
                <w:color w:val="000000" w:themeColor="text1"/>
                <w:sz w:val="16"/>
                <w:szCs w:val="16"/>
              </w:rPr>
              <w:t xml:space="preserve">2-CMT model, first-order input </w:t>
            </w:r>
          </w:p>
        </w:tc>
        <w:tc>
          <w:tcPr>
            <w:tcW w:w="236" w:type="dxa"/>
            <w:gridSpan w:val="2"/>
            <w:tcBorders>
              <w:top w:val="single" w:sz="4" w:space="0" w:color="auto"/>
              <w:left w:val="nil"/>
              <w:bottom w:val="single" w:sz="4" w:space="0" w:color="auto"/>
              <w:right w:val="nil"/>
            </w:tcBorders>
          </w:tcPr>
          <w:p w:rsidR="00480B73" w:rsidRPr="002658C0" w:rsidRDefault="00480B73" w:rsidP="00264CE2">
            <w:pPr>
              <w:jc w:val="both"/>
              <w:rPr>
                <w:rFonts w:cs="Times New Roman"/>
                <w:b/>
                <w:color w:val="000000" w:themeColor="text1"/>
                <w:sz w:val="16"/>
                <w:szCs w:val="16"/>
              </w:rPr>
            </w:pPr>
          </w:p>
        </w:tc>
      </w:tr>
    </w:tbl>
    <w:p w:rsidR="00480B73" w:rsidRPr="00E2577D" w:rsidRDefault="00480B73" w:rsidP="00480B73">
      <w:pPr>
        <w:pStyle w:val="TABLEonderschrift"/>
        <w:rPr>
          <w:rFonts w:eastAsia="MS Mincho" w:cs="Arial"/>
          <w:iCs w:val="0"/>
          <w:color w:val="auto"/>
          <w:spacing w:val="0"/>
          <w:sz w:val="16"/>
          <w:szCs w:val="16"/>
        </w:rPr>
      </w:pPr>
      <w:r w:rsidRPr="00E2577D">
        <w:rPr>
          <w:rFonts w:eastAsia="MS Mincho" w:cs="Arial"/>
          <w:iCs w:val="0"/>
          <w:color w:val="auto"/>
          <w:spacing w:val="0"/>
          <w:sz w:val="16"/>
          <w:szCs w:val="16"/>
        </w:rPr>
        <w:t xml:space="preserve">N/A: Not Available. IM: intramuscular, IV: intravenous, </w:t>
      </w:r>
      <w:proofErr w:type="spellStart"/>
      <w:r w:rsidRPr="00E2577D">
        <w:rPr>
          <w:rFonts w:eastAsia="MS Mincho" w:cs="Arial"/>
          <w:iCs w:val="0"/>
          <w:color w:val="auto"/>
          <w:spacing w:val="0"/>
          <w:sz w:val="16"/>
          <w:szCs w:val="16"/>
        </w:rPr>
        <w:t>LLOQ</w:t>
      </w:r>
      <w:proofErr w:type="spellEnd"/>
      <w:r w:rsidRPr="00E2577D">
        <w:rPr>
          <w:rFonts w:eastAsia="MS Mincho" w:cs="Arial"/>
          <w:iCs w:val="0"/>
          <w:color w:val="auto"/>
          <w:spacing w:val="0"/>
          <w:sz w:val="16"/>
          <w:szCs w:val="16"/>
        </w:rPr>
        <w:t xml:space="preserve">: lower limit of quantitation, </w:t>
      </w:r>
      <w:proofErr w:type="spellStart"/>
      <w:r w:rsidRPr="00E2577D">
        <w:rPr>
          <w:rFonts w:eastAsia="MS Mincho" w:cs="Arial"/>
          <w:iCs w:val="0"/>
          <w:color w:val="auto"/>
          <w:spacing w:val="0"/>
          <w:sz w:val="16"/>
          <w:szCs w:val="16"/>
        </w:rPr>
        <w:t>NCA</w:t>
      </w:r>
      <w:proofErr w:type="spellEnd"/>
      <w:r w:rsidRPr="00E2577D">
        <w:rPr>
          <w:rFonts w:eastAsia="MS Mincho" w:cs="Arial"/>
          <w:iCs w:val="0"/>
          <w:color w:val="auto"/>
          <w:spacing w:val="0"/>
          <w:sz w:val="16"/>
          <w:szCs w:val="16"/>
        </w:rPr>
        <w:t xml:space="preserve">: non-compartmental analysis, </w:t>
      </w:r>
      <w:proofErr w:type="spellStart"/>
      <w:r w:rsidRPr="00E2577D">
        <w:rPr>
          <w:rFonts w:eastAsia="MS Mincho" w:cs="Arial"/>
          <w:iCs w:val="0"/>
          <w:color w:val="auto"/>
          <w:spacing w:val="0"/>
          <w:sz w:val="16"/>
          <w:szCs w:val="16"/>
        </w:rPr>
        <w:t>CMT</w:t>
      </w:r>
      <w:proofErr w:type="spellEnd"/>
      <w:r w:rsidRPr="00E2577D">
        <w:rPr>
          <w:rFonts w:eastAsia="MS Mincho" w:cs="Arial"/>
          <w:iCs w:val="0"/>
          <w:color w:val="auto"/>
          <w:spacing w:val="0"/>
          <w:sz w:val="16"/>
          <w:szCs w:val="16"/>
        </w:rPr>
        <w:t xml:space="preserve">: compartmental, ET </w:t>
      </w:r>
      <w:proofErr w:type="spellStart"/>
      <w:r w:rsidRPr="00E2577D">
        <w:rPr>
          <w:rFonts w:eastAsia="MS Mincho" w:cs="Arial"/>
          <w:iCs w:val="0"/>
          <w:color w:val="auto"/>
          <w:spacing w:val="0"/>
          <w:sz w:val="16"/>
          <w:szCs w:val="16"/>
        </w:rPr>
        <w:t>AAS</w:t>
      </w:r>
      <w:proofErr w:type="spellEnd"/>
      <w:r w:rsidRPr="00E2577D">
        <w:rPr>
          <w:rFonts w:eastAsia="MS Mincho" w:cs="Arial"/>
          <w:iCs w:val="0"/>
          <w:color w:val="auto"/>
          <w:spacing w:val="0"/>
          <w:sz w:val="16"/>
          <w:szCs w:val="16"/>
        </w:rPr>
        <w:t>: Electrothermal atomic absorption spectroscopy.</w:t>
      </w:r>
    </w:p>
    <w:p w:rsidR="00480B73" w:rsidRPr="0057054A" w:rsidRDefault="00480B73" w:rsidP="00480B73">
      <w:pPr>
        <w:pStyle w:val="TABLEonderschrift"/>
        <w:rPr>
          <w:sz w:val="18"/>
        </w:rPr>
      </w:pPr>
      <w:r>
        <w:rPr>
          <w:color w:val="000000" w:themeColor="text1"/>
        </w:rPr>
        <w:br w:type="page"/>
      </w:r>
      <w:proofErr w:type="gramStart"/>
      <w:r w:rsidRPr="0057054A">
        <w:rPr>
          <w:sz w:val="18"/>
        </w:rPr>
        <w:lastRenderedPageBreak/>
        <w:t xml:space="preserve">Supplementary table </w:t>
      </w:r>
      <w:r w:rsidRPr="0057054A">
        <w:rPr>
          <w:sz w:val="18"/>
        </w:rPr>
        <w:fldChar w:fldCharType="begin"/>
      </w:r>
      <w:r w:rsidRPr="0057054A">
        <w:rPr>
          <w:sz w:val="18"/>
        </w:rPr>
        <w:instrText xml:space="preserve"> SEQ Supplementary_table \* ARABIC </w:instrText>
      </w:r>
      <w:r w:rsidRPr="0057054A">
        <w:rPr>
          <w:sz w:val="18"/>
        </w:rPr>
        <w:fldChar w:fldCharType="separate"/>
      </w:r>
      <w:r w:rsidRPr="0057054A">
        <w:rPr>
          <w:noProof/>
          <w:sz w:val="18"/>
        </w:rPr>
        <w:t>2</w:t>
      </w:r>
      <w:r w:rsidRPr="0057054A">
        <w:rPr>
          <w:noProof/>
          <w:sz w:val="18"/>
        </w:rPr>
        <w:fldChar w:fldCharType="end"/>
      </w:r>
      <w:r w:rsidRPr="0057054A">
        <w:rPr>
          <w:sz w:val="18"/>
        </w:rPr>
        <w:t>.</w:t>
      </w:r>
      <w:proofErr w:type="gramEnd"/>
      <w:r w:rsidRPr="0057054A">
        <w:rPr>
          <w:sz w:val="18"/>
        </w:rPr>
        <w:t xml:space="preserve"> Paromomycin: general information on the pharmacokinetic studies. Data provided as </w:t>
      </w:r>
      <w:proofErr w:type="spellStart"/>
      <w:r w:rsidRPr="0057054A">
        <w:rPr>
          <w:sz w:val="18"/>
        </w:rPr>
        <w:t>mean±standard</w:t>
      </w:r>
      <w:proofErr w:type="spellEnd"/>
      <w:r w:rsidRPr="0057054A">
        <w:rPr>
          <w:sz w:val="18"/>
        </w:rPr>
        <w:t xml:space="preserve"> deviation. </w:t>
      </w:r>
    </w:p>
    <w:p w:rsidR="00480B73" w:rsidRPr="002D3CFA" w:rsidRDefault="00480B73" w:rsidP="00480B73">
      <w:pPr>
        <w:pStyle w:val="TABLEonderschrift"/>
      </w:pPr>
    </w:p>
    <w:p w:rsidR="00480B73" w:rsidRDefault="00480B73" w:rsidP="00480B73">
      <w:pPr>
        <w:rPr>
          <w:color w:val="000000" w:themeColor="text1"/>
        </w:rPr>
      </w:pPr>
    </w:p>
    <w:tbl>
      <w:tblPr>
        <w:tblStyle w:val="TableGrid"/>
        <w:tblW w:w="14142" w:type="dxa"/>
        <w:tblBorders>
          <w:top w:val="none" w:sz="0" w:space="0" w:color="auto"/>
          <w:left w:val="none" w:sz="0" w:space="0" w:color="auto"/>
          <w:right w:val="none" w:sz="0" w:space="0" w:color="auto"/>
          <w:insideV w:val="none" w:sz="0" w:space="0" w:color="auto"/>
        </w:tblBorders>
        <w:tblLayout w:type="fixed"/>
        <w:tblLook w:val="04A0"/>
      </w:tblPr>
      <w:tblGrid>
        <w:gridCol w:w="959"/>
        <w:gridCol w:w="142"/>
        <w:gridCol w:w="1417"/>
        <w:gridCol w:w="992"/>
        <w:gridCol w:w="851"/>
        <w:gridCol w:w="992"/>
        <w:gridCol w:w="992"/>
        <w:gridCol w:w="851"/>
        <w:gridCol w:w="1276"/>
        <w:gridCol w:w="992"/>
        <w:gridCol w:w="1134"/>
        <w:gridCol w:w="850"/>
        <w:gridCol w:w="1276"/>
        <w:gridCol w:w="1418"/>
      </w:tblGrid>
      <w:tr w:rsidR="00480B73" w:rsidRPr="00163B4B" w:rsidTr="00264CE2">
        <w:trPr>
          <w:trHeight w:val="740"/>
        </w:trPr>
        <w:tc>
          <w:tcPr>
            <w:tcW w:w="959" w:type="dxa"/>
            <w:tcBorders>
              <w:bottom w:val="single" w:sz="4" w:space="0" w:color="auto"/>
            </w:tcBorders>
          </w:tcPr>
          <w:p w:rsidR="00480B73" w:rsidRPr="00163B4B" w:rsidRDefault="00480B73" w:rsidP="00264CE2">
            <w:pPr>
              <w:jc w:val="both"/>
              <w:rPr>
                <w:rFonts w:cs="Times New Roman"/>
                <w:b/>
                <w:sz w:val="16"/>
                <w:szCs w:val="16"/>
              </w:rPr>
            </w:pPr>
            <w:r w:rsidRPr="00163B4B">
              <w:rPr>
                <w:rFonts w:cs="Times New Roman"/>
                <w:b/>
                <w:sz w:val="16"/>
                <w:szCs w:val="16"/>
              </w:rPr>
              <w:t>Author</w:t>
            </w:r>
          </w:p>
        </w:tc>
        <w:tc>
          <w:tcPr>
            <w:tcW w:w="1559" w:type="dxa"/>
            <w:gridSpan w:val="2"/>
            <w:tcBorders>
              <w:bottom w:val="single" w:sz="4" w:space="0" w:color="auto"/>
            </w:tcBorders>
          </w:tcPr>
          <w:p w:rsidR="00480B73" w:rsidRPr="00163B4B" w:rsidRDefault="00480B73" w:rsidP="00264CE2">
            <w:pPr>
              <w:jc w:val="both"/>
              <w:rPr>
                <w:rFonts w:cs="Times New Roman"/>
                <w:b/>
                <w:sz w:val="16"/>
                <w:szCs w:val="16"/>
              </w:rPr>
            </w:pPr>
            <w:r>
              <w:rPr>
                <w:rFonts w:cs="Times New Roman"/>
                <w:b/>
                <w:sz w:val="16"/>
                <w:szCs w:val="16"/>
              </w:rPr>
              <w:t>Patient population</w:t>
            </w:r>
          </w:p>
        </w:tc>
        <w:tc>
          <w:tcPr>
            <w:tcW w:w="992" w:type="dxa"/>
            <w:tcBorders>
              <w:bottom w:val="single" w:sz="4" w:space="0" w:color="auto"/>
            </w:tcBorders>
          </w:tcPr>
          <w:p w:rsidR="00480B73" w:rsidRPr="00163B4B" w:rsidRDefault="00480B73" w:rsidP="00264CE2">
            <w:pPr>
              <w:jc w:val="both"/>
              <w:rPr>
                <w:rFonts w:cs="Times New Roman"/>
                <w:b/>
                <w:sz w:val="16"/>
                <w:szCs w:val="16"/>
              </w:rPr>
            </w:pPr>
            <w:r w:rsidRPr="00163B4B">
              <w:rPr>
                <w:rFonts w:cs="Times New Roman"/>
                <w:b/>
                <w:sz w:val="16"/>
                <w:szCs w:val="16"/>
              </w:rPr>
              <w:t>Country</w:t>
            </w:r>
          </w:p>
        </w:tc>
        <w:tc>
          <w:tcPr>
            <w:tcW w:w="851" w:type="dxa"/>
            <w:tcBorders>
              <w:bottom w:val="single" w:sz="4" w:space="0" w:color="auto"/>
            </w:tcBorders>
          </w:tcPr>
          <w:p w:rsidR="00480B73" w:rsidRDefault="00480B73" w:rsidP="00264CE2">
            <w:pPr>
              <w:jc w:val="both"/>
              <w:rPr>
                <w:rFonts w:cs="Times New Roman"/>
                <w:b/>
                <w:sz w:val="16"/>
                <w:szCs w:val="16"/>
              </w:rPr>
            </w:pPr>
            <w:r>
              <w:rPr>
                <w:rFonts w:cs="Times New Roman"/>
                <w:b/>
                <w:sz w:val="16"/>
                <w:szCs w:val="16"/>
              </w:rPr>
              <w:t xml:space="preserve"># patients </w:t>
            </w:r>
          </w:p>
          <w:p w:rsidR="00480B73" w:rsidRPr="00163B4B" w:rsidRDefault="00480B73" w:rsidP="00264CE2">
            <w:pPr>
              <w:jc w:val="both"/>
              <w:rPr>
                <w:rFonts w:cs="Times New Roman"/>
                <w:b/>
                <w:sz w:val="16"/>
                <w:szCs w:val="16"/>
              </w:rPr>
            </w:pPr>
          </w:p>
        </w:tc>
        <w:tc>
          <w:tcPr>
            <w:tcW w:w="992" w:type="dxa"/>
            <w:tcBorders>
              <w:bottom w:val="single" w:sz="4" w:space="0" w:color="auto"/>
            </w:tcBorders>
          </w:tcPr>
          <w:p w:rsidR="00480B73" w:rsidRDefault="00480B73" w:rsidP="00264CE2">
            <w:pPr>
              <w:jc w:val="both"/>
              <w:rPr>
                <w:rFonts w:cs="Times New Roman"/>
                <w:b/>
                <w:sz w:val="16"/>
                <w:szCs w:val="16"/>
              </w:rPr>
            </w:pPr>
            <w:r w:rsidRPr="00163B4B">
              <w:rPr>
                <w:rFonts w:cs="Times New Roman"/>
                <w:b/>
                <w:sz w:val="16"/>
                <w:szCs w:val="16"/>
              </w:rPr>
              <w:t xml:space="preserve">Age </w:t>
            </w:r>
          </w:p>
          <w:p w:rsidR="00480B73" w:rsidRPr="00163B4B" w:rsidRDefault="00480B73" w:rsidP="00264CE2">
            <w:pPr>
              <w:jc w:val="both"/>
              <w:rPr>
                <w:rFonts w:cs="Times New Roman"/>
                <w:b/>
                <w:sz w:val="16"/>
                <w:szCs w:val="16"/>
              </w:rPr>
            </w:pPr>
            <w:r w:rsidRPr="00163B4B">
              <w:rPr>
                <w:rFonts w:cs="Times New Roman"/>
                <w:b/>
                <w:sz w:val="16"/>
                <w:szCs w:val="16"/>
              </w:rPr>
              <w:t>(years</w:t>
            </w:r>
            <w:r>
              <w:rPr>
                <w:rFonts w:cs="Times New Roman"/>
                <w:b/>
                <w:sz w:val="16"/>
                <w:szCs w:val="16"/>
              </w:rPr>
              <w:t>)</w:t>
            </w:r>
          </w:p>
        </w:tc>
        <w:tc>
          <w:tcPr>
            <w:tcW w:w="992" w:type="dxa"/>
            <w:tcBorders>
              <w:bottom w:val="single" w:sz="4" w:space="0" w:color="auto"/>
            </w:tcBorders>
          </w:tcPr>
          <w:p w:rsidR="00480B73" w:rsidRPr="00163B4B" w:rsidRDefault="00480B73" w:rsidP="00264CE2">
            <w:pPr>
              <w:jc w:val="both"/>
              <w:rPr>
                <w:rFonts w:cs="Times New Roman"/>
                <w:b/>
                <w:sz w:val="16"/>
                <w:szCs w:val="16"/>
              </w:rPr>
            </w:pPr>
            <w:r w:rsidRPr="00163B4B">
              <w:rPr>
                <w:rFonts w:cs="Times New Roman"/>
                <w:b/>
                <w:sz w:val="16"/>
                <w:szCs w:val="16"/>
              </w:rPr>
              <w:t>Weight (kg</w:t>
            </w:r>
            <w:r>
              <w:rPr>
                <w:rFonts w:cs="Times New Roman"/>
                <w:b/>
                <w:sz w:val="16"/>
                <w:szCs w:val="16"/>
              </w:rPr>
              <w:t>)</w:t>
            </w:r>
          </w:p>
        </w:tc>
        <w:tc>
          <w:tcPr>
            <w:tcW w:w="851" w:type="dxa"/>
            <w:tcBorders>
              <w:bottom w:val="single" w:sz="4" w:space="0" w:color="auto"/>
            </w:tcBorders>
          </w:tcPr>
          <w:p w:rsidR="00480B73" w:rsidRPr="00163B4B" w:rsidRDefault="00480B73" w:rsidP="00264CE2">
            <w:pPr>
              <w:jc w:val="both"/>
              <w:rPr>
                <w:rFonts w:cs="Times New Roman"/>
                <w:b/>
                <w:sz w:val="16"/>
                <w:szCs w:val="16"/>
              </w:rPr>
            </w:pPr>
            <w:r w:rsidRPr="00163B4B">
              <w:rPr>
                <w:rFonts w:cs="Times New Roman"/>
                <w:b/>
                <w:sz w:val="16"/>
                <w:szCs w:val="16"/>
              </w:rPr>
              <w:t>Gender</w:t>
            </w:r>
            <w:r>
              <w:rPr>
                <w:rFonts w:cs="Times New Roman"/>
                <w:b/>
                <w:sz w:val="16"/>
                <w:szCs w:val="16"/>
              </w:rPr>
              <w:t xml:space="preserve"> (%male)</w:t>
            </w:r>
          </w:p>
        </w:tc>
        <w:tc>
          <w:tcPr>
            <w:tcW w:w="1276" w:type="dxa"/>
            <w:tcBorders>
              <w:bottom w:val="single" w:sz="4" w:space="0" w:color="auto"/>
            </w:tcBorders>
          </w:tcPr>
          <w:p w:rsidR="00480B73" w:rsidRPr="00163B4B" w:rsidRDefault="00480B73" w:rsidP="00264CE2">
            <w:pPr>
              <w:jc w:val="both"/>
              <w:rPr>
                <w:rFonts w:cs="Times New Roman"/>
                <w:b/>
                <w:sz w:val="16"/>
                <w:szCs w:val="16"/>
              </w:rPr>
            </w:pPr>
            <w:r>
              <w:rPr>
                <w:rFonts w:cs="Times New Roman"/>
                <w:b/>
                <w:sz w:val="16"/>
                <w:szCs w:val="16"/>
              </w:rPr>
              <w:t xml:space="preserve">Formulation / </w:t>
            </w:r>
            <w:r w:rsidRPr="00163B4B">
              <w:rPr>
                <w:rFonts w:cs="Times New Roman"/>
                <w:b/>
                <w:sz w:val="16"/>
                <w:szCs w:val="16"/>
              </w:rPr>
              <w:t>Brand</w:t>
            </w:r>
          </w:p>
        </w:tc>
        <w:tc>
          <w:tcPr>
            <w:tcW w:w="992" w:type="dxa"/>
            <w:tcBorders>
              <w:bottom w:val="single" w:sz="4" w:space="0" w:color="auto"/>
            </w:tcBorders>
          </w:tcPr>
          <w:p w:rsidR="00480B73" w:rsidRDefault="00480B73" w:rsidP="00264CE2">
            <w:pPr>
              <w:jc w:val="both"/>
              <w:rPr>
                <w:rFonts w:cs="Times New Roman"/>
                <w:b/>
                <w:sz w:val="16"/>
                <w:szCs w:val="16"/>
              </w:rPr>
            </w:pPr>
            <w:r>
              <w:rPr>
                <w:rFonts w:cs="Times New Roman"/>
                <w:b/>
                <w:sz w:val="16"/>
                <w:szCs w:val="16"/>
              </w:rPr>
              <w:t>IM/IV/</w:t>
            </w:r>
          </w:p>
          <w:p w:rsidR="00480B73" w:rsidRPr="00163B4B" w:rsidRDefault="00480B73" w:rsidP="00264CE2">
            <w:pPr>
              <w:jc w:val="both"/>
              <w:rPr>
                <w:rFonts w:cs="Times New Roman"/>
                <w:b/>
                <w:sz w:val="16"/>
                <w:szCs w:val="16"/>
              </w:rPr>
            </w:pPr>
            <w:r>
              <w:rPr>
                <w:rFonts w:cs="Times New Roman"/>
                <w:b/>
                <w:sz w:val="16"/>
                <w:szCs w:val="16"/>
              </w:rPr>
              <w:t>Oral</w:t>
            </w:r>
          </w:p>
        </w:tc>
        <w:tc>
          <w:tcPr>
            <w:tcW w:w="1134" w:type="dxa"/>
            <w:tcBorders>
              <w:bottom w:val="single" w:sz="4" w:space="0" w:color="auto"/>
            </w:tcBorders>
          </w:tcPr>
          <w:p w:rsidR="00480B73" w:rsidRPr="00163B4B" w:rsidRDefault="00480B73" w:rsidP="00264CE2">
            <w:pPr>
              <w:jc w:val="both"/>
              <w:rPr>
                <w:rFonts w:cs="Times New Roman"/>
                <w:b/>
                <w:sz w:val="16"/>
                <w:szCs w:val="16"/>
              </w:rPr>
            </w:pPr>
            <w:r>
              <w:rPr>
                <w:rFonts w:cs="Times New Roman"/>
                <w:b/>
                <w:sz w:val="16"/>
                <w:szCs w:val="16"/>
              </w:rPr>
              <w:t>Analytical method</w:t>
            </w:r>
          </w:p>
        </w:tc>
        <w:tc>
          <w:tcPr>
            <w:tcW w:w="850" w:type="dxa"/>
            <w:tcBorders>
              <w:bottom w:val="single" w:sz="4" w:space="0" w:color="auto"/>
            </w:tcBorders>
          </w:tcPr>
          <w:p w:rsidR="00480B73" w:rsidRPr="00163B4B" w:rsidRDefault="00480B73" w:rsidP="00264CE2">
            <w:pPr>
              <w:jc w:val="both"/>
              <w:rPr>
                <w:rFonts w:cs="Times New Roman"/>
                <w:b/>
                <w:sz w:val="16"/>
                <w:szCs w:val="16"/>
              </w:rPr>
            </w:pPr>
            <w:r w:rsidRPr="00163B4B">
              <w:rPr>
                <w:rFonts w:cs="Times New Roman"/>
                <w:b/>
                <w:sz w:val="16"/>
                <w:szCs w:val="16"/>
              </w:rPr>
              <w:t>LLOQ (µg/mL plasma)</w:t>
            </w:r>
          </w:p>
        </w:tc>
        <w:tc>
          <w:tcPr>
            <w:tcW w:w="1276" w:type="dxa"/>
            <w:tcBorders>
              <w:top w:val="nil"/>
              <w:left w:val="nil"/>
              <w:bottom w:val="single" w:sz="4" w:space="0" w:color="auto"/>
            </w:tcBorders>
          </w:tcPr>
          <w:p w:rsidR="00480B73" w:rsidRPr="00163B4B" w:rsidRDefault="00480B73" w:rsidP="00264CE2">
            <w:pPr>
              <w:jc w:val="both"/>
              <w:rPr>
                <w:rFonts w:cs="Times New Roman"/>
                <w:b/>
                <w:sz w:val="16"/>
                <w:szCs w:val="16"/>
              </w:rPr>
            </w:pPr>
            <w:r w:rsidRPr="00163B4B">
              <w:rPr>
                <w:rFonts w:cs="Times New Roman"/>
                <w:b/>
                <w:sz w:val="16"/>
                <w:szCs w:val="16"/>
              </w:rPr>
              <w:t>PK analysis</w:t>
            </w:r>
          </w:p>
        </w:tc>
        <w:tc>
          <w:tcPr>
            <w:tcW w:w="1418" w:type="dxa"/>
            <w:tcBorders>
              <w:bottom w:val="single" w:sz="4" w:space="0" w:color="auto"/>
            </w:tcBorders>
          </w:tcPr>
          <w:p w:rsidR="00480B73" w:rsidRPr="00163B4B" w:rsidRDefault="00480B73" w:rsidP="00264CE2">
            <w:pPr>
              <w:rPr>
                <w:rFonts w:cs="Times New Roman"/>
                <w:b/>
                <w:sz w:val="16"/>
                <w:szCs w:val="16"/>
              </w:rPr>
            </w:pPr>
            <w:r w:rsidRPr="00163B4B">
              <w:rPr>
                <w:rFonts w:cs="Times New Roman"/>
                <w:b/>
                <w:sz w:val="16"/>
                <w:szCs w:val="16"/>
              </w:rPr>
              <w:t>Model</w:t>
            </w:r>
          </w:p>
        </w:tc>
      </w:tr>
      <w:tr w:rsidR="00480B73" w:rsidRPr="00163B4B" w:rsidTr="00264CE2">
        <w:trPr>
          <w:trHeight w:val="60"/>
        </w:trPr>
        <w:tc>
          <w:tcPr>
            <w:tcW w:w="2518" w:type="dxa"/>
            <w:gridSpan w:val="3"/>
            <w:tcBorders>
              <w:top w:val="single" w:sz="4" w:space="0" w:color="auto"/>
              <w:bottom w:val="single" w:sz="4" w:space="0" w:color="auto"/>
            </w:tcBorders>
            <w:shd w:val="pct10" w:color="auto" w:fill="auto"/>
          </w:tcPr>
          <w:p w:rsidR="00480B73" w:rsidRPr="0089463C" w:rsidRDefault="00480B73" w:rsidP="00264CE2">
            <w:pPr>
              <w:jc w:val="both"/>
              <w:rPr>
                <w:rFonts w:cs="Times New Roman"/>
                <w:sz w:val="16"/>
                <w:szCs w:val="16"/>
              </w:rPr>
            </w:pPr>
          </w:p>
        </w:tc>
        <w:tc>
          <w:tcPr>
            <w:tcW w:w="992" w:type="dxa"/>
            <w:tcBorders>
              <w:top w:val="single" w:sz="4" w:space="0" w:color="auto"/>
              <w:bottom w:val="single" w:sz="4" w:space="0" w:color="auto"/>
            </w:tcBorders>
            <w:shd w:val="pct10" w:color="auto" w:fill="auto"/>
          </w:tcPr>
          <w:p w:rsidR="00480B73" w:rsidRPr="0089463C" w:rsidRDefault="00480B73" w:rsidP="00264CE2">
            <w:pPr>
              <w:jc w:val="both"/>
              <w:rPr>
                <w:rFonts w:cs="Times New Roman"/>
                <w:sz w:val="16"/>
                <w:szCs w:val="16"/>
              </w:rPr>
            </w:pPr>
          </w:p>
        </w:tc>
        <w:tc>
          <w:tcPr>
            <w:tcW w:w="851" w:type="dxa"/>
            <w:tcBorders>
              <w:top w:val="single" w:sz="4" w:space="0" w:color="auto"/>
              <w:bottom w:val="single" w:sz="4" w:space="0" w:color="auto"/>
            </w:tcBorders>
            <w:shd w:val="pct10" w:color="auto" w:fill="auto"/>
          </w:tcPr>
          <w:p w:rsidR="00480B73" w:rsidRPr="00894FA3" w:rsidRDefault="00480B73" w:rsidP="00264CE2">
            <w:pPr>
              <w:jc w:val="both"/>
              <w:rPr>
                <w:rFonts w:cs="Times New Roman"/>
                <w:sz w:val="16"/>
                <w:szCs w:val="16"/>
              </w:rPr>
            </w:pPr>
          </w:p>
        </w:tc>
        <w:tc>
          <w:tcPr>
            <w:tcW w:w="992" w:type="dxa"/>
            <w:tcBorders>
              <w:top w:val="single" w:sz="4" w:space="0" w:color="auto"/>
              <w:bottom w:val="single" w:sz="4" w:space="0" w:color="auto"/>
            </w:tcBorders>
            <w:shd w:val="pct10" w:color="auto" w:fill="auto"/>
          </w:tcPr>
          <w:p w:rsidR="00480B73" w:rsidRDefault="00480B73" w:rsidP="00264CE2">
            <w:pPr>
              <w:jc w:val="both"/>
              <w:rPr>
                <w:rFonts w:cs="Times New Roman"/>
                <w:sz w:val="16"/>
                <w:szCs w:val="16"/>
              </w:rPr>
            </w:pPr>
          </w:p>
        </w:tc>
        <w:tc>
          <w:tcPr>
            <w:tcW w:w="992" w:type="dxa"/>
            <w:tcBorders>
              <w:top w:val="single" w:sz="4" w:space="0" w:color="auto"/>
              <w:bottom w:val="single" w:sz="4" w:space="0" w:color="auto"/>
            </w:tcBorders>
            <w:shd w:val="pct10" w:color="auto" w:fill="auto"/>
          </w:tcPr>
          <w:p w:rsidR="00480B73" w:rsidRDefault="00480B73" w:rsidP="00264CE2">
            <w:pPr>
              <w:jc w:val="both"/>
              <w:rPr>
                <w:rFonts w:cs="Times New Roman"/>
                <w:sz w:val="16"/>
                <w:szCs w:val="16"/>
              </w:rPr>
            </w:pPr>
          </w:p>
        </w:tc>
        <w:tc>
          <w:tcPr>
            <w:tcW w:w="851" w:type="dxa"/>
            <w:tcBorders>
              <w:top w:val="single" w:sz="4" w:space="0" w:color="auto"/>
              <w:bottom w:val="single" w:sz="4" w:space="0" w:color="auto"/>
            </w:tcBorders>
            <w:shd w:val="pct10" w:color="auto" w:fill="auto"/>
          </w:tcPr>
          <w:p w:rsidR="00480B73" w:rsidRPr="00894FA3" w:rsidRDefault="00480B73" w:rsidP="00264CE2">
            <w:pPr>
              <w:jc w:val="both"/>
              <w:rPr>
                <w:rFonts w:cs="Times New Roman"/>
                <w:sz w:val="16"/>
                <w:szCs w:val="16"/>
              </w:rPr>
            </w:pPr>
          </w:p>
        </w:tc>
        <w:tc>
          <w:tcPr>
            <w:tcW w:w="1276" w:type="dxa"/>
            <w:tcBorders>
              <w:top w:val="single" w:sz="4" w:space="0" w:color="auto"/>
              <w:bottom w:val="single" w:sz="4" w:space="0" w:color="auto"/>
            </w:tcBorders>
            <w:shd w:val="pct10" w:color="auto" w:fill="auto"/>
          </w:tcPr>
          <w:p w:rsidR="00480B73" w:rsidRPr="0089463C" w:rsidRDefault="00480B73" w:rsidP="00264CE2">
            <w:pPr>
              <w:jc w:val="both"/>
              <w:rPr>
                <w:rFonts w:cs="Times New Roman"/>
                <w:sz w:val="16"/>
                <w:szCs w:val="16"/>
              </w:rPr>
            </w:pPr>
          </w:p>
        </w:tc>
        <w:tc>
          <w:tcPr>
            <w:tcW w:w="992" w:type="dxa"/>
            <w:tcBorders>
              <w:top w:val="single" w:sz="4" w:space="0" w:color="auto"/>
              <w:bottom w:val="single" w:sz="4" w:space="0" w:color="auto"/>
            </w:tcBorders>
            <w:shd w:val="pct10" w:color="auto" w:fill="auto"/>
          </w:tcPr>
          <w:p w:rsidR="00480B73" w:rsidRPr="0089463C" w:rsidRDefault="00480B73" w:rsidP="00264CE2">
            <w:pPr>
              <w:jc w:val="both"/>
              <w:rPr>
                <w:rFonts w:cs="Times New Roman"/>
                <w:sz w:val="16"/>
                <w:szCs w:val="16"/>
              </w:rPr>
            </w:pPr>
          </w:p>
        </w:tc>
        <w:tc>
          <w:tcPr>
            <w:tcW w:w="1134" w:type="dxa"/>
            <w:tcBorders>
              <w:top w:val="single" w:sz="4" w:space="0" w:color="auto"/>
              <w:bottom w:val="single" w:sz="4" w:space="0" w:color="auto"/>
            </w:tcBorders>
            <w:shd w:val="pct10" w:color="auto" w:fill="auto"/>
          </w:tcPr>
          <w:p w:rsidR="00480B73" w:rsidRPr="0089463C" w:rsidRDefault="00480B73" w:rsidP="00264CE2">
            <w:pPr>
              <w:jc w:val="both"/>
              <w:rPr>
                <w:rFonts w:cs="Times New Roman"/>
                <w:sz w:val="16"/>
                <w:szCs w:val="16"/>
              </w:rPr>
            </w:pPr>
          </w:p>
        </w:tc>
        <w:tc>
          <w:tcPr>
            <w:tcW w:w="850" w:type="dxa"/>
            <w:tcBorders>
              <w:top w:val="single" w:sz="4" w:space="0" w:color="auto"/>
              <w:bottom w:val="single" w:sz="4" w:space="0" w:color="auto"/>
            </w:tcBorders>
            <w:shd w:val="pct10" w:color="auto" w:fill="auto"/>
          </w:tcPr>
          <w:p w:rsidR="00480B73" w:rsidRPr="0089463C" w:rsidRDefault="00480B73" w:rsidP="00264CE2">
            <w:pPr>
              <w:jc w:val="both"/>
              <w:rPr>
                <w:rFonts w:cs="Times New Roman"/>
                <w:sz w:val="16"/>
                <w:szCs w:val="16"/>
              </w:rPr>
            </w:pPr>
          </w:p>
        </w:tc>
        <w:tc>
          <w:tcPr>
            <w:tcW w:w="1276" w:type="dxa"/>
            <w:tcBorders>
              <w:top w:val="single" w:sz="4" w:space="0" w:color="auto"/>
              <w:left w:val="nil"/>
              <w:bottom w:val="single" w:sz="4" w:space="0" w:color="auto"/>
            </w:tcBorders>
            <w:shd w:val="pct10" w:color="auto" w:fill="auto"/>
          </w:tcPr>
          <w:p w:rsidR="00480B73" w:rsidRPr="0089463C" w:rsidRDefault="00480B73" w:rsidP="00264CE2">
            <w:pPr>
              <w:jc w:val="both"/>
              <w:rPr>
                <w:rFonts w:cs="Times New Roman"/>
                <w:sz w:val="16"/>
                <w:szCs w:val="16"/>
              </w:rPr>
            </w:pPr>
          </w:p>
        </w:tc>
        <w:tc>
          <w:tcPr>
            <w:tcW w:w="1418" w:type="dxa"/>
            <w:tcBorders>
              <w:top w:val="single" w:sz="4" w:space="0" w:color="auto"/>
              <w:bottom w:val="single" w:sz="4" w:space="0" w:color="auto"/>
            </w:tcBorders>
            <w:shd w:val="pct10" w:color="auto" w:fill="auto"/>
          </w:tcPr>
          <w:p w:rsidR="00480B73" w:rsidRPr="0089463C" w:rsidRDefault="00480B73" w:rsidP="00264CE2">
            <w:pPr>
              <w:rPr>
                <w:rFonts w:cs="Times New Roman"/>
                <w:sz w:val="16"/>
                <w:szCs w:val="16"/>
              </w:rPr>
            </w:pPr>
          </w:p>
        </w:tc>
      </w:tr>
      <w:tr w:rsidR="00480B73" w:rsidRPr="00163B4B" w:rsidTr="00264CE2">
        <w:trPr>
          <w:trHeight w:val="63"/>
        </w:trPr>
        <w:tc>
          <w:tcPr>
            <w:tcW w:w="1101" w:type="dxa"/>
            <w:gridSpan w:val="2"/>
            <w:tcBorders>
              <w:top w:val="single" w:sz="4" w:space="0" w:color="auto"/>
              <w:bottom w:val="nil"/>
            </w:tcBorders>
          </w:tcPr>
          <w:p w:rsidR="00480B73" w:rsidRPr="0089463C" w:rsidRDefault="00480B73" w:rsidP="00264CE2">
            <w:pPr>
              <w:jc w:val="both"/>
              <w:rPr>
                <w:rFonts w:cs="Times New Roman"/>
                <w:sz w:val="16"/>
                <w:szCs w:val="16"/>
              </w:rPr>
            </w:pPr>
            <w:r w:rsidRPr="0089463C">
              <w:rPr>
                <w:rFonts w:cs="Times New Roman"/>
                <w:sz w:val="16"/>
                <w:szCs w:val="16"/>
              </w:rPr>
              <w:t xml:space="preserve">Kanyok </w:t>
            </w:r>
            <w:r>
              <w:rPr>
                <w:rFonts w:cs="Times New Roman"/>
                <w:sz w:val="16"/>
                <w:szCs w:val="16"/>
              </w:rPr>
              <w:t xml:space="preserve">et al. </w:t>
            </w:r>
            <w:r>
              <w:rPr>
                <w:rFonts w:cs="Times New Roman"/>
                <w:sz w:val="16"/>
                <w:szCs w:val="16"/>
              </w:rPr>
              <w:fldChar w:fldCharType="begin" w:fldLock="1"/>
            </w:r>
            <w:r>
              <w:rPr>
                <w:rFonts w:cs="Times New Roman"/>
                <w:sz w:val="16"/>
                <w:szCs w:val="16"/>
              </w:rPr>
              <w:instrText>ADDIN CSL_CITATION { "citationItems" : [ { "id" : "ITEM-1", "itemData" : { "ISBN" : "0066-4804 (Print)", "ISSN" : "00664804", "PMID" : "9145856", "abstract" : "Aminosidine is an older, broad-spectrum aminoglycoside antibiotic that has been shown to be effective in in vitro and animal models against multiple-drug-resistant tuberculosis and the Mycobacterium avium complex. The objective of this randomized, parallel trial was to characterize the single-dose pharmacokinetics of aminosidine sulfate in healthy subjects (eight males, eight females). Sixteen adults (mean [+/- standard deviation] age, 27.6 +/- 5.6 years) were randomly allocated to receive a single, intramuscular aminosidine sulfate injection at a dose of 12 or 15 mg/kg of body weight. Serial plasma and urine samples were collected over a 24-h period and used to determine aminosidine concentrations by high-performance liquid chromatographic assay. A one-compartment model with first-order input, first-order output, and a lag time (Tlag) and with a weighting factor of 1/y2 best described the data. Compartmental and noncompartmental pharmacokinetic parameters were estimated with the microcomputer program WinNonlin. One subject was not included (15-mg/kg group) because of the lack of sampling time data. On average, subjects attained peak concentrations of 22.4 +/- 3.2 microg/ml at 1.34 +/- 0.45 h. All subjects had plasma aminosidine concentrations below 2 microg/ml at 12 h, and all but two subjects (one in each dosing group) had undetectable plasma aminosidine concentrations at 24 h. The dose-adjusted area under the concentration-time curve from 0 h to infinity of aminosidine was identical for the 12- and 15-mg/kg groups (9.29 +/- 1.5 versus 9.29 +/- 2.2 microg x h/ml per mg/kg; P = 0.998). Similarly, no significant differences (P &gt; 0.05) were observed between dosing groups for peak aminosidine concentration in plasma, time to peak aminosidine concentration in plasma, Tlag, apparent clearance, renal clearance, elimination rate constant, and elimination half-life. A significant difference was observed for the volume of distribution (0.35 versus 0.41 liters/kg; P = 0.037) between the 12 and 15 mg/kg dosing groups. Now that comparable pharmacokinetic profiles between dosing groups have been demonstrated, therapeutic equivalency testing via in vitro pharmacokinetic and pharmacodynamic modelling and randomized clinical trials in humans should be conducted.", "author" : [ { "dropping-particle" : "", "family" : "Kanyok", "given" : "Thomas P.", "non-dropping-particle" : "", "parse-names" : false, "suffix" : "" }, { "dropping-particle" : "", "family" : "Killian", "given" : "Aaron D.", "non-dropping-particle" : "", "parse-names" : false, "suffix" : "" }, { "dropping-particle" : "", "family" : "Rodvold", "given" : "Keith A.", "non-dropping-particle" : "", "parse-names" : false, "suffix" : "" }, { "dropping-particle" : "", "family" : "Danziger", "given" : "Larry H.", "non-dropping-particle" : "", "parse-names" : false, "suffix" : "" } ], "container-title" : "Antimicrobial Agents and Chemotherapy", "id" : "ITEM-1", "issue" : "5", "issued" : { "date-parts" : [ [ "1997" ] ] }, "page" : "982-986", "title" : "Pharmacokinetics of intramuscularly administered aminosidine in healthy subjects", "type" : "article-journal", "volume" : "41" }, "uris" : [ "http://www.mendeley.com/documents/?uuid=3e811464-e1e6-457a-88f8-7b77ec8a7422" ] } ], "mendeley" : { "formattedCitation" : "[36]", "plainTextFormattedCitation" : "[36]", "previouslyFormattedCitation" : "[36]" }, "properties" : { "noteIndex" : 0 }, "schema" : "https://github.com/citation-style-language/schema/raw/master/csl-citation.json" }</w:instrText>
            </w:r>
            <w:r>
              <w:rPr>
                <w:rFonts w:cs="Times New Roman"/>
                <w:sz w:val="16"/>
                <w:szCs w:val="16"/>
              </w:rPr>
              <w:fldChar w:fldCharType="separate"/>
            </w:r>
            <w:r w:rsidRPr="009F49CA">
              <w:rPr>
                <w:rFonts w:cs="Times New Roman"/>
                <w:noProof/>
                <w:sz w:val="16"/>
                <w:szCs w:val="16"/>
              </w:rPr>
              <w:t>[36]</w:t>
            </w:r>
            <w:r>
              <w:rPr>
                <w:rFonts w:cs="Times New Roman"/>
                <w:sz w:val="16"/>
                <w:szCs w:val="16"/>
              </w:rPr>
              <w:fldChar w:fldCharType="end"/>
            </w:r>
          </w:p>
        </w:tc>
        <w:tc>
          <w:tcPr>
            <w:tcW w:w="1417" w:type="dxa"/>
            <w:tcBorders>
              <w:top w:val="single" w:sz="4" w:space="0" w:color="auto"/>
              <w:bottom w:val="nil"/>
            </w:tcBorders>
          </w:tcPr>
          <w:p w:rsidR="00480B73" w:rsidRPr="00F44DA3" w:rsidRDefault="00480B73" w:rsidP="00264CE2">
            <w:pPr>
              <w:jc w:val="both"/>
              <w:rPr>
                <w:rFonts w:cs="Times New Roman"/>
                <w:sz w:val="16"/>
                <w:szCs w:val="16"/>
              </w:rPr>
            </w:pPr>
            <w:r w:rsidRPr="00F44DA3">
              <w:rPr>
                <w:rFonts w:cs="Times New Roman"/>
                <w:sz w:val="16"/>
                <w:szCs w:val="16"/>
              </w:rPr>
              <w:t>Healthy volunteers</w:t>
            </w:r>
          </w:p>
          <w:p w:rsidR="00480B73" w:rsidRPr="00F44DA3" w:rsidRDefault="00480B73" w:rsidP="00264CE2">
            <w:pPr>
              <w:jc w:val="both"/>
              <w:rPr>
                <w:rFonts w:cs="Times New Roman"/>
                <w:sz w:val="16"/>
                <w:szCs w:val="16"/>
              </w:rPr>
            </w:pPr>
          </w:p>
        </w:tc>
        <w:tc>
          <w:tcPr>
            <w:tcW w:w="992" w:type="dxa"/>
            <w:tcBorders>
              <w:top w:val="single" w:sz="4" w:space="0" w:color="auto"/>
              <w:bottom w:val="nil"/>
            </w:tcBorders>
          </w:tcPr>
          <w:p w:rsidR="00480B73" w:rsidRPr="0089463C" w:rsidRDefault="00480B73" w:rsidP="00264CE2">
            <w:pPr>
              <w:jc w:val="both"/>
              <w:rPr>
                <w:rFonts w:cs="Times New Roman"/>
                <w:sz w:val="16"/>
                <w:szCs w:val="16"/>
              </w:rPr>
            </w:pPr>
          </w:p>
        </w:tc>
        <w:tc>
          <w:tcPr>
            <w:tcW w:w="851" w:type="dxa"/>
            <w:tcBorders>
              <w:top w:val="single" w:sz="4" w:space="0" w:color="auto"/>
              <w:bottom w:val="nil"/>
            </w:tcBorders>
          </w:tcPr>
          <w:p w:rsidR="00480B73" w:rsidRPr="00894FA3" w:rsidRDefault="00480B73" w:rsidP="00264CE2">
            <w:pPr>
              <w:jc w:val="both"/>
              <w:rPr>
                <w:rFonts w:cs="Times New Roman"/>
                <w:sz w:val="16"/>
                <w:szCs w:val="16"/>
              </w:rPr>
            </w:pPr>
          </w:p>
        </w:tc>
        <w:tc>
          <w:tcPr>
            <w:tcW w:w="992" w:type="dxa"/>
            <w:tcBorders>
              <w:top w:val="single" w:sz="4" w:space="0" w:color="auto"/>
              <w:bottom w:val="nil"/>
            </w:tcBorders>
          </w:tcPr>
          <w:p w:rsidR="00480B73" w:rsidRDefault="00480B73" w:rsidP="00264CE2">
            <w:pPr>
              <w:jc w:val="both"/>
              <w:rPr>
                <w:rFonts w:cs="Times New Roman"/>
                <w:sz w:val="16"/>
                <w:szCs w:val="16"/>
              </w:rPr>
            </w:pPr>
          </w:p>
        </w:tc>
        <w:tc>
          <w:tcPr>
            <w:tcW w:w="992" w:type="dxa"/>
            <w:tcBorders>
              <w:top w:val="single" w:sz="4" w:space="0" w:color="auto"/>
              <w:bottom w:val="nil"/>
            </w:tcBorders>
          </w:tcPr>
          <w:p w:rsidR="00480B73" w:rsidRDefault="00480B73" w:rsidP="00264CE2">
            <w:pPr>
              <w:jc w:val="both"/>
              <w:rPr>
                <w:rFonts w:cs="Times New Roman"/>
                <w:sz w:val="16"/>
                <w:szCs w:val="16"/>
              </w:rPr>
            </w:pPr>
          </w:p>
        </w:tc>
        <w:tc>
          <w:tcPr>
            <w:tcW w:w="851" w:type="dxa"/>
            <w:tcBorders>
              <w:top w:val="single" w:sz="4" w:space="0" w:color="auto"/>
              <w:bottom w:val="nil"/>
            </w:tcBorders>
          </w:tcPr>
          <w:p w:rsidR="00480B73" w:rsidRPr="00894FA3" w:rsidRDefault="00480B73" w:rsidP="00264CE2">
            <w:pPr>
              <w:jc w:val="both"/>
              <w:rPr>
                <w:rFonts w:cs="Times New Roman"/>
                <w:sz w:val="16"/>
                <w:szCs w:val="16"/>
              </w:rPr>
            </w:pPr>
          </w:p>
        </w:tc>
        <w:tc>
          <w:tcPr>
            <w:tcW w:w="1276" w:type="dxa"/>
            <w:tcBorders>
              <w:top w:val="single" w:sz="4" w:space="0" w:color="auto"/>
              <w:bottom w:val="nil"/>
            </w:tcBorders>
          </w:tcPr>
          <w:p w:rsidR="00480B73" w:rsidRPr="0089463C" w:rsidRDefault="00480B73" w:rsidP="00264CE2">
            <w:pPr>
              <w:jc w:val="both"/>
              <w:rPr>
                <w:rFonts w:cs="Times New Roman"/>
                <w:sz w:val="16"/>
                <w:szCs w:val="16"/>
              </w:rPr>
            </w:pPr>
          </w:p>
        </w:tc>
        <w:tc>
          <w:tcPr>
            <w:tcW w:w="992" w:type="dxa"/>
            <w:tcBorders>
              <w:top w:val="single" w:sz="4" w:space="0" w:color="auto"/>
              <w:bottom w:val="nil"/>
            </w:tcBorders>
          </w:tcPr>
          <w:p w:rsidR="00480B73" w:rsidRPr="0089463C" w:rsidRDefault="00480B73" w:rsidP="00264CE2">
            <w:pPr>
              <w:jc w:val="both"/>
              <w:rPr>
                <w:rFonts w:cs="Times New Roman"/>
                <w:sz w:val="16"/>
                <w:szCs w:val="16"/>
              </w:rPr>
            </w:pPr>
          </w:p>
        </w:tc>
        <w:tc>
          <w:tcPr>
            <w:tcW w:w="1134" w:type="dxa"/>
            <w:tcBorders>
              <w:top w:val="single" w:sz="4" w:space="0" w:color="auto"/>
              <w:bottom w:val="nil"/>
            </w:tcBorders>
          </w:tcPr>
          <w:p w:rsidR="00480B73" w:rsidRPr="0089463C" w:rsidRDefault="00480B73" w:rsidP="00264CE2">
            <w:pPr>
              <w:jc w:val="both"/>
              <w:rPr>
                <w:rFonts w:cs="Times New Roman"/>
                <w:sz w:val="16"/>
                <w:szCs w:val="16"/>
              </w:rPr>
            </w:pPr>
          </w:p>
        </w:tc>
        <w:tc>
          <w:tcPr>
            <w:tcW w:w="850" w:type="dxa"/>
            <w:tcBorders>
              <w:top w:val="single" w:sz="4" w:space="0" w:color="auto"/>
              <w:bottom w:val="nil"/>
            </w:tcBorders>
          </w:tcPr>
          <w:p w:rsidR="00480B73" w:rsidRPr="0089463C" w:rsidRDefault="00480B73" w:rsidP="00264CE2">
            <w:pPr>
              <w:jc w:val="both"/>
              <w:rPr>
                <w:rFonts w:cs="Times New Roman"/>
                <w:sz w:val="16"/>
                <w:szCs w:val="16"/>
              </w:rPr>
            </w:pPr>
          </w:p>
        </w:tc>
        <w:tc>
          <w:tcPr>
            <w:tcW w:w="1276" w:type="dxa"/>
            <w:tcBorders>
              <w:top w:val="single" w:sz="4" w:space="0" w:color="auto"/>
              <w:left w:val="nil"/>
              <w:bottom w:val="nil"/>
            </w:tcBorders>
          </w:tcPr>
          <w:p w:rsidR="00480B73" w:rsidRDefault="00480B73" w:rsidP="00264CE2">
            <w:pPr>
              <w:jc w:val="both"/>
              <w:rPr>
                <w:rFonts w:cs="Times New Roman"/>
                <w:color w:val="000000" w:themeColor="text1"/>
                <w:sz w:val="16"/>
                <w:szCs w:val="18"/>
              </w:rPr>
            </w:pPr>
          </w:p>
        </w:tc>
        <w:tc>
          <w:tcPr>
            <w:tcW w:w="1418" w:type="dxa"/>
            <w:tcBorders>
              <w:top w:val="single" w:sz="4" w:space="0" w:color="auto"/>
              <w:bottom w:val="nil"/>
            </w:tcBorders>
          </w:tcPr>
          <w:p w:rsidR="00480B73" w:rsidRPr="0089463C" w:rsidRDefault="00480B73" w:rsidP="00264CE2">
            <w:pPr>
              <w:rPr>
                <w:rFonts w:cs="Times New Roman"/>
                <w:sz w:val="16"/>
                <w:szCs w:val="16"/>
              </w:rPr>
            </w:pPr>
          </w:p>
        </w:tc>
      </w:tr>
      <w:tr w:rsidR="00480B73" w:rsidRPr="00163B4B" w:rsidTr="00264CE2">
        <w:trPr>
          <w:trHeight w:val="73"/>
        </w:trPr>
        <w:tc>
          <w:tcPr>
            <w:tcW w:w="1101" w:type="dxa"/>
            <w:gridSpan w:val="2"/>
            <w:vMerge w:val="restart"/>
            <w:tcBorders>
              <w:top w:val="nil"/>
            </w:tcBorders>
          </w:tcPr>
          <w:p w:rsidR="00480B73" w:rsidRPr="00163B4B" w:rsidRDefault="00480B73" w:rsidP="00264CE2">
            <w:pPr>
              <w:jc w:val="both"/>
              <w:rPr>
                <w:rFonts w:cs="Times New Roman"/>
                <w:b/>
                <w:sz w:val="16"/>
                <w:szCs w:val="16"/>
              </w:rPr>
            </w:pPr>
          </w:p>
        </w:tc>
        <w:tc>
          <w:tcPr>
            <w:tcW w:w="1417" w:type="dxa"/>
            <w:tcBorders>
              <w:top w:val="nil"/>
              <w:bottom w:val="dashSmallGap" w:sz="4" w:space="0" w:color="auto"/>
            </w:tcBorders>
          </w:tcPr>
          <w:p w:rsidR="00480B73" w:rsidRPr="00F44DA3" w:rsidRDefault="00480B73" w:rsidP="00264CE2">
            <w:pPr>
              <w:jc w:val="both"/>
              <w:rPr>
                <w:rFonts w:cs="Times New Roman"/>
                <w:sz w:val="16"/>
                <w:szCs w:val="16"/>
              </w:rPr>
            </w:pPr>
            <w:r w:rsidRPr="00F44DA3">
              <w:rPr>
                <w:rFonts w:cs="Times New Roman"/>
                <w:sz w:val="16"/>
                <w:szCs w:val="16"/>
              </w:rPr>
              <w:t>12 mg/kg</w:t>
            </w:r>
          </w:p>
          <w:p w:rsidR="00480B73" w:rsidRPr="00F44DA3" w:rsidRDefault="00480B73" w:rsidP="00264CE2">
            <w:pPr>
              <w:jc w:val="both"/>
              <w:rPr>
                <w:rFonts w:cs="Times New Roman"/>
                <w:b/>
                <w:sz w:val="16"/>
                <w:szCs w:val="16"/>
              </w:rPr>
            </w:pPr>
          </w:p>
          <w:p w:rsidR="00480B73" w:rsidRPr="00F44DA3" w:rsidRDefault="00480B73" w:rsidP="00264CE2">
            <w:pPr>
              <w:jc w:val="both"/>
              <w:rPr>
                <w:rFonts w:cs="Times New Roman"/>
                <w:b/>
                <w:sz w:val="16"/>
                <w:szCs w:val="16"/>
              </w:rPr>
            </w:pPr>
          </w:p>
        </w:tc>
        <w:tc>
          <w:tcPr>
            <w:tcW w:w="992" w:type="dxa"/>
            <w:tcBorders>
              <w:top w:val="nil"/>
              <w:bottom w:val="dashSmallGap" w:sz="4" w:space="0" w:color="auto"/>
            </w:tcBorders>
          </w:tcPr>
          <w:p w:rsidR="00480B73" w:rsidRPr="00163B4B" w:rsidRDefault="00480B73" w:rsidP="00264CE2">
            <w:pPr>
              <w:jc w:val="both"/>
              <w:rPr>
                <w:rFonts w:cs="Times New Roman"/>
                <w:b/>
                <w:sz w:val="16"/>
                <w:szCs w:val="16"/>
              </w:rPr>
            </w:pPr>
            <w:r w:rsidRPr="0089463C">
              <w:rPr>
                <w:rFonts w:cs="Times New Roman"/>
                <w:sz w:val="16"/>
                <w:szCs w:val="16"/>
              </w:rPr>
              <w:t>US</w:t>
            </w:r>
          </w:p>
        </w:tc>
        <w:tc>
          <w:tcPr>
            <w:tcW w:w="851" w:type="dxa"/>
            <w:tcBorders>
              <w:top w:val="nil"/>
              <w:bottom w:val="dashSmallGap" w:sz="4" w:space="0" w:color="auto"/>
            </w:tcBorders>
          </w:tcPr>
          <w:p w:rsidR="00480B73" w:rsidRPr="00894FA3" w:rsidRDefault="00480B73" w:rsidP="00264CE2">
            <w:pPr>
              <w:jc w:val="both"/>
              <w:rPr>
                <w:rFonts w:cs="Times New Roman"/>
                <w:sz w:val="16"/>
                <w:szCs w:val="16"/>
              </w:rPr>
            </w:pPr>
            <w:r w:rsidRPr="00894FA3">
              <w:rPr>
                <w:rFonts w:cs="Times New Roman"/>
                <w:sz w:val="16"/>
                <w:szCs w:val="16"/>
              </w:rPr>
              <w:t>8</w:t>
            </w:r>
          </w:p>
          <w:p w:rsidR="00480B73" w:rsidRDefault="00480B73" w:rsidP="00264CE2">
            <w:pPr>
              <w:jc w:val="both"/>
              <w:rPr>
                <w:rFonts w:cs="Times New Roman"/>
                <w:b/>
                <w:sz w:val="16"/>
                <w:szCs w:val="16"/>
              </w:rPr>
            </w:pPr>
          </w:p>
        </w:tc>
        <w:tc>
          <w:tcPr>
            <w:tcW w:w="992" w:type="dxa"/>
            <w:tcBorders>
              <w:top w:val="nil"/>
              <w:bottom w:val="dashSmallGap" w:sz="4" w:space="0" w:color="auto"/>
            </w:tcBorders>
          </w:tcPr>
          <w:p w:rsidR="00480B73" w:rsidRDefault="00480B73" w:rsidP="00264CE2">
            <w:pPr>
              <w:jc w:val="both"/>
              <w:rPr>
                <w:rFonts w:cs="Times New Roman"/>
                <w:sz w:val="16"/>
                <w:szCs w:val="16"/>
              </w:rPr>
            </w:pPr>
            <w:r>
              <w:rPr>
                <w:rFonts w:cs="Times New Roman"/>
                <w:sz w:val="16"/>
                <w:szCs w:val="16"/>
              </w:rPr>
              <w:t>26.4±2.5</w:t>
            </w:r>
          </w:p>
          <w:p w:rsidR="00480B73" w:rsidRDefault="00480B73" w:rsidP="00264CE2">
            <w:pPr>
              <w:jc w:val="both"/>
              <w:rPr>
                <w:rFonts w:cs="Times New Roman"/>
                <w:sz w:val="16"/>
                <w:szCs w:val="16"/>
              </w:rPr>
            </w:pPr>
          </w:p>
          <w:p w:rsidR="00480B73" w:rsidRDefault="00480B73" w:rsidP="00264CE2">
            <w:pPr>
              <w:jc w:val="both"/>
              <w:rPr>
                <w:rFonts w:cs="Times New Roman"/>
                <w:sz w:val="16"/>
                <w:szCs w:val="16"/>
              </w:rPr>
            </w:pPr>
          </w:p>
          <w:p w:rsidR="00480B73" w:rsidRPr="00163B4B" w:rsidRDefault="00480B73" w:rsidP="00264CE2">
            <w:pPr>
              <w:jc w:val="both"/>
              <w:rPr>
                <w:rFonts w:cs="Times New Roman"/>
                <w:b/>
                <w:sz w:val="16"/>
                <w:szCs w:val="16"/>
              </w:rPr>
            </w:pPr>
          </w:p>
        </w:tc>
        <w:tc>
          <w:tcPr>
            <w:tcW w:w="992" w:type="dxa"/>
            <w:tcBorders>
              <w:top w:val="nil"/>
              <w:bottom w:val="dashSmallGap" w:sz="4" w:space="0" w:color="auto"/>
            </w:tcBorders>
          </w:tcPr>
          <w:p w:rsidR="00480B73" w:rsidRDefault="00480B73" w:rsidP="00264CE2">
            <w:pPr>
              <w:jc w:val="both"/>
              <w:rPr>
                <w:rFonts w:cs="Times New Roman"/>
                <w:sz w:val="16"/>
                <w:szCs w:val="16"/>
              </w:rPr>
            </w:pPr>
            <w:r>
              <w:rPr>
                <w:rFonts w:cs="Times New Roman"/>
                <w:sz w:val="16"/>
                <w:szCs w:val="16"/>
              </w:rPr>
              <w:t>68.2±14.0</w:t>
            </w:r>
          </w:p>
          <w:p w:rsidR="00480B73" w:rsidRDefault="00480B73" w:rsidP="00264CE2">
            <w:pPr>
              <w:jc w:val="both"/>
              <w:rPr>
                <w:rFonts w:cs="Times New Roman"/>
                <w:sz w:val="16"/>
                <w:szCs w:val="16"/>
              </w:rPr>
            </w:pPr>
          </w:p>
          <w:p w:rsidR="00480B73" w:rsidRDefault="00480B73" w:rsidP="00264CE2">
            <w:pPr>
              <w:jc w:val="both"/>
              <w:rPr>
                <w:rFonts w:cs="Times New Roman"/>
                <w:sz w:val="16"/>
                <w:szCs w:val="16"/>
              </w:rPr>
            </w:pPr>
          </w:p>
          <w:p w:rsidR="00480B73" w:rsidRPr="00163B4B" w:rsidRDefault="00480B73" w:rsidP="00264CE2">
            <w:pPr>
              <w:jc w:val="both"/>
              <w:rPr>
                <w:rFonts w:cs="Times New Roman"/>
                <w:b/>
                <w:sz w:val="16"/>
                <w:szCs w:val="16"/>
              </w:rPr>
            </w:pPr>
          </w:p>
        </w:tc>
        <w:tc>
          <w:tcPr>
            <w:tcW w:w="851" w:type="dxa"/>
            <w:tcBorders>
              <w:top w:val="nil"/>
              <w:bottom w:val="dashSmallGap" w:sz="4" w:space="0" w:color="auto"/>
            </w:tcBorders>
          </w:tcPr>
          <w:p w:rsidR="00480B73" w:rsidRPr="00894FA3" w:rsidRDefault="00480B73" w:rsidP="00264CE2">
            <w:pPr>
              <w:jc w:val="both"/>
              <w:rPr>
                <w:rFonts w:cs="Times New Roman"/>
                <w:sz w:val="16"/>
                <w:szCs w:val="16"/>
              </w:rPr>
            </w:pPr>
            <w:r w:rsidRPr="00894FA3">
              <w:rPr>
                <w:rFonts w:cs="Times New Roman"/>
                <w:sz w:val="16"/>
                <w:szCs w:val="16"/>
              </w:rPr>
              <w:t>50%</w:t>
            </w:r>
          </w:p>
        </w:tc>
        <w:tc>
          <w:tcPr>
            <w:tcW w:w="1276" w:type="dxa"/>
            <w:tcBorders>
              <w:top w:val="nil"/>
              <w:bottom w:val="dashSmallGap" w:sz="4" w:space="0" w:color="auto"/>
            </w:tcBorders>
          </w:tcPr>
          <w:p w:rsidR="00480B73" w:rsidRPr="00163B4B" w:rsidRDefault="00480B73" w:rsidP="00264CE2">
            <w:pPr>
              <w:jc w:val="both"/>
              <w:rPr>
                <w:rFonts w:cs="Times New Roman"/>
                <w:b/>
                <w:sz w:val="16"/>
                <w:szCs w:val="16"/>
              </w:rPr>
            </w:pPr>
            <w:r w:rsidRPr="0089463C">
              <w:rPr>
                <w:rFonts w:cs="Times New Roman"/>
                <w:sz w:val="16"/>
                <w:szCs w:val="16"/>
              </w:rPr>
              <w:t>Aminosidine sulfate (Gabbromicina)</w:t>
            </w:r>
          </w:p>
        </w:tc>
        <w:tc>
          <w:tcPr>
            <w:tcW w:w="992" w:type="dxa"/>
            <w:tcBorders>
              <w:top w:val="nil"/>
              <w:bottom w:val="dashSmallGap" w:sz="4" w:space="0" w:color="auto"/>
            </w:tcBorders>
          </w:tcPr>
          <w:p w:rsidR="00480B73" w:rsidRDefault="00480B73" w:rsidP="00264CE2">
            <w:pPr>
              <w:jc w:val="both"/>
              <w:rPr>
                <w:rFonts w:cs="Times New Roman"/>
                <w:b/>
                <w:sz w:val="16"/>
                <w:szCs w:val="16"/>
              </w:rPr>
            </w:pPr>
            <w:r w:rsidRPr="0089463C">
              <w:rPr>
                <w:rFonts w:cs="Times New Roman"/>
                <w:sz w:val="16"/>
                <w:szCs w:val="16"/>
              </w:rPr>
              <w:t>IM</w:t>
            </w:r>
          </w:p>
        </w:tc>
        <w:tc>
          <w:tcPr>
            <w:tcW w:w="1134" w:type="dxa"/>
            <w:tcBorders>
              <w:top w:val="nil"/>
              <w:bottom w:val="dashSmallGap" w:sz="4" w:space="0" w:color="auto"/>
            </w:tcBorders>
          </w:tcPr>
          <w:p w:rsidR="00480B73" w:rsidRDefault="00480B73" w:rsidP="00264CE2">
            <w:pPr>
              <w:jc w:val="both"/>
              <w:rPr>
                <w:rFonts w:cs="Times New Roman"/>
                <w:b/>
                <w:sz w:val="16"/>
                <w:szCs w:val="16"/>
              </w:rPr>
            </w:pPr>
            <w:r w:rsidRPr="0089463C">
              <w:rPr>
                <w:rFonts w:cs="Times New Roman"/>
                <w:sz w:val="16"/>
                <w:szCs w:val="16"/>
              </w:rPr>
              <w:t>HPLC-UV</w:t>
            </w:r>
          </w:p>
        </w:tc>
        <w:tc>
          <w:tcPr>
            <w:tcW w:w="850" w:type="dxa"/>
            <w:tcBorders>
              <w:top w:val="nil"/>
              <w:bottom w:val="dashSmallGap" w:sz="4" w:space="0" w:color="auto"/>
            </w:tcBorders>
          </w:tcPr>
          <w:p w:rsidR="00480B73" w:rsidRPr="00163B4B" w:rsidRDefault="00480B73" w:rsidP="00264CE2">
            <w:pPr>
              <w:jc w:val="both"/>
              <w:rPr>
                <w:rFonts w:cs="Times New Roman"/>
                <w:b/>
                <w:sz w:val="16"/>
                <w:szCs w:val="16"/>
              </w:rPr>
            </w:pPr>
            <w:r w:rsidRPr="0089463C">
              <w:rPr>
                <w:rFonts w:cs="Times New Roman"/>
                <w:sz w:val="16"/>
                <w:szCs w:val="16"/>
              </w:rPr>
              <w:t xml:space="preserve">0.5 </w:t>
            </w:r>
          </w:p>
        </w:tc>
        <w:tc>
          <w:tcPr>
            <w:tcW w:w="1276" w:type="dxa"/>
            <w:tcBorders>
              <w:top w:val="nil"/>
              <w:left w:val="nil"/>
              <w:bottom w:val="dashSmallGap" w:sz="4" w:space="0" w:color="auto"/>
            </w:tcBorders>
          </w:tcPr>
          <w:p w:rsidR="00480B73" w:rsidRPr="00163B4B" w:rsidRDefault="00480B73" w:rsidP="00264CE2">
            <w:pPr>
              <w:jc w:val="both"/>
              <w:rPr>
                <w:rFonts w:cs="Times New Roman"/>
                <w:b/>
                <w:sz w:val="16"/>
                <w:szCs w:val="16"/>
              </w:rPr>
            </w:pPr>
            <w:r>
              <w:rPr>
                <w:rFonts w:cs="Times New Roman"/>
                <w:color w:val="000000" w:themeColor="text1"/>
                <w:sz w:val="16"/>
                <w:szCs w:val="18"/>
              </w:rPr>
              <w:t>Compartmental (individual-based)</w:t>
            </w:r>
          </w:p>
        </w:tc>
        <w:tc>
          <w:tcPr>
            <w:tcW w:w="1418" w:type="dxa"/>
            <w:tcBorders>
              <w:top w:val="nil"/>
              <w:bottom w:val="dashSmallGap" w:sz="4" w:space="0" w:color="auto"/>
            </w:tcBorders>
          </w:tcPr>
          <w:p w:rsidR="00480B73" w:rsidRPr="00163B4B" w:rsidRDefault="00480B73" w:rsidP="00264CE2">
            <w:pPr>
              <w:rPr>
                <w:rFonts w:cs="Times New Roman"/>
                <w:b/>
                <w:sz w:val="16"/>
                <w:szCs w:val="16"/>
              </w:rPr>
            </w:pPr>
            <w:r w:rsidRPr="0089463C">
              <w:rPr>
                <w:rFonts w:cs="Times New Roman"/>
                <w:sz w:val="16"/>
                <w:szCs w:val="16"/>
              </w:rPr>
              <w:t xml:space="preserve">1-CMT model, first-order input and output, with lag-time </w:t>
            </w:r>
          </w:p>
        </w:tc>
      </w:tr>
      <w:tr w:rsidR="00480B73" w:rsidRPr="00163B4B" w:rsidTr="00264CE2">
        <w:trPr>
          <w:trHeight w:val="63"/>
        </w:trPr>
        <w:tc>
          <w:tcPr>
            <w:tcW w:w="1101" w:type="dxa"/>
            <w:gridSpan w:val="2"/>
            <w:vMerge/>
          </w:tcPr>
          <w:p w:rsidR="00480B73" w:rsidRPr="0089463C" w:rsidRDefault="00480B73" w:rsidP="00264CE2">
            <w:pPr>
              <w:jc w:val="both"/>
              <w:rPr>
                <w:rFonts w:cs="Times New Roman"/>
                <w:sz w:val="16"/>
                <w:szCs w:val="16"/>
              </w:rPr>
            </w:pPr>
          </w:p>
        </w:tc>
        <w:tc>
          <w:tcPr>
            <w:tcW w:w="1417" w:type="dxa"/>
            <w:tcBorders>
              <w:top w:val="dashSmallGap" w:sz="4" w:space="0" w:color="auto"/>
            </w:tcBorders>
          </w:tcPr>
          <w:p w:rsidR="00480B73" w:rsidRPr="00F44DA3" w:rsidRDefault="00480B73" w:rsidP="00264CE2">
            <w:pPr>
              <w:jc w:val="both"/>
              <w:rPr>
                <w:rFonts w:cs="Times New Roman"/>
                <w:sz w:val="16"/>
                <w:szCs w:val="16"/>
              </w:rPr>
            </w:pPr>
            <w:r w:rsidRPr="00F44DA3">
              <w:rPr>
                <w:rFonts w:cs="Times New Roman"/>
                <w:sz w:val="16"/>
                <w:szCs w:val="16"/>
              </w:rPr>
              <w:t>15 mg/kg</w:t>
            </w:r>
          </w:p>
        </w:tc>
        <w:tc>
          <w:tcPr>
            <w:tcW w:w="992" w:type="dxa"/>
            <w:tcBorders>
              <w:top w:val="dashSmallGap" w:sz="4" w:space="0" w:color="auto"/>
            </w:tcBorders>
          </w:tcPr>
          <w:p w:rsidR="00480B73" w:rsidRPr="0089463C" w:rsidRDefault="00480B73" w:rsidP="00264CE2">
            <w:pPr>
              <w:jc w:val="both"/>
              <w:rPr>
                <w:rFonts w:cs="Times New Roman"/>
                <w:sz w:val="16"/>
                <w:szCs w:val="16"/>
              </w:rPr>
            </w:pPr>
            <w:r w:rsidRPr="0089463C">
              <w:rPr>
                <w:rFonts w:cs="Times New Roman"/>
                <w:sz w:val="16"/>
                <w:szCs w:val="16"/>
              </w:rPr>
              <w:t>US</w:t>
            </w:r>
          </w:p>
        </w:tc>
        <w:tc>
          <w:tcPr>
            <w:tcW w:w="851" w:type="dxa"/>
            <w:tcBorders>
              <w:top w:val="dashSmallGap" w:sz="4" w:space="0" w:color="auto"/>
            </w:tcBorders>
          </w:tcPr>
          <w:p w:rsidR="00480B73" w:rsidRPr="00894FA3" w:rsidRDefault="00480B73" w:rsidP="00264CE2">
            <w:pPr>
              <w:jc w:val="both"/>
              <w:rPr>
                <w:rFonts w:cs="Times New Roman"/>
                <w:sz w:val="16"/>
                <w:szCs w:val="16"/>
              </w:rPr>
            </w:pPr>
            <w:r>
              <w:rPr>
                <w:rFonts w:cs="Times New Roman"/>
                <w:sz w:val="16"/>
                <w:szCs w:val="16"/>
              </w:rPr>
              <w:t>8</w:t>
            </w:r>
          </w:p>
        </w:tc>
        <w:tc>
          <w:tcPr>
            <w:tcW w:w="992"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29.0±7.8</w:t>
            </w:r>
          </w:p>
        </w:tc>
        <w:tc>
          <w:tcPr>
            <w:tcW w:w="992"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70.7±13.0</w:t>
            </w:r>
          </w:p>
        </w:tc>
        <w:tc>
          <w:tcPr>
            <w:tcW w:w="851" w:type="dxa"/>
            <w:tcBorders>
              <w:top w:val="dashSmallGap" w:sz="4" w:space="0" w:color="auto"/>
            </w:tcBorders>
          </w:tcPr>
          <w:p w:rsidR="00480B73" w:rsidRPr="00894FA3" w:rsidRDefault="00480B73" w:rsidP="00264CE2">
            <w:pPr>
              <w:jc w:val="both"/>
              <w:rPr>
                <w:rFonts w:cs="Times New Roman"/>
                <w:sz w:val="16"/>
                <w:szCs w:val="16"/>
              </w:rPr>
            </w:pPr>
            <w:r w:rsidRPr="00894FA3">
              <w:rPr>
                <w:rFonts w:cs="Times New Roman"/>
                <w:sz w:val="16"/>
                <w:szCs w:val="16"/>
              </w:rPr>
              <w:t>50%</w:t>
            </w:r>
          </w:p>
        </w:tc>
        <w:tc>
          <w:tcPr>
            <w:tcW w:w="1276" w:type="dxa"/>
            <w:tcBorders>
              <w:top w:val="dashSmallGap" w:sz="4" w:space="0" w:color="auto"/>
            </w:tcBorders>
          </w:tcPr>
          <w:p w:rsidR="00480B73" w:rsidRPr="0089463C" w:rsidRDefault="00480B73" w:rsidP="00264CE2">
            <w:pPr>
              <w:jc w:val="both"/>
              <w:rPr>
                <w:rFonts w:cs="Times New Roman"/>
                <w:sz w:val="16"/>
                <w:szCs w:val="16"/>
              </w:rPr>
            </w:pPr>
            <w:r w:rsidRPr="0089463C">
              <w:rPr>
                <w:rFonts w:cs="Times New Roman"/>
                <w:sz w:val="16"/>
                <w:szCs w:val="16"/>
              </w:rPr>
              <w:t>Aminosidine sulfate (Gabbromicina)</w:t>
            </w:r>
          </w:p>
        </w:tc>
        <w:tc>
          <w:tcPr>
            <w:tcW w:w="992" w:type="dxa"/>
            <w:tcBorders>
              <w:top w:val="dashSmallGap" w:sz="4" w:space="0" w:color="auto"/>
            </w:tcBorders>
          </w:tcPr>
          <w:p w:rsidR="00480B73" w:rsidRPr="0089463C" w:rsidRDefault="00480B73" w:rsidP="00264CE2">
            <w:pPr>
              <w:jc w:val="both"/>
              <w:rPr>
                <w:rFonts w:cs="Times New Roman"/>
                <w:sz w:val="16"/>
                <w:szCs w:val="16"/>
              </w:rPr>
            </w:pPr>
            <w:r w:rsidRPr="0089463C">
              <w:rPr>
                <w:rFonts w:cs="Times New Roman"/>
                <w:sz w:val="16"/>
                <w:szCs w:val="16"/>
              </w:rPr>
              <w:t>IM</w:t>
            </w:r>
          </w:p>
        </w:tc>
        <w:tc>
          <w:tcPr>
            <w:tcW w:w="1134" w:type="dxa"/>
            <w:tcBorders>
              <w:top w:val="dashSmallGap" w:sz="4" w:space="0" w:color="auto"/>
            </w:tcBorders>
          </w:tcPr>
          <w:p w:rsidR="00480B73" w:rsidRPr="0089463C" w:rsidRDefault="00480B73" w:rsidP="00264CE2">
            <w:pPr>
              <w:jc w:val="both"/>
              <w:rPr>
                <w:rFonts w:cs="Times New Roman"/>
                <w:sz w:val="16"/>
                <w:szCs w:val="16"/>
              </w:rPr>
            </w:pPr>
            <w:r w:rsidRPr="0089463C">
              <w:rPr>
                <w:rFonts w:cs="Times New Roman"/>
                <w:sz w:val="16"/>
                <w:szCs w:val="16"/>
              </w:rPr>
              <w:t>HPLC-UV</w:t>
            </w:r>
          </w:p>
        </w:tc>
        <w:tc>
          <w:tcPr>
            <w:tcW w:w="850" w:type="dxa"/>
            <w:tcBorders>
              <w:top w:val="dashSmallGap" w:sz="4" w:space="0" w:color="auto"/>
            </w:tcBorders>
          </w:tcPr>
          <w:p w:rsidR="00480B73" w:rsidRPr="0089463C" w:rsidRDefault="00480B73" w:rsidP="00264CE2">
            <w:pPr>
              <w:jc w:val="both"/>
              <w:rPr>
                <w:rFonts w:cs="Times New Roman"/>
                <w:sz w:val="16"/>
                <w:szCs w:val="16"/>
              </w:rPr>
            </w:pPr>
            <w:r w:rsidRPr="0089463C">
              <w:rPr>
                <w:rFonts w:cs="Times New Roman"/>
                <w:sz w:val="16"/>
                <w:szCs w:val="16"/>
              </w:rPr>
              <w:t xml:space="preserve">0.5 </w:t>
            </w:r>
          </w:p>
        </w:tc>
        <w:tc>
          <w:tcPr>
            <w:tcW w:w="1276" w:type="dxa"/>
            <w:tcBorders>
              <w:top w:val="dashSmallGap" w:sz="4" w:space="0" w:color="auto"/>
              <w:left w:val="nil"/>
            </w:tcBorders>
          </w:tcPr>
          <w:p w:rsidR="00480B73" w:rsidRPr="0089463C" w:rsidRDefault="00480B73" w:rsidP="00264CE2">
            <w:pPr>
              <w:jc w:val="both"/>
              <w:rPr>
                <w:rFonts w:cs="Times New Roman"/>
                <w:sz w:val="16"/>
                <w:szCs w:val="16"/>
              </w:rPr>
            </w:pPr>
            <w:r>
              <w:rPr>
                <w:rFonts w:cs="Times New Roman"/>
                <w:color w:val="000000" w:themeColor="text1"/>
                <w:sz w:val="16"/>
                <w:szCs w:val="18"/>
              </w:rPr>
              <w:t>Compartmental (individual-based)</w:t>
            </w:r>
          </w:p>
        </w:tc>
        <w:tc>
          <w:tcPr>
            <w:tcW w:w="1418" w:type="dxa"/>
            <w:tcBorders>
              <w:top w:val="dashSmallGap" w:sz="4" w:space="0" w:color="auto"/>
            </w:tcBorders>
          </w:tcPr>
          <w:p w:rsidR="00480B73" w:rsidRPr="0089463C" w:rsidRDefault="00480B73" w:rsidP="00264CE2">
            <w:pPr>
              <w:rPr>
                <w:rFonts w:cs="Times New Roman"/>
                <w:sz w:val="16"/>
                <w:szCs w:val="16"/>
              </w:rPr>
            </w:pPr>
            <w:r w:rsidRPr="0089463C">
              <w:rPr>
                <w:rFonts w:cs="Times New Roman"/>
                <w:sz w:val="16"/>
                <w:szCs w:val="16"/>
              </w:rPr>
              <w:t>1-CMT model, first-order input and output, with lag-time</w:t>
            </w:r>
          </w:p>
        </w:tc>
      </w:tr>
      <w:tr w:rsidR="00480B73" w:rsidRPr="00040645" w:rsidTr="00264CE2">
        <w:trPr>
          <w:trHeight w:val="740"/>
        </w:trPr>
        <w:tc>
          <w:tcPr>
            <w:tcW w:w="1101" w:type="dxa"/>
            <w:gridSpan w:val="2"/>
          </w:tcPr>
          <w:p w:rsidR="00480B73" w:rsidRPr="00040645" w:rsidRDefault="00480B73" w:rsidP="00264CE2">
            <w:pPr>
              <w:jc w:val="both"/>
              <w:rPr>
                <w:rFonts w:cs="Times New Roman"/>
                <w:sz w:val="16"/>
                <w:szCs w:val="16"/>
                <w:vertAlign w:val="superscript"/>
              </w:rPr>
            </w:pPr>
            <w:r w:rsidRPr="00040645">
              <w:rPr>
                <w:rFonts w:cs="Times New Roman"/>
                <w:sz w:val="16"/>
                <w:szCs w:val="16"/>
              </w:rPr>
              <w:t>Kshirsagar</w:t>
            </w:r>
            <w:r>
              <w:rPr>
                <w:rFonts w:cs="Times New Roman"/>
                <w:sz w:val="16"/>
                <w:szCs w:val="16"/>
              </w:rPr>
              <w:t xml:space="preserve"> et al. </w:t>
            </w:r>
            <w:r w:rsidRPr="00040645">
              <w:rPr>
                <w:rFonts w:cs="Times New Roman"/>
                <w:sz w:val="16"/>
                <w:szCs w:val="16"/>
              </w:rPr>
              <w:t xml:space="preserve"> </w:t>
            </w:r>
            <w:r>
              <w:rPr>
                <w:rFonts w:cs="Times New Roman"/>
                <w:sz w:val="16"/>
                <w:szCs w:val="16"/>
              </w:rPr>
              <w:fldChar w:fldCharType="begin" w:fldLock="1"/>
            </w:r>
            <w:r>
              <w:rPr>
                <w:rFonts w:cs="Times New Roman"/>
                <w:sz w:val="16"/>
                <w:szCs w:val="16"/>
              </w:rPr>
              <w:instrText>ADDIN CSL_CITATION { "citationItems" : [ { "id" : "ITEM-1", "itemData" : { "author" : [ { "dropping-particle" : "", "family" : "Kshirsagar", "given" : "S", "non-dropping-particle" : "", "parse-names" : false, "suffix" : "" }, { "dropping-particle" : "", "family" : "Mordenti", "given" : "J", "non-dropping-particle" : "", "parse-names" : false, "suffix" : "" }, { "dropping-particle" : "", "family" : "Blaschke", "given" : "T", "non-dropping-particle" : "", "parse-names" : false, "suffix" : "" } ], "id" : "ITEM-1", "issued" : { "date-parts" : [ [ "0" ] ] }, "page" : "poster A-1105.", "title" : "Clinical pharmacokinetics of paromomycin sulfate in Indian visceral leishmaniasis patients. At: 46th Interscience Conference on Antimicrobial Agents and Chemotherapy (ICAAC); 27\u201330 September 2006; San Francisco, CA. Washington, DC: ASM Press. 2006.", "type" : "chapter" }, "uris" : [ "http://www.mendeley.com/documents/?uuid=374e2a68-6680-4954-9876-03c26b118a33" ] } ], "mendeley" : { "formattedCitation" : "[38]", "plainTextFormattedCitation" : "[38]", "previouslyFormattedCitation" : "[38]"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[38]</w:t>
            </w:r>
            <w:r>
              <w:rPr>
                <w:rFonts w:cs="Times New Roman"/>
                <w:sz w:val="16"/>
                <w:szCs w:val="16"/>
              </w:rPr>
              <w:fldChar w:fldCharType="end"/>
            </w:r>
          </w:p>
        </w:tc>
        <w:tc>
          <w:tcPr>
            <w:tcW w:w="1417" w:type="dxa"/>
          </w:tcPr>
          <w:p w:rsidR="00480B73" w:rsidRPr="00040645" w:rsidRDefault="00480B73" w:rsidP="00264CE2">
            <w:pPr>
              <w:jc w:val="both"/>
              <w:rPr>
                <w:rFonts w:cs="Times New Roman"/>
                <w:sz w:val="16"/>
                <w:szCs w:val="16"/>
              </w:rPr>
            </w:pPr>
            <w:r>
              <w:rPr>
                <w:rFonts w:cs="Times New Roman"/>
                <w:sz w:val="16"/>
                <w:szCs w:val="16"/>
              </w:rPr>
              <w:t>VL</w:t>
            </w:r>
            <w:r w:rsidRPr="00040645">
              <w:rPr>
                <w:rFonts w:cs="Times New Roman"/>
                <w:sz w:val="16"/>
                <w:szCs w:val="16"/>
              </w:rPr>
              <w:t xml:space="preserve"> patients</w:t>
            </w:r>
          </w:p>
        </w:tc>
        <w:tc>
          <w:tcPr>
            <w:tcW w:w="992" w:type="dxa"/>
          </w:tcPr>
          <w:p w:rsidR="00480B73" w:rsidRPr="00040645" w:rsidRDefault="00480B73" w:rsidP="00264CE2">
            <w:pPr>
              <w:jc w:val="both"/>
              <w:rPr>
                <w:rFonts w:cs="Times New Roman"/>
                <w:sz w:val="16"/>
                <w:szCs w:val="16"/>
              </w:rPr>
            </w:pPr>
            <w:r w:rsidRPr="00040645">
              <w:rPr>
                <w:rFonts w:cs="Times New Roman"/>
                <w:sz w:val="16"/>
                <w:szCs w:val="16"/>
              </w:rPr>
              <w:t>India</w:t>
            </w:r>
          </w:p>
        </w:tc>
        <w:tc>
          <w:tcPr>
            <w:tcW w:w="851" w:type="dxa"/>
          </w:tcPr>
          <w:p w:rsidR="00480B73" w:rsidRDefault="00480B73" w:rsidP="00264CE2">
            <w:pPr>
              <w:jc w:val="both"/>
              <w:rPr>
                <w:rFonts w:cs="Times New Roman"/>
                <w:sz w:val="16"/>
                <w:szCs w:val="16"/>
              </w:rPr>
            </w:pPr>
            <w:r>
              <w:rPr>
                <w:rFonts w:cs="Times New Roman"/>
                <w:sz w:val="16"/>
                <w:szCs w:val="16"/>
              </w:rPr>
              <w:t>448</w:t>
            </w:r>
          </w:p>
          <w:p w:rsidR="00480B73" w:rsidRDefault="00480B73" w:rsidP="00264CE2">
            <w:pPr>
              <w:jc w:val="both"/>
              <w:rPr>
                <w:rFonts w:cs="Times New Roman"/>
                <w:sz w:val="16"/>
                <w:szCs w:val="16"/>
              </w:rPr>
            </w:pPr>
          </w:p>
          <w:p w:rsidR="00480B73" w:rsidRDefault="00480B73" w:rsidP="00264CE2">
            <w:pPr>
              <w:jc w:val="both"/>
              <w:rPr>
                <w:rFonts w:cs="Times New Roman"/>
                <w:sz w:val="16"/>
                <w:szCs w:val="16"/>
              </w:rPr>
            </w:pPr>
          </w:p>
          <w:p w:rsidR="00480B73" w:rsidRPr="00040645" w:rsidRDefault="00480B73" w:rsidP="00264CE2">
            <w:pPr>
              <w:jc w:val="both"/>
              <w:rPr>
                <w:rFonts w:cs="Times New Roman"/>
                <w:sz w:val="16"/>
                <w:szCs w:val="16"/>
              </w:rPr>
            </w:pPr>
          </w:p>
        </w:tc>
        <w:tc>
          <w:tcPr>
            <w:tcW w:w="992" w:type="dxa"/>
          </w:tcPr>
          <w:p w:rsidR="00480B73" w:rsidRPr="00AA1A6F" w:rsidRDefault="00480B73" w:rsidP="00264CE2">
            <w:pPr>
              <w:jc w:val="both"/>
              <w:rPr>
                <w:rFonts w:cs="Times New Roman"/>
                <w:sz w:val="16"/>
                <w:szCs w:val="16"/>
                <w:vertAlign w:val="superscript"/>
              </w:rPr>
            </w:pPr>
            <w:r w:rsidRPr="00040645">
              <w:rPr>
                <w:rFonts w:cs="Times New Roman"/>
                <w:sz w:val="16"/>
                <w:szCs w:val="16"/>
              </w:rPr>
              <w:t>22.1±12.3</w:t>
            </w:r>
            <w:r>
              <w:rPr>
                <w:rFonts w:cs="Times New Roman"/>
                <w:sz w:val="16"/>
                <w:szCs w:val="16"/>
                <w:vertAlign w:val="superscript"/>
              </w:rPr>
              <w:t>a</w:t>
            </w:r>
          </w:p>
        </w:tc>
        <w:tc>
          <w:tcPr>
            <w:tcW w:w="992" w:type="dxa"/>
          </w:tcPr>
          <w:p w:rsidR="00480B73" w:rsidRPr="00040645" w:rsidRDefault="00480B73" w:rsidP="00264CE2">
            <w:pPr>
              <w:jc w:val="both"/>
              <w:rPr>
                <w:rFonts w:cs="Times New Roman"/>
                <w:sz w:val="16"/>
                <w:szCs w:val="16"/>
              </w:rPr>
            </w:pPr>
            <w:r w:rsidRPr="00040645">
              <w:rPr>
                <w:rFonts w:cs="Times New Roman"/>
                <w:sz w:val="16"/>
                <w:szCs w:val="16"/>
              </w:rPr>
              <w:t>35.5±11.8</w:t>
            </w:r>
            <w:r>
              <w:rPr>
                <w:rFonts w:cs="Times New Roman"/>
                <w:sz w:val="16"/>
                <w:szCs w:val="16"/>
                <w:vertAlign w:val="superscript"/>
              </w:rPr>
              <w:t>a</w:t>
            </w:r>
          </w:p>
          <w:p w:rsidR="00480B73" w:rsidRPr="00040645" w:rsidRDefault="00480B73" w:rsidP="00264CE2">
            <w:pPr>
              <w:jc w:val="both"/>
              <w:rPr>
                <w:rFonts w:cs="Times New Roman"/>
                <w:sz w:val="16"/>
                <w:szCs w:val="16"/>
              </w:rPr>
            </w:pPr>
          </w:p>
          <w:p w:rsidR="00480B73" w:rsidRPr="00040645" w:rsidRDefault="00480B73" w:rsidP="00264CE2">
            <w:pPr>
              <w:jc w:val="both"/>
              <w:rPr>
                <w:rFonts w:cs="Times New Roman"/>
                <w:sz w:val="16"/>
                <w:szCs w:val="16"/>
              </w:rPr>
            </w:pPr>
          </w:p>
        </w:tc>
        <w:tc>
          <w:tcPr>
            <w:tcW w:w="851" w:type="dxa"/>
          </w:tcPr>
          <w:p w:rsidR="00480B73" w:rsidRPr="00040645" w:rsidRDefault="00480B73" w:rsidP="00264CE2">
            <w:pPr>
              <w:jc w:val="both"/>
              <w:rPr>
                <w:rFonts w:cs="Times New Roman"/>
                <w:sz w:val="16"/>
                <w:szCs w:val="16"/>
              </w:rPr>
            </w:pPr>
            <w:r w:rsidRPr="00040645">
              <w:rPr>
                <w:rFonts w:cs="Times New Roman"/>
                <w:sz w:val="16"/>
                <w:szCs w:val="16"/>
              </w:rPr>
              <w:t>65%</w:t>
            </w:r>
          </w:p>
          <w:p w:rsidR="00480B73" w:rsidRPr="00040645" w:rsidRDefault="00480B73" w:rsidP="00264CE2">
            <w:pPr>
              <w:jc w:val="both"/>
              <w:rPr>
                <w:rFonts w:cs="Times New Roman"/>
                <w:sz w:val="16"/>
                <w:szCs w:val="16"/>
              </w:rPr>
            </w:pPr>
          </w:p>
          <w:p w:rsidR="00480B73" w:rsidRPr="00040645" w:rsidRDefault="00480B73" w:rsidP="00264CE2">
            <w:pPr>
              <w:jc w:val="both"/>
              <w:rPr>
                <w:rFonts w:cs="Times New Roman"/>
                <w:sz w:val="16"/>
                <w:szCs w:val="16"/>
              </w:rPr>
            </w:pPr>
          </w:p>
          <w:p w:rsidR="00480B73" w:rsidRPr="00040645" w:rsidRDefault="00480B73" w:rsidP="00264CE2">
            <w:pPr>
              <w:jc w:val="both"/>
              <w:rPr>
                <w:rFonts w:cs="Times New Roman"/>
                <w:sz w:val="16"/>
                <w:szCs w:val="16"/>
              </w:rPr>
            </w:pPr>
          </w:p>
        </w:tc>
        <w:tc>
          <w:tcPr>
            <w:tcW w:w="1276" w:type="dxa"/>
          </w:tcPr>
          <w:p w:rsidR="00480B73" w:rsidRPr="00040645" w:rsidRDefault="00480B73" w:rsidP="00264CE2">
            <w:pPr>
              <w:jc w:val="both"/>
              <w:rPr>
                <w:rFonts w:cs="Times New Roman"/>
                <w:sz w:val="16"/>
                <w:szCs w:val="16"/>
              </w:rPr>
            </w:pPr>
            <w:r w:rsidRPr="00040645">
              <w:rPr>
                <w:rFonts w:cs="Times New Roman"/>
                <w:sz w:val="16"/>
                <w:szCs w:val="16"/>
              </w:rPr>
              <w:t xml:space="preserve">Paromomycin Sulfate </w:t>
            </w:r>
          </w:p>
          <w:p w:rsidR="00480B73" w:rsidRPr="00040645" w:rsidRDefault="00480B73" w:rsidP="00264CE2">
            <w:pPr>
              <w:jc w:val="both"/>
              <w:rPr>
                <w:rFonts w:cs="Times New Roman"/>
                <w:sz w:val="16"/>
                <w:szCs w:val="16"/>
              </w:rPr>
            </w:pPr>
            <w:r w:rsidRPr="00040645">
              <w:rPr>
                <w:rFonts w:cs="Times New Roman"/>
                <w:sz w:val="16"/>
                <w:szCs w:val="16"/>
              </w:rPr>
              <w:t>(Pharmamed Parenterals)</w:t>
            </w:r>
          </w:p>
        </w:tc>
        <w:tc>
          <w:tcPr>
            <w:tcW w:w="992" w:type="dxa"/>
          </w:tcPr>
          <w:p w:rsidR="00480B73" w:rsidRPr="00040645" w:rsidRDefault="00480B73" w:rsidP="00264CE2">
            <w:pPr>
              <w:jc w:val="both"/>
              <w:rPr>
                <w:rFonts w:cs="Times New Roman"/>
                <w:sz w:val="16"/>
                <w:szCs w:val="16"/>
              </w:rPr>
            </w:pPr>
            <w:r w:rsidRPr="00040645">
              <w:rPr>
                <w:rFonts w:cs="Times New Roman"/>
                <w:sz w:val="16"/>
                <w:szCs w:val="16"/>
              </w:rPr>
              <w:t>IM</w:t>
            </w:r>
          </w:p>
        </w:tc>
        <w:tc>
          <w:tcPr>
            <w:tcW w:w="1134" w:type="dxa"/>
          </w:tcPr>
          <w:p w:rsidR="00480B73" w:rsidRPr="00040645" w:rsidRDefault="00480B73" w:rsidP="00264CE2">
            <w:pPr>
              <w:jc w:val="both"/>
              <w:rPr>
                <w:rFonts w:cs="Times New Roman"/>
                <w:sz w:val="16"/>
                <w:szCs w:val="16"/>
              </w:rPr>
            </w:pPr>
            <w:r w:rsidRPr="00040645">
              <w:rPr>
                <w:rFonts w:cs="Times New Roman"/>
                <w:sz w:val="16"/>
                <w:szCs w:val="16"/>
              </w:rPr>
              <w:t>LC-MS/MS</w:t>
            </w:r>
          </w:p>
        </w:tc>
        <w:tc>
          <w:tcPr>
            <w:tcW w:w="850" w:type="dxa"/>
          </w:tcPr>
          <w:p w:rsidR="00480B73" w:rsidRPr="00040645" w:rsidRDefault="00480B73" w:rsidP="00264CE2">
            <w:pPr>
              <w:jc w:val="both"/>
              <w:rPr>
                <w:rFonts w:cs="Times New Roman"/>
                <w:sz w:val="16"/>
                <w:szCs w:val="16"/>
              </w:rPr>
            </w:pPr>
            <w:r w:rsidRPr="00040645">
              <w:rPr>
                <w:rFonts w:cs="Times New Roman"/>
                <w:sz w:val="16"/>
                <w:szCs w:val="16"/>
              </w:rPr>
              <w:t xml:space="preserve">0.5 </w:t>
            </w:r>
          </w:p>
        </w:tc>
        <w:tc>
          <w:tcPr>
            <w:tcW w:w="1276" w:type="dxa"/>
            <w:tcBorders>
              <w:left w:val="nil"/>
            </w:tcBorders>
          </w:tcPr>
          <w:p w:rsidR="00480B73" w:rsidRPr="00040645" w:rsidRDefault="00480B73" w:rsidP="00264CE2">
            <w:pPr>
              <w:jc w:val="both"/>
              <w:rPr>
                <w:rFonts w:cs="Times New Roman"/>
                <w:sz w:val="16"/>
                <w:szCs w:val="16"/>
              </w:rPr>
            </w:pPr>
            <w:r>
              <w:rPr>
                <w:rFonts w:cs="Times New Roman"/>
                <w:sz w:val="16"/>
                <w:szCs w:val="16"/>
              </w:rPr>
              <w:t xml:space="preserve">Compartmental (population-based) </w:t>
            </w:r>
          </w:p>
        </w:tc>
        <w:tc>
          <w:tcPr>
            <w:tcW w:w="1418" w:type="dxa"/>
          </w:tcPr>
          <w:p w:rsidR="00480B73" w:rsidRPr="00040645" w:rsidRDefault="00480B73" w:rsidP="00264CE2">
            <w:pPr>
              <w:rPr>
                <w:rFonts w:cs="Times New Roman"/>
                <w:sz w:val="16"/>
                <w:szCs w:val="16"/>
              </w:rPr>
            </w:pPr>
            <w:r w:rsidRPr="00040645">
              <w:rPr>
                <w:rFonts w:cs="Times New Roman"/>
                <w:sz w:val="16"/>
                <w:szCs w:val="16"/>
              </w:rPr>
              <w:t xml:space="preserve">1-CMT model, first-order input and output </w:t>
            </w:r>
          </w:p>
          <w:p w:rsidR="00480B73" w:rsidRPr="00040645" w:rsidRDefault="00480B73" w:rsidP="00264CE2">
            <w:pPr>
              <w:rPr>
                <w:rFonts w:cs="Times New Roman"/>
                <w:sz w:val="16"/>
                <w:szCs w:val="16"/>
              </w:rPr>
            </w:pPr>
          </w:p>
        </w:tc>
      </w:tr>
    </w:tbl>
    <w:p w:rsidR="00480B73" w:rsidRPr="00E2577D" w:rsidRDefault="00480B73" w:rsidP="00480B73">
      <w:pPr>
        <w:rPr>
          <w:sz w:val="16"/>
          <w:szCs w:val="16"/>
          <w:vertAlign w:val="superscript"/>
        </w:rPr>
      </w:pPr>
      <w:r w:rsidRPr="00E2577D">
        <w:rPr>
          <w:sz w:val="16"/>
          <w:szCs w:val="16"/>
        </w:rPr>
        <w:t xml:space="preserve">IM: intramuscular, </w:t>
      </w:r>
      <w:proofErr w:type="spellStart"/>
      <w:r w:rsidRPr="00E2577D">
        <w:rPr>
          <w:sz w:val="16"/>
          <w:szCs w:val="16"/>
        </w:rPr>
        <w:t>LLOQ</w:t>
      </w:r>
      <w:proofErr w:type="spellEnd"/>
      <w:r w:rsidRPr="00E2577D">
        <w:rPr>
          <w:sz w:val="16"/>
          <w:szCs w:val="16"/>
        </w:rPr>
        <w:t xml:space="preserve">: lower limit of quantitation, </w:t>
      </w:r>
      <w:proofErr w:type="spellStart"/>
      <w:r w:rsidRPr="00E2577D">
        <w:rPr>
          <w:sz w:val="16"/>
          <w:szCs w:val="16"/>
        </w:rPr>
        <w:t>CMT</w:t>
      </w:r>
      <w:proofErr w:type="spellEnd"/>
      <w:r w:rsidRPr="00E2577D">
        <w:rPr>
          <w:sz w:val="16"/>
          <w:szCs w:val="16"/>
        </w:rPr>
        <w:t>: compartmental, HPLC: high-performance liquid chromatography, MS/MS: tandem mass spectrometry.</w:t>
      </w:r>
    </w:p>
    <w:p w:rsidR="00480B73" w:rsidRPr="0057054A" w:rsidRDefault="00480B73" w:rsidP="00480B73">
      <w:pPr>
        <w:rPr>
          <w:sz w:val="16"/>
          <w:szCs w:val="18"/>
        </w:rPr>
      </w:pPr>
      <w:proofErr w:type="spellStart"/>
      <w:r>
        <w:rPr>
          <w:sz w:val="16"/>
          <w:szCs w:val="18"/>
          <w:vertAlign w:val="superscript"/>
        </w:rPr>
        <w:t>a</w:t>
      </w:r>
      <w:r w:rsidRPr="0057054A">
        <w:rPr>
          <w:sz w:val="16"/>
          <w:szCs w:val="18"/>
        </w:rPr>
        <w:t>Not</w:t>
      </w:r>
      <w:proofErr w:type="spellEnd"/>
      <w:r w:rsidRPr="0057054A">
        <w:rPr>
          <w:sz w:val="16"/>
          <w:szCs w:val="18"/>
        </w:rPr>
        <w:t xml:space="preserve"> provided on poster </w:t>
      </w:r>
      <w:r w:rsidRPr="0057054A">
        <w:rPr>
          <w:sz w:val="16"/>
          <w:szCs w:val="18"/>
        </w:rPr>
        <w:fldChar w:fldCharType="begin" w:fldLock="1"/>
      </w:r>
      <w:r w:rsidRPr="0057054A">
        <w:rPr>
          <w:sz w:val="16"/>
          <w:szCs w:val="18"/>
        </w:rPr>
        <w:instrText>ADDIN CSL_CITATION { "citationItems" : [ { "id" : "ITEM-1", "itemData" : { "author" : [ { "dropping-particle" : "", "family" : "Kshirsagar", "given" : "S", "non-dropping-particle" : "", "parse-names" : false, "suffix" : "" }, { "dropping-particle" : "", "family" : "Mordenti", "given" : "J", "non-dropping-particle" : "", "parse-names" : false, "suffix" : "" }, { "dropping-particle" : "", "family" : "Blaschke", "given" : "T", "non-dropping-particle" : "", "parse-names" : false, "suffix" : "" } ], "id" : "ITEM-1", "issued" : { "date-parts" : [ [ "0" ] ] }, "page" : "poster A-1105.", "title" : "Clinical pharmacokinetics of paromomycin sulfate in Indian visceral leishmaniasis patients. At: 46th Interscience Conference on Antimicrobial Agents and Chemotherapy (ICAAC); 27\u201330 September 2006; San Francisco, CA. Washington, DC: ASM Press. 2006.", "type" : "chapter" }, "uris" : [ "http://www.mendeley.com/documents/?uuid=374e2a68-6680-4954-9876-03c26b118a33" ] } ], "mendeley" : { "formattedCitation" : "[38]", "plainTextFormattedCitation" : "[38]", "previouslyFormattedCitation" : "[38]" }, "properties" : { "noteIndex" : 0 }, "schema" : "https://github.com/citation-style-language/schema/raw/master/csl-citation.json" }</w:instrText>
      </w:r>
      <w:r w:rsidRPr="0057054A">
        <w:rPr>
          <w:sz w:val="16"/>
          <w:szCs w:val="18"/>
        </w:rPr>
        <w:fldChar w:fldCharType="separate"/>
      </w:r>
      <w:r w:rsidRPr="0057054A">
        <w:rPr>
          <w:noProof/>
          <w:sz w:val="16"/>
          <w:szCs w:val="18"/>
        </w:rPr>
        <w:t>[38]</w:t>
      </w:r>
      <w:r w:rsidRPr="0057054A">
        <w:rPr>
          <w:sz w:val="16"/>
          <w:szCs w:val="18"/>
        </w:rPr>
        <w:fldChar w:fldCharType="end"/>
      </w:r>
      <w:r w:rsidRPr="0057054A">
        <w:rPr>
          <w:sz w:val="16"/>
          <w:szCs w:val="18"/>
        </w:rPr>
        <w:t xml:space="preserve">, but provided for 501 patients included in clinical results of trial </w:t>
      </w:r>
      <w:r w:rsidRPr="0057054A">
        <w:rPr>
          <w:sz w:val="16"/>
          <w:szCs w:val="18"/>
        </w:rPr>
        <w:fldChar w:fldCharType="begin" w:fldLock="1"/>
      </w:r>
      <w:r w:rsidRPr="0057054A">
        <w:rPr>
          <w:sz w:val="16"/>
          <w:szCs w:val="18"/>
        </w:rPr>
        <w:instrText>ADDIN CSL_CITATION { "citationItems" : [ { "id" : "ITEM-1", "itemData" : { "author" : [ { "dropping-particle" : "", "family" : "Sundar", "given" : "Shyam", "non-dropping-particle" : "", "parse-names" : false, "suffix" : "" }, { "dropping-particle" : "", "family" : "Jha", "given" : "T K", "non-dropping-particle" : "", "parse-names" : false, "suffix" : "" }, { "dropping-particle" : "", "family" : "Thakur", "given" : "Chandreshwar P", "non-dropping-particle" : "", "parse-names" : false, "suffix" : "" }, { "dropping-particle" : "", "family" : "Sinha", "given" : "Prabhat K", "non-dropping-particle" : "", "parse-names" : false, "suffix" : "" }, { "dropping-particle" : "", "family" : "Bhattacharya", "given" : "Sujit K", "non-dropping-particle" : "", "parse-names" : false, "suffix" : "" } ], "container-title" : "New England Journal of Medicine", "id" : "ITEM-1", "issue" : "25", "issued" : { "date-parts" : [ [ "2007" ] ] }, "page" : "2571-2581", "title" : "Injectable Paromomycin for Visceral Leishmaniasis in India", "type" : "article-journal", "volume" : "356" }, "uris" : [ "http://www.mendeley.com/documents/?uuid=2945f650-253d-47ab-b2be-489028cefb33" ] } ], "mendeley" : { "formattedCitation" : "[33]", "plainTextFormattedCitation" : "[33]", "previouslyFormattedCitation" : "[33]" }, "properties" : { "noteIndex" : 0 }, "schema" : "https://github.com/citation-style-language/schema/raw/master/csl-citation.json" }</w:instrText>
      </w:r>
      <w:r w:rsidRPr="0057054A">
        <w:rPr>
          <w:sz w:val="16"/>
          <w:szCs w:val="18"/>
        </w:rPr>
        <w:fldChar w:fldCharType="separate"/>
      </w:r>
      <w:r w:rsidRPr="0057054A">
        <w:rPr>
          <w:noProof/>
          <w:sz w:val="16"/>
          <w:szCs w:val="18"/>
        </w:rPr>
        <w:t>[33]</w:t>
      </w:r>
      <w:r w:rsidRPr="0057054A">
        <w:rPr>
          <w:sz w:val="16"/>
          <w:szCs w:val="18"/>
        </w:rPr>
        <w:fldChar w:fldCharType="end"/>
      </w:r>
      <w:r w:rsidRPr="0057054A">
        <w:rPr>
          <w:sz w:val="16"/>
          <w:szCs w:val="18"/>
        </w:rPr>
        <w:t xml:space="preserve">: used as proxy for 448/501 patients included in population </w:t>
      </w:r>
      <w:proofErr w:type="spellStart"/>
      <w:r w:rsidRPr="0057054A">
        <w:rPr>
          <w:sz w:val="16"/>
          <w:szCs w:val="18"/>
        </w:rPr>
        <w:t>PK</w:t>
      </w:r>
      <w:proofErr w:type="spellEnd"/>
      <w:r w:rsidRPr="0057054A">
        <w:rPr>
          <w:sz w:val="16"/>
          <w:szCs w:val="18"/>
        </w:rPr>
        <w:t xml:space="preserve"> model</w:t>
      </w:r>
    </w:p>
    <w:p w:rsidR="00480B73" w:rsidRPr="0057054A" w:rsidRDefault="00480B73" w:rsidP="00480B73">
      <w:pPr>
        <w:pStyle w:val="TABLEonderschrift"/>
        <w:rPr>
          <w:sz w:val="18"/>
        </w:rPr>
      </w:pPr>
      <w:r>
        <w:rPr>
          <w:rFonts w:cs="Times New Roman"/>
          <w:i/>
          <w:sz w:val="18"/>
          <w:szCs w:val="18"/>
        </w:rPr>
        <w:br w:type="page"/>
      </w:r>
      <w:bookmarkStart w:id="0" w:name="_Ref473809511"/>
      <w:proofErr w:type="gramStart"/>
      <w:r w:rsidRPr="0057054A">
        <w:rPr>
          <w:sz w:val="18"/>
        </w:rPr>
        <w:lastRenderedPageBreak/>
        <w:t xml:space="preserve">Supplementary table </w:t>
      </w:r>
      <w:r w:rsidRPr="0057054A">
        <w:rPr>
          <w:sz w:val="18"/>
        </w:rPr>
        <w:fldChar w:fldCharType="begin"/>
      </w:r>
      <w:r w:rsidRPr="0057054A">
        <w:rPr>
          <w:sz w:val="18"/>
        </w:rPr>
        <w:instrText xml:space="preserve"> SEQ Supplementary_table \* ARABIC </w:instrText>
      </w:r>
      <w:r w:rsidRPr="0057054A">
        <w:rPr>
          <w:sz w:val="18"/>
        </w:rPr>
        <w:fldChar w:fldCharType="separate"/>
      </w:r>
      <w:r w:rsidRPr="0057054A">
        <w:rPr>
          <w:noProof/>
          <w:sz w:val="18"/>
        </w:rPr>
        <w:t>3</w:t>
      </w:r>
      <w:r w:rsidRPr="0057054A">
        <w:rPr>
          <w:noProof/>
          <w:sz w:val="18"/>
        </w:rPr>
        <w:fldChar w:fldCharType="end"/>
      </w:r>
      <w:bookmarkEnd w:id="0"/>
      <w:r w:rsidRPr="0057054A">
        <w:rPr>
          <w:sz w:val="18"/>
        </w:rPr>
        <w:t>.</w:t>
      </w:r>
      <w:proofErr w:type="gramEnd"/>
      <w:r w:rsidRPr="0057054A">
        <w:rPr>
          <w:sz w:val="18"/>
        </w:rPr>
        <w:t xml:space="preserve"> Pentamidine: general information on the pharmacokinetic studies. Data provided as </w:t>
      </w:r>
      <w:proofErr w:type="spellStart"/>
      <w:r w:rsidRPr="0057054A">
        <w:rPr>
          <w:sz w:val="18"/>
        </w:rPr>
        <w:t>mean±standard</w:t>
      </w:r>
      <w:proofErr w:type="spellEnd"/>
      <w:r w:rsidRPr="0057054A">
        <w:rPr>
          <w:sz w:val="18"/>
        </w:rPr>
        <w:t xml:space="preserve"> deviation or median</w:t>
      </w:r>
      <w:r>
        <w:rPr>
          <w:sz w:val="18"/>
        </w:rPr>
        <w:t xml:space="preserve"> </w:t>
      </w:r>
      <w:r w:rsidRPr="0057054A">
        <w:rPr>
          <w:sz w:val="18"/>
        </w:rPr>
        <w:t xml:space="preserve">(range). </w:t>
      </w:r>
    </w:p>
    <w:p w:rsidR="00480B73" w:rsidRDefault="00480B73" w:rsidP="00480B73">
      <w:pPr>
        <w:rPr>
          <w:i/>
          <w:sz w:val="18"/>
          <w:szCs w:val="18"/>
        </w:rPr>
      </w:pPr>
    </w:p>
    <w:tbl>
      <w:tblPr>
        <w:tblStyle w:val="TableGrid"/>
        <w:tblW w:w="14914" w:type="dxa"/>
        <w:tblBorders>
          <w:top w:val="none" w:sz="0" w:space="0" w:color="auto"/>
          <w:left w:val="none" w:sz="0" w:space="0" w:color="auto"/>
          <w:right w:val="none" w:sz="0" w:space="0" w:color="auto"/>
          <w:insideV w:val="none" w:sz="0" w:space="0" w:color="auto"/>
        </w:tblBorders>
        <w:tblLayout w:type="fixed"/>
        <w:tblLook w:val="04A0"/>
      </w:tblPr>
      <w:tblGrid>
        <w:gridCol w:w="817"/>
        <w:gridCol w:w="1559"/>
        <w:gridCol w:w="1134"/>
        <w:gridCol w:w="851"/>
        <w:gridCol w:w="1134"/>
        <w:gridCol w:w="1134"/>
        <w:gridCol w:w="850"/>
        <w:gridCol w:w="1134"/>
        <w:gridCol w:w="1276"/>
        <w:gridCol w:w="1134"/>
        <w:gridCol w:w="1276"/>
        <w:gridCol w:w="1292"/>
        <w:gridCol w:w="1323"/>
      </w:tblGrid>
      <w:tr w:rsidR="00480B73" w:rsidRPr="00163B4B" w:rsidTr="00264CE2">
        <w:trPr>
          <w:trHeight w:val="740"/>
        </w:trPr>
        <w:tc>
          <w:tcPr>
            <w:tcW w:w="817" w:type="dxa"/>
          </w:tcPr>
          <w:p w:rsidR="00480B73" w:rsidRPr="00163B4B" w:rsidRDefault="00480B73" w:rsidP="00264CE2">
            <w:pPr>
              <w:jc w:val="both"/>
              <w:rPr>
                <w:rFonts w:cs="Times New Roman"/>
                <w:b/>
                <w:sz w:val="16"/>
                <w:szCs w:val="16"/>
              </w:rPr>
            </w:pPr>
            <w:r w:rsidRPr="00163B4B">
              <w:rPr>
                <w:rFonts w:cs="Times New Roman"/>
                <w:b/>
                <w:sz w:val="16"/>
                <w:szCs w:val="16"/>
              </w:rPr>
              <w:t>Author</w:t>
            </w:r>
          </w:p>
        </w:tc>
        <w:tc>
          <w:tcPr>
            <w:tcW w:w="1559" w:type="dxa"/>
          </w:tcPr>
          <w:p w:rsidR="00480B73" w:rsidRPr="00163B4B" w:rsidRDefault="00480B73" w:rsidP="00264CE2">
            <w:pPr>
              <w:rPr>
                <w:rFonts w:cs="Times New Roman"/>
                <w:b/>
                <w:sz w:val="16"/>
                <w:szCs w:val="16"/>
              </w:rPr>
            </w:pPr>
            <w:r>
              <w:rPr>
                <w:rFonts w:cs="Times New Roman"/>
                <w:b/>
                <w:sz w:val="16"/>
                <w:szCs w:val="16"/>
              </w:rPr>
              <w:t>Patient population</w:t>
            </w:r>
          </w:p>
        </w:tc>
        <w:tc>
          <w:tcPr>
            <w:tcW w:w="1134" w:type="dxa"/>
          </w:tcPr>
          <w:p w:rsidR="00480B73" w:rsidRPr="00163B4B" w:rsidRDefault="00480B73" w:rsidP="00264CE2">
            <w:pPr>
              <w:jc w:val="both"/>
              <w:rPr>
                <w:rFonts w:cs="Times New Roman"/>
                <w:b/>
                <w:sz w:val="16"/>
                <w:szCs w:val="16"/>
              </w:rPr>
            </w:pPr>
            <w:r w:rsidRPr="00163B4B">
              <w:rPr>
                <w:rFonts w:cs="Times New Roman"/>
                <w:b/>
                <w:sz w:val="16"/>
                <w:szCs w:val="16"/>
              </w:rPr>
              <w:t>Country</w:t>
            </w:r>
          </w:p>
        </w:tc>
        <w:tc>
          <w:tcPr>
            <w:tcW w:w="851" w:type="dxa"/>
          </w:tcPr>
          <w:p w:rsidR="00480B73" w:rsidRDefault="00480B73" w:rsidP="00264CE2">
            <w:pPr>
              <w:jc w:val="both"/>
              <w:rPr>
                <w:rFonts w:cs="Times New Roman"/>
                <w:b/>
                <w:sz w:val="16"/>
                <w:szCs w:val="16"/>
              </w:rPr>
            </w:pPr>
            <w:r>
              <w:rPr>
                <w:rFonts w:cs="Times New Roman"/>
                <w:b/>
                <w:sz w:val="16"/>
                <w:szCs w:val="16"/>
              </w:rPr>
              <w:t xml:space="preserve"># patients </w:t>
            </w:r>
          </w:p>
          <w:p w:rsidR="00480B73" w:rsidRPr="00163B4B" w:rsidRDefault="00480B73" w:rsidP="00264CE2">
            <w:pPr>
              <w:jc w:val="both"/>
              <w:rPr>
                <w:rFonts w:cs="Times New Roman"/>
                <w:b/>
                <w:sz w:val="16"/>
                <w:szCs w:val="16"/>
              </w:rPr>
            </w:pPr>
          </w:p>
        </w:tc>
        <w:tc>
          <w:tcPr>
            <w:tcW w:w="1134" w:type="dxa"/>
          </w:tcPr>
          <w:p w:rsidR="00480B73" w:rsidRDefault="00480B73" w:rsidP="00264CE2">
            <w:pPr>
              <w:jc w:val="both"/>
              <w:rPr>
                <w:rFonts w:cs="Times New Roman"/>
                <w:b/>
                <w:sz w:val="16"/>
                <w:szCs w:val="16"/>
              </w:rPr>
            </w:pPr>
            <w:r w:rsidRPr="00163B4B">
              <w:rPr>
                <w:rFonts w:cs="Times New Roman"/>
                <w:b/>
                <w:sz w:val="16"/>
                <w:szCs w:val="16"/>
              </w:rPr>
              <w:t xml:space="preserve">Age </w:t>
            </w:r>
          </w:p>
          <w:p w:rsidR="00480B73" w:rsidRPr="00163B4B" w:rsidRDefault="00480B73" w:rsidP="00264CE2">
            <w:pPr>
              <w:jc w:val="both"/>
              <w:rPr>
                <w:rFonts w:cs="Times New Roman"/>
                <w:b/>
                <w:sz w:val="16"/>
                <w:szCs w:val="16"/>
              </w:rPr>
            </w:pPr>
            <w:r w:rsidRPr="00163B4B">
              <w:rPr>
                <w:rFonts w:cs="Times New Roman"/>
                <w:b/>
                <w:sz w:val="16"/>
                <w:szCs w:val="16"/>
              </w:rPr>
              <w:t>(years</w:t>
            </w:r>
            <w:r>
              <w:rPr>
                <w:rFonts w:cs="Times New Roman"/>
                <w:b/>
                <w:sz w:val="16"/>
                <w:szCs w:val="16"/>
              </w:rPr>
              <w:t>)</w:t>
            </w:r>
          </w:p>
        </w:tc>
        <w:tc>
          <w:tcPr>
            <w:tcW w:w="1134" w:type="dxa"/>
          </w:tcPr>
          <w:p w:rsidR="00480B73" w:rsidRPr="00163B4B" w:rsidRDefault="00480B73" w:rsidP="00264CE2">
            <w:pPr>
              <w:jc w:val="both"/>
              <w:rPr>
                <w:rFonts w:cs="Times New Roman"/>
                <w:b/>
                <w:sz w:val="16"/>
                <w:szCs w:val="16"/>
              </w:rPr>
            </w:pPr>
            <w:r w:rsidRPr="00163B4B">
              <w:rPr>
                <w:rFonts w:cs="Times New Roman"/>
                <w:b/>
                <w:sz w:val="16"/>
                <w:szCs w:val="16"/>
              </w:rPr>
              <w:t>Weight (kg</w:t>
            </w:r>
            <w:r>
              <w:rPr>
                <w:rFonts w:cs="Times New Roman"/>
                <w:b/>
                <w:sz w:val="16"/>
                <w:szCs w:val="16"/>
              </w:rPr>
              <w:t>)</w:t>
            </w:r>
          </w:p>
        </w:tc>
        <w:tc>
          <w:tcPr>
            <w:tcW w:w="850" w:type="dxa"/>
          </w:tcPr>
          <w:p w:rsidR="00480B73" w:rsidRPr="00163B4B" w:rsidRDefault="00480B73" w:rsidP="00264CE2">
            <w:pPr>
              <w:jc w:val="both"/>
              <w:rPr>
                <w:rFonts w:cs="Times New Roman"/>
                <w:b/>
                <w:sz w:val="16"/>
                <w:szCs w:val="16"/>
              </w:rPr>
            </w:pPr>
            <w:r w:rsidRPr="00163B4B">
              <w:rPr>
                <w:rFonts w:cs="Times New Roman"/>
                <w:b/>
                <w:sz w:val="16"/>
                <w:szCs w:val="16"/>
              </w:rPr>
              <w:t>Gender</w:t>
            </w:r>
            <w:r>
              <w:rPr>
                <w:rFonts w:cs="Times New Roman"/>
                <w:b/>
                <w:sz w:val="16"/>
                <w:szCs w:val="16"/>
              </w:rPr>
              <w:t xml:space="preserve"> (%male)</w:t>
            </w:r>
          </w:p>
        </w:tc>
        <w:tc>
          <w:tcPr>
            <w:tcW w:w="1134" w:type="dxa"/>
          </w:tcPr>
          <w:p w:rsidR="00480B73" w:rsidRPr="00163B4B" w:rsidRDefault="00480B73" w:rsidP="00264CE2">
            <w:pPr>
              <w:jc w:val="both"/>
              <w:rPr>
                <w:rFonts w:cs="Times New Roman"/>
                <w:b/>
                <w:sz w:val="16"/>
                <w:szCs w:val="16"/>
              </w:rPr>
            </w:pPr>
            <w:r w:rsidRPr="00163B4B">
              <w:rPr>
                <w:rFonts w:cs="Times New Roman"/>
                <w:b/>
                <w:sz w:val="16"/>
                <w:szCs w:val="16"/>
              </w:rPr>
              <w:t>Brand</w:t>
            </w:r>
          </w:p>
        </w:tc>
        <w:tc>
          <w:tcPr>
            <w:tcW w:w="1276" w:type="dxa"/>
          </w:tcPr>
          <w:p w:rsidR="00480B73" w:rsidRPr="00163B4B" w:rsidRDefault="00480B73" w:rsidP="00264CE2">
            <w:pPr>
              <w:jc w:val="both"/>
              <w:rPr>
                <w:rFonts w:cs="Times New Roman"/>
                <w:b/>
                <w:sz w:val="16"/>
                <w:szCs w:val="16"/>
              </w:rPr>
            </w:pPr>
            <w:r>
              <w:rPr>
                <w:rFonts w:cs="Times New Roman"/>
                <w:b/>
                <w:sz w:val="16"/>
                <w:szCs w:val="16"/>
              </w:rPr>
              <w:t>IM/IV/Oral</w:t>
            </w:r>
          </w:p>
        </w:tc>
        <w:tc>
          <w:tcPr>
            <w:tcW w:w="1134" w:type="dxa"/>
          </w:tcPr>
          <w:p w:rsidR="00480B73" w:rsidRPr="00163B4B" w:rsidRDefault="00480B73" w:rsidP="00264CE2">
            <w:pPr>
              <w:jc w:val="both"/>
              <w:rPr>
                <w:rFonts w:cs="Times New Roman"/>
                <w:b/>
                <w:sz w:val="16"/>
                <w:szCs w:val="16"/>
              </w:rPr>
            </w:pPr>
            <w:r>
              <w:rPr>
                <w:rFonts w:cs="Times New Roman"/>
                <w:b/>
                <w:sz w:val="16"/>
                <w:szCs w:val="16"/>
              </w:rPr>
              <w:t>Analytical method</w:t>
            </w:r>
          </w:p>
        </w:tc>
        <w:tc>
          <w:tcPr>
            <w:tcW w:w="1276" w:type="dxa"/>
          </w:tcPr>
          <w:p w:rsidR="00480B73" w:rsidRPr="00163B4B" w:rsidRDefault="00480B73" w:rsidP="00264CE2">
            <w:pPr>
              <w:jc w:val="both"/>
              <w:rPr>
                <w:rFonts w:cs="Times New Roman"/>
                <w:b/>
                <w:sz w:val="16"/>
                <w:szCs w:val="16"/>
              </w:rPr>
            </w:pPr>
            <w:r w:rsidRPr="00163B4B">
              <w:rPr>
                <w:rFonts w:cs="Times New Roman"/>
                <w:b/>
                <w:sz w:val="16"/>
                <w:szCs w:val="16"/>
              </w:rPr>
              <w:t>LLOQ (µg/mL plasma)</w:t>
            </w:r>
          </w:p>
        </w:tc>
        <w:tc>
          <w:tcPr>
            <w:tcW w:w="1292" w:type="dxa"/>
          </w:tcPr>
          <w:p w:rsidR="00480B73" w:rsidRPr="00163B4B" w:rsidRDefault="00480B73" w:rsidP="00264CE2">
            <w:pPr>
              <w:jc w:val="both"/>
              <w:rPr>
                <w:rFonts w:cs="Times New Roman"/>
                <w:b/>
                <w:sz w:val="16"/>
                <w:szCs w:val="16"/>
              </w:rPr>
            </w:pPr>
            <w:r w:rsidRPr="00163B4B">
              <w:rPr>
                <w:rFonts w:cs="Times New Roman"/>
                <w:b/>
                <w:sz w:val="16"/>
                <w:szCs w:val="16"/>
              </w:rPr>
              <w:t>PK analysis</w:t>
            </w:r>
          </w:p>
        </w:tc>
        <w:tc>
          <w:tcPr>
            <w:tcW w:w="1323" w:type="dxa"/>
          </w:tcPr>
          <w:p w:rsidR="00480B73" w:rsidRPr="00163B4B" w:rsidRDefault="00480B73" w:rsidP="00264CE2">
            <w:pPr>
              <w:jc w:val="both"/>
              <w:rPr>
                <w:rFonts w:cs="Times New Roman"/>
                <w:b/>
                <w:sz w:val="16"/>
                <w:szCs w:val="16"/>
              </w:rPr>
            </w:pPr>
            <w:r w:rsidRPr="00163B4B">
              <w:rPr>
                <w:rFonts w:cs="Times New Roman"/>
                <w:b/>
                <w:sz w:val="16"/>
                <w:szCs w:val="16"/>
              </w:rPr>
              <w:t>Model</w:t>
            </w:r>
          </w:p>
        </w:tc>
      </w:tr>
      <w:tr w:rsidR="00480B73" w:rsidRPr="00163B4B" w:rsidTr="00264CE2">
        <w:tc>
          <w:tcPr>
            <w:tcW w:w="2376" w:type="dxa"/>
            <w:gridSpan w:val="2"/>
            <w:shd w:val="pct10" w:color="auto" w:fill="auto"/>
          </w:tcPr>
          <w:p w:rsidR="00480B73" w:rsidRPr="000C06A7" w:rsidRDefault="00480B73" w:rsidP="00264CE2">
            <w:pPr>
              <w:rPr>
                <w:rFonts w:cs="Times New Roman"/>
                <w:i/>
                <w:sz w:val="16"/>
                <w:szCs w:val="16"/>
              </w:rPr>
            </w:pPr>
          </w:p>
        </w:tc>
        <w:tc>
          <w:tcPr>
            <w:tcW w:w="1134" w:type="dxa"/>
            <w:shd w:val="pct10" w:color="auto" w:fill="auto"/>
          </w:tcPr>
          <w:p w:rsidR="00480B73" w:rsidRPr="00163B4B" w:rsidRDefault="00480B73" w:rsidP="00264CE2">
            <w:pPr>
              <w:jc w:val="both"/>
              <w:rPr>
                <w:rFonts w:cs="Times New Roman"/>
                <w:sz w:val="16"/>
                <w:szCs w:val="16"/>
              </w:rPr>
            </w:pPr>
          </w:p>
        </w:tc>
        <w:tc>
          <w:tcPr>
            <w:tcW w:w="851" w:type="dxa"/>
            <w:shd w:val="pct10" w:color="auto" w:fill="auto"/>
          </w:tcPr>
          <w:p w:rsidR="00480B73" w:rsidRPr="00163B4B" w:rsidRDefault="00480B73" w:rsidP="00264CE2">
            <w:pPr>
              <w:jc w:val="both"/>
              <w:rPr>
                <w:rFonts w:cs="Times New Roman"/>
                <w:sz w:val="16"/>
                <w:szCs w:val="16"/>
              </w:rPr>
            </w:pPr>
          </w:p>
        </w:tc>
        <w:tc>
          <w:tcPr>
            <w:tcW w:w="1134" w:type="dxa"/>
            <w:shd w:val="pct10" w:color="auto" w:fill="auto"/>
          </w:tcPr>
          <w:p w:rsidR="00480B73" w:rsidRDefault="00480B73" w:rsidP="00264CE2">
            <w:pPr>
              <w:jc w:val="both"/>
              <w:rPr>
                <w:rFonts w:cs="Times New Roman"/>
                <w:sz w:val="16"/>
                <w:szCs w:val="16"/>
              </w:rPr>
            </w:pPr>
          </w:p>
        </w:tc>
        <w:tc>
          <w:tcPr>
            <w:tcW w:w="1134" w:type="dxa"/>
            <w:shd w:val="pct10" w:color="auto" w:fill="auto"/>
          </w:tcPr>
          <w:p w:rsidR="00480B73" w:rsidRPr="00163B4B" w:rsidRDefault="00480B73" w:rsidP="00264CE2">
            <w:pPr>
              <w:jc w:val="both"/>
              <w:rPr>
                <w:rFonts w:cs="Times New Roman"/>
                <w:sz w:val="16"/>
                <w:szCs w:val="16"/>
              </w:rPr>
            </w:pPr>
          </w:p>
        </w:tc>
        <w:tc>
          <w:tcPr>
            <w:tcW w:w="850" w:type="dxa"/>
            <w:shd w:val="pct10" w:color="auto" w:fill="auto"/>
          </w:tcPr>
          <w:p w:rsidR="00480B73" w:rsidRDefault="00480B73" w:rsidP="00264CE2">
            <w:pPr>
              <w:jc w:val="both"/>
              <w:rPr>
                <w:rFonts w:cs="Times New Roman"/>
                <w:sz w:val="16"/>
                <w:szCs w:val="16"/>
              </w:rPr>
            </w:pPr>
          </w:p>
        </w:tc>
        <w:tc>
          <w:tcPr>
            <w:tcW w:w="1134" w:type="dxa"/>
            <w:shd w:val="pct10" w:color="auto" w:fill="auto"/>
          </w:tcPr>
          <w:p w:rsidR="00480B73" w:rsidRDefault="00480B73" w:rsidP="00264CE2">
            <w:pPr>
              <w:jc w:val="both"/>
              <w:rPr>
                <w:rFonts w:cs="Times New Roman"/>
                <w:sz w:val="16"/>
                <w:szCs w:val="16"/>
              </w:rPr>
            </w:pPr>
          </w:p>
        </w:tc>
        <w:tc>
          <w:tcPr>
            <w:tcW w:w="1276" w:type="dxa"/>
            <w:shd w:val="pct10" w:color="auto" w:fill="auto"/>
          </w:tcPr>
          <w:p w:rsidR="00480B73" w:rsidRPr="00163B4B" w:rsidRDefault="00480B73" w:rsidP="00264CE2">
            <w:pPr>
              <w:jc w:val="both"/>
              <w:rPr>
                <w:rFonts w:cs="Times New Roman"/>
                <w:sz w:val="16"/>
                <w:szCs w:val="16"/>
              </w:rPr>
            </w:pPr>
          </w:p>
        </w:tc>
        <w:tc>
          <w:tcPr>
            <w:tcW w:w="1134" w:type="dxa"/>
            <w:shd w:val="pct10" w:color="auto" w:fill="auto"/>
          </w:tcPr>
          <w:p w:rsidR="00480B73" w:rsidRPr="00163B4B" w:rsidRDefault="00480B73" w:rsidP="00264CE2">
            <w:pPr>
              <w:jc w:val="both"/>
              <w:rPr>
                <w:rFonts w:cs="Times New Roman"/>
                <w:sz w:val="16"/>
                <w:szCs w:val="16"/>
              </w:rPr>
            </w:pPr>
          </w:p>
        </w:tc>
        <w:tc>
          <w:tcPr>
            <w:tcW w:w="1276" w:type="dxa"/>
            <w:shd w:val="pct10" w:color="auto" w:fill="auto"/>
          </w:tcPr>
          <w:p w:rsidR="00480B73" w:rsidRPr="00163B4B" w:rsidRDefault="00480B73" w:rsidP="00264CE2">
            <w:pPr>
              <w:jc w:val="both"/>
              <w:rPr>
                <w:rFonts w:cs="Times New Roman"/>
                <w:sz w:val="16"/>
                <w:szCs w:val="16"/>
              </w:rPr>
            </w:pPr>
          </w:p>
        </w:tc>
        <w:tc>
          <w:tcPr>
            <w:tcW w:w="1292" w:type="dxa"/>
            <w:shd w:val="pct10" w:color="auto" w:fill="auto"/>
          </w:tcPr>
          <w:p w:rsidR="00480B73" w:rsidRPr="00163B4B" w:rsidRDefault="00480B73" w:rsidP="00264CE2">
            <w:pPr>
              <w:jc w:val="both"/>
              <w:rPr>
                <w:rFonts w:cs="Times New Roman"/>
                <w:sz w:val="16"/>
                <w:szCs w:val="16"/>
              </w:rPr>
            </w:pPr>
          </w:p>
        </w:tc>
        <w:tc>
          <w:tcPr>
            <w:tcW w:w="1323" w:type="dxa"/>
            <w:shd w:val="pct10" w:color="auto" w:fill="auto"/>
          </w:tcPr>
          <w:p w:rsidR="00480B73" w:rsidRPr="00163B4B" w:rsidRDefault="00480B73" w:rsidP="00264CE2">
            <w:pPr>
              <w:jc w:val="both"/>
              <w:rPr>
                <w:rFonts w:cs="Times New Roman"/>
                <w:sz w:val="16"/>
                <w:szCs w:val="16"/>
              </w:rPr>
            </w:pPr>
          </w:p>
        </w:tc>
      </w:tr>
      <w:tr w:rsidR="00480B73" w:rsidRPr="00163B4B" w:rsidTr="00264CE2">
        <w:tc>
          <w:tcPr>
            <w:tcW w:w="817" w:type="dxa"/>
          </w:tcPr>
          <w:p w:rsidR="00480B73" w:rsidRDefault="00480B73" w:rsidP="00264CE2">
            <w:pPr>
              <w:jc w:val="both"/>
              <w:rPr>
                <w:rFonts w:cs="Times New Roman"/>
                <w:sz w:val="16"/>
                <w:szCs w:val="16"/>
              </w:rPr>
            </w:pPr>
            <w:r w:rsidRPr="00163B4B">
              <w:rPr>
                <w:rFonts w:cs="Times New Roman"/>
                <w:sz w:val="16"/>
                <w:szCs w:val="16"/>
              </w:rPr>
              <w:t xml:space="preserve">Bronner </w:t>
            </w:r>
            <w:r>
              <w:rPr>
                <w:rFonts w:cs="Times New Roman"/>
                <w:sz w:val="16"/>
                <w:szCs w:val="16"/>
              </w:rPr>
              <w:t>et al.</w:t>
            </w:r>
          </w:p>
          <w:p w:rsidR="00480B73" w:rsidRPr="00163B4B" w:rsidRDefault="00480B73" w:rsidP="00264CE2">
            <w:pPr>
              <w:jc w:val="both"/>
              <w:rPr>
                <w:rFonts w:cs="Times New Roman"/>
                <w:sz w:val="16"/>
                <w:szCs w:val="16"/>
              </w:rPr>
            </w:pPr>
            <w:r>
              <w:rPr>
                <w:rFonts w:cs="Times New Roman"/>
                <w:sz w:val="16"/>
                <w:szCs w:val="16"/>
              </w:rPr>
              <w:fldChar w:fldCharType="begin" w:fldLock="1"/>
            </w:r>
            <w:r>
              <w:rPr>
                <w:rFonts w:cs="Times New Roman"/>
                <w:sz w:val="16"/>
                <w:szCs w:val="16"/>
              </w:rPr>
              <w:instrText>ADDIN CSL_CITATION { "citationItems" : [ { "id" : "ITEM-1", "itemData" : { "DOI" : "10.1016/0035-9203(91)90364-5", "ISBN" : "0035-9203", "ISSN" : "00359203", "PMID" : "1780988", "abstract" : "Pentamidine concentrations in plasma, whole blood and cerebrospinal fluid (CSF) were determined in 11 patients with Trypanosoma gambiense infection without involvement of the central nervous system in C??te d'Ivoire. Blood samples were drawn during a 48 h period after the first and last dose of pentamidine dimesylate given as 10 intramuscular injections on alternate days. Maximum plasma concentrations were generally attained within one hour after injection but varied extensively (420-13420 nmol/litre). The median plasma concentration 48 h after the last dose was approximately 5 times higher than that after the first dose. The ratio between whole blood and plasma concentration was approximately 2. Small amounts of the drug were found in the CSF after the last dose. The findings showed inter-individual differences in the pharmacokinetics of pentamidine. The currently recommended daily dose regimen could be questioned, as drug accumulation was pronounced. All patients were cured and the concentrations attained should be considered as parasiticidal. Further studies on the kinetics and distribution after single and multiple doses of pentamidine as well as studies on the possible relationship between adverse effects and plasma concentrations are, however, needed. ?? 1991.", "author" : [ { "dropping-particle" : "", "family" : "Bronner", "given" : "Ulf", "non-dropping-particle" : "", "parse-names" : false, "suffix" : "" }, { "dropping-particle" : "", "family" : "Doua", "given" : "F\u00e9lix", "non-dropping-particle" : "", "parse-names" : false, "suffix" : "" }, { "dropping-particle" : "", "family" : "Ericsson", "given" : "\u00d6rjan", "non-dropping-particle" : "", "parse-names" : false, "suffix" : "" }, { "dropping-particle" : "", "family" : "Gustafsson", "given" : "Lars L.", "non-dropping-particle" : "", "parse-names" : false, "suffix" : "" }, { "dropping-particle" : "", "family" : "Mi\u00e9zan", "given" : "Tano\u00e9 W", "non-dropping-particle" : "", "parse-names" : false, "suffix" : "" }, { "dropping-particle" : "", "family" : "Rais", "given" : "Margareta", "non-dropping-particle" : "", "parse-names" : false, "suffix" : "" }, { "dropping-particle" : "", "family" : "Rombo", "given" : "Lars", "non-dropping-particle" : "", "parse-names" : false, "suffix" : "" } ], "container-title" : "Transactions of the Royal Society of Tropical Medicine and Hygiene", "id" : "ITEM-1", "issued" : { "date-parts" : [ [ "1991" ] ] }, "page" : "608-611", "title" : "Pentamidine concentrations in plasma, whole blood and cerebrospinal fluid during treatment of Trypanosoma gambiense infection in C\u00f4te d'Ivoire", "type" : "article-journal", "volume" : "85" }, "uris" : [ "http://www.mendeley.com/documents/?uuid=b07b8029-e258-415a-9843-d491f8b7cbaf" ] } ], "mendeley" : { "formattedCitation" : "[47]", "plainTextFormattedCitation" : "[47]", "previouslyFormattedCitation" : "[47]"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[47]</w:t>
            </w:r>
            <w:r>
              <w:rPr>
                <w:rFonts w:cs="Times New Roman"/>
                <w:sz w:val="16"/>
                <w:szCs w:val="16"/>
              </w:rPr>
              <w:fldChar w:fldCharType="end"/>
            </w:r>
          </w:p>
        </w:tc>
        <w:tc>
          <w:tcPr>
            <w:tcW w:w="1559" w:type="dxa"/>
          </w:tcPr>
          <w:p w:rsidR="00480B73" w:rsidRPr="009D4D49" w:rsidRDefault="00480B73" w:rsidP="00264CE2">
            <w:pPr>
              <w:rPr>
                <w:rFonts w:cs="Times New Roman"/>
                <w:sz w:val="16"/>
                <w:szCs w:val="16"/>
              </w:rPr>
            </w:pPr>
            <w:r w:rsidRPr="009D4D49">
              <w:rPr>
                <w:rFonts w:cs="Times New Roman"/>
                <w:sz w:val="16"/>
                <w:szCs w:val="16"/>
              </w:rPr>
              <w:t>African trypanosomiasis patients</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Cote d'Ivoire</w:t>
            </w:r>
          </w:p>
        </w:tc>
        <w:tc>
          <w:tcPr>
            <w:tcW w:w="851" w:type="dxa"/>
          </w:tcPr>
          <w:p w:rsidR="00480B73" w:rsidRPr="00163B4B" w:rsidRDefault="00480B73" w:rsidP="00264CE2">
            <w:pPr>
              <w:jc w:val="both"/>
              <w:rPr>
                <w:rFonts w:cs="Times New Roman"/>
                <w:sz w:val="16"/>
                <w:szCs w:val="16"/>
              </w:rPr>
            </w:pPr>
            <w:r w:rsidRPr="00163B4B">
              <w:rPr>
                <w:rFonts w:cs="Times New Roman"/>
                <w:sz w:val="16"/>
                <w:szCs w:val="16"/>
              </w:rPr>
              <w:t>11</w:t>
            </w:r>
          </w:p>
        </w:tc>
        <w:tc>
          <w:tcPr>
            <w:tcW w:w="1134" w:type="dxa"/>
          </w:tcPr>
          <w:p w:rsidR="00480B73" w:rsidRDefault="00480B73" w:rsidP="00264CE2">
            <w:pPr>
              <w:jc w:val="both"/>
              <w:rPr>
                <w:rFonts w:cs="Times New Roman"/>
                <w:sz w:val="16"/>
                <w:szCs w:val="16"/>
              </w:rPr>
            </w:pPr>
            <w:r>
              <w:rPr>
                <w:rFonts w:cs="Times New Roman"/>
                <w:sz w:val="16"/>
                <w:szCs w:val="16"/>
              </w:rPr>
              <w:t>38</w:t>
            </w:r>
          </w:p>
          <w:p w:rsidR="00480B73" w:rsidRPr="007927E7" w:rsidRDefault="00480B73" w:rsidP="00264CE2">
            <w:pPr>
              <w:jc w:val="both"/>
              <w:rPr>
                <w:rFonts w:cs="Times New Roman"/>
                <w:sz w:val="16"/>
                <w:szCs w:val="16"/>
                <w:vertAlign w:val="superscript"/>
              </w:rPr>
            </w:pPr>
            <w:r w:rsidRPr="00163B4B">
              <w:rPr>
                <w:rFonts w:cs="Times New Roman"/>
                <w:sz w:val="16"/>
                <w:szCs w:val="16"/>
              </w:rPr>
              <w:t>(12</w:t>
            </w:r>
            <w:r>
              <w:rPr>
                <w:rFonts w:cs="Times New Roman"/>
                <w:sz w:val="16"/>
                <w:szCs w:val="16"/>
              </w:rPr>
              <w:t xml:space="preserve"> -65</w:t>
            </w:r>
            <w:r w:rsidRPr="00163B4B">
              <w:rPr>
                <w:rFonts w:cs="Times New Roman"/>
                <w:sz w:val="16"/>
                <w:szCs w:val="16"/>
              </w:rPr>
              <w:t>)</w:t>
            </w:r>
          </w:p>
        </w:tc>
        <w:tc>
          <w:tcPr>
            <w:tcW w:w="1134" w:type="dxa"/>
          </w:tcPr>
          <w:p w:rsidR="00480B73" w:rsidRDefault="00480B73" w:rsidP="00264CE2">
            <w:pPr>
              <w:jc w:val="both"/>
              <w:rPr>
                <w:rFonts w:cs="Times New Roman"/>
                <w:sz w:val="16"/>
                <w:szCs w:val="16"/>
              </w:rPr>
            </w:pPr>
            <w:r w:rsidRPr="00163B4B">
              <w:rPr>
                <w:rFonts w:cs="Times New Roman"/>
                <w:sz w:val="16"/>
                <w:szCs w:val="16"/>
              </w:rPr>
              <w:t>54</w:t>
            </w:r>
          </w:p>
          <w:p w:rsidR="00480B73" w:rsidRPr="00163B4B" w:rsidRDefault="00480B73" w:rsidP="00264CE2">
            <w:pPr>
              <w:jc w:val="both"/>
              <w:rPr>
                <w:rFonts w:cs="Times New Roman"/>
                <w:sz w:val="16"/>
                <w:szCs w:val="16"/>
              </w:rPr>
            </w:pPr>
            <w:r w:rsidRPr="00163B4B">
              <w:rPr>
                <w:rFonts w:cs="Times New Roman"/>
                <w:sz w:val="16"/>
                <w:szCs w:val="16"/>
              </w:rPr>
              <w:t>(34-66)</w:t>
            </w:r>
          </w:p>
        </w:tc>
        <w:tc>
          <w:tcPr>
            <w:tcW w:w="850" w:type="dxa"/>
          </w:tcPr>
          <w:p w:rsidR="00480B73" w:rsidRPr="00163B4B" w:rsidRDefault="00480B73" w:rsidP="00264CE2">
            <w:pPr>
              <w:jc w:val="both"/>
              <w:rPr>
                <w:rFonts w:cs="Times New Roman"/>
                <w:sz w:val="16"/>
                <w:szCs w:val="16"/>
              </w:rPr>
            </w:pPr>
            <w:r>
              <w:rPr>
                <w:rFonts w:cs="Times New Roman"/>
                <w:sz w:val="16"/>
                <w:szCs w:val="16"/>
              </w:rPr>
              <w:t>55%</w:t>
            </w:r>
          </w:p>
        </w:tc>
        <w:tc>
          <w:tcPr>
            <w:tcW w:w="1134" w:type="dxa"/>
          </w:tcPr>
          <w:p w:rsidR="00480B73" w:rsidRPr="00163B4B" w:rsidRDefault="00480B73" w:rsidP="00264CE2">
            <w:pPr>
              <w:jc w:val="both"/>
              <w:rPr>
                <w:rFonts w:cs="Times New Roman"/>
                <w:sz w:val="16"/>
                <w:szCs w:val="16"/>
              </w:rPr>
            </w:pPr>
            <w:r>
              <w:rPr>
                <w:rFonts w:cs="Times New Roman"/>
                <w:sz w:val="16"/>
                <w:szCs w:val="16"/>
              </w:rPr>
              <w:t xml:space="preserve">Pentamidine </w:t>
            </w:r>
            <w:r w:rsidRPr="00163B4B">
              <w:rPr>
                <w:rFonts w:cs="Times New Roman"/>
                <w:sz w:val="16"/>
                <w:szCs w:val="16"/>
              </w:rPr>
              <w:t>dimesylate (Lomidine</w:t>
            </w:r>
            <w:r w:rsidRPr="00932649">
              <w:rPr>
                <w:rFonts w:cs="Times New Roman"/>
                <w:sz w:val="16"/>
                <w:szCs w:val="16"/>
                <w:lang w:val="en-US"/>
              </w:rPr>
              <w:t>)</w:t>
            </w:r>
          </w:p>
        </w:tc>
        <w:tc>
          <w:tcPr>
            <w:tcW w:w="1276" w:type="dxa"/>
          </w:tcPr>
          <w:p w:rsidR="00480B73" w:rsidRPr="00163B4B" w:rsidRDefault="00480B73" w:rsidP="00264CE2">
            <w:pPr>
              <w:jc w:val="both"/>
              <w:rPr>
                <w:rFonts w:cs="Times New Roman"/>
                <w:sz w:val="16"/>
                <w:szCs w:val="16"/>
              </w:rPr>
            </w:pPr>
            <w:r w:rsidRPr="00163B4B">
              <w:rPr>
                <w:rFonts w:cs="Times New Roman"/>
                <w:sz w:val="16"/>
                <w:szCs w:val="16"/>
              </w:rPr>
              <w:t>IM</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HPLC - Fluorescence</w:t>
            </w:r>
          </w:p>
          <w:p w:rsidR="00480B73" w:rsidRPr="00163B4B" w:rsidRDefault="00480B73" w:rsidP="00264CE2">
            <w:pPr>
              <w:jc w:val="both"/>
              <w:rPr>
                <w:rFonts w:cs="Times New Roman"/>
                <w:sz w:val="16"/>
                <w:szCs w:val="16"/>
              </w:rPr>
            </w:pPr>
          </w:p>
        </w:tc>
        <w:tc>
          <w:tcPr>
            <w:tcW w:w="1276" w:type="dxa"/>
          </w:tcPr>
          <w:p w:rsidR="00480B73" w:rsidRDefault="00480B73" w:rsidP="00264CE2">
            <w:pPr>
              <w:jc w:val="both"/>
              <w:rPr>
                <w:rFonts w:cs="Times New Roman"/>
                <w:sz w:val="16"/>
                <w:szCs w:val="16"/>
              </w:rPr>
            </w:pPr>
            <w:r w:rsidRPr="00163B4B">
              <w:rPr>
                <w:rFonts w:cs="Times New Roman"/>
                <w:sz w:val="16"/>
                <w:szCs w:val="16"/>
              </w:rPr>
              <w:t>16 nmol/L</w:t>
            </w:r>
            <w:r>
              <w:rPr>
                <w:rFonts w:cs="Times New Roman"/>
                <w:sz w:val="16"/>
                <w:szCs w:val="16"/>
              </w:rPr>
              <w:t xml:space="preserve"> </w:t>
            </w:r>
          </w:p>
          <w:p w:rsidR="00480B73" w:rsidRPr="00163B4B" w:rsidRDefault="00480B73" w:rsidP="00264CE2">
            <w:pPr>
              <w:jc w:val="both"/>
              <w:rPr>
                <w:rFonts w:cs="Times New Roman"/>
                <w:sz w:val="16"/>
                <w:szCs w:val="16"/>
              </w:rPr>
            </w:pPr>
            <w:r>
              <w:rPr>
                <w:rFonts w:cs="Times New Roman"/>
                <w:sz w:val="16"/>
                <w:szCs w:val="16"/>
              </w:rPr>
              <w:t>5.4 ng/mL</w:t>
            </w:r>
          </w:p>
        </w:tc>
        <w:tc>
          <w:tcPr>
            <w:tcW w:w="1292" w:type="dxa"/>
          </w:tcPr>
          <w:p w:rsidR="00480B73" w:rsidRPr="00163B4B" w:rsidRDefault="00480B73" w:rsidP="00264CE2">
            <w:pPr>
              <w:jc w:val="both"/>
              <w:rPr>
                <w:rFonts w:cs="Times New Roman"/>
                <w:sz w:val="16"/>
                <w:szCs w:val="16"/>
              </w:rPr>
            </w:pPr>
            <w:r>
              <w:rPr>
                <w:rFonts w:cs="Times New Roman"/>
                <w:sz w:val="16"/>
                <w:szCs w:val="16"/>
              </w:rPr>
              <w:t>NCA</w:t>
            </w:r>
          </w:p>
        </w:tc>
        <w:tc>
          <w:tcPr>
            <w:tcW w:w="1323" w:type="dxa"/>
          </w:tcPr>
          <w:p w:rsidR="00480B73" w:rsidRPr="00163B4B" w:rsidRDefault="00480B73" w:rsidP="00264CE2">
            <w:pPr>
              <w:jc w:val="both"/>
              <w:rPr>
                <w:rFonts w:cs="Times New Roman"/>
                <w:sz w:val="16"/>
                <w:szCs w:val="16"/>
              </w:rPr>
            </w:pPr>
            <w:r>
              <w:rPr>
                <w:rFonts w:cs="Times New Roman"/>
                <w:sz w:val="16"/>
                <w:szCs w:val="16"/>
              </w:rPr>
              <w:t>-</w:t>
            </w:r>
          </w:p>
        </w:tc>
      </w:tr>
      <w:tr w:rsidR="00480B73" w:rsidRPr="00163B4B" w:rsidTr="00264CE2">
        <w:tc>
          <w:tcPr>
            <w:tcW w:w="817" w:type="dxa"/>
          </w:tcPr>
          <w:p w:rsidR="00480B73" w:rsidRPr="00163B4B" w:rsidRDefault="00480B73" w:rsidP="00264CE2">
            <w:pPr>
              <w:jc w:val="both"/>
              <w:rPr>
                <w:rFonts w:cs="Times New Roman"/>
                <w:sz w:val="16"/>
                <w:szCs w:val="16"/>
              </w:rPr>
            </w:pPr>
            <w:r w:rsidRPr="00163B4B">
              <w:rPr>
                <w:rFonts w:cs="Times New Roman"/>
                <w:sz w:val="16"/>
                <w:szCs w:val="16"/>
              </w:rPr>
              <w:t xml:space="preserve">Bronner </w:t>
            </w:r>
            <w:r>
              <w:rPr>
                <w:rFonts w:cs="Times New Roman"/>
                <w:sz w:val="16"/>
                <w:szCs w:val="16"/>
              </w:rPr>
              <w:t xml:space="preserve">et al. </w:t>
            </w:r>
            <w:r>
              <w:rPr>
                <w:rFonts w:cs="Times New Roman"/>
                <w:sz w:val="16"/>
                <w:szCs w:val="16"/>
              </w:rPr>
              <w:fldChar w:fldCharType="begin" w:fldLock="1"/>
            </w:r>
            <w:r>
              <w:rPr>
                <w:rFonts w:cs="Times New Roman"/>
                <w:sz w:val="16"/>
                <w:szCs w:val="16"/>
              </w:rPr>
              <w:instrText>ADDIN CSL_CITATION { "citationItems" : [ { "id" : "ITEM-1", "itemData" : { "ISSN" : "0306-5251", "PMID" : "7619671", "abstract" : "1. Plasma concentrations of pentamidine were measured up to 1-8 months after a single 2 h i.v. infusion of 3.0 to 4.8 mg kg-1 pentamidine isethionate in 11 patients with late stage Trypanosoma gambiense sleeping sickness. 2. Maximum plasma drug concentrations varied between 713 and 2461 nmol 1-1. After termination of infusion, a rapid distribution phase over 10 min was followed by a slower distribution phase and an elimination phase prolonged over weeks to months. 3. The 'terminal' elimination rate constant could be determined in six patients and subsequent kinetic calculations showed a three to fourfold variation in plasma clearance and 'terminal' half-life (median 1126 (range 553-2036) ml min-1 and 265 (107-446) h, respectively). The median apparent volume of distribution (Vss) was 11,850 1. Renal clearance accounted for a median of 11% of total plasma clearance, indicating that metabolism is a major route of pentamidine elimination in man. 4. Side effects were few and mild and a slight or moderate decrease in blood pressure was the most common registered adverse reaction observed in four subjects. 5. The prolonged elimination of pentamidine seems inconsistent with the present recommended dosage regimen of pentamidine for treatment of trypanosomiasis of 7 to 10 parenteral doses given once daily or every second day.", "author" : [ { "dropping-particle" : "", "family" : "Bronner", "given" : "U", "non-dropping-particle" : "", "parse-names" : false, "suffix" : "" }, { "dropping-particle" : "", "family" : "Gustafsson", "given" : "L L", "non-dropping-particle" : "", "parse-names" : false, "suffix" : "" }, { "dropping-particle" : "", "family" : "Doua", "given" : "F", "non-dropping-particle" : "", "parse-names" : false, "suffix" : "" }, { "dropping-particle" : "", "family" : "Ericsson", "given" : "\u00d6", "non-dropping-particle" : "", "parse-names" : false, "suffix" : "" }, { "dropping-particle" : "", "family" : "Mi\u00e9zan", "given" : "T", "non-dropping-particle" : "", "parse-names" : false, "suffix" : "" }, { "dropping-particle" : "", "family" : "Rais", "given" : "M", "non-dropping-particle" : "", "parse-names" : false, "suffix" : "" }, { "dropping-particle" : "", "family" : "Rombo", "given" : "L", "non-dropping-particle" : "", "parse-names" : false, "suffix" : "" } ], "container-title" : "British journal of clinical pharmacology", "id" : "ITEM-1", "issued" : { "date-parts" : [ [ "1995" ] ] }, "page" : "289-295", "title" : "Pharmacokinetics and adverse reactions after a single dose of pentamidine in patients with Trypanosoma gambiense sleeping sickness", "type" : "article-journal", "volume" : "39" }, "uris" : [ "http://www.mendeley.com/documents/?uuid=c3e85b0d-c405-40a0-b7a9-d3fbf8d09fc7" ] } ], "mendeley" : { "formattedCitation" : "[51]", "plainTextFormattedCitation" : "[51]", "previouslyFormattedCitation" : "[51]"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[51]</w:t>
            </w:r>
            <w:r>
              <w:rPr>
                <w:rFonts w:cs="Times New Roman"/>
                <w:sz w:val="16"/>
                <w:szCs w:val="16"/>
              </w:rPr>
              <w:fldChar w:fldCharType="end"/>
            </w:r>
          </w:p>
        </w:tc>
        <w:tc>
          <w:tcPr>
            <w:tcW w:w="1559" w:type="dxa"/>
          </w:tcPr>
          <w:p w:rsidR="00480B73" w:rsidRPr="00163B4B" w:rsidRDefault="00480B73" w:rsidP="00264CE2">
            <w:pPr>
              <w:rPr>
                <w:rFonts w:cs="Times New Roman"/>
                <w:sz w:val="16"/>
                <w:szCs w:val="16"/>
              </w:rPr>
            </w:pPr>
            <w:r w:rsidRPr="009D4D49">
              <w:rPr>
                <w:rFonts w:cs="Times New Roman"/>
                <w:sz w:val="16"/>
                <w:szCs w:val="16"/>
              </w:rPr>
              <w:t>African trypanosomiasis patients</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Cote d'Ivoire</w:t>
            </w:r>
          </w:p>
        </w:tc>
        <w:tc>
          <w:tcPr>
            <w:tcW w:w="851" w:type="dxa"/>
          </w:tcPr>
          <w:p w:rsidR="00480B73" w:rsidRPr="00163B4B" w:rsidRDefault="00480B73" w:rsidP="00264CE2">
            <w:pPr>
              <w:jc w:val="both"/>
              <w:rPr>
                <w:rFonts w:cs="Times New Roman"/>
                <w:sz w:val="16"/>
                <w:szCs w:val="16"/>
              </w:rPr>
            </w:pPr>
            <w:r w:rsidRPr="00163B4B">
              <w:rPr>
                <w:rFonts w:cs="Times New Roman"/>
                <w:sz w:val="16"/>
                <w:szCs w:val="16"/>
              </w:rPr>
              <w:t>11</w:t>
            </w:r>
          </w:p>
          <w:p w:rsidR="00480B73" w:rsidRPr="00163B4B" w:rsidRDefault="00480B73" w:rsidP="00264CE2">
            <w:pPr>
              <w:jc w:val="both"/>
              <w:rPr>
                <w:rFonts w:cs="Times New Roman"/>
                <w:sz w:val="16"/>
                <w:szCs w:val="16"/>
              </w:rPr>
            </w:pPr>
          </w:p>
        </w:tc>
        <w:tc>
          <w:tcPr>
            <w:tcW w:w="1134" w:type="dxa"/>
          </w:tcPr>
          <w:p w:rsidR="00480B73" w:rsidRDefault="00480B73" w:rsidP="00264CE2">
            <w:pPr>
              <w:jc w:val="both"/>
              <w:rPr>
                <w:rFonts w:cs="Times New Roman"/>
                <w:sz w:val="16"/>
                <w:szCs w:val="16"/>
              </w:rPr>
            </w:pPr>
            <w:r>
              <w:rPr>
                <w:rFonts w:cs="Times New Roman"/>
                <w:sz w:val="16"/>
                <w:szCs w:val="16"/>
              </w:rPr>
              <w:t>26</w:t>
            </w:r>
          </w:p>
          <w:p w:rsidR="00480B73" w:rsidRPr="00163B4B" w:rsidRDefault="00480B73" w:rsidP="00264CE2">
            <w:pPr>
              <w:jc w:val="both"/>
              <w:rPr>
                <w:rFonts w:cs="Times New Roman"/>
                <w:sz w:val="16"/>
                <w:szCs w:val="16"/>
              </w:rPr>
            </w:pPr>
            <w:r>
              <w:rPr>
                <w:rFonts w:cs="Times New Roman"/>
                <w:sz w:val="16"/>
                <w:szCs w:val="16"/>
              </w:rPr>
              <w:t>(</w:t>
            </w:r>
            <w:r w:rsidRPr="00163B4B">
              <w:rPr>
                <w:rFonts w:cs="Times New Roman"/>
                <w:sz w:val="16"/>
                <w:szCs w:val="16"/>
              </w:rPr>
              <w:t>19</w:t>
            </w:r>
            <w:r>
              <w:rPr>
                <w:rFonts w:cs="Times New Roman"/>
                <w:sz w:val="16"/>
                <w:szCs w:val="16"/>
              </w:rPr>
              <w:t xml:space="preserve"> -42</w:t>
            </w:r>
            <w:r w:rsidRPr="00163B4B">
              <w:rPr>
                <w:rFonts w:cs="Times New Roman"/>
                <w:sz w:val="16"/>
                <w:szCs w:val="16"/>
              </w:rPr>
              <w:t>)</w:t>
            </w:r>
          </w:p>
        </w:tc>
        <w:tc>
          <w:tcPr>
            <w:tcW w:w="1134" w:type="dxa"/>
          </w:tcPr>
          <w:p w:rsidR="00480B73" w:rsidRDefault="00480B73" w:rsidP="00264CE2">
            <w:pPr>
              <w:jc w:val="both"/>
              <w:rPr>
                <w:rFonts w:cs="Times New Roman"/>
                <w:sz w:val="16"/>
                <w:szCs w:val="16"/>
              </w:rPr>
            </w:pPr>
            <w:r>
              <w:rPr>
                <w:rFonts w:cs="Times New Roman"/>
                <w:sz w:val="16"/>
                <w:szCs w:val="16"/>
              </w:rPr>
              <w:t>63</w:t>
            </w:r>
          </w:p>
          <w:p w:rsidR="00480B73" w:rsidRPr="00163B4B" w:rsidRDefault="00480B73" w:rsidP="00264CE2">
            <w:pPr>
              <w:jc w:val="both"/>
              <w:rPr>
                <w:rFonts w:cs="Times New Roman"/>
                <w:sz w:val="16"/>
                <w:szCs w:val="16"/>
              </w:rPr>
            </w:pPr>
            <w:r w:rsidRPr="00163B4B">
              <w:rPr>
                <w:rFonts w:cs="Times New Roman"/>
                <w:sz w:val="16"/>
                <w:szCs w:val="16"/>
              </w:rPr>
              <w:t>(50-84)</w:t>
            </w:r>
          </w:p>
        </w:tc>
        <w:tc>
          <w:tcPr>
            <w:tcW w:w="850" w:type="dxa"/>
          </w:tcPr>
          <w:p w:rsidR="00480B73" w:rsidRPr="00163B4B" w:rsidRDefault="00480B73" w:rsidP="00264CE2">
            <w:pPr>
              <w:jc w:val="both"/>
              <w:rPr>
                <w:rFonts w:cs="Times New Roman"/>
                <w:sz w:val="16"/>
                <w:szCs w:val="16"/>
              </w:rPr>
            </w:pPr>
            <w:r>
              <w:rPr>
                <w:rFonts w:cs="Times New Roman"/>
                <w:sz w:val="16"/>
                <w:szCs w:val="16"/>
              </w:rPr>
              <w:t>82%</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Pentam</w:t>
            </w:r>
            <w:r>
              <w:rPr>
                <w:rFonts w:cs="Times New Roman"/>
                <w:sz w:val="16"/>
                <w:szCs w:val="16"/>
              </w:rPr>
              <w:t>idine isethionate (Pentacarinat</w:t>
            </w:r>
            <w:r w:rsidRPr="00163B4B">
              <w:rPr>
                <w:rFonts w:cs="Times New Roman"/>
                <w:sz w:val="16"/>
                <w:szCs w:val="16"/>
              </w:rPr>
              <w:t>)</w:t>
            </w:r>
          </w:p>
        </w:tc>
        <w:tc>
          <w:tcPr>
            <w:tcW w:w="1276" w:type="dxa"/>
          </w:tcPr>
          <w:p w:rsidR="00480B73" w:rsidRDefault="00480B73" w:rsidP="00264CE2">
            <w:pPr>
              <w:jc w:val="both"/>
              <w:rPr>
                <w:rFonts w:cs="Times New Roman"/>
                <w:sz w:val="16"/>
                <w:szCs w:val="16"/>
              </w:rPr>
            </w:pPr>
            <w:r w:rsidRPr="00163B4B">
              <w:rPr>
                <w:rFonts w:cs="Times New Roman"/>
                <w:sz w:val="16"/>
                <w:szCs w:val="16"/>
              </w:rPr>
              <w:t xml:space="preserve">IV </w:t>
            </w:r>
          </w:p>
          <w:p w:rsidR="00480B73" w:rsidRPr="00163B4B" w:rsidRDefault="00480B73" w:rsidP="00264CE2">
            <w:pPr>
              <w:jc w:val="both"/>
              <w:rPr>
                <w:rFonts w:cs="Times New Roman"/>
                <w:sz w:val="16"/>
                <w:szCs w:val="16"/>
              </w:rPr>
            </w:pPr>
            <w:r w:rsidRPr="00163B4B">
              <w:rPr>
                <w:rFonts w:cs="Times New Roman"/>
                <w:sz w:val="16"/>
                <w:szCs w:val="16"/>
              </w:rPr>
              <w:t>2h infusion</w:t>
            </w:r>
          </w:p>
        </w:tc>
        <w:tc>
          <w:tcPr>
            <w:tcW w:w="1134" w:type="dxa"/>
          </w:tcPr>
          <w:p w:rsidR="00480B73" w:rsidRPr="004174B7" w:rsidRDefault="00480B73" w:rsidP="00264CE2">
            <w:pPr>
              <w:jc w:val="both"/>
              <w:rPr>
                <w:rFonts w:cs="Times New Roman"/>
                <w:sz w:val="16"/>
                <w:szCs w:val="16"/>
              </w:rPr>
            </w:pPr>
            <w:r w:rsidRPr="004174B7">
              <w:rPr>
                <w:rFonts w:cs="Times New Roman"/>
                <w:sz w:val="16"/>
                <w:szCs w:val="16"/>
              </w:rPr>
              <w:t>HPLC - Fluorescence</w:t>
            </w:r>
          </w:p>
          <w:p w:rsidR="00480B73" w:rsidRPr="00163B4B" w:rsidRDefault="00480B73" w:rsidP="00264CE2">
            <w:pPr>
              <w:jc w:val="both"/>
              <w:rPr>
                <w:rFonts w:cs="Times New Roman"/>
                <w:sz w:val="16"/>
                <w:szCs w:val="16"/>
              </w:rPr>
            </w:pPr>
          </w:p>
        </w:tc>
        <w:tc>
          <w:tcPr>
            <w:tcW w:w="1276" w:type="dxa"/>
          </w:tcPr>
          <w:p w:rsidR="00480B73" w:rsidRDefault="00480B73" w:rsidP="00264CE2">
            <w:pPr>
              <w:jc w:val="both"/>
              <w:rPr>
                <w:rFonts w:cs="Times New Roman"/>
                <w:sz w:val="16"/>
                <w:szCs w:val="16"/>
              </w:rPr>
            </w:pPr>
            <w:r w:rsidRPr="00163B4B">
              <w:rPr>
                <w:rFonts w:cs="Times New Roman"/>
                <w:sz w:val="16"/>
                <w:szCs w:val="16"/>
              </w:rPr>
              <w:t>3 nmol/L</w:t>
            </w:r>
          </w:p>
          <w:p w:rsidR="00480B73" w:rsidRPr="00163B4B" w:rsidRDefault="00480B73" w:rsidP="00264CE2">
            <w:pPr>
              <w:jc w:val="both"/>
              <w:rPr>
                <w:rFonts w:cs="Times New Roman"/>
                <w:sz w:val="16"/>
                <w:szCs w:val="16"/>
              </w:rPr>
            </w:pPr>
            <w:r>
              <w:rPr>
                <w:rFonts w:cs="Times New Roman"/>
                <w:sz w:val="16"/>
                <w:szCs w:val="16"/>
              </w:rPr>
              <w:t>1 ng/mL</w:t>
            </w:r>
          </w:p>
        </w:tc>
        <w:tc>
          <w:tcPr>
            <w:tcW w:w="1292" w:type="dxa"/>
          </w:tcPr>
          <w:p w:rsidR="00480B73" w:rsidRPr="00163B4B" w:rsidRDefault="00480B73" w:rsidP="00264CE2">
            <w:pPr>
              <w:jc w:val="both"/>
              <w:rPr>
                <w:rFonts w:cs="Times New Roman"/>
                <w:sz w:val="16"/>
                <w:szCs w:val="16"/>
              </w:rPr>
            </w:pPr>
            <w:r>
              <w:rPr>
                <w:rFonts w:cs="Times New Roman"/>
                <w:sz w:val="16"/>
                <w:szCs w:val="16"/>
              </w:rPr>
              <w:t>NCA</w:t>
            </w:r>
          </w:p>
        </w:tc>
        <w:tc>
          <w:tcPr>
            <w:tcW w:w="1323" w:type="dxa"/>
          </w:tcPr>
          <w:p w:rsidR="00480B73" w:rsidRPr="00163B4B" w:rsidRDefault="00480B73" w:rsidP="00264CE2">
            <w:pPr>
              <w:jc w:val="both"/>
              <w:rPr>
                <w:rFonts w:cs="Times New Roman"/>
                <w:sz w:val="16"/>
                <w:szCs w:val="16"/>
              </w:rPr>
            </w:pPr>
            <w:r>
              <w:rPr>
                <w:rFonts w:cs="Times New Roman"/>
                <w:sz w:val="16"/>
                <w:szCs w:val="16"/>
              </w:rPr>
              <w:t>-</w:t>
            </w:r>
          </w:p>
        </w:tc>
      </w:tr>
      <w:tr w:rsidR="00480B73" w:rsidRPr="00163B4B" w:rsidTr="00264CE2">
        <w:tc>
          <w:tcPr>
            <w:tcW w:w="817" w:type="dxa"/>
          </w:tcPr>
          <w:p w:rsidR="00480B73" w:rsidRPr="00163B4B" w:rsidRDefault="00480B73" w:rsidP="00264CE2">
            <w:pPr>
              <w:jc w:val="both"/>
              <w:rPr>
                <w:rFonts w:cs="Times New Roman"/>
                <w:sz w:val="16"/>
                <w:szCs w:val="16"/>
              </w:rPr>
            </w:pPr>
            <w:r w:rsidRPr="00163B4B">
              <w:rPr>
                <w:rFonts w:cs="Times New Roman"/>
                <w:sz w:val="16"/>
                <w:szCs w:val="16"/>
              </w:rPr>
              <w:t xml:space="preserve">Conte </w:t>
            </w:r>
            <w:r>
              <w:rPr>
                <w:rFonts w:cs="Times New Roman"/>
                <w:sz w:val="16"/>
                <w:szCs w:val="16"/>
              </w:rPr>
              <w:t xml:space="preserve">et al. </w:t>
            </w:r>
            <w:r>
              <w:rPr>
                <w:rFonts w:cs="Times New Roman"/>
                <w:sz w:val="16"/>
                <w:szCs w:val="16"/>
              </w:rPr>
              <w:fldChar w:fldCharType="begin" w:fldLock="1"/>
            </w:r>
            <w:r>
              <w:rPr>
                <w:rFonts w:cs="Times New Roman"/>
                <w:sz w:val="16"/>
                <w:szCs w:val="16"/>
              </w:rPr>
              <w:instrText>ADDIN CSL_CITATION { "citationItems" : [ { "id" : "ITEM-1", "itemData" : { "author" : [ { "dropping-particle" : "", "family" : "Conte Jr", "given" : "J E", "non-dropping-particle" : "", "parse-names" : false, "suffix" : "" }, { "dropping-particle" : "", "family" : "Upton", "given" : "R A", "non-dropping-particle" : "", "parse-names" : false, "suffix" : "" }, { "dropping-particle" : "", "family" : "Phelps", "given" : "Roger T", "non-dropping-particle" : "", "parse-names" : false, "suffix" : "" }, { "dropping-particle" : "", "family" : "Wofsy", "given" : "Constance B", "non-dropping-particle" : "", "parse-names" : false, "suffix" : "" }, { "dropping-particle" : "", "family" : "Zurlinden", "given" : "Elisabeth", "non-dropping-particle" : "", "parse-names" : false, "suffix" : "" }, { "dropping-particle" : "", "family" : "Lin", "given" : "Emil T", "non-dropping-particle" : "", "parse-names" : false, "suffix" : "" } ], "container-title" : "The Journal of Infectious Diseases", "id" : "ITEM-1", "issue" : "6", "issued" : { "date-parts" : [ [ "1986" ] ] }, "page" : "923-929", "title" : "Use of a specific and sensitive assay to determine pentamidine pharmacokinetics in patients with Aids", "type" : "article-journal", "volume" : "154" }, "uris" : [ "http://www.mendeley.com/documents/?uuid=440dc515-91e9-4d26-bfe0-58d3c681bf8a" ] } ], "mendeley" : { "formattedCitation" : "[53]", "plainTextFormattedCitation" : "[53]", "previouslyFormattedCitation" : "[53]"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[53]</w:t>
            </w:r>
            <w:r>
              <w:rPr>
                <w:rFonts w:cs="Times New Roman"/>
                <w:sz w:val="16"/>
                <w:szCs w:val="16"/>
              </w:rPr>
              <w:fldChar w:fldCharType="end"/>
            </w:r>
          </w:p>
        </w:tc>
        <w:tc>
          <w:tcPr>
            <w:tcW w:w="1559" w:type="dxa"/>
          </w:tcPr>
          <w:p w:rsidR="00480B73" w:rsidRPr="00163B4B" w:rsidRDefault="00480B73" w:rsidP="00264CE2">
            <w:pPr>
              <w:rPr>
                <w:rFonts w:cs="Times New Roman"/>
                <w:sz w:val="16"/>
                <w:szCs w:val="16"/>
              </w:rPr>
            </w:pPr>
            <w:r w:rsidRPr="009D4D49">
              <w:rPr>
                <w:rFonts w:cs="Times New Roman"/>
                <w:sz w:val="16"/>
                <w:szCs w:val="16"/>
              </w:rPr>
              <w:t>AIDS patients with</w:t>
            </w:r>
            <w:r>
              <w:rPr>
                <w:rFonts w:cs="Times New Roman"/>
                <w:i/>
                <w:sz w:val="16"/>
                <w:szCs w:val="16"/>
              </w:rPr>
              <w:t xml:space="preserve"> </w:t>
            </w:r>
            <w:r w:rsidRPr="000C06A7">
              <w:rPr>
                <w:rFonts w:cs="Times New Roman"/>
                <w:i/>
                <w:sz w:val="16"/>
                <w:szCs w:val="16"/>
              </w:rPr>
              <w:t>P. carinii</w:t>
            </w:r>
            <w:r w:rsidRPr="00163B4B">
              <w:rPr>
                <w:rFonts w:cs="Times New Roman"/>
                <w:sz w:val="16"/>
                <w:szCs w:val="16"/>
              </w:rPr>
              <w:t xml:space="preserve"> pneumonia</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US</w:t>
            </w:r>
          </w:p>
        </w:tc>
        <w:tc>
          <w:tcPr>
            <w:tcW w:w="851" w:type="dxa"/>
          </w:tcPr>
          <w:p w:rsidR="00480B73" w:rsidRPr="00163B4B" w:rsidRDefault="00480B73" w:rsidP="00264CE2">
            <w:pPr>
              <w:jc w:val="both"/>
              <w:rPr>
                <w:rFonts w:cs="Times New Roman"/>
                <w:sz w:val="16"/>
                <w:szCs w:val="16"/>
              </w:rPr>
            </w:pPr>
            <w:r w:rsidRPr="00163B4B">
              <w:rPr>
                <w:rFonts w:cs="Times New Roman"/>
                <w:sz w:val="16"/>
                <w:szCs w:val="16"/>
              </w:rPr>
              <w:t>12</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37±9</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62±17</w:t>
            </w:r>
          </w:p>
        </w:tc>
        <w:tc>
          <w:tcPr>
            <w:tcW w:w="850" w:type="dxa"/>
          </w:tcPr>
          <w:p w:rsidR="00480B73" w:rsidRPr="00163B4B" w:rsidRDefault="00480B73" w:rsidP="00264CE2">
            <w:pPr>
              <w:jc w:val="both"/>
              <w:rPr>
                <w:rFonts w:cs="Times New Roman"/>
                <w:sz w:val="16"/>
                <w:szCs w:val="16"/>
              </w:rPr>
            </w:pPr>
            <w:r>
              <w:rPr>
                <w:rFonts w:cs="Times New Roman"/>
                <w:sz w:val="16"/>
                <w:szCs w:val="16"/>
              </w:rPr>
              <w:t>100%</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Pentamidine isethionate (Pentam 300)</w:t>
            </w:r>
          </w:p>
        </w:tc>
        <w:tc>
          <w:tcPr>
            <w:tcW w:w="1276" w:type="dxa"/>
          </w:tcPr>
          <w:p w:rsidR="00480B73" w:rsidRPr="00163B4B" w:rsidRDefault="00480B73" w:rsidP="00264CE2">
            <w:pPr>
              <w:jc w:val="both"/>
              <w:rPr>
                <w:rFonts w:cs="Times New Roman"/>
                <w:sz w:val="16"/>
                <w:szCs w:val="16"/>
              </w:rPr>
            </w:pPr>
            <w:r>
              <w:rPr>
                <w:rFonts w:cs="Times New Roman"/>
                <w:sz w:val="16"/>
                <w:szCs w:val="16"/>
              </w:rPr>
              <w:t>IM (n=6)</w:t>
            </w:r>
          </w:p>
          <w:p w:rsidR="00480B73" w:rsidRPr="00163B4B" w:rsidRDefault="00480B73" w:rsidP="00264CE2">
            <w:pPr>
              <w:jc w:val="both"/>
              <w:rPr>
                <w:rFonts w:cs="Times New Roman"/>
                <w:sz w:val="16"/>
                <w:szCs w:val="16"/>
              </w:rPr>
            </w:pPr>
          </w:p>
          <w:p w:rsidR="00480B73" w:rsidRDefault="00480B73" w:rsidP="00264CE2">
            <w:pPr>
              <w:jc w:val="both"/>
              <w:rPr>
                <w:rFonts w:cs="Times New Roman"/>
                <w:sz w:val="16"/>
                <w:szCs w:val="16"/>
              </w:rPr>
            </w:pPr>
            <w:r>
              <w:rPr>
                <w:rFonts w:cs="Times New Roman"/>
                <w:sz w:val="16"/>
                <w:szCs w:val="16"/>
              </w:rPr>
              <w:t>IV (n=6)</w:t>
            </w:r>
          </w:p>
          <w:p w:rsidR="00480B73" w:rsidRPr="00163B4B" w:rsidRDefault="00480B73" w:rsidP="00264CE2">
            <w:pPr>
              <w:jc w:val="both"/>
              <w:rPr>
                <w:rFonts w:cs="Times New Roman"/>
                <w:sz w:val="16"/>
                <w:szCs w:val="16"/>
              </w:rPr>
            </w:pPr>
            <w:r>
              <w:rPr>
                <w:rFonts w:cs="Times New Roman"/>
                <w:sz w:val="16"/>
                <w:szCs w:val="16"/>
              </w:rPr>
              <w:t>2h</w:t>
            </w:r>
            <w:r w:rsidRPr="00163B4B">
              <w:rPr>
                <w:rFonts w:cs="Times New Roman"/>
                <w:sz w:val="16"/>
                <w:szCs w:val="16"/>
              </w:rPr>
              <w:t xml:space="preserve"> infusion</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HPLC - Fluorescence</w:t>
            </w:r>
          </w:p>
          <w:p w:rsidR="00480B73" w:rsidRPr="00163B4B" w:rsidRDefault="00480B73" w:rsidP="00264CE2">
            <w:pPr>
              <w:jc w:val="both"/>
              <w:rPr>
                <w:rFonts w:cs="Times New Roman"/>
                <w:sz w:val="16"/>
                <w:szCs w:val="16"/>
              </w:rPr>
            </w:pPr>
          </w:p>
        </w:tc>
        <w:tc>
          <w:tcPr>
            <w:tcW w:w="1276" w:type="dxa"/>
          </w:tcPr>
          <w:p w:rsidR="00480B73" w:rsidRPr="00163B4B" w:rsidRDefault="00480B73" w:rsidP="00264CE2">
            <w:pPr>
              <w:jc w:val="both"/>
              <w:rPr>
                <w:rFonts w:cs="Times New Roman"/>
                <w:sz w:val="16"/>
                <w:szCs w:val="16"/>
              </w:rPr>
            </w:pPr>
            <w:r w:rsidRPr="00163B4B">
              <w:rPr>
                <w:rFonts w:cs="Times New Roman"/>
                <w:sz w:val="16"/>
                <w:szCs w:val="16"/>
              </w:rPr>
              <w:t>2.3 ng/mL</w:t>
            </w:r>
          </w:p>
        </w:tc>
        <w:tc>
          <w:tcPr>
            <w:tcW w:w="1292" w:type="dxa"/>
          </w:tcPr>
          <w:p w:rsidR="00480B73" w:rsidRPr="003F5633" w:rsidRDefault="00480B73" w:rsidP="00264CE2">
            <w:pPr>
              <w:rPr>
                <w:rFonts w:cs="Times New Roman"/>
                <w:sz w:val="16"/>
                <w:szCs w:val="16"/>
              </w:rPr>
            </w:pPr>
            <w:r>
              <w:rPr>
                <w:rFonts w:cs="Times New Roman"/>
                <w:color w:val="000000" w:themeColor="text1"/>
                <w:sz w:val="16"/>
                <w:szCs w:val="18"/>
              </w:rPr>
              <w:t>Compartmental (individual-based)</w:t>
            </w:r>
          </w:p>
        </w:tc>
        <w:tc>
          <w:tcPr>
            <w:tcW w:w="1323" w:type="dxa"/>
          </w:tcPr>
          <w:p w:rsidR="00480B73" w:rsidRPr="00163B4B" w:rsidRDefault="00480B73" w:rsidP="00264CE2">
            <w:pPr>
              <w:jc w:val="both"/>
              <w:rPr>
                <w:rFonts w:cs="Times New Roman"/>
                <w:sz w:val="16"/>
                <w:szCs w:val="16"/>
              </w:rPr>
            </w:pPr>
            <w:r>
              <w:rPr>
                <w:rFonts w:cs="Times New Roman"/>
                <w:sz w:val="16"/>
                <w:szCs w:val="16"/>
              </w:rPr>
              <w:t xml:space="preserve">2-CMT </w:t>
            </w:r>
            <w:r w:rsidRPr="00163B4B">
              <w:rPr>
                <w:rFonts w:cs="Times New Roman"/>
                <w:sz w:val="16"/>
                <w:szCs w:val="16"/>
              </w:rPr>
              <w:t>model</w:t>
            </w:r>
            <w:r>
              <w:rPr>
                <w:rFonts w:cs="Times New Roman"/>
                <w:sz w:val="16"/>
                <w:szCs w:val="16"/>
              </w:rPr>
              <w:t xml:space="preserve">, </w:t>
            </w:r>
            <w:r w:rsidRPr="00163B4B">
              <w:rPr>
                <w:rFonts w:cs="Times New Roman"/>
                <w:sz w:val="16"/>
                <w:szCs w:val="16"/>
              </w:rPr>
              <w:t>zero-</w:t>
            </w:r>
            <w:r>
              <w:rPr>
                <w:rFonts w:cs="Times New Roman"/>
                <w:sz w:val="16"/>
                <w:szCs w:val="16"/>
              </w:rPr>
              <w:t xml:space="preserve"> </w:t>
            </w:r>
            <w:r w:rsidRPr="00163B4B">
              <w:rPr>
                <w:rFonts w:cs="Times New Roman"/>
                <w:sz w:val="16"/>
                <w:szCs w:val="16"/>
              </w:rPr>
              <w:t xml:space="preserve">order input </w:t>
            </w:r>
          </w:p>
        </w:tc>
      </w:tr>
      <w:tr w:rsidR="00480B73" w:rsidRPr="00163B4B" w:rsidTr="00264CE2">
        <w:tc>
          <w:tcPr>
            <w:tcW w:w="817" w:type="dxa"/>
          </w:tcPr>
          <w:p w:rsidR="00480B73" w:rsidRPr="00163B4B" w:rsidRDefault="00480B73" w:rsidP="00264CE2">
            <w:pPr>
              <w:jc w:val="both"/>
              <w:rPr>
                <w:rFonts w:cs="Times New Roman"/>
                <w:sz w:val="16"/>
                <w:szCs w:val="16"/>
              </w:rPr>
            </w:pPr>
            <w:r w:rsidRPr="00163B4B">
              <w:rPr>
                <w:rFonts w:cs="Times New Roman"/>
                <w:sz w:val="16"/>
                <w:szCs w:val="16"/>
              </w:rPr>
              <w:t xml:space="preserve">Conte </w:t>
            </w:r>
            <w:r>
              <w:rPr>
                <w:rFonts w:cs="Times New Roman"/>
                <w:sz w:val="16"/>
                <w:szCs w:val="16"/>
              </w:rPr>
              <w:t xml:space="preserve">et al. </w:t>
            </w:r>
            <w:r>
              <w:rPr>
                <w:rFonts w:cs="Times New Roman"/>
                <w:sz w:val="16"/>
                <w:szCs w:val="16"/>
              </w:rPr>
              <w:fldChar w:fldCharType="begin" w:fldLock="1"/>
            </w:r>
            <w:r>
              <w:rPr>
                <w:rFonts w:cs="Times New Roman"/>
                <w:sz w:val="16"/>
                <w:szCs w:val="16"/>
              </w:rPr>
              <w:instrText>ADDIN CSL_CITATION { "citationItems" : [ { "id" : "ITEM-1", "itemData" : { "author" : [ { "dropping-particle" : "", "family" : "Conte Jr", "given" : "John E", "non-dropping-particle" : "", "parse-names" : false, "suffix" : "" }, { "dropping-particle" : "", "family" : "Upton", "given" : "Robert A", "non-dropping-particle" : "", "parse-names" : false, "suffix" : "" }, { "dropping-particle" : "", "family" : "Lin", "given" : "Emil T", "non-dropping-particle" : "", "parse-names" : false, "suffix" : "" } ], "container-title" : "The Journal of infectious diseases", "id" : "ITEM-1", "issue" : "6", "issued" : { "date-parts" : [ [ "1987" ] ] }, "page" : "885-890", "title" : "Pentamidine pharmacokinetics in patients with AIDS with impaired renal function", "type" : "article-journal", "volume" : "156" }, "uris" : [ "http://www.mendeley.com/documents/?uuid=df10eccb-e4f3-487a-98c1-e8f7edea6fa5" ] } ], "mendeley" : { "formattedCitation" : "[57]", "plainTextFormattedCitation" : "[57]", "previouslyFormattedCitation" : "[57]"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[57]</w:t>
            </w:r>
            <w:r>
              <w:rPr>
                <w:rFonts w:cs="Times New Roman"/>
                <w:sz w:val="16"/>
                <w:szCs w:val="16"/>
              </w:rPr>
              <w:fldChar w:fldCharType="end"/>
            </w:r>
          </w:p>
        </w:tc>
        <w:tc>
          <w:tcPr>
            <w:tcW w:w="1559" w:type="dxa"/>
          </w:tcPr>
          <w:p w:rsidR="00480B73" w:rsidRPr="00163B4B" w:rsidRDefault="00480B73" w:rsidP="00264CE2">
            <w:pPr>
              <w:rPr>
                <w:rFonts w:cs="Times New Roman"/>
                <w:sz w:val="16"/>
                <w:szCs w:val="16"/>
              </w:rPr>
            </w:pPr>
            <w:r w:rsidRPr="009D4D49">
              <w:rPr>
                <w:rFonts w:cs="Times New Roman"/>
                <w:sz w:val="16"/>
                <w:szCs w:val="16"/>
              </w:rPr>
              <w:t>AIDS patients with</w:t>
            </w:r>
            <w:r>
              <w:rPr>
                <w:rFonts w:cs="Times New Roman"/>
                <w:i/>
                <w:sz w:val="16"/>
                <w:szCs w:val="16"/>
              </w:rPr>
              <w:t xml:space="preserve"> </w:t>
            </w:r>
            <w:r w:rsidRPr="000C06A7">
              <w:rPr>
                <w:rFonts w:cs="Times New Roman"/>
                <w:i/>
                <w:sz w:val="16"/>
                <w:szCs w:val="16"/>
              </w:rPr>
              <w:t>P. carinii</w:t>
            </w:r>
            <w:r w:rsidRPr="00163B4B">
              <w:rPr>
                <w:rFonts w:cs="Times New Roman"/>
                <w:sz w:val="16"/>
                <w:szCs w:val="16"/>
              </w:rPr>
              <w:t xml:space="preserve"> pneumonia</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US</w:t>
            </w:r>
          </w:p>
        </w:tc>
        <w:tc>
          <w:tcPr>
            <w:tcW w:w="851" w:type="dxa"/>
          </w:tcPr>
          <w:p w:rsidR="00480B73" w:rsidRPr="00163B4B" w:rsidRDefault="00480B73" w:rsidP="00264CE2">
            <w:pPr>
              <w:jc w:val="both"/>
              <w:rPr>
                <w:rFonts w:cs="Times New Roman"/>
                <w:sz w:val="16"/>
                <w:szCs w:val="16"/>
              </w:rPr>
            </w:pPr>
            <w:r>
              <w:rPr>
                <w:rFonts w:cs="Times New Roman"/>
                <w:sz w:val="16"/>
                <w:szCs w:val="16"/>
              </w:rPr>
              <w:t>20</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Adult (n=18)</w:t>
            </w:r>
          </w:p>
          <w:p w:rsidR="00480B73" w:rsidRPr="00163B4B" w:rsidRDefault="00480B73" w:rsidP="00264CE2">
            <w:pPr>
              <w:jc w:val="both"/>
              <w:rPr>
                <w:rFonts w:cs="Times New Roman"/>
                <w:sz w:val="16"/>
                <w:szCs w:val="16"/>
              </w:rPr>
            </w:pPr>
            <w:r w:rsidRPr="00163B4B">
              <w:rPr>
                <w:rFonts w:cs="Times New Roman"/>
                <w:sz w:val="16"/>
                <w:szCs w:val="16"/>
              </w:rPr>
              <w:t>38±9</w:t>
            </w:r>
          </w:p>
          <w:p w:rsidR="00480B73" w:rsidRPr="00163B4B" w:rsidRDefault="00480B73" w:rsidP="00264CE2">
            <w:pPr>
              <w:jc w:val="both"/>
              <w:rPr>
                <w:rFonts w:cs="Times New Roman"/>
                <w:sz w:val="16"/>
                <w:szCs w:val="16"/>
              </w:rPr>
            </w:pPr>
          </w:p>
          <w:p w:rsidR="00480B73" w:rsidRPr="00163B4B" w:rsidRDefault="00480B73" w:rsidP="00264CE2">
            <w:pPr>
              <w:jc w:val="both"/>
              <w:rPr>
                <w:rFonts w:cs="Times New Roman"/>
                <w:sz w:val="16"/>
                <w:szCs w:val="16"/>
              </w:rPr>
            </w:pPr>
            <w:r w:rsidRPr="00163B4B">
              <w:rPr>
                <w:rFonts w:cs="Times New Roman"/>
                <w:sz w:val="16"/>
                <w:szCs w:val="16"/>
              </w:rPr>
              <w:t>Child (n=2)</w:t>
            </w:r>
          </w:p>
          <w:p w:rsidR="00480B73" w:rsidRPr="00163B4B" w:rsidRDefault="00480B73" w:rsidP="00264CE2">
            <w:pPr>
              <w:jc w:val="both"/>
              <w:rPr>
                <w:rFonts w:cs="Times New Roman"/>
                <w:sz w:val="16"/>
                <w:szCs w:val="16"/>
              </w:rPr>
            </w:pPr>
            <w:r>
              <w:rPr>
                <w:rFonts w:cs="Times New Roman"/>
                <w:sz w:val="16"/>
                <w:szCs w:val="16"/>
              </w:rPr>
              <w:t>0.4 / 6</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Adult (n=18)</w:t>
            </w:r>
          </w:p>
          <w:p w:rsidR="00480B73" w:rsidRPr="00163B4B" w:rsidRDefault="00480B73" w:rsidP="00264CE2">
            <w:pPr>
              <w:jc w:val="both"/>
              <w:rPr>
                <w:rFonts w:cs="Times New Roman"/>
                <w:sz w:val="16"/>
                <w:szCs w:val="16"/>
              </w:rPr>
            </w:pPr>
            <w:r w:rsidRPr="00163B4B">
              <w:rPr>
                <w:rFonts w:cs="Times New Roman"/>
                <w:sz w:val="16"/>
                <w:szCs w:val="16"/>
              </w:rPr>
              <w:t>64±8</w:t>
            </w:r>
          </w:p>
          <w:p w:rsidR="00480B73" w:rsidRPr="00163B4B" w:rsidRDefault="00480B73" w:rsidP="00264CE2">
            <w:pPr>
              <w:jc w:val="both"/>
              <w:rPr>
                <w:rFonts w:cs="Times New Roman"/>
                <w:sz w:val="16"/>
                <w:szCs w:val="16"/>
              </w:rPr>
            </w:pPr>
          </w:p>
          <w:p w:rsidR="00480B73" w:rsidRPr="00163B4B" w:rsidRDefault="00480B73" w:rsidP="00264CE2">
            <w:pPr>
              <w:jc w:val="both"/>
              <w:rPr>
                <w:rFonts w:cs="Times New Roman"/>
                <w:sz w:val="16"/>
                <w:szCs w:val="16"/>
              </w:rPr>
            </w:pPr>
            <w:r w:rsidRPr="00163B4B">
              <w:rPr>
                <w:rFonts w:cs="Times New Roman"/>
                <w:sz w:val="16"/>
                <w:szCs w:val="16"/>
              </w:rPr>
              <w:t>Child (n=2)</w:t>
            </w:r>
          </w:p>
          <w:p w:rsidR="00480B73" w:rsidRPr="00163B4B" w:rsidRDefault="00480B73" w:rsidP="00264CE2">
            <w:pPr>
              <w:jc w:val="both"/>
              <w:rPr>
                <w:rFonts w:cs="Times New Roman"/>
                <w:sz w:val="16"/>
                <w:szCs w:val="16"/>
              </w:rPr>
            </w:pPr>
            <w:r>
              <w:rPr>
                <w:rFonts w:cs="Times New Roman"/>
                <w:sz w:val="16"/>
                <w:szCs w:val="16"/>
              </w:rPr>
              <w:t xml:space="preserve">5.7 / 20 </w:t>
            </w:r>
          </w:p>
        </w:tc>
        <w:tc>
          <w:tcPr>
            <w:tcW w:w="850" w:type="dxa"/>
          </w:tcPr>
          <w:p w:rsidR="00480B73" w:rsidRPr="00163B4B" w:rsidRDefault="00480B73" w:rsidP="00264CE2">
            <w:pPr>
              <w:jc w:val="both"/>
              <w:rPr>
                <w:rFonts w:cs="Times New Roman"/>
                <w:sz w:val="16"/>
                <w:szCs w:val="16"/>
              </w:rPr>
            </w:pPr>
            <w:r>
              <w:rPr>
                <w:rFonts w:cs="Times New Roman"/>
                <w:sz w:val="16"/>
                <w:szCs w:val="16"/>
              </w:rPr>
              <w:t>90%</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Pentamidine isethionate (Pentam 300)</w:t>
            </w:r>
          </w:p>
        </w:tc>
        <w:tc>
          <w:tcPr>
            <w:tcW w:w="1276" w:type="dxa"/>
          </w:tcPr>
          <w:p w:rsidR="00480B73" w:rsidRPr="00163B4B" w:rsidRDefault="00480B73" w:rsidP="00264CE2">
            <w:pPr>
              <w:jc w:val="both"/>
              <w:rPr>
                <w:rFonts w:cs="Times New Roman"/>
                <w:sz w:val="16"/>
                <w:szCs w:val="16"/>
              </w:rPr>
            </w:pPr>
            <w:r w:rsidRPr="00163B4B">
              <w:rPr>
                <w:rFonts w:cs="Times New Roman"/>
                <w:sz w:val="16"/>
                <w:szCs w:val="16"/>
              </w:rPr>
              <w:t xml:space="preserve">IM (n=5) </w:t>
            </w:r>
          </w:p>
          <w:p w:rsidR="00480B73" w:rsidRDefault="00480B73" w:rsidP="00264CE2">
            <w:pPr>
              <w:jc w:val="both"/>
              <w:rPr>
                <w:rFonts w:cs="Times New Roman"/>
                <w:sz w:val="16"/>
                <w:szCs w:val="16"/>
              </w:rPr>
            </w:pPr>
          </w:p>
          <w:p w:rsidR="00480B73" w:rsidRDefault="00480B73" w:rsidP="00264CE2">
            <w:pPr>
              <w:jc w:val="both"/>
              <w:rPr>
                <w:rFonts w:cs="Times New Roman"/>
                <w:sz w:val="16"/>
                <w:szCs w:val="16"/>
              </w:rPr>
            </w:pPr>
            <w:r>
              <w:rPr>
                <w:rFonts w:cs="Times New Roman"/>
                <w:sz w:val="16"/>
                <w:szCs w:val="16"/>
              </w:rPr>
              <w:t>IV (n=15)</w:t>
            </w:r>
            <w:r w:rsidRPr="00163B4B">
              <w:rPr>
                <w:rFonts w:cs="Times New Roman"/>
                <w:sz w:val="16"/>
                <w:szCs w:val="16"/>
              </w:rPr>
              <w:t xml:space="preserve"> </w:t>
            </w:r>
          </w:p>
          <w:p w:rsidR="00480B73" w:rsidRPr="00163B4B" w:rsidRDefault="00480B73" w:rsidP="00264CE2">
            <w:pPr>
              <w:jc w:val="both"/>
              <w:rPr>
                <w:rFonts w:cs="Times New Roman"/>
                <w:sz w:val="16"/>
                <w:szCs w:val="16"/>
              </w:rPr>
            </w:pPr>
            <w:r w:rsidRPr="00163B4B">
              <w:rPr>
                <w:rFonts w:cs="Times New Roman"/>
                <w:sz w:val="16"/>
                <w:szCs w:val="16"/>
              </w:rPr>
              <w:t>0.5-2h</w:t>
            </w:r>
            <w:r>
              <w:rPr>
                <w:rFonts w:cs="Times New Roman"/>
                <w:sz w:val="16"/>
                <w:szCs w:val="16"/>
              </w:rPr>
              <w:t xml:space="preserve"> </w:t>
            </w:r>
            <w:r w:rsidRPr="00163B4B">
              <w:rPr>
                <w:rFonts w:cs="Times New Roman"/>
                <w:sz w:val="16"/>
                <w:szCs w:val="16"/>
              </w:rPr>
              <w:t>infusion</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HPLC - Fluorescence</w:t>
            </w:r>
          </w:p>
          <w:p w:rsidR="00480B73" w:rsidRPr="00163B4B" w:rsidRDefault="00480B73" w:rsidP="00264CE2">
            <w:pPr>
              <w:jc w:val="both"/>
              <w:rPr>
                <w:rFonts w:cs="Times New Roman"/>
                <w:sz w:val="16"/>
                <w:szCs w:val="16"/>
              </w:rPr>
            </w:pPr>
          </w:p>
        </w:tc>
        <w:tc>
          <w:tcPr>
            <w:tcW w:w="1276" w:type="dxa"/>
          </w:tcPr>
          <w:p w:rsidR="00480B73" w:rsidRPr="00163B4B" w:rsidRDefault="00480B73" w:rsidP="00264CE2">
            <w:pPr>
              <w:jc w:val="both"/>
              <w:rPr>
                <w:rFonts w:cs="Times New Roman"/>
                <w:sz w:val="16"/>
                <w:szCs w:val="16"/>
              </w:rPr>
            </w:pPr>
            <w:r w:rsidRPr="00163B4B">
              <w:rPr>
                <w:rFonts w:cs="Times New Roman"/>
                <w:sz w:val="16"/>
                <w:szCs w:val="16"/>
              </w:rPr>
              <w:t>2.3 ng/mL</w:t>
            </w:r>
          </w:p>
        </w:tc>
        <w:tc>
          <w:tcPr>
            <w:tcW w:w="1292" w:type="dxa"/>
          </w:tcPr>
          <w:p w:rsidR="00480B73" w:rsidRPr="003F5633" w:rsidRDefault="00480B73" w:rsidP="00264CE2">
            <w:pPr>
              <w:rPr>
                <w:rFonts w:cs="Times New Roman"/>
                <w:sz w:val="16"/>
                <w:szCs w:val="16"/>
              </w:rPr>
            </w:pPr>
            <w:r>
              <w:rPr>
                <w:rFonts w:cs="Times New Roman"/>
                <w:color w:val="000000" w:themeColor="text1"/>
                <w:sz w:val="16"/>
                <w:szCs w:val="18"/>
              </w:rPr>
              <w:t>Compartmental (individual-based)</w:t>
            </w:r>
          </w:p>
        </w:tc>
        <w:tc>
          <w:tcPr>
            <w:tcW w:w="1323" w:type="dxa"/>
          </w:tcPr>
          <w:p w:rsidR="00480B73" w:rsidRPr="00163B4B" w:rsidRDefault="00480B73" w:rsidP="00264CE2">
            <w:pPr>
              <w:jc w:val="both"/>
              <w:rPr>
                <w:rFonts w:cs="Times New Roman"/>
                <w:sz w:val="16"/>
                <w:szCs w:val="16"/>
              </w:rPr>
            </w:pPr>
            <w:r>
              <w:rPr>
                <w:rFonts w:cs="Times New Roman"/>
                <w:sz w:val="16"/>
                <w:szCs w:val="16"/>
              </w:rPr>
              <w:t xml:space="preserve">2-CMT </w:t>
            </w:r>
            <w:r w:rsidRPr="00163B4B">
              <w:rPr>
                <w:rFonts w:cs="Times New Roman"/>
                <w:sz w:val="16"/>
                <w:szCs w:val="16"/>
              </w:rPr>
              <w:t>model</w:t>
            </w:r>
            <w:r>
              <w:rPr>
                <w:rFonts w:cs="Times New Roman"/>
                <w:sz w:val="16"/>
                <w:szCs w:val="16"/>
              </w:rPr>
              <w:t xml:space="preserve">, </w:t>
            </w:r>
            <w:r w:rsidRPr="00163B4B">
              <w:rPr>
                <w:rFonts w:cs="Times New Roman"/>
                <w:sz w:val="16"/>
                <w:szCs w:val="16"/>
              </w:rPr>
              <w:t>zero-</w:t>
            </w:r>
            <w:r>
              <w:rPr>
                <w:rFonts w:cs="Times New Roman"/>
                <w:sz w:val="16"/>
                <w:szCs w:val="16"/>
              </w:rPr>
              <w:t xml:space="preserve"> </w:t>
            </w:r>
            <w:r w:rsidRPr="00163B4B">
              <w:rPr>
                <w:rFonts w:cs="Times New Roman"/>
                <w:sz w:val="16"/>
                <w:szCs w:val="16"/>
              </w:rPr>
              <w:t xml:space="preserve">order input </w:t>
            </w:r>
          </w:p>
        </w:tc>
      </w:tr>
      <w:tr w:rsidR="00480B73" w:rsidRPr="00163B4B" w:rsidTr="00264CE2">
        <w:tc>
          <w:tcPr>
            <w:tcW w:w="817" w:type="dxa"/>
            <w:vMerge w:val="restart"/>
          </w:tcPr>
          <w:p w:rsidR="00480B73" w:rsidRPr="00163B4B" w:rsidRDefault="00480B73" w:rsidP="00264CE2">
            <w:pPr>
              <w:jc w:val="both"/>
              <w:rPr>
                <w:rFonts w:cs="Times New Roman"/>
                <w:sz w:val="16"/>
                <w:szCs w:val="16"/>
              </w:rPr>
            </w:pPr>
            <w:r w:rsidRPr="00163B4B">
              <w:rPr>
                <w:rFonts w:cs="Times New Roman"/>
                <w:sz w:val="16"/>
                <w:szCs w:val="16"/>
              </w:rPr>
              <w:t xml:space="preserve">Conte </w:t>
            </w:r>
            <w:r>
              <w:rPr>
                <w:rFonts w:cs="Times New Roman"/>
                <w:sz w:val="16"/>
                <w:szCs w:val="16"/>
              </w:rPr>
              <w:t xml:space="preserve">et al. </w:t>
            </w:r>
            <w:r>
              <w:rPr>
                <w:rFonts w:cs="Times New Roman"/>
                <w:sz w:val="16"/>
                <w:szCs w:val="16"/>
              </w:rPr>
              <w:fldChar w:fldCharType="begin" w:fldLock="1"/>
            </w:r>
            <w:r>
              <w:rPr>
                <w:rFonts w:cs="Times New Roman"/>
                <w:sz w:val="16"/>
                <w:szCs w:val="16"/>
              </w:rPr>
              <w:instrText>ADDIN CSL_CITATION { "citationItems" : [ { "id" : "ITEM-1", "itemData" : { "author" : [ { "dropping-particle" : "", "family" : "Conte Jr", "given" : "John E", "non-dropping-particle" : "", "parse-names" : false, "suffix" : "" } ], "container-title" : "The Journal of infectious diseases", "id" : "ITEM-1", "issue" : "1", "issued" : { "date-parts" : [ [ "1991" ] ] }, "page" : "169-175", "title" : "Pharmacokinetics of intravenous pentamidine in patients with normal renal function or receiving hemodialysis", "type" : "article-journal", "volume" : "163" }, "uris" : [ "http://www.mendeley.com/documents/?uuid=102d1723-3e4b-4374-a186-808925e67f28" ] } ], "mendeley" : { "formattedCitation" : "[54]", "plainTextFormattedCitation" : "[54]", "previouslyFormattedCitation" : "[54]"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[54]</w:t>
            </w:r>
            <w:r>
              <w:rPr>
                <w:rFonts w:cs="Times New Roman"/>
                <w:sz w:val="16"/>
                <w:szCs w:val="16"/>
              </w:rPr>
              <w:fldChar w:fldCharType="end"/>
            </w:r>
          </w:p>
        </w:tc>
        <w:tc>
          <w:tcPr>
            <w:tcW w:w="1559" w:type="dxa"/>
            <w:tcBorders>
              <w:bottom w:val="dashSmallGap" w:sz="4" w:space="0" w:color="auto"/>
            </w:tcBorders>
          </w:tcPr>
          <w:p w:rsidR="00480B73" w:rsidRPr="00163B4B" w:rsidRDefault="00480B73" w:rsidP="00264CE2">
            <w:pPr>
              <w:rPr>
                <w:rFonts w:cs="Times New Roman"/>
                <w:sz w:val="16"/>
                <w:szCs w:val="16"/>
              </w:rPr>
            </w:pPr>
            <w:r w:rsidRPr="009D4D49">
              <w:rPr>
                <w:rFonts w:cs="Times New Roman"/>
                <w:sz w:val="16"/>
                <w:szCs w:val="16"/>
              </w:rPr>
              <w:t>AIDS patients with</w:t>
            </w:r>
            <w:r>
              <w:rPr>
                <w:rFonts w:cs="Times New Roman"/>
                <w:i/>
                <w:sz w:val="16"/>
                <w:szCs w:val="16"/>
              </w:rPr>
              <w:t xml:space="preserve"> </w:t>
            </w:r>
            <w:r w:rsidRPr="000C06A7">
              <w:rPr>
                <w:rFonts w:cs="Times New Roman"/>
                <w:i/>
                <w:sz w:val="16"/>
                <w:szCs w:val="16"/>
              </w:rPr>
              <w:t>P. carinii</w:t>
            </w:r>
            <w:r w:rsidRPr="00163B4B">
              <w:rPr>
                <w:rFonts w:cs="Times New Roman"/>
                <w:sz w:val="16"/>
                <w:szCs w:val="16"/>
              </w:rPr>
              <w:t xml:space="preserve"> pneumonia</w:t>
            </w:r>
            <w:r>
              <w:rPr>
                <w:rFonts w:cs="Times New Roman"/>
                <w:sz w:val="16"/>
                <w:szCs w:val="16"/>
              </w:rPr>
              <w:t>, normal renal function</w:t>
            </w:r>
          </w:p>
        </w:tc>
        <w:tc>
          <w:tcPr>
            <w:tcW w:w="1134" w:type="dxa"/>
            <w:tcBorders>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US</w:t>
            </w:r>
          </w:p>
        </w:tc>
        <w:tc>
          <w:tcPr>
            <w:tcW w:w="851"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10</w:t>
            </w:r>
            <w:r>
              <w:rPr>
                <w:rFonts w:cs="Times New Roman"/>
                <w:sz w:val="16"/>
                <w:szCs w:val="16"/>
                <w:vertAlign w:val="superscript"/>
              </w:rPr>
              <w:t>a</w:t>
            </w:r>
          </w:p>
        </w:tc>
        <w:tc>
          <w:tcPr>
            <w:tcW w:w="1134" w:type="dxa"/>
            <w:tcBorders>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40±6</w:t>
            </w:r>
          </w:p>
          <w:p w:rsidR="00480B73" w:rsidRPr="00163B4B" w:rsidRDefault="00480B73" w:rsidP="00264CE2">
            <w:pPr>
              <w:jc w:val="both"/>
              <w:rPr>
                <w:rFonts w:cs="Times New Roman"/>
                <w:sz w:val="16"/>
                <w:szCs w:val="16"/>
              </w:rPr>
            </w:pPr>
          </w:p>
        </w:tc>
        <w:tc>
          <w:tcPr>
            <w:tcW w:w="1134" w:type="dxa"/>
            <w:tcBorders>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66±10</w:t>
            </w:r>
          </w:p>
          <w:p w:rsidR="00480B73" w:rsidRPr="00163B4B" w:rsidRDefault="00480B73" w:rsidP="00264CE2">
            <w:pPr>
              <w:jc w:val="both"/>
              <w:rPr>
                <w:rFonts w:cs="Times New Roman"/>
                <w:sz w:val="16"/>
                <w:szCs w:val="16"/>
              </w:rPr>
            </w:pPr>
          </w:p>
        </w:tc>
        <w:tc>
          <w:tcPr>
            <w:tcW w:w="850"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100%</w:t>
            </w:r>
          </w:p>
          <w:p w:rsidR="00480B73" w:rsidRPr="00163B4B" w:rsidRDefault="00480B73" w:rsidP="00264CE2">
            <w:pPr>
              <w:jc w:val="both"/>
              <w:rPr>
                <w:rFonts w:cs="Times New Roman"/>
                <w:sz w:val="16"/>
                <w:szCs w:val="16"/>
              </w:rPr>
            </w:pPr>
          </w:p>
        </w:tc>
        <w:tc>
          <w:tcPr>
            <w:tcW w:w="1134" w:type="dxa"/>
            <w:tcBorders>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Pentamidine isethionate (Pentam 300)</w:t>
            </w:r>
          </w:p>
        </w:tc>
        <w:tc>
          <w:tcPr>
            <w:tcW w:w="1276" w:type="dxa"/>
            <w:tcBorders>
              <w:bottom w:val="dashSmallGap" w:sz="4" w:space="0" w:color="auto"/>
            </w:tcBorders>
          </w:tcPr>
          <w:p w:rsidR="00480B73" w:rsidRDefault="00480B73" w:rsidP="00264CE2">
            <w:pPr>
              <w:jc w:val="both"/>
              <w:rPr>
                <w:rFonts w:cs="Times New Roman"/>
                <w:sz w:val="16"/>
                <w:szCs w:val="16"/>
              </w:rPr>
            </w:pPr>
            <w:r w:rsidRPr="00163B4B">
              <w:rPr>
                <w:rFonts w:cs="Times New Roman"/>
                <w:sz w:val="16"/>
                <w:szCs w:val="16"/>
              </w:rPr>
              <w:t>IV</w:t>
            </w:r>
          </w:p>
          <w:p w:rsidR="00480B73" w:rsidRPr="00163B4B" w:rsidRDefault="00480B73" w:rsidP="00264CE2">
            <w:pPr>
              <w:jc w:val="both"/>
              <w:rPr>
                <w:rFonts w:cs="Times New Roman"/>
                <w:sz w:val="16"/>
                <w:szCs w:val="16"/>
              </w:rPr>
            </w:pPr>
            <w:r>
              <w:rPr>
                <w:rFonts w:cs="Times New Roman"/>
                <w:sz w:val="16"/>
                <w:szCs w:val="16"/>
              </w:rPr>
              <w:t>2h</w:t>
            </w:r>
            <w:r w:rsidRPr="00163B4B">
              <w:rPr>
                <w:rFonts w:cs="Times New Roman"/>
                <w:sz w:val="16"/>
                <w:szCs w:val="16"/>
              </w:rPr>
              <w:t xml:space="preserve"> infusion</w:t>
            </w:r>
          </w:p>
        </w:tc>
        <w:tc>
          <w:tcPr>
            <w:tcW w:w="1134" w:type="dxa"/>
            <w:tcBorders>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HPLC - Fluorescence</w:t>
            </w:r>
          </w:p>
        </w:tc>
        <w:tc>
          <w:tcPr>
            <w:tcW w:w="1276" w:type="dxa"/>
            <w:tcBorders>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 xml:space="preserve">0.58 ng/mL </w:t>
            </w:r>
          </w:p>
        </w:tc>
        <w:tc>
          <w:tcPr>
            <w:tcW w:w="1292" w:type="dxa"/>
            <w:tcBorders>
              <w:bottom w:val="dashSmallGap" w:sz="4" w:space="0" w:color="auto"/>
            </w:tcBorders>
          </w:tcPr>
          <w:p w:rsidR="00480B73" w:rsidRPr="00163B4B" w:rsidRDefault="00480B73" w:rsidP="00264CE2">
            <w:pPr>
              <w:jc w:val="both"/>
              <w:rPr>
                <w:rFonts w:cs="Times New Roman"/>
                <w:sz w:val="16"/>
                <w:szCs w:val="16"/>
              </w:rPr>
            </w:pPr>
            <w:r>
              <w:rPr>
                <w:rFonts w:cs="Times New Roman"/>
                <w:color w:val="000000" w:themeColor="text1"/>
                <w:sz w:val="16"/>
                <w:szCs w:val="18"/>
              </w:rPr>
              <w:t>Compartmental (individual-based) / NCA</w:t>
            </w:r>
          </w:p>
        </w:tc>
        <w:tc>
          <w:tcPr>
            <w:tcW w:w="1323"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3-CMT model</w:t>
            </w:r>
          </w:p>
        </w:tc>
      </w:tr>
      <w:tr w:rsidR="00480B73" w:rsidRPr="00163B4B" w:rsidTr="00264CE2">
        <w:tc>
          <w:tcPr>
            <w:tcW w:w="817" w:type="dxa"/>
            <w:vMerge/>
          </w:tcPr>
          <w:p w:rsidR="00480B73" w:rsidRPr="00163B4B" w:rsidRDefault="00480B73" w:rsidP="00264CE2">
            <w:pPr>
              <w:jc w:val="both"/>
              <w:rPr>
                <w:rFonts w:cs="Times New Roman"/>
                <w:sz w:val="16"/>
                <w:szCs w:val="16"/>
              </w:rPr>
            </w:pPr>
          </w:p>
        </w:tc>
        <w:tc>
          <w:tcPr>
            <w:tcW w:w="1559" w:type="dxa"/>
            <w:tcBorders>
              <w:top w:val="dashSmallGap" w:sz="4" w:space="0" w:color="auto"/>
              <w:bottom w:val="dashSmallGap" w:sz="4" w:space="0" w:color="auto"/>
            </w:tcBorders>
          </w:tcPr>
          <w:p w:rsidR="00480B73" w:rsidRDefault="00480B73" w:rsidP="00264CE2">
            <w:pPr>
              <w:rPr>
                <w:rFonts w:cs="Times New Roman"/>
                <w:sz w:val="16"/>
                <w:szCs w:val="16"/>
              </w:rPr>
            </w:pPr>
            <w:r>
              <w:rPr>
                <w:rFonts w:cs="Times New Roman"/>
                <w:sz w:val="16"/>
                <w:szCs w:val="16"/>
              </w:rPr>
              <w:t>Volunteer hemodialysis patients</w:t>
            </w:r>
          </w:p>
          <w:p w:rsidR="00480B73" w:rsidRPr="000C06A7" w:rsidRDefault="00480B73" w:rsidP="00264CE2">
            <w:pPr>
              <w:rPr>
                <w:rFonts w:cs="Times New Roman"/>
                <w:i/>
                <w:sz w:val="16"/>
                <w:szCs w:val="16"/>
              </w:rPr>
            </w:pPr>
          </w:p>
        </w:tc>
        <w:tc>
          <w:tcPr>
            <w:tcW w:w="1134"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p>
        </w:tc>
        <w:tc>
          <w:tcPr>
            <w:tcW w:w="851"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9</w:t>
            </w:r>
          </w:p>
        </w:tc>
        <w:tc>
          <w:tcPr>
            <w:tcW w:w="1134"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44±</w:t>
            </w:r>
            <w:r>
              <w:rPr>
                <w:rFonts w:cs="Times New Roman"/>
                <w:sz w:val="16"/>
                <w:szCs w:val="16"/>
              </w:rPr>
              <w:t>10</w:t>
            </w:r>
          </w:p>
          <w:p w:rsidR="00480B73" w:rsidRPr="00163B4B" w:rsidRDefault="00480B73" w:rsidP="00264CE2">
            <w:pPr>
              <w:jc w:val="both"/>
              <w:rPr>
                <w:rFonts w:cs="Times New Roman"/>
                <w:sz w:val="16"/>
                <w:szCs w:val="16"/>
              </w:rPr>
            </w:pPr>
          </w:p>
        </w:tc>
        <w:tc>
          <w:tcPr>
            <w:tcW w:w="1134"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73±10</w:t>
            </w:r>
          </w:p>
          <w:p w:rsidR="00480B73" w:rsidRPr="00163B4B" w:rsidRDefault="00480B73" w:rsidP="00264CE2">
            <w:pPr>
              <w:jc w:val="both"/>
              <w:rPr>
                <w:rFonts w:cs="Times New Roman"/>
                <w:sz w:val="16"/>
                <w:szCs w:val="16"/>
              </w:rPr>
            </w:pPr>
          </w:p>
        </w:tc>
        <w:tc>
          <w:tcPr>
            <w:tcW w:w="850"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67%</w:t>
            </w:r>
          </w:p>
          <w:p w:rsidR="00480B73" w:rsidRDefault="00480B73" w:rsidP="00264CE2">
            <w:pPr>
              <w:jc w:val="both"/>
              <w:rPr>
                <w:rFonts w:cs="Times New Roman"/>
                <w:sz w:val="16"/>
                <w:szCs w:val="16"/>
              </w:rPr>
            </w:pPr>
          </w:p>
        </w:tc>
        <w:tc>
          <w:tcPr>
            <w:tcW w:w="1134"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Pentamidine isethionate (Pentam 300)</w:t>
            </w:r>
          </w:p>
        </w:tc>
        <w:tc>
          <w:tcPr>
            <w:tcW w:w="1276" w:type="dxa"/>
            <w:tcBorders>
              <w:top w:val="dashSmallGap" w:sz="4" w:space="0" w:color="auto"/>
              <w:bottom w:val="dashSmallGap" w:sz="4" w:space="0" w:color="auto"/>
            </w:tcBorders>
          </w:tcPr>
          <w:p w:rsidR="00480B73" w:rsidRDefault="00480B73" w:rsidP="00264CE2">
            <w:pPr>
              <w:jc w:val="both"/>
              <w:rPr>
                <w:rFonts w:cs="Times New Roman"/>
                <w:sz w:val="16"/>
                <w:szCs w:val="16"/>
              </w:rPr>
            </w:pPr>
            <w:r w:rsidRPr="00163B4B">
              <w:rPr>
                <w:rFonts w:cs="Times New Roman"/>
                <w:sz w:val="16"/>
                <w:szCs w:val="16"/>
              </w:rPr>
              <w:t>IV</w:t>
            </w:r>
          </w:p>
          <w:p w:rsidR="00480B73" w:rsidRPr="00163B4B" w:rsidRDefault="00480B73" w:rsidP="00264CE2">
            <w:pPr>
              <w:jc w:val="both"/>
              <w:rPr>
                <w:rFonts w:cs="Times New Roman"/>
                <w:sz w:val="16"/>
                <w:szCs w:val="16"/>
              </w:rPr>
            </w:pPr>
            <w:r>
              <w:rPr>
                <w:rFonts w:cs="Times New Roman"/>
                <w:sz w:val="16"/>
                <w:szCs w:val="16"/>
              </w:rPr>
              <w:t>2h</w:t>
            </w:r>
            <w:r w:rsidRPr="00163B4B">
              <w:rPr>
                <w:rFonts w:cs="Times New Roman"/>
                <w:sz w:val="16"/>
                <w:szCs w:val="16"/>
              </w:rPr>
              <w:t xml:space="preserve"> infusion</w:t>
            </w:r>
          </w:p>
        </w:tc>
        <w:tc>
          <w:tcPr>
            <w:tcW w:w="1134"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HPLC - Fluorescence</w:t>
            </w:r>
          </w:p>
          <w:p w:rsidR="00480B73" w:rsidRPr="00163B4B" w:rsidRDefault="00480B73" w:rsidP="00264CE2">
            <w:pPr>
              <w:jc w:val="both"/>
              <w:rPr>
                <w:rFonts w:cs="Times New Roman"/>
                <w:sz w:val="16"/>
                <w:szCs w:val="16"/>
              </w:rPr>
            </w:pPr>
          </w:p>
        </w:tc>
        <w:tc>
          <w:tcPr>
            <w:tcW w:w="1276"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 xml:space="preserve">0.58 ng/mL </w:t>
            </w:r>
          </w:p>
        </w:tc>
        <w:tc>
          <w:tcPr>
            <w:tcW w:w="1292" w:type="dxa"/>
            <w:tcBorders>
              <w:top w:val="dashSmallGap" w:sz="4" w:space="0" w:color="auto"/>
              <w:bottom w:val="dashSmallGap" w:sz="4" w:space="0" w:color="auto"/>
            </w:tcBorders>
          </w:tcPr>
          <w:p w:rsidR="00480B73" w:rsidRPr="00163B4B" w:rsidRDefault="00480B73" w:rsidP="00264CE2">
            <w:pPr>
              <w:jc w:val="both"/>
              <w:rPr>
                <w:rFonts w:cs="Times New Roman"/>
                <w:sz w:val="16"/>
                <w:szCs w:val="16"/>
              </w:rPr>
            </w:pPr>
            <w:r>
              <w:rPr>
                <w:rFonts w:cs="Times New Roman"/>
                <w:color w:val="000000" w:themeColor="text1"/>
                <w:sz w:val="16"/>
                <w:szCs w:val="18"/>
              </w:rPr>
              <w:t>Compartmental (individual-based) / NCA</w:t>
            </w:r>
          </w:p>
        </w:tc>
        <w:tc>
          <w:tcPr>
            <w:tcW w:w="1323"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3-CMT model</w:t>
            </w:r>
          </w:p>
        </w:tc>
      </w:tr>
      <w:tr w:rsidR="00480B73" w:rsidRPr="00163B4B" w:rsidTr="00264CE2">
        <w:tc>
          <w:tcPr>
            <w:tcW w:w="817" w:type="dxa"/>
            <w:vMerge/>
          </w:tcPr>
          <w:p w:rsidR="00480B73" w:rsidRPr="00163B4B" w:rsidRDefault="00480B73" w:rsidP="00264CE2">
            <w:pPr>
              <w:jc w:val="both"/>
              <w:rPr>
                <w:rFonts w:cs="Times New Roman"/>
                <w:sz w:val="16"/>
                <w:szCs w:val="16"/>
              </w:rPr>
            </w:pPr>
          </w:p>
        </w:tc>
        <w:tc>
          <w:tcPr>
            <w:tcW w:w="1559" w:type="dxa"/>
            <w:tcBorders>
              <w:top w:val="dashSmallGap" w:sz="4" w:space="0" w:color="auto"/>
            </w:tcBorders>
          </w:tcPr>
          <w:p w:rsidR="00480B73" w:rsidRDefault="00480B73" w:rsidP="00264CE2">
            <w:pPr>
              <w:rPr>
                <w:rFonts w:cs="Times New Roman"/>
                <w:sz w:val="16"/>
                <w:szCs w:val="16"/>
              </w:rPr>
            </w:pPr>
            <w:r w:rsidRPr="00163B4B">
              <w:rPr>
                <w:rFonts w:cs="Times New Roman"/>
                <w:sz w:val="16"/>
                <w:szCs w:val="16"/>
              </w:rPr>
              <w:t xml:space="preserve">Acute </w:t>
            </w:r>
            <w:r w:rsidRPr="004349A0">
              <w:rPr>
                <w:rFonts w:cs="Times New Roman"/>
                <w:i/>
                <w:sz w:val="16"/>
                <w:szCs w:val="16"/>
              </w:rPr>
              <w:t>P. carinii</w:t>
            </w:r>
            <w:r w:rsidRPr="00163B4B">
              <w:rPr>
                <w:rFonts w:cs="Times New Roman"/>
                <w:sz w:val="16"/>
                <w:szCs w:val="16"/>
              </w:rPr>
              <w:t xml:space="preserve"> pneumonia</w:t>
            </w:r>
            <w:r>
              <w:rPr>
                <w:rFonts w:cs="Times New Roman"/>
                <w:sz w:val="16"/>
                <w:szCs w:val="16"/>
              </w:rPr>
              <w:t xml:space="preserve"> patients</w:t>
            </w:r>
          </w:p>
          <w:p w:rsidR="00480B73" w:rsidRPr="000C06A7" w:rsidRDefault="00480B73" w:rsidP="00264CE2">
            <w:pPr>
              <w:rPr>
                <w:rFonts w:cs="Times New Roman"/>
                <w:i/>
                <w:sz w:val="16"/>
                <w:szCs w:val="16"/>
              </w:rPr>
            </w:pPr>
            <w:r>
              <w:rPr>
                <w:rFonts w:cs="Times New Roman"/>
                <w:sz w:val="16"/>
                <w:szCs w:val="16"/>
              </w:rPr>
              <w:t>L</w:t>
            </w:r>
            <w:r w:rsidRPr="00163B4B">
              <w:rPr>
                <w:rFonts w:cs="Times New Roman"/>
                <w:sz w:val="16"/>
                <w:szCs w:val="16"/>
              </w:rPr>
              <w:t xml:space="preserve">ast dose only  </w:t>
            </w:r>
          </w:p>
        </w:tc>
        <w:tc>
          <w:tcPr>
            <w:tcW w:w="1134" w:type="dxa"/>
            <w:tcBorders>
              <w:top w:val="dashSmallGap" w:sz="4" w:space="0" w:color="auto"/>
            </w:tcBorders>
          </w:tcPr>
          <w:p w:rsidR="00480B73" w:rsidRPr="00163B4B" w:rsidRDefault="00480B73" w:rsidP="00264CE2">
            <w:pPr>
              <w:jc w:val="both"/>
              <w:rPr>
                <w:rFonts w:cs="Times New Roman"/>
                <w:sz w:val="16"/>
                <w:szCs w:val="16"/>
              </w:rPr>
            </w:pPr>
          </w:p>
        </w:tc>
        <w:tc>
          <w:tcPr>
            <w:tcW w:w="851"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5</w:t>
            </w:r>
          </w:p>
        </w:tc>
        <w:tc>
          <w:tcPr>
            <w:tcW w:w="1134" w:type="dxa"/>
            <w:tcBorders>
              <w:top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38±9</w:t>
            </w:r>
            <w:r w:rsidRPr="00163B4B">
              <w:rPr>
                <w:rFonts w:cs="Times New Roman"/>
                <w:sz w:val="16"/>
                <w:szCs w:val="16"/>
              </w:rPr>
              <w:t xml:space="preserve"> </w:t>
            </w:r>
          </w:p>
          <w:p w:rsidR="00480B73" w:rsidRPr="00163B4B" w:rsidRDefault="00480B73" w:rsidP="00264CE2">
            <w:pPr>
              <w:jc w:val="both"/>
              <w:rPr>
                <w:rFonts w:cs="Times New Roman"/>
                <w:sz w:val="16"/>
                <w:szCs w:val="16"/>
              </w:rPr>
            </w:pPr>
          </w:p>
        </w:tc>
        <w:tc>
          <w:tcPr>
            <w:tcW w:w="1134" w:type="dxa"/>
            <w:tcBorders>
              <w:top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80±8</w:t>
            </w:r>
          </w:p>
        </w:tc>
        <w:tc>
          <w:tcPr>
            <w:tcW w:w="850"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100%</w:t>
            </w:r>
          </w:p>
        </w:tc>
        <w:tc>
          <w:tcPr>
            <w:tcW w:w="1134" w:type="dxa"/>
            <w:tcBorders>
              <w:top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Pentamidine isethionate (Pentam 300)</w:t>
            </w:r>
          </w:p>
        </w:tc>
        <w:tc>
          <w:tcPr>
            <w:tcW w:w="1276" w:type="dxa"/>
            <w:tcBorders>
              <w:top w:val="dashSmallGap" w:sz="4" w:space="0" w:color="auto"/>
            </w:tcBorders>
          </w:tcPr>
          <w:p w:rsidR="00480B73" w:rsidRDefault="00480B73" w:rsidP="00264CE2">
            <w:pPr>
              <w:jc w:val="both"/>
              <w:rPr>
                <w:rFonts w:cs="Times New Roman"/>
                <w:sz w:val="16"/>
                <w:szCs w:val="16"/>
              </w:rPr>
            </w:pPr>
            <w:r w:rsidRPr="00163B4B">
              <w:rPr>
                <w:rFonts w:cs="Times New Roman"/>
                <w:sz w:val="16"/>
                <w:szCs w:val="16"/>
              </w:rPr>
              <w:t>IV</w:t>
            </w:r>
          </w:p>
          <w:p w:rsidR="00480B73" w:rsidRPr="00163B4B" w:rsidRDefault="00480B73" w:rsidP="00264CE2">
            <w:pPr>
              <w:jc w:val="both"/>
              <w:rPr>
                <w:rFonts w:cs="Times New Roman"/>
                <w:sz w:val="16"/>
                <w:szCs w:val="16"/>
              </w:rPr>
            </w:pPr>
            <w:r>
              <w:rPr>
                <w:rFonts w:cs="Times New Roman"/>
                <w:sz w:val="16"/>
                <w:szCs w:val="16"/>
              </w:rPr>
              <w:t>2h</w:t>
            </w:r>
            <w:r w:rsidRPr="00163B4B">
              <w:rPr>
                <w:rFonts w:cs="Times New Roman"/>
                <w:sz w:val="16"/>
                <w:szCs w:val="16"/>
              </w:rPr>
              <w:t xml:space="preserve"> infusion</w:t>
            </w:r>
          </w:p>
        </w:tc>
        <w:tc>
          <w:tcPr>
            <w:tcW w:w="1134" w:type="dxa"/>
            <w:tcBorders>
              <w:top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HPLC - Fluorescence</w:t>
            </w:r>
          </w:p>
          <w:p w:rsidR="00480B73" w:rsidRPr="00163B4B" w:rsidRDefault="00480B73" w:rsidP="00264CE2">
            <w:pPr>
              <w:jc w:val="both"/>
              <w:rPr>
                <w:rFonts w:cs="Times New Roman"/>
                <w:sz w:val="16"/>
                <w:szCs w:val="16"/>
              </w:rPr>
            </w:pPr>
          </w:p>
        </w:tc>
        <w:tc>
          <w:tcPr>
            <w:tcW w:w="1276" w:type="dxa"/>
            <w:tcBorders>
              <w:top w:val="dashSmallGap" w:sz="4" w:space="0" w:color="auto"/>
            </w:tcBorders>
          </w:tcPr>
          <w:p w:rsidR="00480B73" w:rsidRPr="00163B4B" w:rsidRDefault="00480B73" w:rsidP="00264CE2">
            <w:pPr>
              <w:jc w:val="both"/>
              <w:rPr>
                <w:rFonts w:cs="Times New Roman"/>
                <w:sz w:val="16"/>
                <w:szCs w:val="16"/>
              </w:rPr>
            </w:pPr>
            <w:r w:rsidRPr="00163B4B">
              <w:rPr>
                <w:rFonts w:cs="Times New Roman"/>
                <w:sz w:val="16"/>
                <w:szCs w:val="16"/>
              </w:rPr>
              <w:t xml:space="preserve">0.58 ng/mL </w:t>
            </w:r>
          </w:p>
        </w:tc>
        <w:tc>
          <w:tcPr>
            <w:tcW w:w="1292" w:type="dxa"/>
            <w:tcBorders>
              <w:top w:val="dashSmallGap" w:sz="4" w:space="0" w:color="auto"/>
            </w:tcBorders>
          </w:tcPr>
          <w:p w:rsidR="00480B73" w:rsidRPr="00163B4B" w:rsidRDefault="00480B73" w:rsidP="00264CE2">
            <w:pPr>
              <w:jc w:val="both"/>
              <w:rPr>
                <w:rFonts w:cs="Times New Roman"/>
                <w:sz w:val="16"/>
                <w:szCs w:val="16"/>
              </w:rPr>
            </w:pPr>
            <w:r>
              <w:rPr>
                <w:rFonts w:cs="Times New Roman"/>
                <w:color w:val="000000" w:themeColor="text1"/>
                <w:sz w:val="16"/>
                <w:szCs w:val="18"/>
              </w:rPr>
              <w:t>Compartmental (individual-based) / NCA</w:t>
            </w:r>
          </w:p>
        </w:tc>
        <w:tc>
          <w:tcPr>
            <w:tcW w:w="1323"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3-CMT model</w:t>
            </w:r>
          </w:p>
        </w:tc>
      </w:tr>
      <w:tr w:rsidR="00480B73" w:rsidRPr="00163B4B" w:rsidTr="00264CE2">
        <w:tc>
          <w:tcPr>
            <w:tcW w:w="817" w:type="dxa"/>
          </w:tcPr>
          <w:p w:rsidR="00480B73" w:rsidRPr="00163B4B" w:rsidRDefault="00480B73" w:rsidP="00264CE2">
            <w:pPr>
              <w:jc w:val="both"/>
              <w:rPr>
                <w:rFonts w:cs="Times New Roman"/>
                <w:sz w:val="16"/>
                <w:szCs w:val="16"/>
              </w:rPr>
            </w:pPr>
            <w:r>
              <w:rPr>
                <w:rFonts w:cs="Times New Roman"/>
                <w:sz w:val="16"/>
                <w:szCs w:val="16"/>
              </w:rPr>
              <w:t xml:space="preserve">Thomas et al. </w:t>
            </w:r>
            <w:r>
              <w:rPr>
                <w:rFonts w:cs="Times New Roman"/>
                <w:sz w:val="16"/>
                <w:szCs w:val="16"/>
              </w:rPr>
              <w:fldChar w:fldCharType="begin" w:fldLock="1"/>
            </w:r>
            <w:r>
              <w:rPr>
                <w:rFonts w:cs="Times New Roman"/>
                <w:sz w:val="16"/>
                <w:szCs w:val="16"/>
              </w:rPr>
              <w:instrText>ADDIN CSL_CITATION { "citationItems" : [ { "id" : "ITEM-1", "itemData" : { "author" : [ { "dropping-particle" : "", "family" : "Thomas", "given" : "Simon H L", "non-dropping-particle" : "", "parse-names" : false, "suffix" : "" }, { "dropping-particle" : "", "family" : "Page", "given" : "Christopher J", "non-dropping-particle" : "", "parse-names" : false, "suffix" : "" }, { "dropping-particle" : "", "family" : "Blower", "given" : "Philip J", "non-dropping-particle" : "", "parse-names" : false, "suffix" : "" }, { "dropping-particle" : "", "family" : "Chowienczyk", "given" : "Philip", "non-dropping-particle" : "", "parse-names" : false, "suffix" : "" }, { "dropping-particle" : "", "family" : "Ward", "given" : "Alan", "non-dropping-particle" : "", "parse-names" : false, "suffix" : "" }, { "dropping-particle" : "", "family" : "Kamali", "given" : "Furhad", "non-dropping-particle" : "", "parse-names" : false, "suffix" : "" }, { "dropping-particle" : "", "family" : "Bradbeer", "given" : "Caroline S", "non-dropping-particle" : "", "parse-names" : false, "suffix" : "" }, { "dropping-particle" : "", "family" : "Bateman", "given" : "Nigel T", "non-dropping-particle" : "", "parse-names" : false, "suffix" : "" }, { "dropping-particle" : "", "family" : "O'Doherty", "given" : "J", "non-dropping-particle" : "", "parse-names" : false, "suffix" : "" } ], "container-title" : "Nuclear Medicine &amp; Biology", "id" : "ITEM-1", "issued" : { "date-parts" : [ [ "1997" ] ] }, "page" : "327-332", "title" : "Disposition of intravenous 123-iodopentamidine in man", "type" : "article-journal", "volume" : "24" }, "uris" : [ "http://www.mendeley.com/documents/?uuid=d3175e46-8c03-4a64-b27f-754a4759211f" ] } ], "mendeley" : { "formattedCitation" : "[49]", "plainTextFormattedCitation" : "[49]", "previouslyFormattedCitation" : "[49]"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[49]</w:t>
            </w:r>
            <w:r>
              <w:rPr>
                <w:rFonts w:cs="Times New Roman"/>
                <w:sz w:val="16"/>
                <w:szCs w:val="16"/>
              </w:rPr>
              <w:fldChar w:fldCharType="end"/>
            </w:r>
          </w:p>
        </w:tc>
        <w:tc>
          <w:tcPr>
            <w:tcW w:w="1559" w:type="dxa"/>
          </w:tcPr>
          <w:p w:rsidR="00480B73" w:rsidRPr="00163B4B" w:rsidRDefault="00480B73" w:rsidP="00264CE2">
            <w:pPr>
              <w:rPr>
                <w:rFonts w:cs="Times New Roman"/>
                <w:sz w:val="16"/>
                <w:szCs w:val="16"/>
              </w:rPr>
            </w:pPr>
            <w:r>
              <w:rPr>
                <w:rFonts w:cs="Times New Roman"/>
                <w:sz w:val="16"/>
                <w:szCs w:val="16"/>
              </w:rPr>
              <w:t>AIDS patients</w:t>
            </w:r>
          </w:p>
        </w:tc>
        <w:tc>
          <w:tcPr>
            <w:tcW w:w="1134" w:type="dxa"/>
          </w:tcPr>
          <w:p w:rsidR="00480B73" w:rsidRPr="00163B4B" w:rsidRDefault="00480B73" w:rsidP="00264CE2">
            <w:pPr>
              <w:jc w:val="both"/>
              <w:rPr>
                <w:rFonts w:cs="Times New Roman"/>
                <w:sz w:val="16"/>
                <w:szCs w:val="16"/>
              </w:rPr>
            </w:pPr>
            <w:r>
              <w:rPr>
                <w:rFonts w:cs="Times New Roman"/>
                <w:sz w:val="16"/>
                <w:szCs w:val="16"/>
              </w:rPr>
              <w:t>UK</w:t>
            </w:r>
          </w:p>
        </w:tc>
        <w:tc>
          <w:tcPr>
            <w:tcW w:w="851" w:type="dxa"/>
          </w:tcPr>
          <w:p w:rsidR="00480B73" w:rsidRPr="00163B4B" w:rsidRDefault="00480B73" w:rsidP="00264CE2">
            <w:pPr>
              <w:jc w:val="both"/>
              <w:rPr>
                <w:rFonts w:cs="Times New Roman"/>
                <w:sz w:val="16"/>
                <w:szCs w:val="16"/>
              </w:rPr>
            </w:pPr>
            <w:r>
              <w:rPr>
                <w:rFonts w:cs="Times New Roman"/>
                <w:sz w:val="16"/>
                <w:szCs w:val="16"/>
              </w:rPr>
              <w:t>5</w:t>
            </w:r>
          </w:p>
        </w:tc>
        <w:tc>
          <w:tcPr>
            <w:tcW w:w="1134" w:type="dxa"/>
          </w:tcPr>
          <w:p w:rsidR="00480B73" w:rsidRPr="00163B4B" w:rsidRDefault="00480B73" w:rsidP="00264CE2">
            <w:pPr>
              <w:jc w:val="both"/>
              <w:rPr>
                <w:rFonts w:cs="Times New Roman"/>
                <w:sz w:val="16"/>
                <w:szCs w:val="16"/>
              </w:rPr>
            </w:pPr>
            <w:r>
              <w:rPr>
                <w:rFonts w:cs="Times New Roman"/>
                <w:sz w:val="16"/>
                <w:szCs w:val="16"/>
              </w:rPr>
              <w:t>N/A</w:t>
            </w:r>
          </w:p>
        </w:tc>
        <w:tc>
          <w:tcPr>
            <w:tcW w:w="1134" w:type="dxa"/>
          </w:tcPr>
          <w:p w:rsidR="00480B73" w:rsidRDefault="00480B73" w:rsidP="00264CE2">
            <w:pPr>
              <w:jc w:val="both"/>
              <w:rPr>
                <w:rFonts w:cs="Times New Roman"/>
                <w:sz w:val="16"/>
                <w:szCs w:val="16"/>
              </w:rPr>
            </w:pPr>
            <w:r>
              <w:rPr>
                <w:rFonts w:cs="Times New Roman"/>
                <w:sz w:val="16"/>
                <w:szCs w:val="16"/>
              </w:rPr>
              <w:t>60.2</w:t>
            </w:r>
          </w:p>
          <w:p w:rsidR="00480B73" w:rsidRPr="00163B4B" w:rsidRDefault="00480B73" w:rsidP="00264CE2">
            <w:pPr>
              <w:jc w:val="both"/>
              <w:rPr>
                <w:rFonts w:cs="Times New Roman"/>
                <w:sz w:val="16"/>
                <w:szCs w:val="16"/>
              </w:rPr>
            </w:pPr>
            <w:r>
              <w:rPr>
                <w:rFonts w:cs="Times New Roman"/>
                <w:sz w:val="16"/>
                <w:szCs w:val="16"/>
              </w:rPr>
              <w:t>(58-65)</w:t>
            </w:r>
          </w:p>
        </w:tc>
        <w:tc>
          <w:tcPr>
            <w:tcW w:w="850" w:type="dxa"/>
          </w:tcPr>
          <w:p w:rsidR="00480B73" w:rsidRPr="00163B4B" w:rsidRDefault="00480B73" w:rsidP="00264CE2">
            <w:pPr>
              <w:jc w:val="both"/>
              <w:rPr>
                <w:rFonts w:cs="Times New Roman"/>
                <w:sz w:val="16"/>
                <w:szCs w:val="16"/>
              </w:rPr>
            </w:pPr>
            <w:r>
              <w:rPr>
                <w:rFonts w:cs="Times New Roman"/>
                <w:sz w:val="16"/>
                <w:szCs w:val="16"/>
              </w:rPr>
              <w:t>100%</w:t>
            </w:r>
          </w:p>
        </w:tc>
        <w:tc>
          <w:tcPr>
            <w:tcW w:w="1134" w:type="dxa"/>
          </w:tcPr>
          <w:p w:rsidR="00480B73" w:rsidRPr="00163B4B" w:rsidRDefault="00480B73" w:rsidP="00264CE2">
            <w:pPr>
              <w:jc w:val="both"/>
              <w:rPr>
                <w:rFonts w:cs="Times New Roman"/>
                <w:sz w:val="16"/>
                <w:szCs w:val="16"/>
              </w:rPr>
            </w:pPr>
            <w:r w:rsidRPr="00163B4B">
              <w:rPr>
                <w:rFonts w:cs="Times New Roman"/>
                <w:sz w:val="16"/>
                <w:szCs w:val="16"/>
              </w:rPr>
              <w:t>Pentamidine isethionate (Pentam 300)</w:t>
            </w:r>
          </w:p>
        </w:tc>
        <w:tc>
          <w:tcPr>
            <w:tcW w:w="1276" w:type="dxa"/>
          </w:tcPr>
          <w:p w:rsidR="00480B73" w:rsidRPr="00163B4B" w:rsidRDefault="00480B73" w:rsidP="00264CE2">
            <w:pPr>
              <w:jc w:val="both"/>
              <w:rPr>
                <w:rFonts w:cs="Times New Roman"/>
                <w:sz w:val="16"/>
                <w:szCs w:val="16"/>
              </w:rPr>
            </w:pPr>
            <w:r>
              <w:rPr>
                <w:rFonts w:cs="Times New Roman"/>
                <w:sz w:val="16"/>
                <w:szCs w:val="16"/>
              </w:rPr>
              <w:t>IV</w:t>
            </w:r>
          </w:p>
        </w:tc>
        <w:tc>
          <w:tcPr>
            <w:tcW w:w="1134" w:type="dxa"/>
          </w:tcPr>
          <w:p w:rsidR="00480B73" w:rsidRPr="00163B4B" w:rsidRDefault="00480B73" w:rsidP="00264CE2">
            <w:pPr>
              <w:jc w:val="both"/>
              <w:rPr>
                <w:rFonts w:cs="Times New Roman"/>
                <w:sz w:val="16"/>
                <w:szCs w:val="16"/>
              </w:rPr>
            </w:pPr>
            <w:r>
              <w:rPr>
                <w:rFonts w:cs="Times New Roman"/>
                <w:sz w:val="16"/>
                <w:szCs w:val="16"/>
              </w:rPr>
              <w:t>HPLC-UV</w:t>
            </w:r>
          </w:p>
        </w:tc>
        <w:tc>
          <w:tcPr>
            <w:tcW w:w="1276" w:type="dxa"/>
          </w:tcPr>
          <w:p w:rsidR="00480B73" w:rsidRPr="00163B4B" w:rsidRDefault="00480B73" w:rsidP="00264CE2">
            <w:pPr>
              <w:jc w:val="both"/>
              <w:rPr>
                <w:rFonts w:cs="Times New Roman"/>
                <w:sz w:val="16"/>
                <w:szCs w:val="16"/>
              </w:rPr>
            </w:pPr>
            <w:r>
              <w:rPr>
                <w:rFonts w:cs="Times New Roman"/>
                <w:sz w:val="16"/>
                <w:szCs w:val="16"/>
              </w:rPr>
              <w:t>10-20 ng/mL</w:t>
            </w:r>
          </w:p>
        </w:tc>
        <w:tc>
          <w:tcPr>
            <w:tcW w:w="1292" w:type="dxa"/>
          </w:tcPr>
          <w:p w:rsidR="00480B73" w:rsidRPr="00163B4B" w:rsidRDefault="00480B73" w:rsidP="00264CE2">
            <w:pPr>
              <w:jc w:val="both"/>
              <w:rPr>
                <w:rFonts w:cs="Times New Roman"/>
                <w:sz w:val="16"/>
                <w:szCs w:val="16"/>
              </w:rPr>
            </w:pPr>
            <w:r>
              <w:rPr>
                <w:rFonts w:cs="Times New Roman"/>
                <w:color w:val="000000" w:themeColor="text1"/>
                <w:sz w:val="16"/>
                <w:szCs w:val="18"/>
              </w:rPr>
              <w:t>Compartmental (individual-based)</w:t>
            </w:r>
          </w:p>
        </w:tc>
        <w:tc>
          <w:tcPr>
            <w:tcW w:w="1323" w:type="dxa"/>
          </w:tcPr>
          <w:p w:rsidR="00480B73" w:rsidRPr="00163B4B" w:rsidRDefault="00480B73" w:rsidP="00264CE2">
            <w:pPr>
              <w:jc w:val="both"/>
              <w:rPr>
                <w:rFonts w:cs="Times New Roman"/>
                <w:sz w:val="16"/>
                <w:szCs w:val="16"/>
              </w:rPr>
            </w:pPr>
            <w:r>
              <w:rPr>
                <w:rFonts w:cs="Times New Roman"/>
                <w:sz w:val="16"/>
                <w:szCs w:val="16"/>
              </w:rPr>
              <w:t>2-CMT model, zero order input</w:t>
            </w:r>
          </w:p>
        </w:tc>
      </w:tr>
    </w:tbl>
    <w:p w:rsidR="00480B73" w:rsidRPr="00E2577D" w:rsidRDefault="00480B73" w:rsidP="00480B73">
      <w:pPr>
        <w:rPr>
          <w:sz w:val="16"/>
          <w:szCs w:val="16"/>
        </w:rPr>
      </w:pPr>
      <w:r w:rsidRPr="00E2577D">
        <w:rPr>
          <w:sz w:val="16"/>
          <w:szCs w:val="16"/>
        </w:rPr>
        <w:t xml:space="preserve">IV: intravenous, IM: intramuscular, </w:t>
      </w:r>
      <w:proofErr w:type="spellStart"/>
      <w:r w:rsidRPr="00E2577D">
        <w:rPr>
          <w:sz w:val="16"/>
          <w:szCs w:val="16"/>
        </w:rPr>
        <w:t>LLOQ</w:t>
      </w:r>
      <w:proofErr w:type="spellEnd"/>
      <w:r w:rsidRPr="00E2577D">
        <w:rPr>
          <w:sz w:val="16"/>
          <w:szCs w:val="16"/>
        </w:rPr>
        <w:t xml:space="preserve">: lower limit of quantitation, </w:t>
      </w:r>
      <w:proofErr w:type="spellStart"/>
      <w:r w:rsidRPr="00E2577D">
        <w:rPr>
          <w:sz w:val="16"/>
          <w:szCs w:val="16"/>
        </w:rPr>
        <w:t>NCA</w:t>
      </w:r>
      <w:proofErr w:type="spellEnd"/>
      <w:r w:rsidRPr="00E2577D">
        <w:rPr>
          <w:sz w:val="16"/>
          <w:szCs w:val="16"/>
        </w:rPr>
        <w:t xml:space="preserve">: non-compartmental analysis, N/A: not available, </w:t>
      </w:r>
      <w:proofErr w:type="spellStart"/>
      <w:r w:rsidRPr="00E2577D">
        <w:rPr>
          <w:sz w:val="16"/>
          <w:szCs w:val="16"/>
        </w:rPr>
        <w:t>CMT</w:t>
      </w:r>
      <w:proofErr w:type="spellEnd"/>
      <w:r w:rsidRPr="00E2577D">
        <w:rPr>
          <w:sz w:val="16"/>
          <w:szCs w:val="16"/>
        </w:rPr>
        <w:t>: compartmental, HPLC: high-performance liquid chromatography.</w:t>
      </w:r>
    </w:p>
    <w:p w:rsidR="00480B73" w:rsidRPr="0057054A" w:rsidRDefault="00480B73" w:rsidP="00480B73">
      <w:pPr>
        <w:rPr>
          <w:sz w:val="16"/>
          <w:szCs w:val="18"/>
        </w:rPr>
      </w:pPr>
      <w:proofErr w:type="spellStart"/>
      <w:proofErr w:type="gramStart"/>
      <w:r>
        <w:rPr>
          <w:sz w:val="16"/>
          <w:szCs w:val="18"/>
          <w:vertAlign w:val="superscript"/>
        </w:rPr>
        <w:t>a</w:t>
      </w:r>
      <w:r w:rsidRPr="0057054A">
        <w:rPr>
          <w:sz w:val="16"/>
          <w:szCs w:val="18"/>
        </w:rPr>
        <w:t>For</w:t>
      </w:r>
      <w:proofErr w:type="spellEnd"/>
      <w:proofErr w:type="gramEnd"/>
      <w:r w:rsidRPr="0057054A">
        <w:rPr>
          <w:sz w:val="16"/>
          <w:szCs w:val="18"/>
        </w:rPr>
        <w:t xml:space="preserve"> 4 patients only trough and peak levels were available, not included in the </w:t>
      </w:r>
      <w:proofErr w:type="spellStart"/>
      <w:r w:rsidRPr="0057054A">
        <w:rPr>
          <w:sz w:val="16"/>
          <w:szCs w:val="18"/>
        </w:rPr>
        <w:t>PK</w:t>
      </w:r>
      <w:proofErr w:type="spellEnd"/>
      <w:r w:rsidRPr="0057054A">
        <w:rPr>
          <w:sz w:val="16"/>
          <w:szCs w:val="18"/>
        </w:rPr>
        <w:t xml:space="preserve"> model</w:t>
      </w:r>
    </w:p>
    <w:p w:rsidR="00480B73" w:rsidRDefault="00480B73" w:rsidP="00480B73">
      <w:pPr>
        <w:rPr>
          <w:rFonts w:eastAsiaTheme="majorEastAsia" w:cstheme="majorBidi"/>
          <w:iCs/>
          <w:color w:val="7F7F7F" w:themeColor="text1" w:themeTint="80"/>
          <w:spacing w:val="15"/>
          <w:sz w:val="16"/>
        </w:rPr>
      </w:pPr>
      <w:r>
        <w:br w:type="page"/>
      </w:r>
    </w:p>
    <w:p w:rsidR="00480B73" w:rsidRPr="0057054A" w:rsidRDefault="00480B73" w:rsidP="00480B73">
      <w:pPr>
        <w:pStyle w:val="TABLEonderschrift"/>
        <w:jc w:val="both"/>
        <w:rPr>
          <w:sz w:val="18"/>
        </w:rPr>
      </w:pPr>
      <w:proofErr w:type="gramStart"/>
      <w:r w:rsidRPr="0057054A">
        <w:rPr>
          <w:sz w:val="18"/>
        </w:rPr>
        <w:lastRenderedPageBreak/>
        <w:t xml:space="preserve">Supplementary table </w:t>
      </w:r>
      <w:r w:rsidRPr="0057054A">
        <w:rPr>
          <w:sz w:val="18"/>
        </w:rPr>
        <w:fldChar w:fldCharType="begin"/>
      </w:r>
      <w:r w:rsidRPr="0057054A">
        <w:rPr>
          <w:sz w:val="18"/>
        </w:rPr>
        <w:instrText xml:space="preserve"> SEQ Supplementary_table \* ARABIC </w:instrText>
      </w:r>
      <w:r w:rsidRPr="0057054A">
        <w:rPr>
          <w:sz w:val="18"/>
        </w:rPr>
        <w:fldChar w:fldCharType="separate"/>
      </w:r>
      <w:r w:rsidRPr="0057054A">
        <w:rPr>
          <w:noProof/>
          <w:sz w:val="18"/>
        </w:rPr>
        <w:t>4</w:t>
      </w:r>
      <w:r w:rsidRPr="0057054A">
        <w:rPr>
          <w:noProof/>
          <w:sz w:val="18"/>
        </w:rPr>
        <w:fldChar w:fldCharType="end"/>
      </w:r>
      <w:r w:rsidRPr="0057054A">
        <w:rPr>
          <w:noProof/>
          <w:sz w:val="18"/>
        </w:rPr>
        <w:t>.</w:t>
      </w:r>
      <w:proofErr w:type="gramEnd"/>
      <w:r w:rsidRPr="0057054A">
        <w:rPr>
          <w:noProof/>
          <w:sz w:val="18"/>
        </w:rPr>
        <w:t xml:space="preserve"> Miltefosine</w:t>
      </w:r>
      <w:r w:rsidRPr="0057054A">
        <w:rPr>
          <w:sz w:val="18"/>
        </w:rPr>
        <w:t xml:space="preserve">: general information on the pharmacokinetic studies. Data provided as </w:t>
      </w:r>
      <w:proofErr w:type="spellStart"/>
      <w:r w:rsidRPr="0057054A">
        <w:rPr>
          <w:sz w:val="18"/>
        </w:rPr>
        <w:t>mean±standard</w:t>
      </w:r>
      <w:proofErr w:type="spellEnd"/>
      <w:r w:rsidRPr="0057054A">
        <w:rPr>
          <w:sz w:val="18"/>
        </w:rPr>
        <w:t xml:space="preserve"> deviation or median (range). </w:t>
      </w:r>
    </w:p>
    <w:p w:rsidR="00480B73" w:rsidRPr="002D3CFA" w:rsidRDefault="00480B73" w:rsidP="00480B73">
      <w:pPr>
        <w:pStyle w:val="TABLEonderschrift"/>
      </w:pPr>
    </w:p>
    <w:p w:rsidR="00480B73" w:rsidRDefault="00480B73" w:rsidP="00480B73">
      <w:pPr>
        <w:autoSpaceDE w:val="0"/>
        <w:autoSpaceDN w:val="0"/>
        <w:adjustRightInd w:val="0"/>
        <w:rPr>
          <w:i/>
          <w:sz w:val="18"/>
          <w:szCs w:val="18"/>
        </w:rPr>
      </w:pPr>
    </w:p>
    <w:tbl>
      <w:tblPr>
        <w:tblStyle w:val="TableGrid"/>
        <w:tblW w:w="14269" w:type="dxa"/>
        <w:tblBorders>
          <w:top w:val="none" w:sz="0" w:space="0" w:color="auto"/>
          <w:left w:val="none" w:sz="0" w:space="0" w:color="auto"/>
          <w:right w:val="none" w:sz="0" w:space="0" w:color="auto"/>
          <w:insideV w:val="none" w:sz="0" w:space="0" w:color="auto"/>
        </w:tblBorders>
        <w:tblLayout w:type="fixed"/>
        <w:tblLook w:val="04A0"/>
      </w:tblPr>
      <w:tblGrid>
        <w:gridCol w:w="817"/>
        <w:gridCol w:w="1843"/>
        <w:gridCol w:w="1086"/>
        <w:gridCol w:w="851"/>
        <w:gridCol w:w="1024"/>
        <w:gridCol w:w="1134"/>
        <w:gridCol w:w="850"/>
        <w:gridCol w:w="851"/>
        <w:gridCol w:w="708"/>
        <w:gridCol w:w="1134"/>
        <w:gridCol w:w="850"/>
        <w:gridCol w:w="1419"/>
        <w:gridCol w:w="1702"/>
      </w:tblGrid>
      <w:tr w:rsidR="00480B73" w:rsidRPr="00163B4B" w:rsidTr="00264CE2">
        <w:trPr>
          <w:trHeight w:val="740"/>
        </w:trPr>
        <w:tc>
          <w:tcPr>
            <w:tcW w:w="817"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Author</w:t>
            </w:r>
          </w:p>
        </w:tc>
        <w:tc>
          <w:tcPr>
            <w:tcW w:w="1843" w:type="dxa"/>
            <w:tcBorders>
              <w:top w:val="nil"/>
            </w:tcBorders>
          </w:tcPr>
          <w:p w:rsidR="00480B73" w:rsidRPr="00163B4B" w:rsidRDefault="00480B73" w:rsidP="00264CE2">
            <w:pPr>
              <w:jc w:val="both"/>
              <w:rPr>
                <w:rFonts w:cs="Times New Roman"/>
                <w:b/>
                <w:sz w:val="16"/>
                <w:szCs w:val="16"/>
              </w:rPr>
            </w:pPr>
            <w:r>
              <w:rPr>
                <w:rFonts w:cs="Times New Roman"/>
                <w:b/>
                <w:sz w:val="16"/>
                <w:szCs w:val="16"/>
              </w:rPr>
              <w:t>Patient population</w:t>
            </w:r>
          </w:p>
        </w:tc>
        <w:tc>
          <w:tcPr>
            <w:tcW w:w="1086"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Country</w:t>
            </w:r>
          </w:p>
        </w:tc>
        <w:tc>
          <w:tcPr>
            <w:tcW w:w="851" w:type="dxa"/>
            <w:tcBorders>
              <w:top w:val="nil"/>
            </w:tcBorders>
          </w:tcPr>
          <w:p w:rsidR="00480B73" w:rsidRDefault="00480B73" w:rsidP="00264CE2">
            <w:pPr>
              <w:jc w:val="both"/>
              <w:rPr>
                <w:rFonts w:cs="Times New Roman"/>
                <w:b/>
                <w:sz w:val="16"/>
                <w:szCs w:val="16"/>
              </w:rPr>
            </w:pPr>
            <w:r>
              <w:rPr>
                <w:rFonts w:cs="Times New Roman"/>
                <w:b/>
                <w:sz w:val="16"/>
                <w:szCs w:val="16"/>
              </w:rPr>
              <w:t xml:space="preserve"># patients </w:t>
            </w:r>
          </w:p>
          <w:p w:rsidR="00480B73" w:rsidRPr="00163B4B" w:rsidRDefault="00480B73" w:rsidP="00264CE2">
            <w:pPr>
              <w:jc w:val="both"/>
              <w:rPr>
                <w:rFonts w:cs="Times New Roman"/>
                <w:b/>
                <w:sz w:val="16"/>
                <w:szCs w:val="16"/>
              </w:rPr>
            </w:pPr>
          </w:p>
        </w:tc>
        <w:tc>
          <w:tcPr>
            <w:tcW w:w="1024" w:type="dxa"/>
            <w:tcBorders>
              <w:top w:val="nil"/>
            </w:tcBorders>
          </w:tcPr>
          <w:p w:rsidR="00480B73" w:rsidRDefault="00480B73" w:rsidP="00264CE2">
            <w:pPr>
              <w:jc w:val="both"/>
              <w:rPr>
                <w:rFonts w:cs="Times New Roman"/>
                <w:b/>
                <w:sz w:val="16"/>
                <w:szCs w:val="16"/>
              </w:rPr>
            </w:pPr>
            <w:r w:rsidRPr="00163B4B">
              <w:rPr>
                <w:rFonts w:cs="Times New Roman"/>
                <w:b/>
                <w:sz w:val="16"/>
                <w:szCs w:val="16"/>
              </w:rPr>
              <w:t xml:space="preserve">Age </w:t>
            </w:r>
          </w:p>
          <w:p w:rsidR="00480B73" w:rsidRPr="00163B4B" w:rsidRDefault="00480B73" w:rsidP="00264CE2">
            <w:pPr>
              <w:jc w:val="both"/>
              <w:rPr>
                <w:rFonts w:cs="Times New Roman"/>
                <w:b/>
                <w:sz w:val="16"/>
                <w:szCs w:val="16"/>
              </w:rPr>
            </w:pPr>
            <w:r w:rsidRPr="00163B4B">
              <w:rPr>
                <w:rFonts w:cs="Times New Roman"/>
                <w:b/>
                <w:sz w:val="16"/>
                <w:szCs w:val="16"/>
              </w:rPr>
              <w:t>(years</w:t>
            </w:r>
            <w:r>
              <w:rPr>
                <w:rFonts w:cs="Times New Roman"/>
                <w:b/>
                <w:sz w:val="16"/>
                <w:szCs w:val="16"/>
              </w:rPr>
              <w:t>)</w:t>
            </w:r>
          </w:p>
        </w:tc>
        <w:tc>
          <w:tcPr>
            <w:tcW w:w="1134"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Weight (kg</w:t>
            </w:r>
            <w:r>
              <w:rPr>
                <w:rFonts w:cs="Times New Roman"/>
                <w:b/>
                <w:sz w:val="16"/>
                <w:szCs w:val="16"/>
              </w:rPr>
              <w:t>)</w:t>
            </w:r>
          </w:p>
        </w:tc>
        <w:tc>
          <w:tcPr>
            <w:tcW w:w="850"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Gender</w:t>
            </w:r>
            <w:r>
              <w:rPr>
                <w:rFonts w:cs="Times New Roman"/>
                <w:b/>
                <w:sz w:val="16"/>
                <w:szCs w:val="16"/>
              </w:rPr>
              <w:t xml:space="preserve"> (%male)</w:t>
            </w:r>
          </w:p>
        </w:tc>
        <w:tc>
          <w:tcPr>
            <w:tcW w:w="851"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Brand</w:t>
            </w:r>
          </w:p>
        </w:tc>
        <w:tc>
          <w:tcPr>
            <w:tcW w:w="708" w:type="dxa"/>
            <w:tcBorders>
              <w:top w:val="nil"/>
            </w:tcBorders>
          </w:tcPr>
          <w:p w:rsidR="00480B73" w:rsidRPr="00163B4B" w:rsidRDefault="00480B73" w:rsidP="00264CE2">
            <w:pPr>
              <w:jc w:val="both"/>
              <w:rPr>
                <w:rFonts w:cs="Times New Roman"/>
                <w:b/>
                <w:sz w:val="16"/>
                <w:szCs w:val="16"/>
              </w:rPr>
            </w:pPr>
            <w:r>
              <w:rPr>
                <w:rFonts w:cs="Times New Roman"/>
                <w:b/>
                <w:sz w:val="16"/>
                <w:szCs w:val="16"/>
              </w:rPr>
              <w:t>IM/IV/Oral</w:t>
            </w:r>
          </w:p>
        </w:tc>
        <w:tc>
          <w:tcPr>
            <w:tcW w:w="1134" w:type="dxa"/>
            <w:tcBorders>
              <w:top w:val="nil"/>
            </w:tcBorders>
          </w:tcPr>
          <w:p w:rsidR="00480B73" w:rsidRPr="00163B4B" w:rsidRDefault="00480B73" w:rsidP="00264CE2">
            <w:pPr>
              <w:jc w:val="both"/>
              <w:rPr>
                <w:rFonts w:cs="Times New Roman"/>
                <w:b/>
                <w:sz w:val="16"/>
                <w:szCs w:val="16"/>
              </w:rPr>
            </w:pPr>
            <w:r>
              <w:rPr>
                <w:rFonts w:cs="Times New Roman"/>
                <w:b/>
                <w:sz w:val="16"/>
                <w:szCs w:val="16"/>
              </w:rPr>
              <w:t>Analytical method</w:t>
            </w:r>
          </w:p>
        </w:tc>
        <w:tc>
          <w:tcPr>
            <w:tcW w:w="850"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LLOQ (µg/mL plasma)</w:t>
            </w:r>
          </w:p>
        </w:tc>
        <w:tc>
          <w:tcPr>
            <w:tcW w:w="1419"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PK analysis</w:t>
            </w:r>
          </w:p>
        </w:tc>
        <w:tc>
          <w:tcPr>
            <w:tcW w:w="1702" w:type="dxa"/>
            <w:tcBorders>
              <w:top w:val="nil"/>
            </w:tcBorders>
          </w:tcPr>
          <w:p w:rsidR="00480B73" w:rsidRPr="00163B4B" w:rsidRDefault="00480B73" w:rsidP="00264CE2">
            <w:pPr>
              <w:jc w:val="both"/>
              <w:rPr>
                <w:rFonts w:cs="Times New Roman"/>
                <w:b/>
                <w:sz w:val="16"/>
                <w:szCs w:val="16"/>
              </w:rPr>
            </w:pPr>
            <w:r w:rsidRPr="00163B4B">
              <w:rPr>
                <w:rFonts w:cs="Times New Roman"/>
                <w:b/>
                <w:sz w:val="16"/>
                <w:szCs w:val="16"/>
              </w:rPr>
              <w:t>Model</w:t>
            </w:r>
          </w:p>
        </w:tc>
      </w:tr>
      <w:tr w:rsidR="00480B73" w:rsidRPr="00583F7B" w:rsidTr="00264CE2">
        <w:trPr>
          <w:trHeight w:val="70"/>
        </w:trPr>
        <w:tc>
          <w:tcPr>
            <w:tcW w:w="2660" w:type="dxa"/>
            <w:gridSpan w:val="2"/>
            <w:shd w:val="pct10" w:color="auto" w:fill="auto"/>
          </w:tcPr>
          <w:p w:rsidR="00480B73" w:rsidRPr="00583F7B" w:rsidRDefault="00480B73" w:rsidP="00264CE2">
            <w:pPr>
              <w:jc w:val="both"/>
              <w:rPr>
                <w:rFonts w:cs="Times New Roman"/>
                <w:b/>
                <w:sz w:val="16"/>
                <w:szCs w:val="16"/>
              </w:rPr>
            </w:pPr>
          </w:p>
        </w:tc>
        <w:tc>
          <w:tcPr>
            <w:tcW w:w="1086" w:type="dxa"/>
            <w:shd w:val="pct10" w:color="auto" w:fill="auto"/>
          </w:tcPr>
          <w:p w:rsidR="00480B73" w:rsidRPr="00583F7B" w:rsidRDefault="00480B73" w:rsidP="00264CE2">
            <w:pPr>
              <w:jc w:val="both"/>
              <w:rPr>
                <w:rFonts w:cs="Times New Roman"/>
                <w:b/>
                <w:sz w:val="16"/>
                <w:szCs w:val="16"/>
              </w:rPr>
            </w:pPr>
          </w:p>
        </w:tc>
        <w:tc>
          <w:tcPr>
            <w:tcW w:w="851" w:type="dxa"/>
            <w:shd w:val="pct10" w:color="auto" w:fill="auto"/>
          </w:tcPr>
          <w:p w:rsidR="00480B73" w:rsidRPr="00583F7B" w:rsidRDefault="00480B73" w:rsidP="00264CE2">
            <w:pPr>
              <w:jc w:val="both"/>
              <w:rPr>
                <w:rFonts w:cs="Times New Roman"/>
                <w:b/>
                <w:sz w:val="16"/>
                <w:szCs w:val="16"/>
              </w:rPr>
            </w:pPr>
          </w:p>
        </w:tc>
        <w:tc>
          <w:tcPr>
            <w:tcW w:w="1024" w:type="dxa"/>
            <w:shd w:val="pct10" w:color="auto" w:fill="auto"/>
          </w:tcPr>
          <w:p w:rsidR="00480B73" w:rsidRPr="00583F7B" w:rsidRDefault="00480B73" w:rsidP="00264CE2">
            <w:pPr>
              <w:jc w:val="both"/>
              <w:rPr>
                <w:rFonts w:cs="Times New Roman"/>
                <w:b/>
                <w:sz w:val="16"/>
                <w:szCs w:val="16"/>
              </w:rPr>
            </w:pPr>
          </w:p>
        </w:tc>
        <w:tc>
          <w:tcPr>
            <w:tcW w:w="1134" w:type="dxa"/>
            <w:shd w:val="pct10" w:color="auto" w:fill="auto"/>
          </w:tcPr>
          <w:p w:rsidR="00480B73" w:rsidRPr="00583F7B" w:rsidRDefault="00480B73" w:rsidP="00264CE2">
            <w:pPr>
              <w:jc w:val="both"/>
              <w:rPr>
                <w:rFonts w:cs="Times New Roman"/>
                <w:b/>
                <w:sz w:val="16"/>
                <w:szCs w:val="16"/>
              </w:rPr>
            </w:pPr>
          </w:p>
        </w:tc>
        <w:tc>
          <w:tcPr>
            <w:tcW w:w="850" w:type="dxa"/>
            <w:shd w:val="pct10" w:color="auto" w:fill="auto"/>
          </w:tcPr>
          <w:p w:rsidR="00480B73" w:rsidRPr="00583F7B" w:rsidRDefault="00480B73" w:rsidP="00264CE2">
            <w:pPr>
              <w:jc w:val="both"/>
              <w:rPr>
                <w:rFonts w:cs="Times New Roman"/>
                <w:b/>
                <w:sz w:val="16"/>
                <w:szCs w:val="16"/>
              </w:rPr>
            </w:pPr>
          </w:p>
        </w:tc>
        <w:tc>
          <w:tcPr>
            <w:tcW w:w="851" w:type="dxa"/>
            <w:shd w:val="pct10" w:color="auto" w:fill="auto"/>
          </w:tcPr>
          <w:p w:rsidR="00480B73" w:rsidRPr="00583F7B" w:rsidRDefault="00480B73" w:rsidP="00264CE2">
            <w:pPr>
              <w:jc w:val="both"/>
              <w:rPr>
                <w:rFonts w:cs="Times New Roman"/>
                <w:b/>
                <w:sz w:val="16"/>
                <w:szCs w:val="16"/>
              </w:rPr>
            </w:pPr>
          </w:p>
        </w:tc>
        <w:tc>
          <w:tcPr>
            <w:tcW w:w="708" w:type="dxa"/>
            <w:shd w:val="pct10" w:color="auto" w:fill="auto"/>
          </w:tcPr>
          <w:p w:rsidR="00480B73" w:rsidRPr="00583F7B" w:rsidRDefault="00480B73" w:rsidP="00264CE2">
            <w:pPr>
              <w:jc w:val="both"/>
              <w:rPr>
                <w:rFonts w:cs="Times New Roman"/>
                <w:b/>
                <w:sz w:val="16"/>
                <w:szCs w:val="16"/>
              </w:rPr>
            </w:pPr>
          </w:p>
        </w:tc>
        <w:tc>
          <w:tcPr>
            <w:tcW w:w="1134" w:type="dxa"/>
            <w:shd w:val="pct10" w:color="auto" w:fill="auto"/>
          </w:tcPr>
          <w:p w:rsidR="00480B73" w:rsidRPr="00583F7B" w:rsidRDefault="00480B73" w:rsidP="00264CE2">
            <w:pPr>
              <w:jc w:val="both"/>
              <w:rPr>
                <w:rFonts w:cs="Times New Roman"/>
                <w:b/>
                <w:sz w:val="16"/>
                <w:szCs w:val="16"/>
              </w:rPr>
            </w:pPr>
          </w:p>
        </w:tc>
        <w:tc>
          <w:tcPr>
            <w:tcW w:w="850" w:type="dxa"/>
            <w:shd w:val="pct10" w:color="auto" w:fill="auto"/>
          </w:tcPr>
          <w:p w:rsidR="00480B73" w:rsidRPr="00583F7B" w:rsidRDefault="00480B73" w:rsidP="00264CE2">
            <w:pPr>
              <w:jc w:val="both"/>
              <w:rPr>
                <w:rFonts w:cs="Times New Roman"/>
                <w:b/>
                <w:sz w:val="16"/>
                <w:szCs w:val="16"/>
              </w:rPr>
            </w:pPr>
          </w:p>
        </w:tc>
        <w:tc>
          <w:tcPr>
            <w:tcW w:w="1419" w:type="dxa"/>
            <w:shd w:val="pct10" w:color="auto" w:fill="auto"/>
          </w:tcPr>
          <w:p w:rsidR="00480B73" w:rsidRPr="00583F7B" w:rsidRDefault="00480B73" w:rsidP="00264CE2">
            <w:pPr>
              <w:jc w:val="both"/>
              <w:rPr>
                <w:rFonts w:cs="Times New Roman"/>
                <w:b/>
                <w:sz w:val="16"/>
                <w:szCs w:val="16"/>
              </w:rPr>
            </w:pPr>
          </w:p>
        </w:tc>
        <w:tc>
          <w:tcPr>
            <w:tcW w:w="1702" w:type="dxa"/>
            <w:shd w:val="pct10" w:color="auto" w:fill="auto"/>
          </w:tcPr>
          <w:p w:rsidR="00480B73" w:rsidRPr="00583F7B" w:rsidRDefault="00480B73" w:rsidP="00264CE2">
            <w:pPr>
              <w:jc w:val="both"/>
              <w:rPr>
                <w:rFonts w:cs="Times New Roman"/>
                <w:b/>
                <w:sz w:val="16"/>
                <w:szCs w:val="16"/>
              </w:rPr>
            </w:pPr>
          </w:p>
        </w:tc>
      </w:tr>
      <w:tr w:rsidR="00480B73" w:rsidRPr="00163B4B" w:rsidTr="00264CE2">
        <w:trPr>
          <w:trHeight w:val="70"/>
        </w:trPr>
        <w:tc>
          <w:tcPr>
            <w:tcW w:w="817" w:type="dxa"/>
          </w:tcPr>
          <w:p w:rsidR="00480B73" w:rsidRDefault="00480B73" w:rsidP="00264CE2">
            <w:pPr>
              <w:jc w:val="both"/>
              <w:rPr>
                <w:rFonts w:cs="Times New Roman"/>
                <w:sz w:val="16"/>
                <w:szCs w:val="16"/>
                <w:vertAlign w:val="superscript"/>
              </w:rPr>
            </w:pPr>
            <w:r>
              <w:rPr>
                <w:rFonts w:cs="Times New Roman"/>
                <w:sz w:val="16"/>
                <w:szCs w:val="16"/>
              </w:rPr>
              <w:t xml:space="preserve">Berman </w:t>
            </w:r>
          </w:p>
          <w:p w:rsidR="00480B73" w:rsidRPr="00BF2093" w:rsidRDefault="00480B73" w:rsidP="00264CE2">
            <w:pPr>
              <w:jc w:val="both"/>
              <w:rPr>
                <w:rFonts w:cs="Times New Roman"/>
                <w:sz w:val="16"/>
                <w:szCs w:val="16"/>
                <w:vertAlign w:val="superscript"/>
              </w:rPr>
            </w:pPr>
            <w:r>
              <w:rPr>
                <w:rFonts w:cs="Times New Roman"/>
                <w:sz w:val="16"/>
                <w:szCs w:val="16"/>
                <w:vertAlign w:val="superscript"/>
              </w:rPr>
              <w:fldChar w:fldCharType="begin" w:fldLock="1"/>
            </w:r>
            <w:r>
              <w:rPr>
                <w:rFonts w:cs="Times New Roman"/>
                <w:sz w:val="16"/>
                <w:szCs w:val="16"/>
                <w:vertAlign w:val="superscript"/>
              </w:rPr>
              <w:instrText>ADDIN CSL_CITATION { "citationItems" : [ { "id" : "ITEM-1", "itemData" : { "DOI" : "10.1517/14656566.6.8.1381", "ISBN" : "1465-6566", "ISSN" : "1465-6566", "PMID" : "16013987", "abstract" : "Leishmaniasis exists in both visceral and cutaneous forms, and miltefosine is the first oral agent with demonstrable efficacy against both types of this disease. At a dose of approximately 2.5 mg/kg/day for 28 days, miltefosine is &gt; 90% curative for visceral disease in India and cutaneous disease in Colombia. Miltefosine is a lecithin analogue and its mechanism may be to inhibit phosphatidylcholine biosynthesis in the causative parasites. The clinical half-life of miltefosine is approximately 7 days. Whether or not miltefosine can be used for widespread out-patient treatment of individuals and whole populations depends on whether its efficacy and tolerability can be maintained in further treatment trials.", "author" : [ { "dropping-particle" : "", "family" : "Berman", "given" : "Jonathan", "non-dropping-particle" : "", "parse-names" : false, "suffix" : "" } ], "container-title" : "Expert opinion on pharmacotherapy", "id" : "ITEM-1", "issue" : "8", "issued" : { "date-parts" : [ [ "2005" ] ] }, "page" : "1381-1388", "title" : "Miltefosine to treat leishmaniasis", "type" : "article-journal", "volume" : "6" }, "uris" : [ "http://www.mendeley.com/documents/?uuid=97cdfce3-0d71-44c2-80d3-83bd5389d5e0" ] } ], "mendeley" : { "formattedCitation" : "[61]", "plainTextFormattedCitation" : "[61]", "previouslyFormattedCitation" : "[61]" }, "properties" : { "noteIndex" : 0 }, "schema" : "https://github.com/citation-style-language/schema/raw/master/csl-citation.json" }</w:instrText>
            </w:r>
            <w:r>
              <w:rPr>
                <w:rFonts w:cs="Times New Roman"/>
                <w:sz w:val="16"/>
                <w:szCs w:val="16"/>
                <w:vertAlign w:val="superscript"/>
              </w:rPr>
              <w:fldChar w:fldCharType="separate"/>
            </w:r>
            <w:r w:rsidRPr="00B244DA">
              <w:rPr>
                <w:rFonts w:cs="Times New Roman"/>
                <w:noProof/>
                <w:sz w:val="16"/>
                <w:szCs w:val="16"/>
              </w:rPr>
              <w:t>[61]</w:t>
            </w:r>
            <w:r>
              <w:rPr>
                <w:rFonts w:cs="Times New Roman"/>
                <w:sz w:val="16"/>
                <w:szCs w:val="16"/>
                <w:vertAlign w:val="superscript"/>
              </w:rPr>
              <w:fldChar w:fldCharType="end"/>
            </w:r>
          </w:p>
        </w:tc>
        <w:tc>
          <w:tcPr>
            <w:tcW w:w="1843" w:type="dxa"/>
          </w:tcPr>
          <w:p w:rsidR="00480B73" w:rsidRPr="00163B4B" w:rsidRDefault="00480B73" w:rsidP="00264CE2">
            <w:pPr>
              <w:jc w:val="both"/>
              <w:rPr>
                <w:rFonts w:cs="Times New Roman"/>
                <w:sz w:val="16"/>
                <w:szCs w:val="16"/>
              </w:rPr>
            </w:pPr>
            <w:r>
              <w:rPr>
                <w:rFonts w:cs="Times New Roman"/>
                <w:sz w:val="16"/>
                <w:szCs w:val="16"/>
              </w:rPr>
              <w:t>No general information available</w:t>
            </w:r>
          </w:p>
        </w:tc>
        <w:tc>
          <w:tcPr>
            <w:tcW w:w="1086" w:type="dxa"/>
          </w:tcPr>
          <w:p w:rsidR="00480B73" w:rsidRPr="00163B4B" w:rsidRDefault="00480B73" w:rsidP="00264CE2">
            <w:pPr>
              <w:jc w:val="both"/>
              <w:rPr>
                <w:rFonts w:cs="Times New Roman"/>
                <w:sz w:val="16"/>
                <w:szCs w:val="16"/>
              </w:rPr>
            </w:pPr>
          </w:p>
        </w:tc>
        <w:tc>
          <w:tcPr>
            <w:tcW w:w="851" w:type="dxa"/>
          </w:tcPr>
          <w:p w:rsidR="00480B73" w:rsidRPr="00163B4B" w:rsidRDefault="00480B73" w:rsidP="00264CE2">
            <w:pPr>
              <w:jc w:val="both"/>
              <w:rPr>
                <w:rFonts w:cs="Times New Roman"/>
                <w:sz w:val="16"/>
                <w:szCs w:val="16"/>
              </w:rPr>
            </w:pPr>
          </w:p>
        </w:tc>
        <w:tc>
          <w:tcPr>
            <w:tcW w:w="1024" w:type="dxa"/>
          </w:tcPr>
          <w:p w:rsidR="00480B73" w:rsidRPr="00524568" w:rsidRDefault="00480B73" w:rsidP="00264CE2">
            <w:pPr>
              <w:jc w:val="both"/>
              <w:rPr>
                <w:rFonts w:cs="Times New Roman"/>
                <w:sz w:val="16"/>
                <w:szCs w:val="16"/>
              </w:rPr>
            </w:pPr>
          </w:p>
        </w:tc>
        <w:tc>
          <w:tcPr>
            <w:tcW w:w="1134" w:type="dxa"/>
          </w:tcPr>
          <w:p w:rsidR="00480B73" w:rsidRPr="00163B4B" w:rsidRDefault="00480B73" w:rsidP="00264CE2">
            <w:pPr>
              <w:jc w:val="both"/>
              <w:rPr>
                <w:rFonts w:cs="Times New Roman"/>
                <w:sz w:val="16"/>
                <w:szCs w:val="16"/>
              </w:rPr>
            </w:pPr>
          </w:p>
        </w:tc>
        <w:tc>
          <w:tcPr>
            <w:tcW w:w="850" w:type="dxa"/>
          </w:tcPr>
          <w:p w:rsidR="00480B73" w:rsidRPr="00163B4B" w:rsidRDefault="00480B73" w:rsidP="00264CE2">
            <w:pPr>
              <w:jc w:val="both"/>
              <w:rPr>
                <w:rFonts w:cs="Times New Roman"/>
                <w:sz w:val="16"/>
                <w:szCs w:val="16"/>
              </w:rPr>
            </w:pPr>
          </w:p>
        </w:tc>
        <w:tc>
          <w:tcPr>
            <w:tcW w:w="851" w:type="dxa"/>
          </w:tcPr>
          <w:p w:rsidR="00480B73" w:rsidRPr="00163B4B" w:rsidRDefault="00480B73" w:rsidP="00264CE2">
            <w:pPr>
              <w:jc w:val="both"/>
              <w:rPr>
                <w:rFonts w:cs="Times New Roman"/>
                <w:sz w:val="16"/>
                <w:szCs w:val="16"/>
              </w:rPr>
            </w:pPr>
          </w:p>
        </w:tc>
        <w:tc>
          <w:tcPr>
            <w:tcW w:w="708" w:type="dxa"/>
          </w:tcPr>
          <w:p w:rsidR="00480B73" w:rsidRPr="00163B4B" w:rsidRDefault="00480B73" w:rsidP="00264CE2">
            <w:pPr>
              <w:jc w:val="both"/>
              <w:rPr>
                <w:rFonts w:cs="Times New Roman"/>
                <w:sz w:val="16"/>
                <w:szCs w:val="16"/>
              </w:rPr>
            </w:pPr>
          </w:p>
        </w:tc>
        <w:tc>
          <w:tcPr>
            <w:tcW w:w="1134" w:type="dxa"/>
          </w:tcPr>
          <w:p w:rsidR="00480B73" w:rsidRPr="00163B4B" w:rsidRDefault="00480B73" w:rsidP="00264CE2">
            <w:pPr>
              <w:jc w:val="both"/>
              <w:rPr>
                <w:rFonts w:cs="Times New Roman"/>
                <w:sz w:val="16"/>
                <w:szCs w:val="16"/>
              </w:rPr>
            </w:pPr>
          </w:p>
        </w:tc>
        <w:tc>
          <w:tcPr>
            <w:tcW w:w="850" w:type="dxa"/>
          </w:tcPr>
          <w:p w:rsidR="00480B73" w:rsidRPr="00163B4B" w:rsidRDefault="00480B73" w:rsidP="00264CE2">
            <w:pPr>
              <w:jc w:val="both"/>
              <w:rPr>
                <w:rFonts w:cs="Times New Roman"/>
                <w:sz w:val="16"/>
                <w:szCs w:val="16"/>
              </w:rPr>
            </w:pPr>
          </w:p>
        </w:tc>
        <w:tc>
          <w:tcPr>
            <w:tcW w:w="1419" w:type="dxa"/>
          </w:tcPr>
          <w:p w:rsidR="00480B73" w:rsidRPr="00163B4B" w:rsidRDefault="00480B73" w:rsidP="00264CE2">
            <w:pPr>
              <w:jc w:val="both"/>
              <w:rPr>
                <w:rFonts w:cs="Times New Roman"/>
                <w:sz w:val="16"/>
                <w:szCs w:val="16"/>
              </w:rPr>
            </w:pPr>
          </w:p>
        </w:tc>
        <w:tc>
          <w:tcPr>
            <w:tcW w:w="1702" w:type="dxa"/>
          </w:tcPr>
          <w:p w:rsidR="00480B73" w:rsidRPr="00163B4B" w:rsidRDefault="00480B73" w:rsidP="00264CE2">
            <w:pPr>
              <w:jc w:val="both"/>
              <w:rPr>
                <w:rFonts w:cs="Times New Roman"/>
                <w:sz w:val="16"/>
                <w:szCs w:val="16"/>
              </w:rPr>
            </w:pPr>
          </w:p>
        </w:tc>
      </w:tr>
      <w:tr w:rsidR="00480B73" w:rsidRPr="00163B4B" w:rsidTr="00264CE2">
        <w:trPr>
          <w:trHeight w:val="104"/>
        </w:trPr>
        <w:tc>
          <w:tcPr>
            <w:tcW w:w="817" w:type="dxa"/>
            <w:vMerge w:val="restart"/>
          </w:tcPr>
          <w:p w:rsidR="00480B73" w:rsidRPr="00163B4B" w:rsidRDefault="00480B73" w:rsidP="00264CE2">
            <w:pPr>
              <w:jc w:val="both"/>
              <w:rPr>
                <w:rFonts w:cs="Times New Roman"/>
                <w:sz w:val="16"/>
                <w:szCs w:val="16"/>
              </w:rPr>
            </w:pPr>
            <w:r>
              <w:rPr>
                <w:rFonts w:cs="Times New Roman"/>
                <w:sz w:val="16"/>
                <w:szCs w:val="16"/>
              </w:rPr>
              <w:t xml:space="preserve">Castro et al. </w:t>
            </w:r>
            <w:r>
              <w:rPr>
                <w:rFonts w:cs="Times New Roman"/>
                <w:sz w:val="16"/>
                <w:szCs w:val="16"/>
              </w:rPr>
              <w:fldChar w:fldCharType="begin" w:fldLock="1"/>
            </w:r>
            <w:r>
              <w:rPr>
                <w:rFonts w:cs="Times New Roman"/>
                <w:sz w:val="16"/>
                <w:szCs w:val="16"/>
              </w:rPr>
              <w:instrText>ADDIN CSL_CITATION { "citationItems" : [ { "id" : "ITEM-1", "itemData" : { "DOI" : "10.1128/AAC.02198-16", "ISSN" : "0066-4804", "author" : [ { "dropping-particle" : "", "family" : "Castro", "given" : "M M", "non-dropping-particle" : "", "parse-names" : false, "suffix" : "" }, { "dropping-particle" : "", "family" : "Gomez", "given" : "M A", "non-dropping-particle" : "", "parse-names" : false, "suffix" : "" }, { "dropping-particle" : "", "family" : "Kip", "given" : "A E", "non-dropping-particle" : "", "parse-names" : false, "suffix" : "" }, { "dropping-particle" : "", "family" : "Cossio", "given" : "A", "non-dropping-particle" : "", "parse-names" : false, "suffix" : "" }, { "dropping-particle" : "", "family" : "Ortiz", "given" : "E", "non-dropping-particle" : "", "parse-names" : false, "suffix" : "" }, { "dropping-particle" : "", "family" : "Navas", "given" : "A", "non-dropping-particle" : "", "parse-names" : false, "suffix" : "" }, { "dropping-particle" : "", "family" : "Dorlo", "given" : "T P C", "non-dropping-particle" : "", "parse-names" : false, "suffix" : "" }, { "dropping-particle" : "", "family" : "Gore Saravia", "given" : "N", "non-dropping-particle" : "", "parse-names" : false, "suffix" : "" } ], "container-title" : "Antimicrob Agents Chemother. doi:10.1128/AAC.02198-16", "id" : "ITEM-1", "issued" : { "date-parts" : [ [ "2016" ] ] }, "page" : "[Epub ahead of print]", "title" : "Pharmacokinetics of miltefosine in children and adults with cutaneous leishmaniasis.", "type" : "article-journal" }, "uris" : [ "http://www.mendeley.com/documents/?uuid=f1d64b95-eff8-4665-bdfe-d7fb546a4c5f" ] } ], "mendeley" : { "formattedCitation" : "[100]", "plainTextFormattedCitation" : "[100]", "previouslyFormattedCitation" : "[100]"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[100]</w:t>
            </w:r>
            <w:r>
              <w:rPr>
                <w:rFonts w:cs="Times New Roman"/>
                <w:sz w:val="16"/>
                <w:szCs w:val="16"/>
              </w:rPr>
              <w:fldChar w:fldCharType="end"/>
            </w:r>
          </w:p>
        </w:tc>
        <w:tc>
          <w:tcPr>
            <w:tcW w:w="1843" w:type="dxa"/>
            <w:tcBorders>
              <w:bottom w:val="dashSmallGap" w:sz="4" w:space="0" w:color="auto"/>
            </w:tcBorders>
          </w:tcPr>
          <w:p w:rsidR="00480B73" w:rsidRPr="002131FF" w:rsidRDefault="00480B73" w:rsidP="00264CE2">
            <w:pPr>
              <w:jc w:val="both"/>
              <w:rPr>
                <w:rFonts w:cs="Times New Roman"/>
                <w:sz w:val="16"/>
                <w:szCs w:val="16"/>
                <w:vertAlign w:val="superscript"/>
              </w:rPr>
            </w:pPr>
            <w:r>
              <w:rPr>
                <w:rFonts w:cs="Times New Roman"/>
                <w:sz w:val="16"/>
                <w:szCs w:val="16"/>
              </w:rPr>
              <w:t>Cutaneous leishmaniasis patients</w:t>
            </w:r>
          </w:p>
        </w:tc>
        <w:tc>
          <w:tcPr>
            <w:tcW w:w="1086"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Colombia</w:t>
            </w:r>
          </w:p>
        </w:tc>
        <w:tc>
          <w:tcPr>
            <w:tcW w:w="851" w:type="dxa"/>
            <w:tcBorders>
              <w:bottom w:val="dashSmallGap" w:sz="4" w:space="0" w:color="auto"/>
            </w:tcBorders>
          </w:tcPr>
          <w:p w:rsidR="00480B73" w:rsidRPr="00163B4B" w:rsidRDefault="00480B73" w:rsidP="00264CE2">
            <w:pPr>
              <w:jc w:val="both"/>
              <w:rPr>
                <w:rFonts w:cs="Times New Roman"/>
                <w:sz w:val="16"/>
                <w:szCs w:val="16"/>
              </w:rPr>
            </w:pPr>
          </w:p>
        </w:tc>
        <w:tc>
          <w:tcPr>
            <w:tcW w:w="1024" w:type="dxa"/>
            <w:tcBorders>
              <w:bottom w:val="dashSmallGap" w:sz="4" w:space="0" w:color="auto"/>
            </w:tcBorders>
          </w:tcPr>
          <w:p w:rsidR="00480B73" w:rsidRPr="00163B4B" w:rsidRDefault="00480B73" w:rsidP="00264CE2">
            <w:pPr>
              <w:jc w:val="both"/>
              <w:rPr>
                <w:rFonts w:cs="Times New Roman"/>
                <w:sz w:val="16"/>
                <w:szCs w:val="16"/>
              </w:rPr>
            </w:pPr>
          </w:p>
        </w:tc>
        <w:tc>
          <w:tcPr>
            <w:tcW w:w="1134" w:type="dxa"/>
            <w:tcBorders>
              <w:bottom w:val="dashSmallGap" w:sz="4" w:space="0" w:color="auto"/>
            </w:tcBorders>
          </w:tcPr>
          <w:p w:rsidR="00480B73" w:rsidRPr="00163B4B" w:rsidRDefault="00480B73" w:rsidP="00264CE2">
            <w:pPr>
              <w:jc w:val="both"/>
              <w:rPr>
                <w:rFonts w:cs="Times New Roman"/>
                <w:sz w:val="16"/>
                <w:szCs w:val="16"/>
              </w:rPr>
            </w:pPr>
          </w:p>
        </w:tc>
        <w:tc>
          <w:tcPr>
            <w:tcW w:w="850" w:type="dxa"/>
            <w:tcBorders>
              <w:bottom w:val="dashSmallGap" w:sz="4" w:space="0" w:color="auto"/>
            </w:tcBorders>
          </w:tcPr>
          <w:p w:rsidR="00480B73" w:rsidRPr="00163B4B" w:rsidRDefault="00480B73" w:rsidP="00264CE2">
            <w:pPr>
              <w:jc w:val="both"/>
              <w:rPr>
                <w:rFonts w:cs="Times New Roman"/>
                <w:sz w:val="16"/>
                <w:szCs w:val="16"/>
              </w:rPr>
            </w:pPr>
          </w:p>
        </w:tc>
        <w:tc>
          <w:tcPr>
            <w:tcW w:w="851"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Impavido</w:t>
            </w:r>
          </w:p>
        </w:tc>
        <w:tc>
          <w:tcPr>
            <w:tcW w:w="708"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Oral</w:t>
            </w:r>
          </w:p>
        </w:tc>
        <w:tc>
          <w:tcPr>
            <w:tcW w:w="1134"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LC-MS/MS</w:t>
            </w:r>
          </w:p>
        </w:tc>
        <w:tc>
          <w:tcPr>
            <w:tcW w:w="850"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0.004</w:t>
            </w:r>
          </w:p>
        </w:tc>
        <w:tc>
          <w:tcPr>
            <w:tcW w:w="1419"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NCA</w:t>
            </w:r>
          </w:p>
        </w:tc>
        <w:tc>
          <w:tcPr>
            <w:tcW w:w="1702"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w:t>
            </w:r>
          </w:p>
        </w:tc>
      </w:tr>
      <w:tr w:rsidR="00480B73" w:rsidRPr="00163B4B" w:rsidTr="00264CE2">
        <w:trPr>
          <w:trHeight w:val="63"/>
        </w:trPr>
        <w:tc>
          <w:tcPr>
            <w:tcW w:w="817" w:type="dxa"/>
            <w:vMerge/>
          </w:tcPr>
          <w:p w:rsidR="00480B73" w:rsidRDefault="00480B73" w:rsidP="00264CE2">
            <w:pPr>
              <w:jc w:val="both"/>
              <w:rPr>
                <w:rFonts w:cs="Times New Roman"/>
                <w:sz w:val="16"/>
                <w:szCs w:val="16"/>
              </w:rPr>
            </w:pPr>
          </w:p>
        </w:tc>
        <w:tc>
          <w:tcPr>
            <w:tcW w:w="1843"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 xml:space="preserve">   Adults</w:t>
            </w:r>
          </w:p>
        </w:tc>
        <w:tc>
          <w:tcPr>
            <w:tcW w:w="1086"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851"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30</w:t>
            </w:r>
          </w:p>
        </w:tc>
        <w:tc>
          <w:tcPr>
            <w:tcW w:w="1024"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33.53±8.32</w:t>
            </w:r>
          </w:p>
        </w:tc>
        <w:tc>
          <w:tcPr>
            <w:tcW w:w="1134"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70.84±11.73</w:t>
            </w:r>
          </w:p>
        </w:tc>
        <w:tc>
          <w:tcPr>
            <w:tcW w:w="850" w:type="dxa"/>
            <w:tcBorders>
              <w:top w:val="dashSmallGap" w:sz="4" w:space="0" w:color="auto"/>
              <w:bottom w:val="dashSmallGap" w:sz="4" w:space="0" w:color="auto"/>
            </w:tcBorders>
          </w:tcPr>
          <w:p w:rsidR="00480B73" w:rsidRDefault="00480B73" w:rsidP="00264CE2">
            <w:pPr>
              <w:jc w:val="both"/>
              <w:rPr>
                <w:rFonts w:cs="Times New Roman"/>
                <w:sz w:val="16"/>
                <w:szCs w:val="16"/>
              </w:rPr>
            </w:pPr>
            <w:r w:rsidRPr="003146B4">
              <w:rPr>
                <w:rFonts w:cs="Times New Roman"/>
                <w:sz w:val="16"/>
                <w:szCs w:val="16"/>
              </w:rPr>
              <w:t>46.67</w:t>
            </w:r>
            <w:r>
              <w:rPr>
                <w:rFonts w:cs="Times New Roman"/>
                <w:sz w:val="16"/>
                <w:szCs w:val="16"/>
              </w:rPr>
              <w:t>%</w:t>
            </w:r>
          </w:p>
        </w:tc>
        <w:tc>
          <w:tcPr>
            <w:tcW w:w="851"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708"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1134"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850"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1419"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1702" w:type="dxa"/>
            <w:tcBorders>
              <w:top w:val="dashSmallGap" w:sz="4" w:space="0" w:color="auto"/>
              <w:bottom w:val="dashSmallGap" w:sz="4" w:space="0" w:color="auto"/>
            </w:tcBorders>
          </w:tcPr>
          <w:p w:rsidR="00480B73" w:rsidRDefault="00480B73" w:rsidP="00264CE2">
            <w:pPr>
              <w:tabs>
                <w:tab w:val="center" w:pos="743"/>
              </w:tabs>
              <w:jc w:val="both"/>
              <w:rPr>
                <w:rFonts w:cs="Times New Roman"/>
                <w:sz w:val="16"/>
                <w:szCs w:val="16"/>
              </w:rPr>
            </w:pPr>
          </w:p>
        </w:tc>
      </w:tr>
      <w:tr w:rsidR="00480B73" w:rsidRPr="00163B4B" w:rsidTr="00264CE2">
        <w:trPr>
          <w:trHeight w:val="60"/>
        </w:trPr>
        <w:tc>
          <w:tcPr>
            <w:tcW w:w="817" w:type="dxa"/>
            <w:vMerge/>
          </w:tcPr>
          <w:p w:rsidR="00480B73" w:rsidRDefault="00480B73" w:rsidP="00264CE2">
            <w:pPr>
              <w:jc w:val="both"/>
              <w:rPr>
                <w:rFonts w:cs="Times New Roman"/>
                <w:sz w:val="16"/>
                <w:szCs w:val="16"/>
              </w:rPr>
            </w:pPr>
          </w:p>
        </w:tc>
        <w:tc>
          <w:tcPr>
            <w:tcW w:w="1843"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 xml:space="preserve">   Children (&lt;12y)</w:t>
            </w:r>
          </w:p>
        </w:tc>
        <w:tc>
          <w:tcPr>
            <w:tcW w:w="1086" w:type="dxa"/>
            <w:tcBorders>
              <w:top w:val="dashSmallGap" w:sz="4" w:space="0" w:color="auto"/>
            </w:tcBorders>
          </w:tcPr>
          <w:p w:rsidR="00480B73" w:rsidRDefault="00480B73" w:rsidP="00264CE2">
            <w:pPr>
              <w:jc w:val="both"/>
              <w:rPr>
                <w:rFonts w:cs="Times New Roman"/>
                <w:sz w:val="16"/>
                <w:szCs w:val="16"/>
              </w:rPr>
            </w:pPr>
          </w:p>
        </w:tc>
        <w:tc>
          <w:tcPr>
            <w:tcW w:w="851"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30</w:t>
            </w:r>
          </w:p>
        </w:tc>
        <w:tc>
          <w:tcPr>
            <w:tcW w:w="1024"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8.16±2.58</w:t>
            </w:r>
          </w:p>
        </w:tc>
        <w:tc>
          <w:tcPr>
            <w:tcW w:w="1134"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26.22±7.62</w:t>
            </w:r>
          </w:p>
        </w:tc>
        <w:tc>
          <w:tcPr>
            <w:tcW w:w="850"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60%</w:t>
            </w:r>
          </w:p>
        </w:tc>
        <w:tc>
          <w:tcPr>
            <w:tcW w:w="851" w:type="dxa"/>
            <w:tcBorders>
              <w:top w:val="dashSmallGap" w:sz="4" w:space="0" w:color="auto"/>
            </w:tcBorders>
          </w:tcPr>
          <w:p w:rsidR="00480B73" w:rsidRDefault="00480B73" w:rsidP="00264CE2">
            <w:pPr>
              <w:jc w:val="both"/>
              <w:rPr>
                <w:rFonts w:cs="Times New Roman"/>
                <w:sz w:val="16"/>
                <w:szCs w:val="16"/>
              </w:rPr>
            </w:pPr>
          </w:p>
        </w:tc>
        <w:tc>
          <w:tcPr>
            <w:tcW w:w="708" w:type="dxa"/>
            <w:tcBorders>
              <w:top w:val="dashSmallGap" w:sz="4" w:space="0" w:color="auto"/>
            </w:tcBorders>
          </w:tcPr>
          <w:p w:rsidR="00480B73" w:rsidRDefault="00480B73" w:rsidP="00264CE2">
            <w:pPr>
              <w:jc w:val="both"/>
              <w:rPr>
                <w:rFonts w:cs="Times New Roman"/>
                <w:sz w:val="16"/>
                <w:szCs w:val="16"/>
              </w:rPr>
            </w:pPr>
          </w:p>
        </w:tc>
        <w:tc>
          <w:tcPr>
            <w:tcW w:w="1134" w:type="dxa"/>
            <w:tcBorders>
              <w:top w:val="dashSmallGap" w:sz="4" w:space="0" w:color="auto"/>
            </w:tcBorders>
          </w:tcPr>
          <w:p w:rsidR="00480B73" w:rsidRDefault="00480B73" w:rsidP="00264CE2">
            <w:pPr>
              <w:jc w:val="both"/>
              <w:rPr>
                <w:rFonts w:cs="Times New Roman"/>
                <w:sz w:val="16"/>
                <w:szCs w:val="16"/>
              </w:rPr>
            </w:pPr>
          </w:p>
        </w:tc>
        <w:tc>
          <w:tcPr>
            <w:tcW w:w="850" w:type="dxa"/>
            <w:tcBorders>
              <w:top w:val="dashSmallGap" w:sz="4" w:space="0" w:color="auto"/>
            </w:tcBorders>
          </w:tcPr>
          <w:p w:rsidR="00480B73" w:rsidRDefault="00480B73" w:rsidP="00264CE2">
            <w:pPr>
              <w:jc w:val="both"/>
              <w:rPr>
                <w:rFonts w:cs="Times New Roman"/>
                <w:sz w:val="16"/>
                <w:szCs w:val="16"/>
              </w:rPr>
            </w:pPr>
          </w:p>
        </w:tc>
        <w:tc>
          <w:tcPr>
            <w:tcW w:w="1419" w:type="dxa"/>
            <w:tcBorders>
              <w:top w:val="dashSmallGap" w:sz="4" w:space="0" w:color="auto"/>
            </w:tcBorders>
          </w:tcPr>
          <w:p w:rsidR="00480B73" w:rsidRDefault="00480B73" w:rsidP="00264CE2">
            <w:pPr>
              <w:jc w:val="both"/>
              <w:rPr>
                <w:rFonts w:cs="Times New Roman"/>
                <w:sz w:val="16"/>
                <w:szCs w:val="16"/>
              </w:rPr>
            </w:pPr>
          </w:p>
        </w:tc>
        <w:tc>
          <w:tcPr>
            <w:tcW w:w="1702" w:type="dxa"/>
            <w:tcBorders>
              <w:top w:val="dashSmallGap" w:sz="4" w:space="0" w:color="auto"/>
            </w:tcBorders>
          </w:tcPr>
          <w:p w:rsidR="00480B73" w:rsidRDefault="00480B73" w:rsidP="00264CE2">
            <w:pPr>
              <w:jc w:val="both"/>
              <w:rPr>
                <w:rFonts w:cs="Times New Roman"/>
                <w:sz w:val="16"/>
                <w:szCs w:val="16"/>
              </w:rPr>
            </w:pPr>
          </w:p>
        </w:tc>
      </w:tr>
      <w:tr w:rsidR="00480B73" w:rsidRPr="00163B4B" w:rsidTr="00264CE2">
        <w:trPr>
          <w:trHeight w:val="70"/>
        </w:trPr>
        <w:tc>
          <w:tcPr>
            <w:tcW w:w="817" w:type="dxa"/>
          </w:tcPr>
          <w:p w:rsidR="00480B73" w:rsidRPr="00163B4B" w:rsidRDefault="00480B73" w:rsidP="00264CE2">
            <w:pPr>
              <w:jc w:val="both"/>
              <w:rPr>
                <w:rFonts w:cs="Times New Roman"/>
                <w:sz w:val="16"/>
                <w:szCs w:val="16"/>
              </w:rPr>
            </w:pPr>
            <w:r>
              <w:rPr>
                <w:rFonts w:cs="Times New Roman"/>
                <w:sz w:val="16"/>
                <w:szCs w:val="16"/>
              </w:rPr>
              <w:t xml:space="preserve">Dorlo et al. </w:t>
            </w:r>
            <w:r>
              <w:rPr>
                <w:rFonts w:cs="Times New Roman"/>
                <w:sz w:val="16"/>
                <w:szCs w:val="16"/>
              </w:rPr>
              <w:fldChar w:fldCharType="begin" w:fldLock="1"/>
            </w:r>
            <w:r>
              <w:rPr>
                <w:rFonts w:cs="Times New Roman"/>
                <w:sz w:val="16"/>
                <w:szCs w:val="16"/>
              </w:rPr>
              <w:instrText>ADDIN CSL_CITATION { "citationItems" : [ { "id" : "ITEM-1", "itemData" : { "DOI" : "10.1128/AAC.00014-08", "ISBN" : "1098-6596 (Electronic)", "ISSN" : "00664804", "PMID" : "18519729", "abstract" : "The pharmacokinetics of miltefosine in leishmaniasis patients are, to a great extent, unknown. We examined and characterized the pharmacokinetics of miltefosine in a group of patients with Old World (Leishmania major) cutaneous leishmaniasis. Miltefosine plasma concentrations were determined in samples taken during and up to 5 months after the end of treatment from 31 Dutch military personnel who contracted cutaneous leishmaniasis in Afghanistan and were treated with 150 mg miltefosine/day for 28 days. Samples were analyzed with a validated liquid chromatography-tandem mass spectrometry assay with a lower limit of quantification (LLOQ) of 4 ng/ml. Population pharmacokinetic modeling was performed with nonlinear mixed-effect modeling, using NONMEM. The pharmacokinetics of miltefosine could best be described by an open two-compartment disposition model, with a first elimination half-life of 7.05 days and a terminal elimination half-life of 30.9 days. The median concentration in the last week of treatment (days 22 to 28) was 30,800 ng/ml. The maximum duration of follow-up was 202 days after the start of treatment. All analyzed samples contained a concentration above the LLOQ. Miltefosine is eliminated from the body much slower than previously thought and is therefore still detectable in human plasma samples taken 5 to 6 months after the end of treatment. The presence of subtherapeutic miltefosine concentrations in the blood beyond 5 months after treatment might contribute to the selection of resistant parasites, and moreover, the measures for preventing the teratogenic risks of miltefosine treatment should be reconsidered.", "author" : [ { "dropping-particle" : "", "family" : "Dorlo", "given" : "Thomas P C", "non-dropping-particle" : "", "parse-names" : false, "suffix" : "" }, { "dropping-particle" : "", "family" : "Thiel", "given" : "Pieter P A M", "non-dropping-particle" : "Van", "parse-names" : false, "suffix" : "" }, { "dropping-particle" : "", "family" : "Huitema", "given" : "Alwin D R", "non-dropping-particle" : "", "parse-names" : false, "suffix" : "" }, { "dropping-particle" : "", "family" : "Keizer", "given" : "Ron J.", "non-dropping-particle" : "", "parse-names" : false, "suffix" : "" }, { "dropping-particle" : "", "family" : "Vries", "given" : "Henry J C", "non-dropping-particle" : "De", "parse-names" : false, "suffix" : "" }, { "dropping-particle" : "", "family" : "Beijnen", "given" : "Jos H.", "non-dropping-particle" : "", "parse-names" : false, "suffix" : "" }, { "dropping-particle" : "", "family" : "Vries", "given" : "Peter J.", "non-dropping-particle" : "De", "parse-names" : false, "suffix" : "" } ], "container-title" : "Antimicrobial Agents and Chemotherapy", "id" : "ITEM-1", "issue" : "8", "issued" : { "date-parts" : [ [ "2008" ] ] }, "page" : "2855-2860", "title" : "Pharmacokinetics of miltefosine in old world cutaneous leishmaniasis patients", "type" : "article-journal", "volume" : "52" }, "uris" : [ "http://www.mendeley.com/documents/?uuid=6ee76ddb-9d48-4286-9c18-7b8f36be6af6" ] } ], "mendeley" : { "formattedCitation" : "[70]", "plainTextFormattedCitation" : "[70]", "previouslyFormattedCitation" : "[70]"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[70]</w:t>
            </w:r>
            <w:r>
              <w:rPr>
                <w:rFonts w:cs="Times New Roman"/>
                <w:sz w:val="16"/>
                <w:szCs w:val="16"/>
              </w:rPr>
              <w:fldChar w:fldCharType="end"/>
            </w:r>
          </w:p>
        </w:tc>
        <w:tc>
          <w:tcPr>
            <w:tcW w:w="1843" w:type="dxa"/>
          </w:tcPr>
          <w:p w:rsidR="00480B73" w:rsidRPr="00163B4B" w:rsidRDefault="00480B73" w:rsidP="00264CE2">
            <w:pPr>
              <w:jc w:val="both"/>
              <w:rPr>
                <w:rFonts w:cs="Times New Roman"/>
                <w:sz w:val="16"/>
                <w:szCs w:val="16"/>
              </w:rPr>
            </w:pPr>
            <w:r>
              <w:rPr>
                <w:rFonts w:cs="Times New Roman"/>
                <w:sz w:val="16"/>
                <w:szCs w:val="16"/>
              </w:rPr>
              <w:t>Old World CL patients</w:t>
            </w:r>
          </w:p>
        </w:tc>
        <w:tc>
          <w:tcPr>
            <w:tcW w:w="1086" w:type="dxa"/>
          </w:tcPr>
          <w:p w:rsidR="00480B73" w:rsidRPr="00163B4B" w:rsidRDefault="00480B73" w:rsidP="00264CE2">
            <w:pPr>
              <w:jc w:val="both"/>
              <w:rPr>
                <w:rFonts w:cs="Times New Roman"/>
                <w:sz w:val="16"/>
                <w:szCs w:val="16"/>
              </w:rPr>
            </w:pPr>
            <w:r>
              <w:rPr>
                <w:rFonts w:cs="Times New Roman"/>
                <w:sz w:val="16"/>
                <w:szCs w:val="16"/>
              </w:rPr>
              <w:t>The Netherlands</w:t>
            </w:r>
          </w:p>
        </w:tc>
        <w:tc>
          <w:tcPr>
            <w:tcW w:w="851" w:type="dxa"/>
          </w:tcPr>
          <w:p w:rsidR="00480B73" w:rsidRPr="00163B4B" w:rsidRDefault="00480B73" w:rsidP="00264CE2">
            <w:pPr>
              <w:jc w:val="both"/>
              <w:rPr>
                <w:rFonts w:cs="Times New Roman"/>
                <w:sz w:val="16"/>
                <w:szCs w:val="16"/>
              </w:rPr>
            </w:pPr>
            <w:r>
              <w:rPr>
                <w:rFonts w:cs="Times New Roman"/>
                <w:sz w:val="16"/>
                <w:szCs w:val="16"/>
              </w:rPr>
              <w:t>31</w:t>
            </w:r>
          </w:p>
        </w:tc>
        <w:tc>
          <w:tcPr>
            <w:tcW w:w="1024" w:type="dxa"/>
          </w:tcPr>
          <w:p w:rsidR="00480B73" w:rsidRDefault="00480B73" w:rsidP="00264CE2">
            <w:pPr>
              <w:jc w:val="both"/>
              <w:rPr>
                <w:rFonts w:cs="Times New Roman"/>
                <w:sz w:val="16"/>
                <w:szCs w:val="16"/>
              </w:rPr>
            </w:pPr>
            <w:r>
              <w:rPr>
                <w:rFonts w:cs="Times New Roman"/>
                <w:sz w:val="16"/>
                <w:szCs w:val="16"/>
              </w:rPr>
              <w:t>24 (19-49)</w:t>
            </w:r>
          </w:p>
          <w:p w:rsidR="00480B73" w:rsidRPr="00524568" w:rsidRDefault="00480B73" w:rsidP="00264CE2">
            <w:pPr>
              <w:jc w:val="both"/>
              <w:rPr>
                <w:rFonts w:cs="Times New Roman"/>
                <w:sz w:val="16"/>
                <w:szCs w:val="16"/>
              </w:rPr>
            </w:pPr>
          </w:p>
        </w:tc>
        <w:tc>
          <w:tcPr>
            <w:tcW w:w="1134" w:type="dxa"/>
          </w:tcPr>
          <w:p w:rsidR="00480B73" w:rsidRDefault="00480B73" w:rsidP="00264CE2">
            <w:pPr>
              <w:jc w:val="both"/>
              <w:rPr>
                <w:rFonts w:cs="Times New Roman"/>
                <w:sz w:val="16"/>
                <w:szCs w:val="16"/>
              </w:rPr>
            </w:pPr>
            <w:r>
              <w:rPr>
                <w:rFonts w:cs="Times New Roman"/>
                <w:sz w:val="16"/>
                <w:szCs w:val="16"/>
              </w:rPr>
              <w:t>85 (70-113)</w:t>
            </w:r>
          </w:p>
          <w:p w:rsidR="00480B73" w:rsidRPr="00163B4B" w:rsidRDefault="00480B73" w:rsidP="00264CE2">
            <w:pPr>
              <w:jc w:val="both"/>
              <w:rPr>
                <w:rFonts w:cs="Times New Roman"/>
                <w:sz w:val="16"/>
                <w:szCs w:val="16"/>
              </w:rPr>
            </w:pPr>
          </w:p>
        </w:tc>
        <w:tc>
          <w:tcPr>
            <w:tcW w:w="850" w:type="dxa"/>
          </w:tcPr>
          <w:p w:rsidR="00480B73" w:rsidRPr="00163B4B" w:rsidRDefault="00480B73" w:rsidP="00264CE2">
            <w:pPr>
              <w:jc w:val="both"/>
              <w:rPr>
                <w:rFonts w:cs="Times New Roman"/>
                <w:sz w:val="16"/>
                <w:szCs w:val="16"/>
              </w:rPr>
            </w:pPr>
            <w:r>
              <w:rPr>
                <w:rFonts w:cs="Times New Roman"/>
                <w:sz w:val="16"/>
                <w:szCs w:val="16"/>
              </w:rPr>
              <w:t>97%</w:t>
            </w:r>
          </w:p>
        </w:tc>
        <w:tc>
          <w:tcPr>
            <w:tcW w:w="851" w:type="dxa"/>
          </w:tcPr>
          <w:p w:rsidR="00480B73" w:rsidRPr="00163B4B" w:rsidRDefault="00480B73" w:rsidP="00264CE2">
            <w:pPr>
              <w:jc w:val="both"/>
              <w:rPr>
                <w:rFonts w:cs="Times New Roman"/>
                <w:sz w:val="16"/>
                <w:szCs w:val="16"/>
              </w:rPr>
            </w:pPr>
            <w:r>
              <w:rPr>
                <w:rFonts w:cs="Times New Roman"/>
                <w:sz w:val="16"/>
                <w:szCs w:val="16"/>
              </w:rPr>
              <w:t>Impavido</w:t>
            </w:r>
          </w:p>
        </w:tc>
        <w:tc>
          <w:tcPr>
            <w:tcW w:w="708" w:type="dxa"/>
          </w:tcPr>
          <w:p w:rsidR="00480B73" w:rsidRPr="00163B4B" w:rsidRDefault="00480B73" w:rsidP="00264CE2">
            <w:pPr>
              <w:jc w:val="both"/>
              <w:rPr>
                <w:rFonts w:cs="Times New Roman"/>
                <w:sz w:val="16"/>
                <w:szCs w:val="16"/>
              </w:rPr>
            </w:pPr>
            <w:r>
              <w:rPr>
                <w:rFonts w:cs="Times New Roman"/>
                <w:sz w:val="16"/>
                <w:szCs w:val="16"/>
              </w:rPr>
              <w:t>Oral</w:t>
            </w:r>
          </w:p>
        </w:tc>
        <w:tc>
          <w:tcPr>
            <w:tcW w:w="1134" w:type="dxa"/>
          </w:tcPr>
          <w:p w:rsidR="00480B73" w:rsidRPr="00163B4B" w:rsidRDefault="00480B73" w:rsidP="00264CE2">
            <w:pPr>
              <w:jc w:val="both"/>
              <w:rPr>
                <w:rFonts w:cs="Times New Roman"/>
                <w:sz w:val="16"/>
                <w:szCs w:val="16"/>
              </w:rPr>
            </w:pPr>
            <w:r>
              <w:rPr>
                <w:rFonts w:cs="Times New Roman"/>
                <w:sz w:val="16"/>
                <w:szCs w:val="16"/>
              </w:rPr>
              <w:t>LC-MS/MS</w:t>
            </w:r>
          </w:p>
        </w:tc>
        <w:tc>
          <w:tcPr>
            <w:tcW w:w="850" w:type="dxa"/>
          </w:tcPr>
          <w:p w:rsidR="00480B73" w:rsidRPr="00163B4B" w:rsidRDefault="00480B73" w:rsidP="00264CE2">
            <w:pPr>
              <w:jc w:val="both"/>
              <w:rPr>
                <w:rFonts w:cs="Times New Roman"/>
                <w:sz w:val="16"/>
                <w:szCs w:val="16"/>
              </w:rPr>
            </w:pPr>
            <w:r>
              <w:rPr>
                <w:rFonts w:cs="Times New Roman"/>
                <w:sz w:val="16"/>
                <w:szCs w:val="16"/>
              </w:rPr>
              <w:t>0.004</w:t>
            </w:r>
          </w:p>
        </w:tc>
        <w:tc>
          <w:tcPr>
            <w:tcW w:w="1419" w:type="dxa"/>
          </w:tcPr>
          <w:p w:rsidR="00480B73" w:rsidRPr="00163B4B" w:rsidRDefault="00480B73" w:rsidP="00264CE2">
            <w:pPr>
              <w:jc w:val="both"/>
              <w:rPr>
                <w:rFonts w:cs="Times New Roman"/>
                <w:sz w:val="16"/>
                <w:szCs w:val="16"/>
              </w:rPr>
            </w:pPr>
            <w:r>
              <w:rPr>
                <w:rFonts w:cs="Times New Roman"/>
                <w:sz w:val="16"/>
                <w:szCs w:val="16"/>
              </w:rPr>
              <w:t>Compartmental (population-based)</w:t>
            </w:r>
          </w:p>
        </w:tc>
        <w:tc>
          <w:tcPr>
            <w:tcW w:w="1702" w:type="dxa"/>
          </w:tcPr>
          <w:p w:rsidR="00480B73" w:rsidRPr="00163B4B" w:rsidRDefault="00480B73" w:rsidP="00264CE2">
            <w:pPr>
              <w:jc w:val="both"/>
              <w:rPr>
                <w:rFonts w:cs="Times New Roman"/>
                <w:sz w:val="16"/>
                <w:szCs w:val="16"/>
              </w:rPr>
            </w:pPr>
            <w:r>
              <w:rPr>
                <w:rFonts w:cs="Times New Roman"/>
                <w:sz w:val="16"/>
                <w:szCs w:val="16"/>
              </w:rPr>
              <w:t>2-CMT, first order absorption</w:t>
            </w:r>
          </w:p>
        </w:tc>
      </w:tr>
      <w:tr w:rsidR="00480B73" w:rsidRPr="00163B4B" w:rsidTr="00264CE2">
        <w:trPr>
          <w:trHeight w:val="104"/>
        </w:trPr>
        <w:tc>
          <w:tcPr>
            <w:tcW w:w="817" w:type="dxa"/>
            <w:vMerge w:val="restart"/>
          </w:tcPr>
          <w:p w:rsidR="00480B73" w:rsidRDefault="00480B73" w:rsidP="00264CE2">
            <w:pPr>
              <w:jc w:val="both"/>
              <w:rPr>
                <w:rFonts w:cs="Times New Roman"/>
                <w:sz w:val="16"/>
                <w:szCs w:val="16"/>
              </w:rPr>
            </w:pPr>
            <w:r>
              <w:rPr>
                <w:rFonts w:cs="Times New Roman"/>
                <w:sz w:val="16"/>
                <w:szCs w:val="16"/>
              </w:rPr>
              <w:t xml:space="preserve">Dorlo et al. </w:t>
            </w:r>
            <w:r>
              <w:rPr>
                <w:rFonts w:cs="Times New Roman"/>
                <w:sz w:val="16"/>
                <w:szCs w:val="16"/>
              </w:rPr>
              <w:fldChar w:fldCharType="begin" w:fldLock="1"/>
            </w:r>
            <w:r>
              <w:rPr>
                <w:rFonts w:cs="Times New Roman"/>
                <w:sz w:val="16"/>
                <w:szCs w:val="16"/>
              </w:rPr>
              <w:instrText>ADDIN CSL_CITATION { "citationItems" : [ { "id" : "ITEM-1", "itemData" : { "DOI" : "10.1128/AAC.00292-12", "ISBN" : "0066-4804", "ISSN" : "00664804", "PMID" : "22585212", "abstract" : "Only anecdotal data are available on the pharmacokinetics (PK) of miltefosine in children suffering from visceral leishmaniasis (VL). While failure rates were higher in children with VL, steady-state concentrations appeared lower than those seen with adults. We hypothesized that the current linear dosage (in milligrams per kilogram of body weight) is too low for children and that a new dosing algorithm based on an appropriate body size model would result in an optimal exposure. A population PK analysis was performed on three historic pooled data sets, including Indian children, Indian adults, and European adults. Linear and allometric scaling of PK parameters by either body weight or fat-free mass (FFM) was evaluated for body size models. Based on the developed PK model, a dosing algorithm for miltefosine in children and adults was proposed and evaluated in silico. The population PK model employing allometric scaling fitted best to the pooled miltefosine data. Allometric scaling by FFM reduced between-subject variability, e.g., for drug clearance, from 49.6% to 32.1%. A new allometric miltefosine dosing algorithm was proposed. Exposure to miltefosine was lower in children than adults receiving 2.5 mg/kg/day: a C(max) of 18.8 \u03bcg/ml was reached by 90% of adults and 66.7% of children. The allometric daily dose resulted in similar levels of exposure to miltefosine for adults and children. The use of a new allometric dosing algorithm for miltefosine in VL patients results in optimal exposure to miltefosine in both adults and children and might improve clinical outcome in children.", "author" : [ { "dropping-particle" : "", "family" : "Dorlo", "given" : "Thomas P C", "non-dropping-particle" : "", "parse-names" : false, "suffix" : "" }, { "dropping-particle" : "", "family" : "Huitema", "given" : "Alwin D R", "non-dropping-particle" : "", "parse-names" : false, "suffix" : "" }, { "dropping-particle" : "", "family" : "Beijnen", "given" : "Jos H.", "non-dropping-particle" : "", "parse-names" : false, "suffix" : "" }, { "dropping-particle" : "", "family" : "Vries", "given" : "Peter J.", "non-dropping-particle" : "De", "parse-names" : false, "suffix" : "" } ], "container-title" : "Antimicrobial Agents and Chemotherapy", "id" : "ITEM-1", "issue" : "7", "issued" : { "date-parts" : [ [ "2012" ] ] }, "page" : "3864-3872", "title" : "Optimal dosing of miltefosine in children and adults with visceral leishmaniasis", "type" : "article-journal", "volume" : "56" }, "uris" : [ "http://www.mendeley.com/documents/?uuid=00fdc24b-a60a-496f-a7ec-5592da93362e" ] } ], "mendeley" : { "formattedCitation" : "[71]", "plainTextFormattedCitation" : "[71]", "previouslyFormattedCitation" : "[71]"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[71]</w:t>
            </w:r>
            <w:r>
              <w:rPr>
                <w:rFonts w:cs="Times New Roman"/>
                <w:sz w:val="16"/>
                <w:szCs w:val="16"/>
              </w:rPr>
              <w:fldChar w:fldCharType="end"/>
            </w:r>
          </w:p>
        </w:tc>
        <w:tc>
          <w:tcPr>
            <w:tcW w:w="1843" w:type="dxa"/>
            <w:tcBorders>
              <w:bottom w:val="dashSmallGap" w:sz="4" w:space="0" w:color="auto"/>
            </w:tcBorders>
          </w:tcPr>
          <w:p w:rsidR="00480B73" w:rsidRDefault="00480B73" w:rsidP="00264CE2">
            <w:pPr>
              <w:jc w:val="both"/>
              <w:rPr>
                <w:rFonts w:cs="Times New Roman"/>
                <w:sz w:val="16"/>
                <w:szCs w:val="16"/>
              </w:rPr>
            </w:pPr>
          </w:p>
        </w:tc>
        <w:tc>
          <w:tcPr>
            <w:tcW w:w="1086" w:type="dxa"/>
            <w:tcBorders>
              <w:bottom w:val="dashSmallGap" w:sz="4" w:space="0" w:color="auto"/>
            </w:tcBorders>
          </w:tcPr>
          <w:p w:rsidR="00480B73" w:rsidRDefault="00480B73" w:rsidP="00264CE2">
            <w:pPr>
              <w:jc w:val="both"/>
              <w:rPr>
                <w:rFonts w:cs="Times New Roman"/>
                <w:sz w:val="16"/>
                <w:szCs w:val="16"/>
              </w:rPr>
            </w:pPr>
          </w:p>
        </w:tc>
        <w:tc>
          <w:tcPr>
            <w:tcW w:w="851" w:type="dxa"/>
            <w:tcBorders>
              <w:bottom w:val="dashSmallGap" w:sz="4" w:space="0" w:color="auto"/>
            </w:tcBorders>
          </w:tcPr>
          <w:p w:rsidR="00480B73" w:rsidRDefault="00480B73" w:rsidP="00264CE2">
            <w:pPr>
              <w:jc w:val="both"/>
              <w:rPr>
                <w:rFonts w:cs="Times New Roman"/>
                <w:sz w:val="16"/>
                <w:szCs w:val="16"/>
              </w:rPr>
            </w:pPr>
          </w:p>
        </w:tc>
        <w:tc>
          <w:tcPr>
            <w:tcW w:w="1024" w:type="dxa"/>
            <w:tcBorders>
              <w:bottom w:val="dashSmallGap" w:sz="4" w:space="0" w:color="auto"/>
            </w:tcBorders>
          </w:tcPr>
          <w:p w:rsidR="00480B73" w:rsidRDefault="00480B73" w:rsidP="00264CE2">
            <w:pPr>
              <w:jc w:val="both"/>
              <w:rPr>
                <w:rFonts w:cs="Times New Roman"/>
                <w:sz w:val="16"/>
                <w:szCs w:val="16"/>
              </w:rPr>
            </w:pPr>
          </w:p>
        </w:tc>
        <w:tc>
          <w:tcPr>
            <w:tcW w:w="1134" w:type="dxa"/>
            <w:tcBorders>
              <w:bottom w:val="dashSmallGap" w:sz="4" w:space="0" w:color="auto"/>
            </w:tcBorders>
          </w:tcPr>
          <w:p w:rsidR="00480B73" w:rsidRDefault="00480B73" w:rsidP="00264CE2">
            <w:pPr>
              <w:jc w:val="both"/>
              <w:rPr>
                <w:rFonts w:cs="Times New Roman"/>
                <w:sz w:val="16"/>
                <w:szCs w:val="16"/>
              </w:rPr>
            </w:pPr>
          </w:p>
        </w:tc>
        <w:tc>
          <w:tcPr>
            <w:tcW w:w="850" w:type="dxa"/>
            <w:tcBorders>
              <w:bottom w:val="dashSmallGap" w:sz="4" w:space="0" w:color="auto"/>
            </w:tcBorders>
          </w:tcPr>
          <w:p w:rsidR="00480B73" w:rsidRDefault="00480B73" w:rsidP="00264CE2">
            <w:pPr>
              <w:jc w:val="both"/>
              <w:rPr>
                <w:rFonts w:cs="Times New Roman"/>
                <w:sz w:val="16"/>
                <w:szCs w:val="16"/>
              </w:rPr>
            </w:pPr>
          </w:p>
        </w:tc>
        <w:tc>
          <w:tcPr>
            <w:tcW w:w="851" w:type="dxa"/>
            <w:tcBorders>
              <w:bottom w:val="dashSmallGap" w:sz="4" w:space="0" w:color="auto"/>
            </w:tcBorders>
          </w:tcPr>
          <w:p w:rsidR="00480B73" w:rsidRDefault="00480B73" w:rsidP="00264CE2">
            <w:pPr>
              <w:jc w:val="both"/>
              <w:rPr>
                <w:rFonts w:cs="Times New Roman"/>
                <w:sz w:val="16"/>
                <w:szCs w:val="16"/>
              </w:rPr>
            </w:pPr>
            <w:r>
              <w:rPr>
                <w:rFonts w:cs="Times New Roman"/>
                <w:sz w:val="16"/>
                <w:szCs w:val="16"/>
              </w:rPr>
              <w:t>Impavido</w:t>
            </w:r>
          </w:p>
        </w:tc>
        <w:tc>
          <w:tcPr>
            <w:tcW w:w="708" w:type="dxa"/>
            <w:tcBorders>
              <w:bottom w:val="dashSmallGap" w:sz="4" w:space="0" w:color="auto"/>
            </w:tcBorders>
          </w:tcPr>
          <w:p w:rsidR="00480B73" w:rsidRDefault="00480B73" w:rsidP="00264CE2">
            <w:pPr>
              <w:jc w:val="both"/>
              <w:rPr>
                <w:rFonts w:cs="Times New Roman"/>
                <w:sz w:val="16"/>
                <w:szCs w:val="16"/>
              </w:rPr>
            </w:pPr>
            <w:r>
              <w:rPr>
                <w:rFonts w:cs="Times New Roman"/>
                <w:sz w:val="16"/>
                <w:szCs w:val="16"/>
              </w:rPr>
              <w:t>Oral</w:t>
            </w:r>
          </w:p>
        </w:tc>
        <w:tc>
          <w:tcPr>
            <w:tcW w:w="1134" w:type="dxa"/>
            <w:tcBorders>
              <w:bottom w:val="dashSmallGap" w:sz="4" w:space="0" w:color="auto"/>
            </w:tcBorders>
          </w:tcPr>
          <w:p w:rsidR="00480B73" w:rsidRDefault="00480B73" w:rsidP="00264CE2">
            <w:pPr>
              <w:jc w:val="both"/>
              <w:rPr>
                <w:rFonts w:cs="Times New Roman"/>
                <w:sz w:val="16"/>
                <w:szCs w:val="16"/>
              </w:rPr>
            </w:pPr>
            <w:r>
              <w:rPr>
                <w:rFonts w:cs="Times New Roman"/>
                <w:sz w:val="16"/>
                <w:szCs w:val="16"/>
              </w:rPr>
              <w:t>LC-MS/MS</w:t>
            </w:r>
          </w:p>
        </w:tc>
        <w:tc>
          <w:tcPr>
            <w:tcW w:w="850" w:type="dxa"/>
            <w:tcBorders>
              <w:bottom w:val="dashSmallGap" w:sz="4" w:space="0" w:color="auto"/>
            </w:tcBorders>
          </w:tcPr>
          <w:p w:rsidR="00480B73" w:rsidRDefault="00480B73" w:rsidP="00264CE2">
            <w:pPr>
              <w:jc w:val="both"/>
              <w:rPr>
                <w:rFonts w:cs="Times New Roman"/>
                <w:sz w:val="16"/>
                <w:szCs w:val="16"/>
              </w:rPr>
            </w:pPr>
          </w:p>
        </w:tc>
        <w:tc>
          <w:tcPr>
            <w:tcW w:w="1419" w:type="dxa"/>
            <w:tcBorders>
              <w:bottom w:val="dashSmallGap" w:sz="4" w:space="0" w:color="auto"/>
            </w:tcBorders>
          </w:tcPr>
          <w:p w:rsidR="00480B73" w:rsidRDefault="00480B73" w:rsidP="00264CE2">
            <w:pPr>
              <w:jc w:val="both"/>
              <w:rPr>
                <w:rFonts w:cs="Times New Roman"/>
                <w:sz w:val="16"/>
                <w:szCs w:val="16"/>
              </w:rPr>
            </w:pPr>
            <w:r>
              <w:rPr>
                <w:rFonts w:cs="Times New Roman"/>
                <w:sz w:val="16"/>
                <w:szCs w:val="16"/>
              </w:rPr>
              <w:t>Compartmental (population-based)</w:t>
            </w:r>
          </w:p>
        </w:tc>
        <w:tc>
          <w:tcPr>
            <w:tcW w:w="1702" w:type="dxa"/>
            <w:tcBorders>
              <w:bottom w:val="dashSmallGap" w:sz="4" w:space="0" w:color="auto"/>
            </w:tcBorders>
          </w:tcPr>
          <w:p w:rsidR="00480B73" w:rsidRDefault="00480B73" w:rsidP="00264CE2">
            <w:pPr>
              <w:jc w:val="both"/>
              <w:rPr>
                <w:rFonts w:cs="Times New Roman"/>
                <w:sz w:val="16"/>
                <w:szCs w:val="16"/>
              </w:rPr>
            </w:pPr>
            <w:r>
              <w:rPr>
                <w:rFonts w:cs="Times New Roman"/>
                <w:sz w:val="16"/>
                <w:szCs w:val="16"/>
              </w:rPr>
              <w:t>2-CMT, first order absorption</w:t>
            </w:r>
          </w:p>
        </w:tc>
      </w:tr>
      <w:tr w:rsidR="00480B73" w:rsidRPr="00163B4B" w:rsidTr="00264CE2">
        <w:trPr>
          <w:trHeight w:val="104"/>
        </w:trPr>
        <w:tc>
          <w:tcPr>
            <w:tcW w:w="817" w:type="dxa"/>
            <w:vMerge/>
          </w:tcPr>
          <w:p w:rsidR="00480B73" w:rsidRPr="00163B4B" w:rsidRDefault="00480B73" w:rsidP="00264CE2">
            <w:pPr>
              <w:jc w:val="both"/>
              <w:rPr>
                <w:rFonts w:cs="Times New Roman"/>
                <w:sz w:val="16"/>
                <w:szCs w:val="16"/>
              </w:rPr>
            </w:pPr>
          </w:p>
        </w:tc>
        <w:tc>
          <w:tcPr>
            <w:tcW w:w="1843" w:type="dxa"/>
            <w:tcBorders>
              <w:bottom w:val="dashSmallGap" w:sz="4" w:space="0" w:color="auto"/>
            </w:tcBorders>
          </w:tcPr>
          <w:p w:rsidR="00480B73" w:rsidRPr="002131FF" w:rsidRDefault="00480B73" w:rsidP="00264CE2">
            <w:pPr>
              <w:jc w:val="both"/>
              <w:rPr>
                <w:rFonts w:cs="Times New Roman"/>
                <w:sz w:val="16"/>
                <w:szCs w:val="16"/>
                <w:vertAlign w:val="superscript"/>
              </w:rPr>
            </w:pPr>
            <w:r>
              <w:rPr>
                <w:rFonts w:cs="Times New Roman"/>
                <w:sz w:val="16"/>
                <w:szCs w:val="16"/>
              </w:rPr>
              <w:t>Pediatric Indian VL patients</w:t>
            </w:r>
          </w:p>
        </w:tc>
        <w:tc>
          <w:tcPr>
            <w:tcW w:w="1086" w:type="dxa"/>
            <w:tcBorders>
              <w:bottom w:val="dashSmallGap" w:sz="4" w:space="0" w:color="auto"/>
            </w:tcBorders>
          </w:tcPr>
          <w:p w:rsidR="00480B73" w:rsidRDefault="00480B73" w:rsidP="00264CE2">
            <w:pPr>
              <w:jc w:val="both"/>
              <w:rPr>
                <w:rFonts w:cs="Times New Roman"/>
                <w:sz w:val="16"/>
                <w:szCs w:val="16"/>
              </w:rPr>
            </w:pPr>
            <w:r>
              <w:rPr>
                <w:rFonts w:cs="Times New Roman"/>
                <w:sz w:val="16"/>
                <w:szCs w:val="16"/>
              </w:rPr>
              <w:t>India</w:t>
            </w:r>
          </w:p>
          <w:p w:rsidR="00480B73" w:rsidRPr="00163B4B" w:rsidRDefault="00480B73" w:rsidP="00264CE2">
            <w:pPr>
              <w:jc w:val="both"/>
              <w:rPr>
                <w:rFonts w:cs="Times New Roman"/>
                <w:sz w:val="16"/>
                <w:szCs w:val="16"/>
              </w:rPr>
            </w:pPr>
          </w:p>
        </w:tc>
        <w:tc>
          <w:tcPr>
            <w:tcW w:w="851"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39</w:t>
            </w:r>
          </w:p>
        </w:tc>
        <w:tc>
          <w:tcPr>
            <w:tcW w:w="1024"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7 (3-11)</w:t>
            </w:r>
          </w:p>
        </w:tc>
        <w:tc>
          <w:tcPr>
            <w:tcW w:w="1134"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15 (9-23)</w:t>
            </w:r>
          </w:p>
        </w:tc>
        <w:tc>
          <w:tcPr>
            <w:tcW w:w="850"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59%</w:t>
            </w:r>
          </w:p>
        </w:tc>
        <w:tc>
          <w:tcPr>
            <w:tcW w:w="851" w:type="dxa"/>
            <w:tcBorders>
              <w:bottom w:val="dashSmallGap" w:sz="4" w:space="0" w:color="auto"/>
            </w:tcBorders>
          </w:tcPr>
          <w:p w:rsidR="00480B73" w:rsidRPr="00163B4B" w:rsidRDefault="00480B73" w:rsidP="00264CE2">
            <w:pPr>
              <w:jc w:val="both"/>
              <w:rPr>
                <w:rFonts w:cs="Times New Roman"/>
                <w:sz w:val="16"/>
                <w:szCs w:val="16"/>
              </w:rPr>
            </w:pPr>
          </w:p>
        </w:tc>
        <w:tc>
          <w:tcPr>
            <w:tcW w:w="708" w:type="dxa"/>
            <w:tcBorders>
              <w:bottom w:val="dashSmallGap" w:sz="4" w:space="0" w:color="auto"/>
            </w:tcBorders>
          </w:tcPr>
          <w:p w:rsidR="00480B73" w:rsidRPr="00163B4B" w:rsidRDefault="00480B73" w:rsidP="00264CE2">
            <w:pPr>
              <w:jc w:val="both"/>
              <w:rPr>
                <w:rFonts w:cs="Times New Roman"/>
                <w:sz w:val="16"/>
                <w:szCs w:val="16"/>
              </w:rPr>
            </w:pPr>
          </w:p>
        </w:tc>
        <w:tc>
          <w:tcPr>
            <w:tcW w:w="1134" w:type="dxa"/>
            <w:tcBorders>
              <w:bottom w:val="dashSmallGap" w:sz="4" w:space="0" w:color="auto"/>
            </w:tcBorders>
          </w:tcPr>
          <w:p w:rsidR="00480B73" w:rsidRPr="00163B4B" w:rsidRDefault="00480B73" w:rsidP="00264CE2">
            <w:pPr>
              <w:jc w:val="both"/>
              <w:rPr>
                <w:rFonts w:cs="Times New Roman"/>
                <w:sz w:val="16"/>
                <w:szCs w:val="16"/>
              </w:rPr>
            </w:pPr>
          </w:p>
        </w:tc>
        <w:tc>
          <w:tcPr>
            <w:tcW w:w="850" w:type="dxa"/>
            <w:tcBorders>
              <w:bottom w:val="dashSmallGap" w:sz="4" w:space="0" w:color="auto"/>
            </w:tcBorders>
          </w:tcPr>
          <w:p w:rsidR="00480B73" w:rsidRPr="00163B4B" w:rsidRDefault="00480B73" w:rsidP="00264CE2">
            <w:pPr>
              <w:jc w:val="both"/>
              <w:rPr>
                <w:rFonts w:cs="Times New Roman"/>
                <w:sz w:val="16"/>
                <w:szCs w:val="16"/>
              </w:rPr>
            </w:pPr>
            <w:r>
              <w:rPr>
                <w:rFonts w:cs="Times New Roman"/>
                <w:sz w:val="16"/>
                <w:szCs w:val="16"/>
              </w:rPr>
              <w:t>0.005</w:t>
            </w:r>
          </w:p>
        </w:tc>
        <w:tc>
          <w:tcPr>
            <w:tcW w:w="1419" w:type="dxa"/>
            <w:tcBorders>
              <w:bottom w:val="dashSmallGap" w:sz="4" w:space="0" w:color="auto"/>
            </w:tcBorders>
          </w:tcPr>
          <w:p w:rsidR="00480B73" w:rsidRPr="00163B4B" w:rsidRDefault="00480B73" w:rsidP="00264CE2">
            <w:pPr>
              <w:jc w:val="both"/>
              <w:rPr>
                <w:rFonts w:cs="Times New Roman"/>
                <w:sz w:val="16"/>
                <w:szCs w:val="16"/>
              </w:rPr>
            </w:pPr>
          </w:p>
        </w:tc>
        <w:tc>
          <w:tcPr>
            <w:tcW w:w="1702" w:type="dxa"/>
            <w:tcBorders>
              <w:bottom w:val="dashSmallGap" w:sz="4" w:space="0" w:color="auto"/>
            </w:tcBorders>
          </w:tcPr>
          <w:p w:rsidR="00480B73" w:rsidRPr="00163B4B" w:rsidRDefault="00480B73" w:rsidP="00264CE2">
            <w:pPr>
              <w:jc w:val="both"/>
              <w:rPr>
                <w:rFonts w:cs="Times New Roman"/>
                <w:sz w:val="16"/>
                <w:szCs w:val="16"/>
              </w:rPr>
            </w:pPr>
          </w:p>
        </w:tc>
      </w:tr>
      <w:tr w:rsidR="00480B73" w:rsidRPr="00163B4B" w:rsidTr="00264CE2">
        <w:trPr>
          <w:trHeight w:val="116"/>
        </w:trPr>
        <w:tc>
          <w:tcPr>
            <w:tcW w:w="817" w:type="dxa"/>
            <w:vMerge/>
          </w:tcPr>
          <w:p w:rsidR="00480B73" w:rsidRDefault="00480B73" w:rsidP="00264CE2">
            <w:pPr>
              <w:jc w:val="both"/>
              <w:rPr>
                <w:rFonts w:cs="Times New Roman"/>
                <w:sz w:val="16"/>
                <w:szCs w:val="16"/>
              </w:rPr>
            </w:pPr>
          </w:p>
        </w:tc>
        <w:tc>
          <w:tcPr>
            <w:tcW w:w="1843"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Adult Indian VL patients</w:t>
            </w:r>
          </w:p>
          <w:p w:rsidR="00480B73" w:rsidRDefault="00480B73" w:rsidP="00264CE2">
            <w:pPr>
              <w:jc w:val="both"/>
              <w:rPr>
                <w:rFonts w:cs="Times New Roman"/>
                <w:sz w:val="16"/>
                <w:szCs w:val="16"/>
              </w:rPr>
            </w:pPr>
          </w:p>
        </w:tc>
        <w:tc>
          <w:tcPr>
            <w:tcW w:w="1086"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India</w:t>
            </w:r>
          </w:p>
          <w:p w:rsidR="00480B73" w:rsidRDefault="00480B73" w:rsidP="00264CE2">
            <w:pPr>
              <w:jc w:val="both"/>
              <w:rPr>
                <w:rFonts w:cs="Times New Roman"/>
                <w:sz w:val="16"/>
                <w:szCs w:val="16"/>
              </w:rPr>
            </w:pPr>
          </w:p>
        </w:tc>
        <w:tc>
          <w:tcPr>
            <w:tcW w:w="851"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40</w:t>
            </w:r>
          </w:p>
          <w:p w:rsidR="00480B73" w:rsidRDefault="00480B73" w:rsidP="00264CE2">
            <w:pPr>
              <w:jc w:val="both"/>
              <w:rPr>
                <w:rFonts w:cs="Times New Roman"/>
                <w:sz w:val="16"/>
                <w:szCs w:val="16"/>
              </w:rPr>
            </w:pPr>
          </w:p>
        </w:tc>
        <w:tc>
          <w:tcPr>
            <w:tcW w:w="1024"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19 (12-50)</w:t>
            </w:r>
          </w:p>
          <w:p w:rsidR="00480B73" w:rsidRDefault="00480B73" w:rsidP="00264CE2">
            <w:pPr>
              <w:jc w:val="both"/>
              <w:rPr>
                <w:rFonts w:cs="Times New Roman"/>
                <w:sz w:val="16"/>
                <w:szCs w:val="16"/>
              </w:rPr>
            </w:pPr>
          </w:p>
        </w:tc>
        <w:tc>
          <w:tcPr>
            <w:tcW w:w="1134"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36 (16-58)</w:t>
            </w:r>
          </w:p>
          <w:p w:rsidR="00480B73" w:rsidRDefault="00480B73" w:rsidP="00264CE2">
            <w:pPr>
              <w:jc w:val="both"/>
              <w:rPr>
                <w:rFonts w:cs="Times New Roman"/>
                <w:sz w:val="16"/>
                <w:szCs w:val="16"/>
              </w:rPr>
            </w:pPr>
          </w:p>
        </w:tc>
        <w:tc>
          <w:tcPr>
            <w:tcW w:w="850"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75%</w:t>
            </w:r>
          </w:p>
          <w:p w:rsidR="00480B73" w:rsidRDefault="00480B73" w:rsidP="00264CE2">
            <w:pPr>
              <w:jc w:val="both"/>
              <w:rPr>
                <w:rFonts w:cs="Times New Roman"/>
                <w:sz w:val="16"/>
                <w:szCs w:val="16"/>
              </w:rPr>
            </w:pPr>
          </w:p>
        </w:tc>
        <w:tc>
          <w:tcPr>
            <w:tcW w:w="851"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708"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1134"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850" w:type="dxa"/>
            <w:tcBorders>
              <w:top w:val="dashSmallGap" w:sz="4" w:space="0" w:color="auto"/>
              <w:bottom w:val="dashSmallGap" w:sz="4" w:space="0" w:color="auto"/>
            </w:tcBorders>
          </w:tcPr>
          <w:p w:rsidR="00480B73" w:rsidRDefault="00480B73" w:rsidP="00264CE2">
            <w:pPr>
              <w:jc w:val="both"/>
              <w:rPr>
                <w:rFonts w:cs="Times New Roman"/>
                <w:sz w:val="16"/>
                <w:szCs w:val="16"/>
              </w:rPr>
            </w:pPr>
            <w:r>
              <w:rPr>
                <w:rFonts w:cs="Times New Roman"/>
                <w:sz w:val="16"/>
                <w:szCs w:val="16"/>
              </w:rPr>
              <w:t>0.005</w:t>
            </w:r>
          </w:p>
        </w:tc>
        <w:tc>
          <w:tcPr>
            <w:tcW w:w="1419"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c>
          <w:tcPr>
            <w:tcW w:w="1702" w:type="dxa"/>
            <w:tcBorders>
              <w:top w:val="dashSmallGap" w:sz="4" w:space="0" w:color="auto"/>
              <w:bottom w:val="dashSmallGap" w:sz="4" w:space="0" w:color="auto"/>
            </w:tcBorders>
          </w:tcPr>
          <w:p w:rsidR="00480B73" w:rsidRDefault="00480B73" w:rsidP="00264CE2">
            <w:pPr>
              <w:jc w:val="both"/>
              <w:rPr>
                <w:rFonts w:cs="Times New Roman"/>
                <w:sz w:val="16"/>
                <w:szCs w:val="16"/>
              </w:rPr>
            </w:pPr>
          </w:p>
        </w:tc>
      </w:tr>
      <w:tr w:rsidR="00480B73" w:rsidRPr="00163B4B" w:rsidTr="00264CE2">
        <w:trPr>
          <w:trHeight w:val="60"/>
        </w:trPr>
        <w:tc>
          <w:tcPr>
            <w:tcW w:w="817" w:type="dxa"/>
            <w:vMerge/>
          </w:tcPr>
          <w:p w:rsidR="00480B73" w:rsidRDefault="00480B73" w:rsidP="00264CE2">
            <w:pPr>
              <w:jc w:val="both"/>
              <w:rPr>
                <w:rFonts w:cs="Times New Roman"/>
                <w:sz w:val="16"/>
                <w:szCs w:val="16"/>
              </w:rPr>
            </w:pPr>
          </w:p>
        </w:tc>
        <w:tc>
          <w:tcPr>
            <w:tcW w:w="1843"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Dutch adult CL patients</w:t>
            </w:r>
            <w:r>
              <w:rPr>
                <w:rFonts w:cs="Times New Roman"/>
                <w:sz w:val="16"/>
                <w:szCs w:val="16"/>
                <w:vertAlign w:val="superscript"/>
              </w:rPr>
              <w:t>a</w:t>
            </w:r>
          </w:p>
        </w:tc>
        <w:tc>
          <w:tcPr>
            <w:tcW w:w="1086"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The Netherlands</w:t>
            </w:r>
          </w:p>
        </w:tc>
        <w:tc>
          <w:tcPr>
            <w:tcW w:w="851"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31</w:t>
            </w:r>
          </w:p>
        </w:tc>
        <w:tc>
          <w:tcPr>
            <w:tcW w:w="1024"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24 (19-49)</w:t>
            </w:r>
          </w:p>
          <w:p w:rsidR="00480B73" w:rsidRDefault="00480B73" w:rsidP="00264CE2">
            <w:pPr>
              <w:jc w:val="both"/>
              <w:rPr>
                <w:rFonts w:cs="Times New Roman"/>
                <w:sz w:val="16"/>
                <w:szCs w:val="16"/>
              </w:rPr>
            </w:pPr>
          </w:p>
        </w:tc>
        <w:tc>
          <w:tcPr>
            <w:tcW w:w="1134"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85 (70-113)</w:t>
            </w:r>
          </w:p>
          <w:p w:rsidR="00480B73" w:rsidRDefault="00480B73" w:rsidP="00264CE2">
            <w:pPr>
              <w:jc w:val="both"/>
              <w:rPr>
                <w:rFonts w:cs="Times New Roman"/>
                <w:sz w:val="16"/>
                <w:szCs w:val="16"/>
              </w:rPr>
            </w:pPr>
          </w:p>
        </w:tc>
        <w:tc>
          <w:tcPr>
            <w:tcW w:w="850"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97%</w:t>
            </w:r>
          </w:p>
          <w:p w:rsidR="00480B73" w:rsidRDefault="00480B73" w:rsidP="00264CE2">
            <w:pPr>
              <w:jc w:val="both"/>
              <w:rPr>
                <w:rFonts w:cs="Times New Roman"/>
                <w:sz w:val="16"/>
                <w:szCs w:val="16"/>
              </w:rPr>
            </w:pPr>
          </w:p>
        </w:tc>
        <w:tc>
          <w:tcPr>
            <w:tcW w:w="851" w:type="dxa"/>
            <w:tcBorders>
              <w:top w:val="dashSmallGap" w:sz="4" w:space="0" w:color="auto"/>
            </w:tcBorders>
          </w:tcPr>
          <w:p w:rsidR="00480B73" w:rsidRDefault="00480B73" w:rsidP="00264CE2">
            <w:pPr>
              <w:jc w:val="both"/>
              <w:rPr>
                <w:rFonts w:cs="Times New Roman"/>
                <w:sz w:val="16"/>
                <w:szCs w:val="16"/>
              </w:rPr>
            </w:pPr>
          </w:p>
        </w:tc>
        <w:tc>
          <w:tcPr>
            <w:tcW w:w="708" w:type="dxa"/>
            <w:tcBorders>
              <w:top w:val="dashSmallGap" w:sz="4" w:space="0" w:color="auto"/>
            </w:tcBorders>
          </w:tcPr>
          <w:p w:rsidR="00480B73" w:rsidRDefault="00480B73" w:rsidP="00264CE2">
            <w:pPr>
              <w:jc w:val="both"/>
              <w:rPr>
                <w:rFonts w:cs="Times New Roman"/>
                <w:sz w:val="16"/>
                <w:szCs w:val="16"/>
              </w:rPr>
            </w:pPr>
          </w:p>
        </w:tc>
        <w:tc>
          <w:tcPr>
            <w:tcW w:w="1134" w:type="dxa"/>
            <w:tcBorders>
              <w:top w:val="dashSmallGap" w:sz="4" w:space="0" w:color="auto"/>
            </w:tcBorders>
          </w:tcPr>
          <w:p w:rsidR="00480B73" w:rsidRDefault="00480B73" w:rsidP="00264CE2">
            <w:pPr>
              <w:jc w:val="both"/>
              <w:rPr>
                <w:rFonts w:cs="Times New Roman"/>
                <w:sz w:val="16"/>
                <w:szCs w:val="16"/>
              </w:rPr>
            </w:pPr>
          </w:p>
        </w:tc>
        <w:tc>
          <w:tcPr>
            <w:tcW w:w="850" w:type="dxa"/>
            <w:tcBorders>
              <w:top w:val="dashSmallGap" w:sz="4" w:space="0" w:color="auto"/>
            </w:tcBorders>
          </w:tcPr>
          <w:p w:rsidR="00480B73" w:rsidRDefault="00480B73" w:rsidP="00264CE2">
            <w:pPr>
              <w:jc w:val="both"/>
              <w:rPr>
                <w:rFonts w:cs="Times New Roman"/>
                <w:sz w:val="16"/>
                <w:szCs w:val="16"/>
              </w:rPr>
            </w:pPr>
            <w:r>
              <w:rPr>
                <w:rFonts w:cs="Times New Roman"/>
                <w:sz w:val="16"/>
                <w:szCs w:val="16"/>
              </w:rPr>
              <w:t>0.004</w:t>
            </w:r>
          </w:p>
        </w:tc>
        <w:tc>
          <w:tcPr>
            <w:tcW w:w="1419" w:type="dxa"/>
            <w:tcBorders>
              <w:top w:val="dashSmallGap" w:sz="4" w:space="0" w:color="auto"/>
            </w:tcBorders>
          </w:tcPr>
          <w:p w:rsidR="00480B73" w:rsidRDefault="00480B73" w:rsidP="00264CE2">
            <w:pPr>
              <w:jc w:val="both"/>
              <w:rPr>
                <w:rFonts w:cs="Times New Roman"/>
                <w:sz w:val="16"/>
                <w:szCs w:val="16"/>
              </w:rPr>
            </w:pPr>
          </w:p>
        </w:tc>
        <w:tc>
          <w:tcPr>
            <w:tcW w:w="1702" w:type="dxa"/>
            <w:tcBorders>
              <w:top w:val="dashSmallGap" w:sz="4" w:space="0" w:color="auto"/>
            </w:tcBorders>
          </w:tcPr>
          <w:p w:rsidR="00480B73" w:rsidRDefault="00480B73" w:rsidP="00264CE2">
            <w:pPr>
              <w:jc w:val="both"/>
              <w:rPr>
                <w:rFonts w:cs="Times New Roman"/>
                <w:sz w:val="16"/>
                <w:szCs w:val="16"/>
              </w:rPr>
            </w:pPr>
          </w:p>
        </w:tc>
      </w:tr>
      <w:tr w:rsidR="00480B73" w:rsidRPr="00163B4B" w:rsidTr="00264CE2">
        <w:trPr>
          <w:trHeight w:val="60"/>
        </w:trPr>
        <w:tc>
          <w:tcPr>
            <w:tcW w:w="817"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 xml:space="preserve">Dorlo et al. </w:t>
            </w:r>
            <w:r>
              <w:rPr>
                <w:rFonts w:cs="Times New Roman"/>
                <w:sz w:val="16"/>
                <w:szCs w:val="16"/>
              </w:rPr>
              <w:fldChar w:fldCharType="begin" w:fldLock="1"/>
            </w:r>
            <w:r>
              <w:rPr>
                <w:rFonts w:cs="Times New Roman"/>
                <w:sz w:val="16"/>
                <w:szCs w:val="16"/>
              </w:rPr>
              <w:instrText>ADDIN CSL_CITATION { "citationItems" : [ { "id" : "ITEM-1", "itemData" : { "DOI" : "10.1093/infdis/jiu039", "ISSN" : "15376613", "PMID" : "24443541", "abstract" : "Background.\u2003Recent reports indicated high miltefosine treatment failure rates for visceral leishmaniasis (VL) on the Indian subcontinent. To further explore the pharmacological factors associated with these treatment failures, a population pharmacokinetic-pharmacodynamic study was performed to examine the relationship between miltefosine drug exposure and treatment failure in a cohort of Nepalese patients with VL.Methods.\u2003Miltefosine steady-state blood concentrations at the end of treatment were analyzed using liquid chromatography tandem mass spectrometry. A population pharmacokinetic-pharmacodynamic analysis was performed using nonlinear mixed-effects modeling and a logistic regression model. Individual estimates of miltefosine exposure were explored for their relationship with treatment failure.Results.\u2003The overall probability of treatment failure was 21%. The time that the blood concentration was &gt;10 times the half maximal effective concentration of miltefosine (median, 30.2 days) was significantly associated with treatment failure: each 1-day decrease in miltefosine exposure was associated with a 1.08-fold (95% confidence interval, 1.01-1.17) increased odds of treatment failure.Conclusions.\u2003Achieving a sufficient exposure to miltefosine is a significant and critical factor for VL treatment success, suggesting an urgent need to evaluate the recently proposed optimal allometric miltefosine dosing regimen. This study establishes the first evidence for a drug exposure-effect relationship for miltefosine in the treatment of VL.", "author" : [ { "dropping-particle" : "", "family" : "Dorlo", "given" : "Thomas P C", "non-dropping-particle" : "", "parse-names" : false, "suffix" : "" }, { "dropping-particle" : "", "family" : "Rijal", "given" : "Suman", "non-dropping-particle" : "", "parse-names" : false, "suffix" : "" }, { "dropping-particle" : "", "family" : "Ostyn", "given" : "Bart", "non-dropping-particle" : "", "parse-names" : false, "suffix" : "" }, { "dropping-particle" : "", "family" : "Vries", "given" : "Peter J.", "non-dropping-particle" : "De", "parse-names" : false, "suffix" : "" }, { "dropping-particle" : "", "family" : "Singh", "given" : "Rupa", "non-dropping-particle" : "", "parse-names" : false, "suffix" : "" }, { "dropping-particle" : "", "family" : "Bhattarai", "given" : "Narayan", "non-dropping-particle" : "", "parse-names" : false, "suffix" : "" }, { "dropping-particle" : "", "family" : "Uranw", "given" : "Surendra", "non-dropping-particle" : "", "parse-names" : false, "suffix" : "" }, { "dropping-particle" : "", "family" : "Dujardin", "given" : "Jean Claude", "non-dropping-particle" : "", "parse-names" : false, "suffix" : "" }, { "dropping-particle" : "", "family" : "Boelaert", "given" : "Marleen", "non-dropping-particle" : "", "parse-names" : false, "suffix" : "" }, { "dropping-particle" : "", "family" : "Beijnen", "given" : "Jos H.", "non-dropping-particle" : "", "parse-names" : false, "suffix" : "" }, { "dropping-particle" : "", "family" : "Huitema", "given" : "Alwin D R", "non-dropping-particle" : "", "parse-names" : false, "suffix" : "" } ], "container-title" : "Journal of Infectious Diseases", "id" : "ITEM-1", "issue" : "1", "issued" : { "date-parts" : [ [ "2014" ] ] }, "page" : "146-153", "title" : "Failure of miltefosine in visceral leishmaniasis is associated with low drug exposure", "type" : "article-journal", "volume" : "210" }, "uris" : [ "http://www.mendeley.com/documents/?uuid=4b625963-dc1e-4dac-9e89-2b27f388828d" ] } ], "mendeley" : { "formattedCitation" : "[72]", "plainTextFormattedCitation" : "[72]", "previouslyFormattedCitation" : "[72]"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[72]</w:t>
            </w:r>
            <w:r>
              <w:rPr>
                <w:rFonts w:cs="Times New Roman"/>
                <w:sz w:val="16"/>
                <w:szCs w:val="16"/>
              </w:rPr>
              <w:fldChar w:fldCharType="end"/>
            </w:r>
          </w:p>
        </w:tc>
        <w:tc>
          <w:tcPr>
            <w:tcW w:w="1843" w:type="dxa"/>
            <w:tcBorders>
              <w:bottom w:val="single" w:sz="4" w:space="0" w:color="auto"/>
            </w:tcBorders>
          </w:tcPr>
          <w:p w:rsidR="00480B73" w:rsidRDefault="00480B73" w:rsidP="00264CE2">
            <w:pPr>
              <w:jc w:val="both"/>
              <w:rPr>
                <w:rFonts w:cs="Times New Roman"/>
                <w:sz w:val="16"/>
                <w:szCs w:val="16"/>
              </w:rPr>
            </w:pPr>
            <w:r>
              <w:rPr>
                <w:rFonts w:cs="Times New Roman"/>
                <w:sz w:val="16"/>
                <w:szCs w:val="16"/>
              </w:rPr>
              <w:t>VL patients</w:t>
            </w:r>
          </w:p>
          <w:p w:rsidR="00480B73" w:rsidRPr="00032270" w:rsidRDefault="00480B73" w:rsidP="00264CE2">
            <w:pPr>
              <w:jc w:val="both"/>
              <w:rPr>
                <w:rFonts w:cs="Times New Roman"/>
                <w:sz w:val="16"/>
                <w:szCs w:val="16"/>
              </w:rPr>
            </w:pPr>
          </w:p>
        </w:tc>
        <w:tc>
          <w:tcPr>
            <w:tcW w:w="1086"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Nepal</w:t>
            </w:r>
          </w:p>
        </w:tc>
        <w:tc>
          <w:tcPr>
            <w:tcW w:w="851"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81</w:t>
            </w:r>
            <w:r>
              <w:rPr>
                <w:rFonts w:cs="Times New Roman"/>
                <w:sz w:val="16"/>
                <w:szCs w:val="16"/>
                <w:vertAlign w:val="superscript"/>
              </w:rPr>
              <w:t>b</w:t>
            </w:r>
          </w:p>
        </w:tc>
        <w:tc>
          <w:tcPr>
            <w:tcW w:w="1024" w:type="dxa"/>
            <w:tcBorders>
              <w:bottom w:val="single" w:sz="4" w:space="0" w:color="auto"/>
            </w:tcBorders>
          </w:tcPr>
          <w:p w:rsidR="00480B73" w:rsidRDefault="00480B73" w:rsidP="00264CE2">
            <w:pPr>
              <w:jc w:val="both"/>
              <w:rPr>
                <w:rFonts w:cs="Times New Roman"/>
                <w:sz w:val="16"/>
                <w:szCs w:val="16"/>
              </w:rPr>
            </w:pPr>
            <w:r>
              <w:rPr>
                <w:rFonts w:cs="Times New Roman"/>
                <w:sz w:val="16"/>
                <w:szCs w:val="16"/>
              </w:rPr>
              <w:t>20 (2-65)</w:t>
            </w:r>
          </w:p>
          <w:p w:rsidR="00480B73" w:rsidRPr="00163B4B" w:rsidRDefault="00480B73" w:rsidP="00264CE2">
            <w:pPr>
              <w:jc w:val="both"/>
              <w:rPr>
                <w:rFonts w:cs="Times New Roman"/>
                <w:sz w:val="16"/>
                <w:szCs w:val="16"/>
              </w:rPr>
            </w:pPr>
          </w:p>
        </w:tc>
        <w:tc>
          <w:tcPr>
            <w:tcW w:w="1134" w:type="dxa"/>
            <w:tcBorders>
              <w:bottom w:val="single" w:sz="4" w:space="0" w:color="auto"/>
            </w:tcBorders>
          </w:tcPr>
          <w:p w:rsidR="00480B73" w:rsidRDefault="00480B73" w:rsidP="00264CE2">
            <w:pPr>
              <w:jc w:val="both"/>
              <w:rPr>
                <w:rFonts w:cs="Times New Roman"/>
                <w:sz w:val="16"/>
                <w:szCs w:val="16"/>
              </w:rPr>
            </w:pPr>
            <w:r>
              <w:rPr>
                <w:rFonts w:cs="Times New Roman"/>
                <w:sz w:val="16"/>
                <w:szCs w:val="16"/>
              </w:rPr>
              <w:t>40 (8-56)</w:t>
            </w:r>
          </w:p>
          <w:p w:rsidR="00480B73" w:rsidRPr="00163B4B" w:rsidRDefault="00480B73" w:rsidP="00264CE2">
            <w:pPr>
              <w:jc w:val="both"/>
              <w:rPr>
                <w:rFonts w:cs="Times New Roman"/>
                <w:sz w:val="16"/>
                <w:szCs w:val="16"/>
              </w:rPr>
            </w:pPr>
          </w:p>
        </w:tc>
        <w:tc>
          <w:tcPr>
            <w:tcW w:w="850"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62%</w:t>
            </w:r>
          </w:p>
        </w:tc>
        <w:tc>
          <w:tcPr>
            <w:tcW w:w="851"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Impavido</w:t>
            </w:r>
          </w:p>
        </w:tc>
        <w:tc>
          <w:tcPr>
            <w:tcW w:w="708"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Oral</w:t>
            </w:r>
          </w:p>
        </w:tc>
        <w:tc>
          <w:tcPr>
            <w:tcW w:w="1134"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LC-MS/MS</w:t>
            </w:r>
          </w:p>
        </w:tc>
        <w:tc>
          <w:tcPr>
            <w:tcW w:w="850"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0.004</w:t>
            </w:r>
          </w:p>
        </w:tc>
        <w:tc>
          <w:tcPr>
            <w:tcW w:w="1419"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Compartmental (population-based)</w:t>
            </w:r>
          </w:p>
        </w:tc>
        <w:tc>
          <w:tcPr>
            <w:tcW w:w="1702" w:type="dxa"/>
            <w:tcBorders>
              <w:bottom w:val="single" w:sz="4" w:space="0" w:color="auto"/>
            </w:tcBorders>
          </w:tcPr>
          <w:p w:rsidR="00480B73" w:rsidRPr="00163B4B" w:rsidRDefault="00480B73" w:rsidP="00264CE2">
            <w:pPr>
              <w:jc w:val="both"/>
              <w:rPr>
                <w:rFonts w:cs="Times New Roman"/>
                <w:sz w:val="16"/>
                <w:szCs w:val="16"/>
              </w:rPr>
            </w:pPr>
            <w:r>
              <w:rPr>
                <w:rFonts w:cs="Times New Roman"/>
                <w:sz w:val="16"/>
                <w:szCs w:val="16"/>
              </w:rPr>
              <w:t>2-CMT, first order absorption</w:t>
            </w:r>
          </w:p>
        </w:tc>
      </w:tr>
    </w:tbl>
    <w:p w:rsidR="00480B73" w:rsidRPr="00E2577D" w:rsidRDefault="00480B73" w:rsidP="00480B73">
      <w:pPr>
        <w:rPr>
          <w:sz w:val="16"/>
          <w:szCs w:val="16"/>
        </w:rPr>
      </w:pPr>
      <w:proofErr w:type="spellStart"/>
      <w:r w:rsidRPr="00E2577D">
        <w:rPr>
          <w:sz w:val="16"/>
          <w:szCs w:val="16"/>
        </w:rPr>
        <w:t>LLOQ</w:t>
      </w:r>
      <w:proofErr w:type="spellEnd"/>
      <w:r w:rsidRPr="00E2577D">
        <w:rPr>
          <w:sz w:val="16"/>
          <w:szCs w:val="16"/>
        </w:rPr>
        <w:t xml:space="preserve">: lower limit of quantitation, </w:t>
      </w:r>
      <w:proofErr w:type="spellStart"/>
      <w:r w:rsidRPr="00E2577D">
        <w:rPr>
          <w:sz w:val="16"/>
          <w:szCs w:val="16"/>
        </w:rPr>
        <w:t>NCA</w:t>
      </w:r>
      <w:proofErr w:type="spellEnd"/>
      <w:r w:rsidRPr="00E2577D">
        <w:rPr>
          <w:sz w:val="16"/>
          <w:szCs w:val="16"/>
        </w:rPr>
        <w:t xml:space="preserve">: non-compartmental analysis, </w:t>
      </w:r>
      <w:proofErr w:type="spellStart"/>
      <w:r w:rsidRPr="00E2577D">
        <w:rPr>
          <w:sz w:val="16"/>
          <w:szCs w:val="16"/>
        </w:rPr>
        <w:t>CMT</w:t>
      </w:r>
      <w:proofErr w:type="spellEnd"/>
      <w:r w:rsidRPr="00E2577D">
        <w:rPr>
          <w:sz w:val="16"/>
          <w:szCs w:val="16"/>
        </w:rPr>
        <w:t xml:space="preserve">: compartmental, LC-MS/MS: liquid chromatography tandem mass spectrometry. </w:t>
      </w:r>
    </w:p>
    <w:p w:rsidR="00480B73" w:rsidRPr="0057054A" w:rsidRDefault="00480B73" w:rsidP="00480B73">
      <w:pPr>
        <w:rPr>
          <w:sz w:val="16"/>
          <w:szCs w:val="18"/>
        </w:rPr>
      </w:pPr>
      <w:proofErr w:type="spellStart"/>
      <w:r>
        <w:rPr>
          <w:sz w:val="16"/>
          <w:szCs w:val="18"/>
          <w:vertAlign w:val="superscript"/>
        </w:rPr>
        <w:t>a</w:t>
      </w:r>
      <w:r w:rsidRPr="0057054A">
        <w:rPr>
          <w:sz w:val="16"/>
          <w:szCs w:val="18"/>
        </w:rPr>
        <w:t>Same</w:t>
      </w:r>
      <w:proofErr w:type="spellEnd"/>
      <w:r w:rsidRPr="0057054A">
        <w:rPr>
          <w:sz w:val="16"/>
          <w:szCs w:val="18"/>
        </w:rPr>
        <w:t xml:space="preserve"> patients as described in </w:t>
      </w:r>
      <w:proofErr w:type="spellStart"/>
      <w:r w:rsidRPr="0057054A">
        <w:rPr>
          <w:sz w:val="16"/>
          <w:szCs w:val="18"/>
        </w:rPr>
        <w:t>Dorlo</w:t>
      </w:r>
      <w:proofErr w:type="spellEnd"/>
      <w:r w:rsidRPr="0057054A">
        <w:rPr>
          <w:sz w:val="16"/>
          <w:szCs w:val="18"/>
        </w:rPr>
        <w:t xml:space="preserve"> et al. </w:t>
      </w:r>
      <w:r w:rsidRPr="0057054A">
        <w:rPr>
          <w:sz w:val="16"/>
          <w:szCs w:val="18"/>
        </w:rPr>
        <w:fldChar w:fldCharType="begin" w:fldLock="1"/>
      </w:r>
      <w:r>
        <w:rPr>
          <w:sz w:val="16"/>
          <w:szCs w:val="18"/>
        </w:rPr>
        <w:instrText>ADDIN CSL_CITATION { "citationItems" : [ { "id" : "ITEM-1", "itemData" : { "DOI" : "10.1128/AAC.00014-08", "ISBN" : "1098-6596 (Electronic)", "ISSN" : "00664804", "PMID" : "18519729", "abstract" : "The pharmacokinetics of miltefosine in leishmaniasis patients are, to a great extent, unknown. We examined and characterized the pharmacokinetics of miltefosine in a group of patients with Old World (Leishmania major) cutaneous leishmaniasis. Miltefosine plasma concentrations were determined in samples taken during and up to 5 months after the end of treatment from 31 Dutch military personnel who contracted cutaneous leishmaniasis in Afghanistan and were treated with 150 mg miltefosine/day for 28 days. Samples were analyzed with a validated liquid chromatography-tandem mass spectrometry assay with a lower limit of quantification (LLOQ) of 4 ng/ml. Population pharmacokinetic modeling was performed with nonlinear mixed-effect modeling, using NONMEM. The pharmacokinetics of miltefosine could best be described by an open two-compartment disposition model, with a first elimination half-life of 7.05 days and a terminal elimination half-life of 30.9 days. The median concentration in the last week of treatment (days 22 to 28) was 30,800 ng/ml. The maximum duration of follow-up was 202 days after the start of treatment. All analyzed samples contained a concentration above the LLOQ. Miltefosine is eliminated from the body much slower than previously thought and is therefore still detectable in human plasma samples taken 5 to 6 months after the end of treatment. The presence of subtherapeutic miltefosine concentrations in the blood beyond 5 months after treatment might contribute to the selection of resistant parasites, and moreover, the measures for preventing the teratogenic risks of miltefosine treatment should be reconsidered.", "author" : [ { "dropping-particle" : "", "family" : "Dorlo", "given" : "Thomas P C", "non-dropping-particle" : "", "parse-names" : false, "suffix" : "" }, { "dropping-particle" : "", "family" : "Thiel", "given" : "Pieter P A M", "non-dropping-particle" : "Van", "parse-names" : false, "suffix" : "" }, { "dropping-particle" : "", "family" : "Huitema", "given" : "Alwin D R", "non-dropping-particle" : "", "parse-names" : false, "suffix" : "" }, { "dropping-particle" : "", "family" : "Keizer", "given" : "Ron J.", "non-dropping-particle" : "", "parse-names" : false, "suffix" : "" }, { "dropping-particle" : "", "family" : "Vries", "given" : "Henry J C", "non-dropping-particle" : "De", "parse-names" : false, "suffix" : "" }, { "dropping-particle" : "", "family" : "Beijnen", "given" : "Jos H.", "non-dropping-particle" : "", "parse-names" : false, "suffix" : "" }, { "dropping-particle" : "", "family" : "Vries", "given" : "Peter J.", "non-dropping-particle" : "De", "parse-names" : false, "suffix" : "" } ], "container-title" : "Antimicrobial Agents and Chemotherapy", "id" : "ITEM-1", "issue" : "8", "issued" : { "date-parts" : [ [ "2008" ] ] }, "page" : "2855-2860", "title" : "Pharmacokinetics of miltefosine in old world cutaneous leishmaniasis patients", "type" : "article-journal", "volume" : "52" }, "uris" : [ "http://www.mendeley.com/documents/?uuid=6ee76ddb-9d48-4286-9c18-7b8f36be6af6" ] } ], "mendeley" : { "formattedCitation" : "[70]", "plainTextFormattedCitation" : "[70]", "previouslyFormattedCitation" : "[70]" }, "properties" : { "noteIndex" : 0 }, "schema" : "https://github.com/citation-style-language/schema/raw/master/csl-citation.json" }</w:instrText>
      </w:r>
      <w:r w:rsidRPr="0057054A">
        <w:rPr>
          <w:sz w:val="16"/>
          <w:szCs w:val="18"/>
        </w:rPr>
        <w:fldChar w:fldCharType="separate"/>
      </w:r>
      <w:r w:rsidRPr="0057054A">
        <w:rPr>
          <w:noProof/>
          <w:sz w:val="16"/>
          <w:szCs w:val="18"/>
        </w:rPr>
        <w:t>[70]</w:t>
      </w:r>
      <w:r w:rsidRPr="0057054A">
        <w:rPr>
          <w:sz w:val="16"/>
          <w:szCs w:val="18"/>
        </w:rPr>
        <w:fldChar w:fldCharType="end"/>
      </w:r>
      <w:r w:rsidRPr="0057054A">
        <w:rPr>
          <w:sz w:val="16"/>
          <w:szCs w:val="18"/>
        </w:rPr>
        <w:t xml:space="preserve"> included in this population </w:t>
      </w:r>
      <w:proofErr w:type="spellStart"/>
      <w:r w:rsidRPr="0057054A">
        <w:rPr>
          <w:sz w:val="16"/>
          <w:szCs w:val="18"/>
        </w:rPr>
        <w:t>PK</w:t>
      </w:r>
      <w:proofErr w:type="spellEnd"/>
      <w:r w:rsidRPr="0057054A">
        <w:rPr>
          <w:sz w:val="16"/>
          <w:szCs w:val="18"/>
        </w:rPr>
        <w:t xml:space="preserve"> model</w:t>
      </w:r>
    </w:p>
    <w:p w:rsidR="00480B73" w:rsidRPr="0057054A" w:rsidRDefault="00480B73" w:rsidP="00480B73">
      <w:pPr>
        <w:pStyle w:val="TABLEonderschrift"/>
        <w:jc w:val="both"/>
        <w:rPr>
          <w:sz w:val="18"/>
        </w:rPr>
      </w:pPr>
      <w:proofErr w:type="spellStart"/>
      <w:proofErr w:type="gramStart"/>
      <w:r>
        <w:rPr>
          <w:rFonts w:eastAsia="MS Mincho" w:cs="Arial"/>
          <w:iCs w:val="0"/>
          <w:color w:val="auto"/>
          <w:spacing w:val="0"/>
          <w:sz w:val="16"/>
          <w:szCs w:val="18"/>
          <w:vertAlign w:val="superscript"/>
        </w:rPr>
        <w:t>b</w:t>
      </w:r>
      <w:r w:rsidRPr="0057054A">
        <w:rPr>
          <w:rFonts w:eastAsia="MS Mincho" w:cs="Arial"/>
          <w:iCs w:val="0"/>
          <w:color w:val="auto"/>
          <w:spacing w:val="0"/>
          <w:sz w:val="16"/>
          <w:szCs w:val="18"/>
        </w:rPr>
        <w:t>Included</w:t>
      </w:r>
      <w:proofErr w:type="spellEnd"/>
      <w:proofErr w:type="gramEnd"/>
      <w:r w:rsidRPr="0057054A">
        <w:rPr>
          <w:rFonts w:eastAsia="MS Mincho" w:cs="Arial"/>
          <w:iCs w:val="0"/>
          <w:color w:val="auto"/>
          <w:spacing w:val="0"/>
          <w:sz w:val="16"/>
          <w:szCs w:val="18"/>
        </w:rPr>
        <w:t xml:space="preserve"> are 61 adults and 20 children, demographics not available separately </w:t>
      </w:r>
      <w:r>
        <w:rPr>
          <w:rFonts w:eastAsia="MS Mincho" w:cs="Arial"/>
          <w:iCs w:val="0"/>
          <w:color w:val="auto"/>
          <w:spacing w:val="0"/>
          <w:sz w:val="16"/>
          <w:szCs w:val="18"/>
        </w:rPr>
        <w:tab/>
      </w:r>
      <w:r w:rsidRPr="0057054A">
        <w:rPr>
          <w:rFonts w:eastAsia="MS Mincho" w:cs="Arial"/>
          <w:iCs w:val="0"/>
          <w:color w:val="auto"/>
          <w:spacing w:val="0"/>
          <w:sz w:val="16"/>
          <w:szCs w:val="18"/>
          <w:vertAlign w:val="superscript"/>
        </w:rPr>
        <w:br w:type="page"/>
      </w:r>
      <w:bookmarkStart w:id="1" w:name="_Ref473823242"/>
      <w:r w:rsidRPr="0057054A">
        <w:rPr>
          <w:sz w:val="18"/>
        </w:rPr>
        <w:lastRenderedPageBreak/>
        <w:t xml:space="preserve">Supplementary table </w:t>
      </w:r>
      <w:r w:rsidRPr="0057054A">
        <w:rPr>
          <w:sz w:val="18"/>
        </w:rPr>
        <w:fldChar w:fldCharType="begin"/>
      </w:r>
      <w:r w:rsidRPr="0057054A">
        <w:rPr>
          <w:sz w:val="18"/>
        </w:rPr>
        <w:instrText xml:space="preserve"> SEQ Supplementary_table \* ARABIC </w:instrText>
      </w:r>
      <w:r w:rsidRPr="0057054A">
        <w:rPr>
          <w:sz w:val="18"/>
        </w:rPr>
        <w:fldChar w:fldCharType="separate"/>
      </w:r>
      <w:r w:rsidRPr="0057054A">
        <w:rPr>
          <w:noProof/>
          <w:sz w:val="18"/>
        </w:rPr>
        <w:t>5</w:t>
      </w:r>
      <w:r w:rsidRPr="0057054A">
        <w:rPr>
          <w:noProof/>
          <w:sz w:val="18"/>
        </w:rPr>
        <w:fldChar w:fldCharType="end"/>
      </w:r>
      <w:bookmarkEnd w:id="1"/>
      <w:r w:rsidRPr="0057054A">
        <w:rPr>
          <w:noProof/>
          <w:sz w:val="18"/>
        </w:rPr>
        <w:t>. Amphotericin B</w:t>
      </w:r>
      <w:r w:rsidRPr="0057054A">
        <w:rPr>
          <w:sz w:val="18"/>
        </w:rPr>
        <w:t xml:space="preserve">: general information on the pharmacokinetic studies. Data provided as either a) </w:t>
      </w:r>
      <w:proofErr w:type="spellStart"/>
      <w:r w:rsidRPr="0057054A">
        <w:rPr>
          <w:sz w:val="18"/>
        </w:rPr>
        <w:t>mean±standard</w:t>
      </w:r>
      <w:proofErr w:type="spellEnd"/>
      <w:r w:rsidRPr="0057054A">
        <w:rPr>
          <w:sz w:val="18"/>
        </w:rPr>
        <w:t xml:space="preserve"> deviation or b) median (range), unless indicated otherwise. </w:t>
      </w:r>
    </w:p>
    <w:p w:rsidR="00480B73" w:rsidRPr="002D3CFA" w:rsidRDefault="00480B73" w:rsidP="00480B73">
      <w:pPr>
        <w:pStyle w:val="TABLEonderschrift"/>
        <w:jc w:val="both"/>
      </w:pPr>
    </w:p>
    <w:tbl>
      <w:tblPr>
        <w:tblStyle w:val="TableGrid"/>
        <w:tblW w:w="14142" w:type="dxa"/>
        <w:tblBorders>
          <w:left w:val="none" w:sz="0" w:space="0" w:color="auto"/>
          <w:right w:val="none" w:sz="0" w:space="0" w:color="auto"/>
          <w:insideV w:val="none" w:sz="0" w:space="0" w:color="auto"/>
        </w:tblBorders>
        <w:tblLayout w:type="fixed"/>
        <w:tblLook w:val="04A0"/>
      </w:tblPr>
      <w:tblGrid>
        <w:gridCol w:w="959"/>
        <w:gridCol w:w="1701"/>
        <w:gridCol w:w="1086"/>
        <w:gridCol w:w="48"/>
        <w:gridCol w:w="803"/>
        <w:gridCol w:w="47"/>
        <w:gridCol w:w="977"/>
        <w:gridCol w:w="16"/>
        <w:gridCol w:w="992"/>
        <w:gridCol w:w="850"/>
        <w:gridCol w:w="977"/>
        <w:gridCol w:w="157"/>
        <w:gridCol w:w="551"/>
        <w:gridCol w:w="725"/>
        <w:gridCol w:w="409"/>
        <w:gridCol w:w="725"/>
        <w:gridCol w:w="125"/>
        <w:gridCol w:w="726"/>
        <w:gridCol w:w="693"/>
        <w:gridCol w:w="582"/>
        <w:gridCol w:w="993"/>
      </w:tblGrid>
      <w:tr w:rsidR="00480B73" w:rsidRPr="00163B4B" w:rsidTr="00264CE2">
        <w:trPr>
          <w:trHeight w:val="708"/>
        </w:trPr>
        <w:tc>
          <w:tcPr>
            <w:tcW w:w="959" w:type="dxa"/>
          </w:tcPr>
          <w:p w:rsidR="00480B73" w:rsidRPr="00163B4B" w:rsidRDefault="00480B73" w:rsidP="00264CE2">
            <w:pPr>
              <w:jc w:val="both"/>
              <w:rPr>
                <w:rFonts w:cs="Times New Roman"/>
                <w:b/>
                <w:sz w:val="16"/>
                <w:szCs w:val="16"/>
              </w:rPr>
            </w:pPr>
            <w:r>
              <w:br w:type="page"/>
            </w:r>
            <w:r w:rsidRPr="00163B4B">
              <w:rPr>
                <w:rFonts w:cs="Times New Roman"/>
                <w:b/>
                <w:sz w:val="16"/>
                <w:szCs w:val="16"/>
              </w:rPr>
              <w:t>Author</w:t>
            </w:r>
          </w:p>
        </w:tc>
        <w:tc>
          <w:tcPr>
            <w:tcW w:w="1701" w:type="dxa"/>
          </w:tcPr>
          <w:p w:rsidR="00480B73" w:rsidRPr="00163B4B" w:rsidRDefault="00480B73" w:rsidP="00264CE2">
            <w:pPr>
              <w:jc w:val="both"/>
              <w:rPr>
                <w:rFonts w:cs="Times New Roman"/>
                <w:b/>
                <w:sz w:val="16"/>
                <w:szCs w:val="16"/>
              </w:rPr>
            </w:pPr>
            <w:r>
              <w:rPr>
                <w:rFonts w:cs="Times New Roman"/>
                <w:b/>
                <w:sz w:val="16"/>
                <w:szCs w:val="16"/>
              </w:rPr>
              <w:t>Patient population</w:t>
            </w:r>
          </w:p>
        </w:tc>
        <w:tc>
          <w:tcPr>
            <w:tcW w:w="1134" w:type="dxa"/>
            <w:gridSpan w:val="2"/>
          </w:tcPr>
          <w:p w:rsidR="00480B73" w:rsidRPr="00163B4B" w:rsidRDefault="00480B73" w:rsidP="00264CE2">
            <w:pPr>
              <w:jc w:val="both"/>
              <w:rPr>
                <w:rFonts w:cs="Times New Roman"/>
                <w:b/>
                <w:sz w:val="16"/>
                <w:szCs w:val="16"/>
              </w:rPr>
            </w:pPr>
            <w:r w:rsidRPr="00163B4B">
              <w:rPr>
                <w:rFonts w:cs="Times New Roman"/>
                <w:b/>
                <w:sz w:val="16"/>
                <w:szCs w:val="16"/>
              </w:rPr>
              <w:t>Country</w:t>
            </w:r>
          </w:p>
        </w:tc>
        <w:tc>
          <w:tcPr>
            <w:tcW w:w="850" w:type="dxa"/>
            <w:gridSpan w:val="2"/>
          </w:tcPr>
          <w:p w:rsidR="00480B73" w:rsidRDefault="00480B73" w:rsidP="00264CE2">
            <w:pPr>
              <w:jc w:val="both"/>
              <w:rPr>
                <w:rFonts w:cs="Times New Roman"/>
                <w:b/>
                <w:sz w:val="16"/>
                <w:szCs w:val="16"/>
              </w:rPr>
            </w:pPr>
            <w:r>
              <w:rPr>
                <w:rFonts w:cs="Times New Roman"/>
                <w:b/>
                <w:sz w:val="16"/>
                <w:szCs w:val="16"/>
              </w:rPr>
              <w:t xml:space="preserve"># patients </w:t>
            </w:r>
          </w:p>
          <w:p w:rsidR="00480B73" w:rsidRPr="00163B4B" w:rsidRDefault="00480B73" w:rsidP="00264CE2">
            <w:pPr>
              <w:jc w:val="both"/>
              <w:rPr>
                <w:rFonts w:cs="Times New Roman"/>
                <w:b/>
                <w:sz w:val="16"/>
                <w:szCs w:val="16"/>
              </w:rPr>
            </w:pPr>
          </w:p>
        </w:tc>
        <w:tc>
          <w:tcPr>
            <w:tcW w:w="993" w:type="dxa"/>
            <w:gridSpan w:val="2"/>
          </w:tcPr>
          <w:p w:rsidR="00480B73" w:rsidRDefault="00480B73" w:rsidP="00264CE2">
            <w:pPr>
              <w:jc w:val="both"/>
              <w:rPr>
                <w:rFonts w:cs="Times New Roman"/>
                <w:b/>
                <w:sz w:val="16"/>
                <w:szCs w:val="16"/>
              </w:rPr>
            </w:pPr>
            <w:r w:rsidRPr="00163B4B">
              <w:rPr>
                <w:rFonts w:cs="Times New Roman"/>
                <w:b/>
                <w:sz w:val="16"/>
                <w:szCs w:val="16"/>
              </w:rPr>
              <w:t xml:space="preserve">Age </w:t>
            </w:r>
          </w:p>
          <w:p w:rsidR="00480B73" w:rsidRPr="00163B4B" w:rsidRDefault="00480B73" w:rsidP="00264CE2">
            <w:pPr>
              <w:jc w:val="both"/>
              <w:rPr>
                <w:rFonts w:cs="Times New Roman"/>
                <w:b/>
                <w:sz w:val="16"/>
                <w:szCs w:val="16"/>
              </w:rPr>
            </w:pPr>
            <w:r w:rsidRPr="00163B4B">
              <w:rPr>
                <w:rFonts w:cs="Times New Roman"/>
                <w:b/>
                <w:sz w:val="16"/>
                <w:szCs w:val="16"/>
              </w:rPr>
              <w:t>(years</w:t>
            </w:r>
            <w:r>
              <w:rPr>
                <w:rFonts w:cs="Times New Roman"/>
                <w:b/>
                <w:sz w:val="16"/>
                <w:szCs w:val="16"/>
              </w:rPr>
              <w:t>)</w:t>
            </w:r>
          </w:p>
        </w:tc>
        <w:tc>
          <w:tcPr>
            <w:tcW w:w="992" w:type="dxa"/>
          </w:tcPr>
          <w:p w:rsidR="00480B73" w:rsidRPr="00163B4B" w:rsidRDefault="00480B73" w:rsidP="00264CE2">
            <w:pPr>
              <w:jc w:val="both"/>
              <w:rPr>
                <w:rFonts w:cs="Times New Roman"/>
                <w:b/>
                <w:sz w:val="16"/>
                <w:szCs w:val="16"/>
              </w:rPr>
            </w:pPr>
            <w:r w:rsidRPr="00163B4B">
              <w:rPr>
                <w:rFonts w:cs="Times New Roman"/>
                <w:b/>
                <w:sz w:val="16"/>
                <w:szCs w:val="16"/>
              </w:rPr>
              <w:t>Weight (kg</w:t>
            </w:r>
            <w:r>
              <w:rPr>
                <w:rFonts w:cs="Times New Roman"/>
                <w:b/>
                <w:sz w:val="16"/>
                <w:szCs w:val="16"/>
              </w:rPr>
              <w:t>)</w:t>
            </w:r>
          </w:p>
        </w:tc>
        <w:tc>
          <w:tcPr>
            <w:tcW w:w="850" w:type="dxa"/>
          </w:tcPr>
          <w:p w:rsidR="00480B73" w:rsidRPr="00163B4B" w:rsidRDefault="00480B73" w:rsidP="00264CE2">
            <w:pPr>
              <w:jc w:val="both"/>
              <w:rPr>
                <w:rFonts w:cs="Times New Roman"/>
                <w:b/>
                <w:sz w:val="16"/>
                <w:szCs w:val="16"/>
              </w:rPr>
            </w:pPr>
            <w:r w:rsidRPr="00163B4B">
              <w:rPr>
                <w:rFonts w:cs="Times New Roman"/>
                <w:b/>
                <w:sz w:val="16"/>
                <w:szCs w:val="16"/>
              </w:rPr>
              <w:t>Gender</w:t>
            </w:r>
            <w:r>
              <w:rPr>
                <w:rFonts w:cs="Times New Roman"/>
                <w:b/>
                <w:sz w:val="16"/>
                <w:szCs w:val="16"/>
              </w:rPr>
              <w:t xml:space="preserve"> (%male)</w:t>
            </w:r>
          </w:p>
        </w:tc>
        <w:tc>
          <w:tcPr>
            <w:tcW w:w="1134" w:type="dxa"/>
            <w:gridSpan w:val="2"/>
          </w:tcPr>
          <w:p w:rsidR="00480B73" w:rsidRPr="00163B4B" w:rsidRDefault="00480B73" w:rsidP="00264CE2">
            <w:pPr>
              <w:jc w:val="both"/>
              <w:rPr>
                <w:rFonts w:cs="Times New Roman"/>
                <w:b/>
                <w:sz w:val="16"/>
                <w:szCs w:val="16"/>
              </w:rPr>
            </w:pPr>
            <w:r w:rsidRPr="00163B4B">
              <w:rPr>
                <w:rFonts w:cs="Times New Roman"/>
                <w:b/>
                <w:sz w:val="16"/>
                <w:szCs w:val="16"/>
              </w:rPr>
              <w:t>Brand</w:t>
            </w:r>
          </w:p>
        </w:tc>
        <w:tc>
          <w:tcPr>
            <w:tcW w:w="1276" w:type="dxa"/>
            <w:gridSpan w:val="2"/>
          </w:tcPr>
          <w:p w:rsidR="00480B73" w:rsidRPr="00163B4B" w:rsidRDefault="00480B73" w:rsidP="00264CE2">
            <w:pPr>
              <w:jc w:val="both"/>
              <w:rPr>
                <w:rFonts w:cs="Times New Roman"/>
                <w:b/>
                <w:sz w:val="16"/>
                <w:szCs w:val="16"/>
              </w:rPr>
            </w:pPr>
            <w:r>
              <w:rPr>
                <w:rFonts w:cs="Times New Roman"/>
                <w:b/>
                <w:sz w:val="16"/>
                <w:szCs w:val="16"/>
              </w:rPr>
              <w:t>IM/IV/Oral</w:t>
            </w:r>
          </w:p>
        </w:tc>
        <w:tc>
          <w:tcPr>
            <w:tcW w:w="1134" w:type="dxa"/>
            <w:gridSpan w:val="2"/>
          </w:tcPr>
          <w:p w:rsidR="00480B73" w:rsidRPr="00163B4B" w:rsidRDefault="00480B73" w:rsidP="00264CE2">
            <w:pPr>
              <w:jc w:val="both"/>
              <w:rPr>
                <w:rFonts w:cs="Times New Roman"/>
                <w:b/>
                <w:sz w:val="16"/>
                <w:szCs w:val="16"/>
              </w:rPr>
            </w:pPr>
            <w:r>
              <w:rPr>
                <w:rFonts w:cs="Times New Roman"/>
                <w:b/>
                <w:sz w:val="16"/>
                <w:szCs w:val="16"/>
              </w:rPr>
              <w:t>Analytical method</w:t>
            </w:r>
          </w:p>
        </w:tc>
        <w:tc>
          <w:tcPr>
            <w:tcW w:w="851" w:type="dxa"/>
            <w:gridSpan w:val="2"/>
          </w:tcPr>
          <w:p w:rsidR="00480B73" w:rsidRPr="00163B4B" w:rsidRDefault="00480B73" w:rsidP="00264CE2">
            <w:pPr>
              <w:jc w:val="both"/>
              <w:rPr>
                <w:rFonts w:cs="Times New Roman"/>
                <w:b/>
                <w:sz w:val="16"/>
                <w:szCs w:val="16"/>
              </w:rPr>
            </w:pPr>
            <w:r w:rsidRPr="00163B4B">
              <w:rPr>
                <w:rFonts w:cs="Times New Roman"/>
                <w:b/>
                <w:sz w:val="16"/>
                <w:szCs w:val="16"/>
              </w:rPr>
              <w:t>LLOQ (µg/mL plasma)</w:t>
            </w:r>
          </w:p>
        </w:tc>
        <w:tc>
          <w:tcPr>
            <w:tcW w:w="1275" w:type="dxa"/>
            <w:gridSpan w:val="2"/>
          </w:tcPr>
          <w:p w:rsidR="00480B73" w:rsidRPr="00163B4B" w:rsidRDefault="00480B73" w:rsidP="00264CE2">
            <w:pPr>
              <w:jc w:val="both"/>
              <w:rPr>
                <w:rFonts w:cs="Times New Roman"/>
                <w:b/>
                <w:sz w:val="16"/>
                <w:szCs w:val="16"/>
              </w:rPr>
            </w:pPr>
            <w:r w:rsidRPr="00163B4B">
              <w:rPr>
                <w:rFonts w:cs="Times New Roman"/>
                <w:b/>
                <w:sz w:val="16"/>
                <w:szCs w:val="16"/>
              </w:rPr>
              <w:t>PK analysis</w:t>
            </w:r>
          </w:p>
        </w:tc>
        <w:tc>
          <w:tcPr>
            <w:tcW w:w="993" w:type="dxa"/>
          </w:tcPr>
          <w:p w:rsidR="00480B73" w:rsidRPr="00163B4B" w:rsidRDefault="00480B73" w:rsidP="00264CE2">
            <w:pPr>
              <w:jc w:val="both"/>
              <w:rPr>
                <w:rFonts w:cs="Times New Roman"/>
                <w:b/>
                <w:sz w:val="16"/>
                <w:szCs w:val="16"/>
              </w:rPr>
            </w:pPr>
            <w:r w:rsidRPr="00163B4B">
              <w:rPr>
                <w:rFonts w:cs="Times New Roman"/>
                <w:b/>
                <w:sz w:val="16"/>
                <w:szCs w:val="16"/>
              </w:rPr>
              <w:t>Model</w:t>
            </w:r>
          </w:p>
        </w:tc>
      </w:tr>
      <w:tr w:rsidR="00480B73" w:rsidRPr="00583F7B" w:rsidTr="00264CE2">
        <w:tblPrEx>
          <w:tblBorders>
            <w:top w:val="none" w:sz="0" w:space="0" w:color="auto"/>
          </w:tblBorders>
        </w:tblPrEx>
        <w:trPr>
          <w:trHeight w:val="70"/>
        </w:trPr>
        <w:tc>
          <w:tcPr>
            <w:tcW w:w="2660" w:type="dxa"/>
            <w:gridSpan w:val="2"/>
            <w:shd w:val="pct10" w:color="auto" w:fill="auto"/>
          </w:tcPr>
          <w:p w:rsidR="00480B73" w:rsidRPr="00583F7B" w:rsidRDefault="00480B73" w:rsidP="00264CE2">
            <w:pPr>
              <w:jc w:val="both"/>
              <w:rPr>
                <w:rFonts w:cs="Times New Roman"/>
                <w:b/>
                <w:sz w:val="16"/>
                <w:szCs w:val="16"/>
              </w:rPr>
            </w:pPr>
          </w:p>
        </w:tc>
        <w:tc>
          <w:tcPr>
            <w:tcW w:w="1086" w:type="dxa"/>
            <w:shd w:val="pct10" w:color="auto" w:fill="auto"/>
          </w:tcPr>
          <w:p w:rsidR="00480B73" w:rsidRPr="00583F7B" w:rsidRDefault="00480B73" w:rsidP="00264CE2">
            <w:pPr>
              <w:jc w:val="both"/>
              <w:rPr>
                <w:rFonts w:cs="Times New Roman"/>
                <w:b/>
                <w:sz w:val="16"/>
                <w:szCs w:val="16"/>
              </w:rPr>
            </w:pPr>
          </w:p>
        </w:tc>
        <w:tc>
          <w:tcPr>
            <w:tcW w:w="851" w:type="dxa"/>
            <w:gridSpan w:val="2"/>
            <w:shd w:val="pct10" w:color="auto" w:fill="auto"/>
          </w:tcPr>
          <w:p w:rsidR="00480B73" w:rsidRPr="00583F7B" w:rsidRDefault="00480B73" w:rsidP="00264CE2">
            <w:pPr>
              <w:jc w:val="both"/>
              <w:rPr>
                <w:rFonts w:cs="Times New Roman"/>
                <w:b/>
                <w:sz w:val="16"/>
                <w:szCs w:val="16"/>
              </w:rPr>
            </w:pPr>
          </w:p>
        </w:tc>
        <w:tc>
          <w:tcPr>
            <w:tcW w:w="1024" w:type="dxa"/>
            <w:gridSpan w:val="2"/>
            <w:shd w:val="pct10" w:color="auto" w:fill="auto"/>
          </w:tcPr>
          <w:p w:rsidR="00480B73" w:rsidRPr="00583F7B" w:rsidRDefault="00480B73" w:rsidP="00264CE2">
            <w:pPr>
              <w:jc w:val="both"/>
              <w:rPr>
                <w:rFonts w:cs="Times New Roman"/>
                <w:b/>
                <w:sz w:val="16"/>
                <w:szCs w:val="16"/>
              </w:rPr>
            </w:pPr>
          </w:p>
        </w:tc>
        <w:tc>
          <w:tcPr>
            <w:tcW w:w="1008" w:type="dxa"/>
            <w:gridSpan w:val="2"/>
            <w:shd w:val="pct10" w:color="auto" w:fill="auto"/>
          </w:tcPr>
          <w:p w:rsidR="00480B73" w:rsidRPr="00583F7B" w:rsidRDefault="00480B73" w:rsidP="00264CE2">
            <w:pPr>
              <w:jc w:val="both"/>
              <w:rPr>
                <w:rFonts w:cs="Times New Roman"/>
                <w:b/>
                <w:sz w:val="16"/>
                <w:szCs w:val="16"/>
              </w:rPr>
            </w:pPr>
          </w:p>
        </w:tc>
        <w:tc>
          <w:tcPr>
            <w:tcW w:w="850" w:type="dxa"/>
            <w:shd w:val="pct10" w:color="auto" w:fill="auto"/>
          </w:tcPr>
          <w:p w:rsidR="00480B73" w:rsidRPr="00583F7B" w:rsidRDefault="00480B73" w:rsidP="00264CE2">
            <w:pPr>
              <w:jc w:val="both"/>
              <w:rPr>
                <w:rFonts w:cs="Times New Roman"/>
                <w:b/>
                <w:sz w:val="16"/>
                <w:szCs w:val="16"/>
              </w:rPr>
            </w:pPr>
          </w:p>
        </w:tc>
        <w:tc>
          <w:tcPr>
            <w:tcW w:w="977" w:type="dxa"/>
            <w:shd w:val="pct10" w:color="auto" w:fill="auto"/>
          </w:tcPr>
          <w:p w:rsidR="00480B73" w:rsidRPr="00583F7B" w:rsidRDefault="00480B73" w:rsidP="00264CE2">
            <w:pPr>
              <w:jc w:val="both"/>
              <w:rPr>
                <w:rFonts w:cs="Times New Roman"/>
                <w:b/>
                <w:sz w:val="16"/>
                <w:szCs w:val="16"/>
              </w:rPr>
            </w:pPr>
          </w:p>
        </w:tc>
        <w:tc>
          <w:tcPr>
            <w:tcW w:w="708" w:type="dxa"/>
            <w:gridSpan w:val="2"/>
            <w:shd w:val="pct10" w:color="auto" w:fill="auto"/>
          </w:tcPr>
          <w:p w:rsidR="00480B73" w:rsidRPr="00583F7B" w:rsidRDefault="00480B73" w:rsidP="00264CE2">
            <w:pPr>
              <w:jc w:val="both"/>
              <w:rPr>
                <w:rFonts w:cs="Times New Roman"/>
                <w:b/>
                <w:sz w:val="16"/>
                <w:szCs w:val="16"/>
              </w:rPr>
            </w:pPr>
          </w:p>
        </w:tc>
        <w:tc>
          <w:tcPr>
            <w:tcW w:w="1134" w:type="dxa"/>
            <w:gridSpan w:val="2"/>
            <w:shd w:val="pct10" w:color="auto" w:fill="auto"/>
          </w:tcPr>
          <w:p w:rsidR="00480B73" w:rsidRPr="00583F7B" w:rsidRDefault="00480B73" w:rsidP="00264CE2">
            <w:pPr>
              <w:jc w:val="both"/>
              <w:rPr>
                <w:rFonts w:cs="Times New Roman"/>
                <w:b/>
                <w:sz w:val="16"/>
                <w:szCs w:val="16"/>
              </w:rPr>
            </w:pPr>
          </w:p>
        </w:tc>
        <w:tc>
          <w:tcPr>
            <w:tcW w:w="850" w:type="dxa"/>
            <w:gridSpan w:val="2"/>
            <w:shd w:val="pct10" w:color="auto" w:fill="auto"/>
          </w:tcPr>
          <w:p w:rsidR="00480B73" w:rsidRPr="00583F7B" w:rsidRDefault="00480B73" w:rsidP="00264CE2">
            <w:pPr>
              <w:jc w:val="both"/>
              <w:rPr>
                <w:rFonts w:cs="Times New Roman"/>
                <w:b/>
                <w:sz w:val="16"/>
                <w:szCs w:val="16"/>
              </w:rPr>
            </w:pPr>
          </w:p>
        </w:tc>
        <w:tc>
          <w:tcPr>
            <w:tcW w:w="1419" w:type="dxa"/>
            <w:gridSpan w:val="2"/>
            <w:shd w:val="pct10" w:color="auto" w:fill="auto"/>
          </w:tcPr>
          <w:p w:rsidR="00480B73" w:rsidRPr="00583F7B" w:rsidRDefault="00480B73" w:rsidP="00264CE2">
            <w:pPr>
              <w:jc w:val="both"/>
              <w:rPr>
                <w:rFonts w:cs="Times New Roman"/>
                <w:b/>
                <w:sz w:val="16"/>
                <w:szCs w:val="16"/>
              </w:rPr>
            </w:pPr>
          </w:p>
        </w:tc>
        <w:tc>
          <w:tcPr>
            <w:tcW w:w="1575" w:type="dxa"/>
            <w:gridSpan w:val="2"/>
            <w:shd w:val="pct10" w:color="auto" w:fill="auto"/>
          </w:tcPr>
          <w:p w:rsidR="00480B73" w:rsidRPr="00583F7B" w:rsidRDefault="00480B73" w:rsidP="00264CE2">
            <w:pPr>
              <w:jc w:val="both"/>
              <w:rPr>
                <w:rFonts w:cs="Times New Roman"/>
                <w:b/>
                <w:sz w:val="16"/>
                <w:szCs w:val="16"/>
              </w:rPr>
            </w:pPr>
          </w:p>
        </w:tc>
      </w:tr>
      <w:tr w:rsidR="00480B73" w:rsidRPr="00163B4B" w:rsidTr="00264CE2">
        <w:trPr>
          <w:trHeight w:val="228"/>
        </w:trPr>
        <w:tc>
          <w:tcPr>
            <w:tcW w:w="959" w:type="dxa"/>
          </w:tcPr>
          <w:p w:rsidR="00480B73" w:rsidRDefault="00480B73" w:rsidP="00264CE2">
            <w:pPr>
              <w:jc w:val="both"/>
              <w:rPr>
                <w:rFonts w:cs="Times New Roman"/>
                <w:sz w:val="16"/>
                <w:szCs w:val="16"/>
                <w:lang w:val="en-US"/>
              </w:rPr>
            </w:pPr>
            <w:r>
              <w:rPr>
                <w:rFonts w:cs="Times New Roman"/>
                <w:sz w:val="16"/>
                <w:szCs w:val="16"/>
              </w:rPr>
              <w:t xml:space="preserve">Ayestaran et al. </w:t>
            </w:r>
            <w:r>
              <w:rPr>
                <w:rFonts w:cs="Times New Roman"/>
                <w:sz w:val="16"/>
                <w:szCs w:val="16"/>
              </w:rPr>
              <w:fldChar w:fldCharType="begin" w:fldLock="1"/>
            </w:r>
            <w:r>
              <w:rPr>
                <w:rFonts w:cs="Times New Roman"/>
                <w:sz w:val="16"/>
                <w:szCs w:val="16"/>
              </w:rPr>
              <w:instrText>ADDIN CSL_CITATION { "citationItems" : [ { "id" : "ITEM-1", "itemData" : { "ISBN" : "0066-4804 (Print)\\r0066-4804 (Linking)", "ISSN" : "00664804", "PMID" : "8851579", "abstract" : "The pharmacokinetics of amphotericin B administered in a conventional 5% dextrose (glucose) (5% D) solution and in a 20% fat emulsion formulation (Intralipid; 20% IL) were compared in 16 patients (mean age, 42 years [range, 18 to 70 years]) who had been hospitalized for hematological malignancies and with proven or suspected fungal infections. All of the patients received 50 mg (approximately 1 mg/kg of body weight per day) of amphotericin B daily in random order, either as a 50-ml lipid emulsion (20% IL) (group I) or in 500 ml of 5% D (group II). Five serum samples were taken during the 24 h after drug administration, and the levels of amphotericin B were measured by high-pressure liquid chromatography. Serum amphotericin B concentrations declined rapidly during the first 6 h, and subsequent measurements revealed a slow terminal elimination phase in both groups. The maximum serum amphotericin B concentration was significantly lower when the drug was administered in 20% IL (1.46 +/- 0.61 versus 2.83 +/- 1.17 micrograms/ml; P = 0.02). The area under the concentration-time curve from 0 to 24 h was also much lower in group I (17.22 +/- 11.15 versus 28.98 +/- 15.46 micrograms.h/ml). The half-life of the distribution phase was approximately three times longer in group I (2.92 +/- 2.34 h versus 0.64 +/- 0.24 h; P = 0.011). Conversely, the half-lives of the elimination phase were approximately equal in the two groups (11.44 +/- 5.18 versus 15.23 +/- 5.25 h). The mean residence times were also similar in both groups (19.41 +/- 11.13 versus 19.65 +/- 7.86 h). The clearance and the steady-state volume of distribution of amphotericin B in group I were about twice as great as those in group II (62.97 +/- 35.51 versus 33.01 +/- 14.33 ml/kg/h and 1,043.92 +/- 512.10 versus 562.32 +/- 152.05 ml/kg [P = 0.034], respectively). Finally, the volume of distribution in the central compartment was greater in group I than in group II (618.17 +/- 231.80 versus 328.19 +/- 151.71 ml/kg; P = 0.013), but there were no differences in the volume of distribution in the peripheral compartment (425.75 +/- 352.87 versus 234.14 +/- 75.92 ml/kg). These results suggest that amphotericin B has a different pharmacokinetic profile when it is administered in 20% IL than when it is administered in the standard 5% D form and that the main difference is due to a clear-cut difference in the steady-state volume of distribution, especially that in the central compartment.", "author" : [ { "dropping-particle" : "", "family" : "Ayestar\u00e1n", "given" : "Ana", "non-dropping-particle" : "", "parse-names" : false, "suffix" : "" }, { "dropping-particle" : "", "family" : "L\u00f3pez", "given" : "Rosa M.", "non-dropping-particle" : "", "parse-names" : false, "suffix" : "" }, { "dropping-particle" : "", "family" : "Montoro", "given" : "Jos\u00e9 B.", "non-dropping-particle" : "", "parse-names" : false, "suffix" : "" }, { "dropping-particle" : "", "family" : "Est\u00edbalez", "given" : "Antero", "non-dropping-particle" : "", "parse-names" : false, "suffix" : "" }, { "dropping-particle" : "", "family" : "Pou", "given" : "Leonor", "non-dropping-particle" : "", "parse-names" : false, "suffix" : "" }, { "dropping-particle" : "", "family" : "Juli\u00e0", "given" : "Antoni", "non-dropping-particle" : "", "parse-names" : false, "suffix" : "" }, { "dropping-particle" : "", "family" : "L\u00f3pez", "given" : "Andr\u00e9s", "non-dropping-particle" : "", "parse-names" : false, "suffix" : "" }, { "dropping-particle" : "", "family" : "Pascual", "given" : "Bego\u00f1a", "non-dropping-particle" : "", "parse-names" : false, "suffix" : "" } ], "container-title" : "Antimicrobial Agents and Chemotherapy", "id" : "ITEM-1", "issue" : "3", "issued" : { "date-parts" : [ [ "1996" ] ] }, "page" : "609-612", "title" : "Pharmacokinetics of conventional formulation versus fat emulsion formulation of amphotericin B in a group of patients with neutropenia", "type" : "article-journal", "volume" : "40" }, "uris" : [ "http://www.mendeley.com/documents/?uuid=d1194796-56a1-4b08-8c66-23e980b3b8cc" ] } ], "mendeley" : { "formattedCitation" : "[133]", "plainTextFormattedCitation" : "[133]", "previouslyFormattedCitation" : "[132]" }, "properties" : { "noteIndex" : 0 }, "schema" : "https://github.com/citation-style-language/schema/raw/master/csl-citation.json" }</w:instrText>
            </w:r>
            <w:r>
              <w:rPr>
                <w:rFonts w:cs="Times New Roman"/>
                <w:sz w:val="16"/>
                <w:szCs w:val="16"/>
              </w:rPr>
              <w:fldChar w:fldCharType="separate"/>
            </w:r>
            <w:r w:rsidRPr="001015EC">
              <w:rPr>
                <w:rFonts w:cs="Times New Roman"/>
                <w:noProof/>
                <w:sz w:val="16"/>
                <w:szCs w:val="16"/>
              </w:rPr>
              <w:t>[133]</w:t>
            </w:r>
            <w:r>
              <w:rPr>
                <w:rFonts w:cs="Times New Roman"/>
                <w:sz w:val="16"/>
                <w:szCs w:val="16"/>
              </w:rPr>
              <w:fldChar w:fldCharType="end"/>
            </w:r>
          </w:p>
        </w:tc>
        <w:tc>
          <w:tcPr>
            <w:tcW w:w="1701" w:type="dxa"/>
          </w:tcPr>
          <w:p w:rsidR="00480B73" w:rsidRDefault="00480B73" w:rsidP="00264CE2">
            <w:pPr>
              <w:jc w:val="both"/>
              <w:rPr>
                <w:rFonts w:cs="Times New Roman"/>
                <w:sz w:val="16"/>
                <w:szCs w:val="16"/>
              </w:rPr>
            </w:pPr>
            <w:r>
              <w:rPr>
                <w:rFonts w:cs="Times New Roman"/>
                <w:sz w:val="16"/>
                <w:szCs w:val="16"/>
              </w:rPr>
              <w:t>Patients with neutropenia</w:t>
            </w:r>
          </w:p>
        </w:tc>
        <w:tc>
          <w:tcPr>
            <w:tcW w:w="1134" w:type="dxa"/>
            <w:gridSpan w:val="2"/>
          </w:tcPr>
          <w:p w:rsidR="00480B73" w:rsidRDefault="00480B73" w:rsidP="00264CE2">
            <w:pPr>
              <w:jc w:val="both"/>
              <w:rPr>
                <w:rFonts w:cs="Times New Roman"/>
                <w:sz w:val="16"/>
                <w:szCs w:val="16"/>
              </w:rPr>
            </w:pPr>
            <w:r>
              <w:rPr>
                <w:rFonts w:cs="Times New Roman"/>
                <w:sz w:val="16"/>
                <w:szCs w:val="16"/>
              </w:rPr>
              <w:t>Spain</w:t>
            </w:r>
          </w:p>
        </w:tc>
        <w:tc>
          <w:tcPr>
            <w:tcW w:w="850" w:type="dxa"/>
            <w:gridSpan w:val="2"/>
          </w:tcPr>
          <w:p w:rsidR="00480B73" w:rsidRDefault="00480B73" w:rsidP="00264CE2">
            <w:pPr>
              <w:jc w:val="both"/>
              <w:rPr>
                <w:rFonts w:cs="Times New Roman"/>
                <w:sz w:val="16"/>
                <w:szCs w:val="16"/>
              </w:rPr>
            </w:pPr>
            <w:r>
              <w:rPr>
                <w:rFonts w:cs="Times New Roman"/>
                <w:sz w:val="16"/>
                <w:szCs w:val="16"/>
              </w:rPr>
              <w:t>8</w:t>
            </w:r>
          </w:p>
        </w:tc>
        <w:tc>
          <w:tcPr>
            <w:tcW w:w="993" w:type="dxa"/>
            <w:gridSpan w:val="2"/>
          </w:tcPr>
          <w:p w:rsidR="00480B73" w:rsidRDefault="00480B73" w:rsidP="00264CE2">
            <w:pPr>
              <w:jc w:val="both"/>
              <w:rPr>
                <w:rFonts w:cs="Times New Roman"/>
                <w:sz w:val="16"/>
                <w:szCs w:val="16"/>
              </w:rPr>
            </w:pPr>
            <w:r>
              <w:rPr>
                <w:rFonts w:cs="Times New Roman"/>
                <w:sz w:val="16"/>
                <w:szCs w:val="16"/>
              </w:rPr>
              <w:t>41.8±19.6</w:t>
            </w:r>
          </w:p>
        </w:tc>
        <w:tc>
          <w:tcPr>
            <w:tcW w:w="992" w:type="dxa"/>
          </w:tcPr>
          <w:p w:rsidR="00480B73" w:rsidRDefault="00480B73" w:rsidP="00264CE2">
            <w:pPr>
              <w:jc w:val="both"/>
              <w:rPr>
                <w:rFonts w:cs="Times New Roman"/>
                <w:sz w:val="16"/>
                <w:szCs w:val="16"/>
              </w:rPr>
            </w:pPr>
            <w:r>
              <w:rPr>
                <w:rFonts w:cs="Times New Roman"/>
                <w:sz w:val="16"/>
                <w:szCs w:val="16"/>
              </w:rPr>
              <w:t>63.8±6.8</w:t>
            </w:r>
          </w:p>
        </w:tc>
        <w:tc>
          <w:tcPr>
            <w:tcW w:w="850" w:type="dxa"/>
          </w:tcPr>
          <w:p w:rsidR="00480B73" w:rsidRDefault="00480B73" w:rsidP="00264CE2">
            <w:pPr>
              <w:jc w:val="both"/>
              <w:rPr>
                <w:rFonts w:cs="Times New Roman"/>
                <w:sz w:val="16"/>
                <w:szCs w:val="16"/>
              </w:rPr>
            </w:pPr>
            <w:r>
              <w:rPr>
                <w:rFonts w:cs="Times New Roman"/>
                <w:sz w:val="16"/>
                <w:szCs w:val="16"/>
              </w:rPr>
              <w:t>75%</w:t>
            </w:r>
          </w:p>
        </w:tc>
        <w:tc>
          <w:tcPr>
            <w:tcW w:w="1134" w:type="dxa"/>
            <w:gridSpan w:val="2"/>
          </w:tcPr>
          <w:p w:rsidR="00480B73" w:rsidRDefault="00480B73" w:rsidP="00264CE2">
            <w:pPr>
              <w:jc w:val="both"/>
              <w:rPr>
                <w:rFonts w:cs="Times New Roman"/>
                <w:sz w:val="16"/>
                <w:szCs w:val="16"/>
              </w:rPr>
            </w:pPr>
            <w:r>
              <w:rPr>
                <w:rFonts w:cs="Times New Roman"/>
                <w:sz w:val="16"/>
                <w:szCs w:val="16"/>
              </w:rPr>
              <w:t>D-AMB (</w:t>
            </w:r>
            <w:r w:rsidRPr="003E437F">
              <w:rPr>
                <w:rFonts w:cs="Times New Roman"/>
                <w:sz w:val="16"/>
                <w:szCs w:val="16"/>
              </w:rPr>
              <w:t>Fungizone</w:t>
            </w:r>
            <w:r>
              <w:rPr>
                <w:rFonts w:cs="Times New Roman"/>
                <w:sz w:val="16"/>
                <w:szCs w:val="16"/>
              </w:rPr>
              <w:t>)</w:t>
            </w:r>
          </w:p>
        </w:tc>
        <w:tc>
          <w:tcPr>
            <w:tcW w:w="1276" w:type="dxa"/>
            <w:gridSpan w:val="2"/>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1 h infusion</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Default="00480B73" w:rsidP="00264CE2">
            <w:pPr>
              <w:jc w:val="both"/>
              <w:rPr>
                <w:rFonts w:cs="Times New Roman"/>
                <w:sz w:val="16"/>
                <w:szCs w:val="16"/>
              </w:rPr>
            </w:pPr>
            <w:r>
              <w:rPr>
                <w:rFonts w:cs="Times New Roman"/>
                <w:sz w:val="16"/>
                <w:szCs w:val="16"/>
              </w:rPr>
              <w:t>0.05</w:t>
            </w:r>
          </w:p>
        </w:tc>
        <w:tc>
          <w:tcPr>
            <w:tcW w:w="1275" w:type="dxa"/>
            <w:gridSpan w:val="2"/>
          </w:tcPr>
          <w:p w:rsidR="00480B73" w:rsidRDefault="00480B73" w:rsidP="00264CE2">
            <w:pPr>
              <w:jc w:val="both"/>
              <w:rPr>
                <w:rFonts w:cs="Times New Roman"/>
                <w:sz w:val="16"/>
                <w:szCs w:val="16"/>
              </w:rPr>
            </w:pPr>
            <w:r>
              <w:rPr>
                <w:rFonts w:cs="Times New Roman"/>
                <w:color w:val="000000" w:themeColor="text1"/>
                <w:sz w:val="16"/>
                <w:szCs w:val="18"/>
              </w:rPr>
              <w:t>Compartmental (individual-based)</w:t>
            </w:r>
            <w:r>
              <w:rPr>
                <w:rFonts w:cs="Times New Roman"/>
                <w:sz w:val="16"/>
                <w:szCs w:val="16"/>
              </w:rPr>
              <w:t>/NCA</w:t>
            </w:r>
          </w:p>
        </w:tc>
        <w:tc>
          <w:tcPr>
            <w:tcW w:w="993" w:type="dxa"/>
          </w:tcPr>
          <w:p w:rsidR="00480B73" w:rsidRPr="00154358" w:rsidRDefault="00480B73" w:rsidP="00264CE2">
            <w:pPr>
              <w:jc w:val="both"/>
              <w:rPr>
                <w:rFonts w:cs="Times New Roman"/>
                <w:sz w:val="16"/>
                <w:szCs w:val="16"/>
                <w:lang w:val="en-US"/>
              </w:rPr>
            </w:pPr>
            <w:r>
              <w:rPr>
                <w:rFonts w:cs="Times New Roman"/>
                <w:sz w:val="16"/>
                <w:szCs w:val="16"/>
              </w:rPr>
              <w:t>2-CMT</w:t>
            </w:r>
          </w:p>
        </w:tc>
      </w:tr>
      <w:tr w:rsidR="00480B73" w:rsidRPr="00163B4B" w:rsidTr="00264CE2">
        <w:trPr>
          <w:trHeight w:val="228"/>
        </w:trPr>
        <w:tc>
          <w:tcPr>
            <w:tcW w:w="959" w:type="dxa"/>
            <w:tcBorders>
              <w:bottom w:val="single" w:sz="4" w:space="0" w:color="FFFFFF" w:themeColor="background1"/>
            </w:tcBorders>
          </w:tcPr>
          <w:p w:rsidR="00480B73" w:rsidRDefault="00480B73" w:rsidP="00264CE2">
            <w:pPr>
              <w:jc w:val="both"/>
              <w:rPr>
                <w:rFonts w:cs="Times New Roman"/>
                <w:sz w:val="16"/>
                <w:szCs w:val="16"/>
                <w:lang w:val="en-US"/>
              </w:rPr>
            </w:pPr>
            <w:proofErr w:type="spellStart"/>
            <w:r>
              <w:rPr>
                <w:rFonts w:cs="Times New Roman"/>
                <w:sz w:val="16"/>
                <w:szCs w:val="16"/>
                <w:lang w:val="en-US"/>
              </w:rPr>
              <w:t>Bekersky</w:t>
            </w:r>
            <w:proofErr w:type="spellEnd"/>
            <w:r>
              <w:rPr>
                <w:rFonts w:cs="Times New Roman"/>
                <w:sz w:val="16"/>
                <w:szCs w:val="16"/>
                <w:lang w:val="en-US"/>
              </w:rPr>
              <w:t xml:space="preserve"> et al. </w:t>
            </w:r>
            <w:r>
              <w:rPr>
                <w:rFonts w:cs="Times New Roman"/>
                <w:sz w:val="16"/>
                <w:szCs w:val="16"/>
              </w:rPr>
              <w:fldChar w:fldCharType="begin" w:fldLock="1"/>
            </w:r>
            <w:r>
              <w:rPr>
                <w:rFonts w:cs="Times New Roman"/>
                <w:sz w:val="16"/>
                <w:szCs w:val="16"/>
                <w:lang w:val="en-US"/>
              </w:rPr>
              <w:instrText>ADDIN CSL_CITATION { "citationItems" : [ { "id" : "ITEM-1", "itemData" : { "DOI" : "10.1128/AAC.46.3.828", "author" : [ { "dropping-particle" : "", "family" : "Bekersky", "given" : "Ihor", "non-dropping-particle" : "", "parse-names" : false, "suffix" : "" }, { "dropping-particle" : "", "family" : "Fielding", "given" : "Robert M", "non-dropping-particle" : "", "parse-names" : false, "suffix" : "" }, { "dropping-particle" : "", "family" : "Dressler", "given" : "Dawna E", "non-dropping-particle" : "", "parse-names" : false, "suffix" : "" }, { "dropping-particle" : "", "family" : "Lee", "given" : "W", "non-dropping-particle" : "", "parse-names" : false, "suffix" : "" }, { "dropping-particle" : "", "family" : "Buell", "given" : "Donald N", "non-dropping-particle" : "", "parse-names" : false, "suffix" : "" }, { "dropping-particle" : "", "family" : "Walsh", "given" : "Thomas J", "non-dropping-particle" : "", "parse-names" : false, "suffix" : "" }, { "dropping-particle" : "", "family" : "Lee", "given" : "Jean W", "non-dropping-particle" : "", "parse-names" : false, "suffix" : "" } ], "container-title" : "Antimicrobial Agents and Chemotherapy", "id" : "ITEM-1", "issue" : "3", "issued" : { "date-parts" : [ [ "2002" ] ] }, "page" : "828-833", "title" : "Pharmacokinetics, excretion, and mass balance of liposomal amphotericin B (AmBisome) and amphotericin B deoxycholate in humans", "type" : "article-journal", "volume" : "46" }, "uris" : [ "http://www.mendeley.com/documents/?uuid=2734e397-89dc-4ef0-a951-d42274c41329" ] } ], "mendeley" : { "formattedCitation" : "[87]", "plainTextFormattedCitation" : "[87]", "previouslyFormattedCitation" : "[87]"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[87]</w:t>
            </w:r>
            <w:r>
              <w:rPr>
                <w:rFonts w:cs="Times New Roman"/>
                <w:sz w:val="16"/>
                <w:szCs w:val="16"/>
              </w:rPr>
              <w:fldChar w:fldCharType="end"/>
            </w:r>
          </w:p>
        </w:tc>
        <w:tc>
          <w:tcPr>
            <w:tcW w:w="1701" w:type="dxa"/>
            <w:tcBorders>
              <w:bottom w:val="dashed" w:sz="4" w:space="0" w:color="auto"/>
            </w:tcBorders>
          </w:tcPr>
          <w:p w:rsidR="00480B73" w:rsidRDefault="00480B73" w:rsidP="00264CE2">
            <w:pPr>
              <w:jc w:val="both"/>
              <w:rPr>
                <w:rFonts w:cs="Times New Roman"/>
                <w:sz w:val="16"/>
                <w:szCs w:val="16"/>
              </w:rPr>
            </w:pPr>
            <w:r>
              <w:rPr>
                <w:rFonts w:cs="Times New Roman"/>
                <w:sz w:val="16"/>
                <w:szCs w:val="16"/>
              </w:rPr>
              <w:t>Healthy volunteers</w:t>
            </w: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US</w:t>
            </w:r>
          </w:p>
        </w:tc>
        <w:tc>
          <w:tcPr>
            <w:tcW w:w="850" w:type="dxa"/>
            <w:gridSpan w:val="2"/>
            <w:tcBorders>
              <w:bottom w:val="dashed" w:sz="4" w:space="0" w:color="auto"/>
            </w:tcBorders>
          </w:tcPr>
          <w:p w:rsidR="00480B73" w:rsidRDefault="00480B73" w:rsidP="00264CE2">
            <w:pPr>
              <w:jc w:val="both"/>
              <w:rPr>
                <w:rFonts w:cs="Times New Roman"/>
                <w:sz w:val="16"/>
                <w:szCs w:val="16"/>
              </w:rPr>
            </w:pPr>
          </w:p>
        </w:tc>
        <w:tc>
          <w:tcPr>
            <w:tcW w:w="993" w:type="dxa"/>
            <w:gridSpan w:val="2"/>
            <w:tcBorders>
              <w:bottom w:val="dashed" w:sz="4" w:space="0" w:color="auto"/>
            </w:tcBorders>
          </w:tcPr>
          <w:p w:rsidR="00480B73" w:rsidRDefault="00480B73" w:rsidP="00264CE2">
            <w:pPr>
              <w:jc w:val="both"/>
              <w:rPr>
                <w:rFonts w:cs="Times New Roman"/>
                <w:sz w:val="16"/>
                <w:szCs w:val="16"/>
              </w:rPr>
            </w:pPr>
          </w:p>
        </w:tc>
        <w:tc>
          <w:tcPr>
            <w:tcW w:w="992" w:type="dxa"/>
            <w:tcBorders>
              <w:bottom w:val="dashed" w:sz="4" w:space="0" w:color="auto"/>
            </w:tcBorders>
          </w:tcPr>
          <w:p w:rsidR="00480B73" w:rsidRDefault="00480B73" w:rsidP="00264CE2">
            <w:pPr>
              <w:jc w:val="both"/>
              <w:rPr>
                <w:rFonts w:cs="Times New Roman"/>
                <w:sz w:val="16"/>
                <w:szCs w:val="16"/>
              </w:rPr>
            </w:pPr>
          </w:p>
        </w:tc>
        <w:tc>
          <w:tcPr>
            <w:tcW w:w="850" w:type="dxa"/>
            <w:tcBorders>
              <w:bottom w:val="dashed" w:sz="4" w:space="0" w:color="auto"/>
            </w:tcBorders>
          </w:tcPr>
          <w:p w:rsidR="00480B73" w:rsidRDefault="00480B73" w:rsidP="00264CE2">
            <w:pPr>
              <w:jc w:val="both"/>
              <w:rPr>
                <w:rFonts w:cs="Times New Roman"/>
                <w:sz w:val="16"/>
                <w:szCs w:val="16"/>
              </w:rPr>
            </w:pPr>
          </w:p>
        </w:tc>
        <w:tc>
          <w:tcPr>
            <w:tcW w:w="1134" w:type="dxa"/>
            <w:gridSpan w:val="2"/>
            <w:tcBorders>
              <w:bottom w:val="dashed" w:sz="4" w:space="0" w:color="auto"/>
            </w:tcBorders>
          </w:tcPr>
          <w:p w:rsidR="00480B73" w:rsidRDefault="00480B73" w:rsidP="00264CE2">
            <w:pPr>
              <w:jc w:val="both"/>
              <w:rPr>
                <w:rFonts w:cs="Times New Roman"/>
                <w:sz w:val="16"/>
                <w:szCs w:val="16"/>
              </w:rPr>
            </w:pPr>
          </w:p>
        </w:tc>
        <w:tc>
          <w:tcPr>
            <w:tcW w:w="1276"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2 h infusion</w:t>
            </w: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 xml:space="preserve">LC-MS/MS / </w:t>
            </w:r>
          </w:p>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 xml:space="preserve">2.0 / 0.1 </w:t>
            </w:r>
          </w:p>
          <w:p w:rsidR="00480B73" w:rsidRDefault="00480B73" w:rsidP="00264CE2">
            <w:pPr>
              <w:jc w:val="both"/>
              <w:rPr>
                <w:rFonts w:cs="Times New Roman"/>
                <w:sz w:val="16"/>
                <w:szCs w:val="16"/>
              </w:rPr>
            </w:pPr>
          </w:p>
        </w:tc>
        <w:tc>
          <w:tcPr>
            <w:tcW w:w="1275"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NCA</w:t>
            </w:r>
          </w:p>
        </w:tc>
        <w:tc>
          <w:tcPr>
            <w:tcW w:w="993" w:type="dxa"/>
            <w:tcBorders>
              <w:bottom w:val="dashed" w:sz="4" w:space="0" w:color="auto"/>
            </w:tcBorders>
          </w:tcPr>
          <w:p w:rsidR="00480B73" w:rsidRPr="00154358" w:rsidRDefault="00480B73" w:rsidP="00264CE2">
            <w:pPr>
              <w:jc w:val="both"/>
              <w:rPr>
                <w:rFonts w:cs="Times New Roman"/>
                <w:sz w:val="16"/>
                <w:szCs w:val="16"/>
                <w:lang w:val="en-US"/>
              </w:rPr>
            </w:pPr>
            <w:r w:rsidRPr="00154358">
              <w:rPr>
                <w:rFonts w:cs="Times New Roman"/>
                <w:sz w:val="16"/>
                <w:szCs w:val="16"/>
                <w:lang w:val="en-US"/>
              </w:rPr>
              <w:t>N/A</w:t>
            </w:r>
          </w:p>
        </w:tc>
      </w:tr>
      <w:tr w:rsidR="00480B73" w:rsidRPr="00163B4B" w:rsidTr="00264CE2">
        <w:trPr>
          <w:trHeight w:val="228"/>
        </w:trPr>
        <w:tc>
          <w:tcPr>
            <w:tcW w:w="959" w:type="dxa"/>
            <w:vMerge w:val="restart"/>
            <w:tcBorders>
              <w:top w:val="single" w:sz="4" w:space="0" w:color="FFFFFF" w:themeColor="background1"/>
            </w:tcBorders>
          </w:tcPr>
          <w:p w:rsidR="00480B73" w:rsidRDefault="00480B73" w:rsidP="00264CE2">
            <w:pPr>
              <w:jc w:val="both"/>
              <w:rPr>
                <w:rFonts w:cs="Times New Roman"/>
                <w:sz w:val="16"/>
                <w:szCs w:val="16"/>
              </w:rPr>
            </w:pPr>
          </w:p>
        </w:tc>
        <w:tc>
          <w:tcPr>
            <w:tcW w:w="1701" w:type="dxa"/>
            <w:tcBorders>
              <w:top w:val="dashed" w:sz="4" w:space="0" w:color="auto"/>
              <w:bottom w:val="dashed" w:sz="4" w:space="0" w:color="auto"/>
            </w:tcBorders>
          </w:tcPr>
          <w:p w:rsidR="00480B73" w:rsidRDefault="00480B73" w:rsidP="00264CE2">
            <w:pPr>
              <w:autoSpaceDE w:val="0"/>
              <w:autoSpaceDN w:val="0"/>
              <w:adjustRightInd w:val="0"/>
              <w:jc w:val="both"/>
              <w:rPr>
                <w:rFonts w:cs="Times New Roman"/>
                <w:sz w:val="16"/>
                <w:szCs w:val="16"/>
              </w:rPr>
            </w:pPr>
            <w:r>
              <w:rPr>
                <w:rFonts w:cs="Times New Roman"/>
                <w:sz w:val="16"/>
                <w:szCs w:val="16"/>
              </w:rPr>
              <w:t>L-AMB</w:t>
            </w: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5</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30±5</w:t>
            </w:r>
          </w:p>
          <w:p w:rsidR="00480B73" w:rsidRDefault="00480B73" w:rsidP="00264CE2">
            <w:pPr>
              <w:jc w:val="both"/>
              <w:rPr>
                <w:rFonts w:cs="Times New Roman"/>
                <w:sz w:val="16"/>
                <w:szCs w:val="16"/>
              </w:rPr>
            </w:pPr>
          </w:p>
        </w:tc>
        <w:tc>
          <w:tcPr>
            <w:tcW w:w="992" w:type="dxa"/>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79±11</w:t>
            </w:r>
          </w:p>
          <w:p w:rsidR="00480B73" w:rsidRDefault="00480B73" w:rsidP="00264CE2">
            <w:pPr>
              <w:jc w:val="both"/>
              <w:rPr>
                <w:rFonts w:cs="Times New Roman"/>
                <w:sz w:val="16"/>
                <w:szCs w:val="16"/>
              </w:rPr>
            </w:pP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80%</w:t>
            </w: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L-AMB (AmBisome)</w:t>
            </w:r>
          </w:p>
        </w:tc>
        <w:tc>
          <w:tcPr>
            <w:tcW w:w="1276" w:type="dxa"/>
            <w:gridSpan w:val="2"/>
            <w:tcBorders>
              <w:top w:val="dashed" w:sz="4" w:space="0" w:color="auto"/>
              <w:bottom w:val="single" w:sz="4" w:space="0" w:color="FFFFFF" w:themeColor="background1"/>
            </w:tcBorders>
          </w:tcPr>
          <w:p w:rsidR="00480B73" w:rsidRDefault="00480B73" w:rsidP="00264CE2">
            <w:pPr>
              <w:jc w:val="both"/>
              <w:rPr>
                <w:rFonts w:cs="Times New Roman"/>
                <w:sz w:val="16"/>
                <w:szCs w:val="16"/>
              </w:rPr>
            </w:pPr>
          </w:p>
        </w:tc>
        <w:tc>
          <w:tcPr>
            <w:tcW w:w="1134" w:type="dxa"/>
            <w:gridSpan w:val="2"/>
            <w:tcBorders>
              <w:top w:val="dashed" w:sz="4" w:space="0" w:color="auto"/>
              <w:bottom w:val="single" w:sz="4" w:space="0" w:color="FFFFFF" w:themeColor="background1"/>
            </w:tcBorders>
          </w:tcPr>
          <w:p w:rsidR="00480B73" w:rsidRDefault="00480B73" w:rsidP="00264CE2">
            <w:pPr>
              <w:jc w:val="both"/>
              <w:rPr>
                <w:rFonts w:cs="Times New Roman"/>
                <w:sz w:val="16"/>
                <w:szCs w:val="16"/>
              </w:rPr>
            </w:pPr>
          </w:p>
        </w:tc>
        <w:tc>
          <w:tcPr>
            <w:tcW w:w="851" w:type="dxa"/>
            <w:gridSpan w:val="2"/>
            <w:tcBorders>
              <w:top w:val="dashed" w:sz="4" w:space="0" w:color="auto"/>
              <w:bottom w:val="single" w:sz="4" w:space="0" w:color="FFFFFF" w:themeColor="background1"/>
            </w:tcBorders>
          </w:tcPr>
          <w:p w:rsidR="00480B73" w:rsidRDefault="00480B73" w:rsidP="00264CE2">
            <w:pPr>
              <w:jc w:val="both"/>
              <w:rPr>
                <w:rFonts w:cs="Times New Roman"/>
                <w:sz w:val="16"/>
                <w:szCs w:val="16"/>
              </w:rPr>
            </w:pPr>
          </w:p>
        </w:tc>
        <w:tc>
          <w:tcPr>
            <w:tcW w:w="1275" w:type="dxa"/>
            <w:gridSpan w:val="2"/>
            <w:tcBorders>
              <w:top w:val="dashed" w:sz="4" w:space="0" w:color="auto"/>
              <w:bottom w:val="single" w:sz="4" w:space="0" w:color="FFFFFF" w:themeColor="background1"/>
            </w:tcBorders>
          </w:tcPr>
          <w:p w:rsidR="00480B73" w:rsidRDefault="00480B73" w:rsidP="00264CE2">
            <w:pPr>
              <w:jc w:val="both"/>
              <w:rPr>
                <w:rFonts w:cs="Times New Roman"/>
                <w:sz w:val="16"/>
                <w:szCs w:val="16"/>
              </w:rPr>
            </w:pPr>
          </w:p>
        </w:tc>
        <w:tc>
          <w:tcPr>
            <w:tcW w:w="993" w:type="dxa"/>
            <w:tcBorders>
              <w:top w:val="dashed" w:sz="4" w:space="0" w:color="auto"/>
              <w:bottom w:val="single" w:sz="4" w:space="0" w:color="FFFFFF" w:themeColor="background1"/>
            </w:tcBorders>
          </w:tcPr>
          <w:p w:rsidR="00480B73" w:rsidRDefault="00480B73" w:rsidP="00264CE2">
            <w:pPr>
              <w:jc w:val="both"/>
              <w:rPr>
                <w:rFonts w:cs="Times New Roman"/>
                <w:sz w:val="16"/>
                <w:szCs w:val="16"/>
              </w:rPr>
            </w:pPr>
          </w:p>
        </w:tc>
      </w:tr>
      <w:tr w:rsidR="00480B73" w:rsidRPr="00163B4B" w:rsidTr="00264CE2">
        <w:trPr>
          <w:trHeight w:val="70"/>
        </w:trPr>
        <w:tc>
          <w:tcPr>
            <w:tcW w:w="959" w:type="dxa"/>
            <w:vMerge/>
          </w:tcPr>
          <w:p w:rsidR="00480B73" w:rsidRPr="00436D4F" w:rsidRDefault="00480B73" w:rsidP="00264CE2">
            <w:pPr>
              <w:jc w:val="both"/>
              <w:rPr>
                <w:rFonts w:cs="Times New Roman"/>
                <w:sz w:val="16"/>
                <w:szCs w:val="16"/>
                <w:lang w:val="en-US"/>
              </w:rPr>
            </w:pPr>
          </w:p>
        </w:tc>
        <w:tc>
          <w:tcPr>
            <w:tcW w:w="1701" w:type="dxa"/>
            <w:tcBorders>
              <w:top w:val="dashed" w:sz="4" w:space="0" w:color="auto"/>
            </w:tcBorders>
          </w:tcPr>
          <w:p w:rsidR="00480B73" w:rsidRDefault="00480B73" w:rsidP="00264CE2">
            <w:pPr>
              <w:jc w:val="both"/>
              <w:rPr>
                <w:rFonts w:cs="Times New Roman"/>
                <w:sz w:val="16"/>
                <w:szCs w:val="16"/>
              </w:rPr>
            </w:pPr>
            <w:r>
              <w:rPr>
                <w:rFonts w:cs="Times New Roman"/>
                <w:sz w:val="16"/>
                <w:szCs w:val="16"/>
              </w:rPr>
              <w:t>D-AMB</w:t>
            </w:r>
          </w:p>
        </w:tc>
        <w:tc>
          <w:tcPr>
            <w:tcW w:w="1134" w:type="dxa"/>
            <w:gridSpan w:val="2"/>
            <w:tcBorders>
              <w:top w:val="dashed" w:sz="4" w:space="0" w:color="auto"/>
            </w:tcBorders>
          </w:tcPr>
          <w:p w:rsidR="00480B73" w:rsidRDefault="00480B73" w:rsidP="00264CE2">
            <w:pPr>
              <w:jc w:val="both"/>
              <w:rPr>
                <w:rFonts w:cs="Times New Roman"/>
                <w:sz w:val="16"/>
                <w:szCs w:val="16"/>
              </w:rPr>
            </w:pPr>
          </w:p>
        </w:tc>
        <w:tc>
          <w:tcPr>
            <w:tcW w:w="850" w:type="dxa"/>
            <w:gridSpan w:val="2"/>
            <w:tcBorders>
              <w:top w:val="dashed" w:sz="4" w:space="0" w:color="auto"/>
            </w:tcBorders>
          </w:tcPr>
          <w:p w:rsidR="00480B73" w:rsidRDefault="00480B73" w:rsidP="00264CE2">
            <w:pPr>
              <w:jc w:val="both"/>
              <w:rPr>
                <w:rFonts w:cs="Times New Roman"/>
                <w:sz w:val="16"/>
                <w:szCs w:val="16"/>
              </w:rPr>
            </w:pPr>
            <w:r>
              <w:rPr>
                <w:rFonts w:cs="Times New Roman"/>
                <w:sz w:val="16"/>
                <w:szCs w:val="16"/>
              </w:rPr>
              <w:t>5</w:t>
            </w:r>
          </w:p>
        </w:tc>
        <w:tc>
          <w:tcPr>
            <w:tcW w:w="993" w:type="dxa"/>
            <w:gridSpan w:val="2"/>
            <w:tcBorders>
              <w:top w:val="dashed" w:sz="4" w:space="0" w:color="auto"/>
            </w:tcBorders>
          </w:tcPr>
          <w:p w:rsidR="00480B73" w:rsidRDefault="00480B73" w:rsidP="00264CE2">
            <w:pPr>
              <w:jc w:val="both"/>
              <w:rPr>
                <w:rFonts w:cs="Times New Roman"/>
                <w:sz w:val="16"/>
                <w:szCs w:val="16"/>
              </w:rPr>
            </w:pPr>
            <w:r>
              <w:rPr>
                <w:rFonts w:cs="Times New Roman"/>
                <w:sz w:val="16"/>
                <w:szCs w:val="16"/>
              </w:rPr>
              <w:t>49±16</w:t>
            </w:r>
          </w:p>
        </w:tc>
        <w:tc>
          <w:tcPr>
            <w:tcW w:w="992" w:type="dxa"/>
            <w:tcBorders>
              <w:top w:val="dashed" w:sz="4" w:space="0" w:color="auto"/>
            </w:tcBorders>
          </w:tcPr>
          <w:p w:rsidR="00480B73" w:rsidRDefault="00480B73" w:rsidP="00264CE2">
            <w:pPr>
              <w:jc w:val="both"/>
              <w:rPr>
                <w:rFonts w:cs="Times New Roman"/>
                <w:sz w:val="16"/>
                <w:szCs w:val="16"/>
              </w:rPr>
            </w:pPr>
            <w:r>
              <w:rPr>
                <w:rFonts w:cs="Times New Roman"/>
                <w:sz w:val="16"/>
                <w:szCs w:val="16"/>
              </w:rPr>
              <w:t>77±9</w:t>
            </w:r>
          </w:p>
        </w:tc>
        <w:tc>
          <w:tcPr>
            <w:tcW w:w="850" w:type="dxa"/>
            <w:tcBorders>
              <w:top w:val="dashed" w:sz="4" w:space="0" w:color="auto"/>
            </w:tcBorders>
          </w:tcPr>
          <w:p w:rsidR="00480B73" w:rsidRDefault="00480B73" w:rsidP="00264CE2">
            <w:pPr>
              <w:jc w:val="both"/>
              <w:rPr>
                <w:rFonts w:cs="Times New Roman"/>
                <w:sz w:val="16"/>
                <w:szCs w:val="16"/>
              </w:rPr>
            </w:pPr>
            <w:r>
              <w:rPr>
                <w:rFonts w:cs="Times New Roman"/>
                <w:sz w:val="16"/>
                <w:szCs w:val="16"/>
              </w:rPr>
              <w:t>80%</w:t>
            </w:r>
          </w:p>
        </w:tc>
        <w:tc>
          <w:tcPr>
            <w:tcW w:w="1134" w:type="dxa"/>
            <w:gridSpan w:val="2"/>
            <w:tcBorders>
              <w:top w:val="dashed" w:sz="4" w:space="0" w:color="auto"/>
            </w:tcBorders>
          </w:tcPr>
          <w:p w:rsidR="00480B73" w:rsidRDefault="00480B73" w:rsidP="00264CE2">
            <w:pPr>
              <w:jc w:val="both"/>
              <w:rPr>
                <w:rFonts w:cs="Times New Roman"/>
                <w:sz w:val="16"/>
                <w:szCs w:val="16"/>
              </w:rPr>
            </w:pPr>
            <w:r>
              <w:rPr>
                <w:rFonts w:cs="Times New Roman"/>
                <w:sz w:val="16"/>
                <w:szCs w:val="16"/>
              </w:rPr>
              <w:t>D-AMB (</w:t>
            </w:r>
            <w:r w:rsidRPr="003E437F">
              <w:rPr>
                <w:rFonts w:cs="Times New Roman"/>
                <w:sz w:val="16"/>
                <w:szCs w:val="16"/>
              </w:rPr>
              <w:t>Fungizone</w:t>
            </w:r>
            <w:r>
              <w:rPr>
                <w:rFonts w:cs="Times New Roman"/>
                <w:sz w:val="16"/>
                <w:szCs w:val="16"/>
              </w:rPr>
              <w:t>)</w:t>
            </w:r>
          </w:p>
        </w:tc>
        <w:tc>
          <w:tcPr>
            <w:tcW w:w="1276" w:type="dxa"/>
            <w:gridSpan w:val="2"/>
            <w:tcBorders>
              <w:top w:val="single" w:sz="4" w:space="0" w:color="FFFFFF" w:themeColor="background1"/>
            </w:tcBorders>
          </w:tcPr>
          <w:p w:rsidR="00480B73" w:rsidRDefault="00480B73" w:rsidP="00264CE2">
            <w:pPr>
              <w:jc w:val="both"/>
              <w:rPr>
                <w:rFonts w:cs="Times New Roman"/>
                <w:sz w:val="16"/>
                <w:szCs w:val="16"/>
              </w:rPr>
            </w:pPr>
          </w:p>
        </w:tc>
        <w:tc>
          <w:tcPr>
            <w:tcW w:w="1134" w:type="dxa"/>
            <w:gridSpan w:val="2"/>
            <w:tcBorders>
              <w:top w:val="single" w:sz="4" w:space="0" w:color="FFFFFF" w:themeColor="background1"/>
            </w:tcBorders>
          </w:tcPr>
          <w:p w:rsidR="00480B73" w:rsidRDefault="00480B73" w:rsidP="00264CE2">
            <w:pPr>
              <w:jc w:val="both"/>
              <w:rPr>
                <w:rFonts w:cs="Times New Roman"/>
                <w:sz w:val="16"/>
                <w:szCs w:val="16"/>
              </w:rPr>
            </w:pPr>
          </w:p>
        </w:tc>
        <w:tc>
          <w:tcPr>
            <w:tcW w:w="851" w:type="dxa"/>
            <w:gridSpan w:val="2"/>
            <w:tcBorders>
              <w:top w:val="single" w:sz="4" w:space="0" w:color="FFFFFF" w:themeColor="background1"/>
            </w:tcBorders>
          </w:tcPr>
          <w:p w:rsidR="00480B73" w:rsidRDefault="00480B73" w:rsidP="00264CE2">
            <w:pPr>
              <w:jc w:val="both"/>
              <w:rPr>
                <w:rFonts w:cs="Times New Roman"/>
                <w:sz w:val="16"/>
                <w:szCs w:val="16"/>
              </w:rPr>
            </w:pPr>
          </w:p>
        </w:tc>
        <w:tc>
          <w:tcPr>
            <w:tcW w:w="1275" w:type="dxa"/>
            <w:gridSpan w:val="2"/>
            <w:tcBorders>
              <w:top w:val="single" w:sz="4" w:space="0" w:color="FFFFFF" w:themeColor="background1"/>
            </w:tcBorders>
          </w:tcPr>
          <w:p w:rsidR="00480B73" w:rsidRDefault="00480B73" w:rsidP="00264CE2">
            <w:pPr>
              <w:jc w:val="both"/>
              <w:rPr>
                <w:rFonts w:cs="Times New Roman"/>
                <w:sz w:val="16"/>
                <w:szCs w:val="16"/>
              </w:rPr>
            </w:pPr>
          </w:p>
        </w:tc>
        <w:tc>
          <w:tcPr>
            <w:tcW w:w="993" w:type="dxa"/>
            <w:tcBorders>
              <w:top w:val="single" w:sz="4" w:space="0" w:color="FFFFFF" w:themeColor="background1"/>
            </w:tcBorders>
          </w:tcPr>
          <w:p w:rsidR="00480B73" w:rsidRPr="00154358" w:rsidRDefault="00480B73" w:rsidP="00264CE2">
            <w:pPr>
              <w:jc w:val="both"/>
              <w:rPr>
                <w:rFonts w:cs="Times New Roman"/>
                <w:sz w:val="16"/>
                <w:szCs w:val="16"/>
                <w:lang w:val="en-US"/>
              </w:rPr>
            </w:pPr>
          </w:p>
        </w:tc>
      </w:tr>
      <w:tr w:rsidR="00480B73" w:rsidRPr="00163B4B" w:rsidTr="00264CE2">
        <w:trPr>
          <w:trHeight w:val="64"/>
        </w:trPr>
        <w:tc>
          <w:tcPr>
            <w:tcW w:w="959" w:type="dxa"/>
          </w:tcPr>
          <w:p w:rsidR="00480B73" w:rsidRDefault="00480B73" w:rsidP="00264CE2">
            <w:pPr>
              <w:jc w:val="both"/>
              <w:rPr>
                <w:rFonts w:cs="Times New Roman"/>
                <w:sz w:val="16"/>
                <w:szCs w:val="16"/>
              </w:rPr>
            </w:pPr>
            <w:r>
              <w:rPr>
                <w:rFonts w:cs="Times New Roman"/>
                <w:sz w:val="16"/>
                <w:szCs w:val="16"/>
              </w:rPr>
              <w:t xml:space="preserve">Benson et al. </w:t>
            </w:r>
            <w:r>
              <w:rPr>
                <w:rFonts w:cs="Times New Roman"/>
                <w:sz w:val="16"/>
                <w:szCs w:val="16"/>
              </w:rPr>
              <w:fldChar w:fldCharType="begin" w:fldLock="1"/>
            </w:r>
            <w:r>
              <w:rPr>
                <w:rFonts w:cs="Times New Roman"/>
                <w:sz w:val="16"/>
                <w:szCs w:val="16"/>
              </w:rPr>
              <w:instrText>ADDIN CSL_CITATION { "citationItems" : [ { "id" : "ITEM-1", "itemData" : { "DOI" : "10.1128/AAC.33.11.1989", "ISBN" : "0066-4804 (Print)\\r0066-4804 (Linking)", "ISSN" : "00664804", "PMID" : "2610508", "abstract" : "Amphotericin B is the most effective agent for the majority of systemic fungal infections but often causes toxicity, and specific dosage guidelines for amphotericin B in pediatric patients are lacking. The purpose of this study was to characterize the pharmacokinetics of amphotericin B in children. Twelve patients (mean age, 6.6 years; range, 4 months to 14 years) receiving amphotericin B, 0.68 +/- 0.34 mg/kg per day (mean plus or minus standard deviation), were studied. Four to eight blood samples were collected during a 24-h period and analyzed by high-pressure liquid chromatography. The peak concentration of amphotericin B in serum was 2.9 +/- 2.8 micrograms/ml. The mean total clearance, apparent volume of distribution, and elimination half-life were 0.46 +/- 0.20 ml/min per kg, 0.76 +/- 0.52 liters/kg, and 18.1 +/- 6.6 h, respectively. Total clearance decreased with age (p less than 0.01). In children aged 8 months to 9 years, the mean total clearance was 0.57 +/- 0.15 ml/min per kg, and in children older than 9 years, it was 0.24 +/- 0.02 ml/min per kg. Interpatient variation in the clearance and volume of distribution of amphotericin B was greater than threefold and greater than eightfold, respectively. However, pharmacokinetic parameters did not change in two stable patients who were studied again. Because clearance decreased substantially with age, older children may require lower doses of amphotericin B per kilogram to decrease the potential for toxicity.", "author" : [ { "dropping-particle" : "", "family" : "Benson", "given" : "J.", "non-dropping-particle" : "", "parse-names" : false, "suffix" : "" }, { "dropping-particle" : "", "family" : "Nahata", "given" : "M. C.", "non-dropping-particle" : "", "parse-names" : false, "suffix" : "" } ], "container-title" : "Antimicrobial Agents and Chemotherapy", "id" : "ITEM-1", "issue" : "11", "issued" : { "date-parts" : [ [ "1989" ] ] }, "page" : "1989-1993", "title" : "Pharmacokinetics of amphotericin B in children", "type" : "article-journal", "volume" : "33" }, "uris" : [ "http://www.mendeley.com/documents/?uuid=94c582e7-a09c-4853-8f34-b2170c0d8c6e" ] } ], "mendeley" : { "formattedCitation" : "[134]", "plainTextFormattedCitation" : "[134]", "previouslyFormattedCitation" : "[133]" }, "properties" : { "noteIndex" : 0 }, "schema" : "https://github.com/citation-style-language/schema/raw/master/csl-citation.json" }</w:instrText>
            </w:r>
            <w:r>
              <w:rPr>
                <w:rFonts w:cs="Times New Roman"/>
                <w:sz w:val="16"/>
                <w:szCs w:val="16"/>
              </w:rPr>
              <w:fldChar w:fldCharType="separate"/>
            </w:r>
            <w:r w:rsidRPr="001015EC">
              <w:rPr>
                <w:rFonts w:cs="Times New Roman"/>
                <w:noProof/>
                <w:sz w:val="16"/>
                <w:szCs w:val="16"/>
              </w:rPr>
              <w:t>[134]</w:t>
            </w:r>
            <w:r>
              <w:rPr>
                <w:rFonts w:cs="Times New Roman"/>
                <w:sz w:val="16"/>
                <w:szCs w:val="16"/>
              </w:rPr>
              <w:fldChar w:fldCharType="end"/>
            </w:r>
          </w:p>
        </w:tc>
        <w:tc>
          <w:tcPr>
            <w:tcW w:w="1701" w:type="dxa"/>
          </w:tcPr>
          <w:p w:rsidR="00480B73" w:rsidRDefault="00480B73" w:rsidP="00264CE2">
            <w:pPr>
              <w:jc w:val="both"/>
              <w:rPr>
                <w:rFonts w:cs="Times New Roman"/>
                <w:sz w:val="16"/>
                <w:szCs w:val="16"/>
              </w:rPr>
            </w:pPr>
            <w:r>
              <w:rPr>
                <w:rFonts w:cs="Times New Roman"/>
                <w:sz w:val="16"/>
                <w:szCs w:val="16"/>
              </w:rPr>
              <w:t>Pediatric patients (various infections)</w:t>
            </w:r>
          </w:p>
        </w:tc>
        <w:tc>
          <w:tcPr>
            <w:tcW w:w="1134" w:type="dxa"/>
            <w:gridSpan w:val="2"/>
          </w:tcPr>
          <w:p w:rsidR="00480B73" w:rsidRDefault="00480B73" w:rsidP="00264CE2">
            <w:pPr>
              <w:jc w:val="both"/>
              <w:rPr>
                <w:rFonts w:cs="Times New Roman"/>
                <w:sz w:val="16"/>
                <w:szCs w:val="16"/>
              </w:rPr>
            </w:pPr>
            <w:r>
              <w:rPr>
                <w:rFonts w:cs="Times New Roman"/>
                <w:sz w:val="16"/>
                <w:szCs w:val="16"/>
              </w:rPr>
              <w:t>US</w:t>
            </w:r>
          </w:p>
        </w:tc>
        <w:tc>
          <w:tcPr>
            <w:tcW w:w="850" w:type="dxa"/>
            <w:gridSpan w:val="2"/>
          </w:tcPr>
          <w:p w:rsidR="00480B73" w:rsidRDefault="00480B73" w:rsidP="00264CE2">
            <w:pPr>
              <w:jc w:val="both"/>
              <w:rPr>
                <w:rFonts w:cs="Times New Roman"/>
                <w:sz w:val="16"/>
                <w:szCs w:val="16"/>
              </w:rPr>
            </w:pPr>
            <w:r>
              <w:rPr>
                <w:rFonts w:cs="Times New Roman"/>
                <w:sz w:val="16"/>
                <w:szCs w:val="16"/>
              </w:rPr>
              <w:t>12</w:t>
            </w:r>
          </w:p>
        </w:tc>
        <w:tc>
          <w:tcPr>
            <w:tcW w:w="993" w:type="dxa"/>
            <w:gridSpan w:val="2"/>
          </w:tcPr>
          <w:p w:rsidR="00480B73" w:rsidRDefault="00480B73" w:rsidP="00264CE2">
            <w:pPr>
              <w:jc w:val="both"/>
              <w:rPr>
                <w:rFonts w:cs="Times New Roman"/>
                <w:sz w:val="16"/>
                <w:szCs w:val="16"/>
              </w:rPr>
            </w:pPr>
            <w:r>
              <w:rPr>
                <w:rFonts w:cs="Times New Roman"/>
                <w:sz w:val="16"/>
                <w:szCs w:val="16"/>
              </w:rPr>
              <w:t>0-14 (range)</w:t>
            </w:r>
          </w:p>
        </w:tc>
        <w:tc>
          <w:tcPr>
            <w:tcW w:w="992" w:type="dxa"/>
          </w:tcPr>
          <w:p w:rsidR="00480B73" w:rsidRDefault="00480B73" w:rsidP="00264CE2">
            <w:pPr>
              <w:jc w:val="both"/>
              <w:rPr>
                <w:rFonts w:cs="Times New Roman"/>
                <w:sz w:val="16"/>
                <w:szCs w:val="16"/>
              </w:rPr>
            </w:pPr>
            <w:r>
              <w:rPr>
                <w:rFonts w:cs="Times New Roman"/>
                <w:sz w:val="16"/>
                <w:szCs w:val="16"/>
              </w:rPr>
              <w:t>21.6±13.3</w:t>
            </w:r>
          </w:p>
        </w:tc>
        <w:tc>
          <w:tcPr>
            <w:tcW w:w="850" w:type="dxa"/>
          </w:tcPr>
          <w:p w:rsidR="00480B73" w:rsidRDefault="00480B73" w:rsidP="00264CE2">
            <w:pPr>
              <w:jc w:val="both"/>
              <w:rPr>
                <w:rFonts w:cs="Times New Roman"/>
                <w:sz w:val="16"/>
                <w:szCs w:val="16"/>
              </w:rPr>
            </w:pPr>
            <w:r>
              <w:rPr>
                <w:rFonts w:cs="Times New Roman"/>
                <w:sz w:val="16"/>
                <w:szCs w:val="16"/>
              </w:rPr>
              <w:t>42%</w:t>
            </w:r>
          </w:p>
        </w:tc>
        <w:tc>
          <w:tcPr>
            <w:tcW w:w="1134" w:type="dxa"/>
            <w:gridSpan w:val="2"/>
          </w:tcPr>
          <w:p w:rsidR="00480B73" w:rsidRDefault="00480B73" w:rsidP="00264CE2">
            <w:pPr>
              <w:jc w:val="both"/>
              <w:rPr>
                <w:rFonts w:cs="Times New Roman"/>
                <w:sz w:val="16"/>
                <w:szCs w:val="16"/>
              </w:rPr>
            </w:pPr>
            <w:r>
              <w:rPr>
                <w:rFonts w:cs="Times New Roman"/>
                <w:sz w:val="16"/>
                <w:szCs w:val="16"/>
              </w:rPr>
              <w:t>D-AMB (</w:t>
            </w:r>
            <w:r w:rsidRPr="003E437F">
              <w:rPr>
                <w:rFonts w:cs="Times New Roman"/>
                <w:sz w:val="16"/>
                <w:szCs w:val="16"/>
              </w:rPr>
              <w:t>Fungizone</w:t>
            </w:r>
            <w:r>
              <w:rPr>
                <w:rFonts w:cs="Times New Roman"/>
                <w:sz w:val="16"/>
                <w:szCs w:val="16"/>
              </w:rPr>
              <w:t>)</w:t>
            </w:r>
          </w:p>
        </w:tc>
        <w:tc>
          <w:tcPr>
            <w:tcW w:w="1276" w:type="dxa"/>
            <w:gridSpan w:val="2"/>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2-4.5 h infusion</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Default="00480B73" w:rsidP="00264CE2">
            <w:pPr>
              <w:jc w:val="both"/>
              <w:rPr>
                <w:rFonts w:cs="Times New Roman"/>
                <w:sz w:val="16"/>
                <w:szCs w:val="16"/>
              </w:rPr>
            </w:pPr>
            <w:r>
              <w:rPr>
                <w:rFonts w:cs="Times New Roman"/>
                <w:sz w:val="16"/>
                <w:szCs w:val="16"/>
              </w:rPr>
              <w:t>0.1</w:t>
            </w:r>
          </w:p>
        </w:tc>
        <w:tc>
          <w:tcPr>
            <w:tcW w:w="1275" w:type="dxa"/>
            <w:gridSpan w:val="2"/>
          </w:tcPr>
          <w:p w:rsidR="00480B73" w:rsidRDefault="00480B73" w:rsidP="00264CE2">
            <w:pPr>
              <w:jc w:val="both"/>
              <w:rPr>
                <w:rFonts w:cs="Times New Roman"/>
                <w:color w:val="000000" w:themeColor="text1"/>
                <w:sz w:val="16"/>
                <w:szCs w:val="18"/>
              </w:rPr>
            </w:pPr>
            <w:r>
              <w:rPr>
                <w:rFonts w:cs="Times New Roman"/>
                <w:color w:val="000000" w:themeColor="text1"/>
                <w:sz w:val="16"/>
                <w:szCs w:val="18"/>
              </w:rPr>
              <w:t>NCA</w:t>
            </w:r>
          </w:p>
        </w:tc>
        <w:tc>
          <w:tcPr>
            <w:tcW w:w="993" w:type="dxa"/>
          </w:tcPr>
          <w:p w:rsidR="00480B73" w:rsidRDefault="00480B73" w:rsidP="00264CE2">
            <w:pPr>
              <w:jc w:val="both"/>
              <w:rPr>
                <w:rFonts w:cs="Times New Roman"/>
                <w:sz w:val="16"/>
                <w:szCs w:val="16"/>
              </w:rPr>
            </w:pPr>
            <w:r>
              <w:rPr>
                <w:rFonts w:cs="Times New Roman"/>
                <w:sz w:val="16"/>
                <w:szCs w:val="16"/>
              </w:rPr>
              <w:t>N/A</w:t>
            </w:r>
          </w:p>
        </w:tc>
      </w:tr>
      <w:tr w:rsidR="00480B73" w:rsidRPr="00436D4F" w:rsidTr="00264CE2">
        <w:trPr>
          <w:trHeight w:val="70"/>
        </w:trPr>
        <w:tc>
          <w:tcPr>
            <w:tcW w:w="959" w:type="dxa"/>
            <w:vMerge w:val="restart"/>
          </w:tcPr>
          <w:p w:rsidR="00480B73" w:rsidRPr="00D77564" w:rsidRDefault="00480B73" w:rsidP="00264CE2">
            <w:pPr>
              <w:jc w:val="both"/>
              <w:rPr>
                <w:rFonts w:cs="Times New Roman"/>
                <w:sz w:val="16"/>
                <w:szCs w:val="16"/>
                <w:lang w:val="en-US"/>
              </w:rPr>
            </w:pPr>
            <w:r w:rsidRPr="00D77564">
              <w:rPr>
                <w:rFonts w:cs="Times New Roman"/>
                <w:sz w:val="16"/>
                <w:szCs w:val="16"/>
                <w:lang w:val="en-US"/>
              </w:rPr>
              <w:t xml:space="preserve">Gubbins et al. </w:t>
            </w:r>
            <w:r w:rsidRPr="00D77564">
              <w:rPr>
                <w:rFonts w:cs="Times New Roman"/>
                <w:sz w:val="16"/>
                <w:szCs w:val="16"/>
                <w:lang w:val="en-US"/>
              </w:rPr>
              <w:fldChar w:fldCharType="begin" w:fldLock="1"/>
            </w:r>
            <w:r>
              <w:rPr>
                <w:rFonts w:cs="Times New Roman"/>
                <w:sz w:val="16"/>
                <w:szCs w:val="16"/>
                <w:lang w:val="en-US"/>
              </w:rPr>
              <w:instrText>ADDIN CSL_CITATION { "citationItems" : [ { "id" : "ITEM-1", "itemData" : { "DOI" : "10.1128/AAC.01448-08", "ISBN" : "1098-6596 (Electronic)\\r0066-4804 (Linking)", "ISSN" : "00664804", "PMID" : "19546359", "abstract" : "The pharmacokinetics and safety of extended-interval dosing of prophylactic liposomal amphotericin B (L-AMB) in peripheral stem cell transplant recipients were evaluated. The patients received L-AMB daily at 1 mg/kg of body weight or weekly at 7.5 mg/kg or received L-AMB as a single dose (15 mg/kg). The buccal mucosal tissue concentrations of L-AMB were measured. Of the 24 patients enrolled, 5 withdrew after the initial dose due to an infusion-related reaction (n = 2) or significant increases in the serum creatinine (Scr) levels (n = 3). Weekly L-AMB dosing (7.5 mg/kg) produced mean plasma concentrations of &gt;0.300 microg/ml for the first 7 days and &gt;0.220 microg/ml for 7 days after the second dose. A single L-AMB dose (15 mg/kg) produced mean plasma concentrations of &gt;0.491 microg/ml for at least 7 seven days. These concentrations are within the range of the MICs reported in the literature for susceptible strains of Candida and are at the lower limits of the MICs for Aspergillus spp. Extended-interval dosing produced buccal mucosal tissue concentrations well in excess of the MICs reported in the literature for susceptible strains of Candida and Aspergillus spp. Infusion-related reactions occurred in 24% of the patients. Baseline and end-of-study Scr, electrolyte (K+, Mg2+, PO4), and serum transaminase levels were similar across the dosage groups. Five (31%) patients met the nephrotoxicity definition prior to completion of the study. Patients in the weekly or single-dose groups experienced nephrotoxicity significantly faster than the patients in the daily dosing cohort. A weekly L-AMB dose (7.5 mg/kg) or a single L-AMB dose (15 mg/kg) produced sufficient concentrations in plasma and highly vascular tissue to warrant further studies of the safety, efficacy, and practicality of the weekly prophylactic administration of L-AMB.", "author" : [ { "dropping-particle" : "", "family" : "Gubbins", "given" : "Paul O.", "non-dropping-particle" : "", "parse-names" : false, "suffix" : "" }, { "dropping-particle" : "", "family" : "Amsden", "given" : "Jarrett R.", "non-dropping-particle" : "", "parse-names" : false, "suffix" : "" }, { "dropping-particle" : "", "family" : "McConnell", "given" : "Scott A.", "non-dropping-particle" : "", "parse-names" : false, "suffix" : "" }, { "dropping-particle" : "", "family" : "Anaissie", "given" : "Elias J.", "non-dropping-particle" : "", "parse-names" : false, "suffix" : "" } ], "container-title" : "Antimicrobial Agents and Chemotherapy", "id" : "ITEM-1", "issue" : "9", "issued" : { "date-parts" : [ [ "2009" ] ] }, "page" : "3664-3674", "title" : "Pharmacokinetics and buccal mucosal concentrations of a 15 milligram per kilogram of body weight total dose of liposomal amphotericin B administered as a single dose (15 mg/kg), weekly dose (7.5 mg/kg), or daily dose (1 mg/kg) in peripheral stem cell tran", "type" : "article-journal", "volume" : "53" }, "uris" : [ "http://www.mendeley.com/documents/?uuid=2890f068-182d-48cd-825b-6fd2c3470c08" ] } ], "mendeley" : { "formattedCitation" : "[86]", "plainTextFormattedCitation" : "[86]", "previouslyFormattedCitation" : "[86]" }, "properties" : { "noteIndex" : 0 }, "schema" : "https://github.com/citation-style-language/schema/raw/master/csl-citation.json" }</w:instrText>
            </w:r>
            <w:r w:rsidRPr="00D77564">
              <w:rPr>
                <w:rFonts w:cs="Times New Roman"/>
                <w:sz w:val="16"/>
                <w:szCs w:val="16"/>
                <w:lang w:val="en-US"/>
              </w:rPr>
              <w:fldChar w:fldCharType="separate"/>
            </w:r>
            <w:r w:rsidRPr="00B244DA">
              <w:rPr>
                <w:rFonts w:cs="Times New Roman"/>
                <w:noProof/>
                <w:sz w:val="16"/>
                <w:szCs w:val="16"/>
                <w:lang w:val="en-US"/>
              </w:rPr>
              <w:t>[86]</w:t>
            </w:r>
            <w:r w:rsidRPr="00D77564">
              <w:rPr>
                <w:rFonts w:cs="Times New Roman"/>
                <w:sz w:val="16"/>
                <w:szCs w:val="16"/>
                <w:lang w:val="en-US"/>
              </w:rPr>
              <w:fldChar w:fldCharType="end"/>
            </w:r>
          </w:p>
        </w:tc>
        <w:tc>
          <w:tcPr>
            <w:tcW w:w="1701" w:type="dxa"/>
            <w:tcBorders>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Peripheral Stem Cell Transplant (</w:t>
            </w:r>
            <w:proofErr w:type="spellStart"/>
            <w:r>
              <w:rPr>
                <w:rFonts w:cs="Times New Roman"/>
                <w:sz w:val="16"/>
                <w:szCs w:val="16"/>
                <w:lang w:val="en-US"/>
              </w:rPr>
              <w:t>PSCT</w:t>
            </w:r>
            <w:proofErr w:type="spellEnd"/>
            <w:r>
              <w:rPr>
                <w:rFonts w:cs="Times New Roman"/>
                <w:sz w:val="16"/>
                <w:szCs w:val="16"/>
                <w:lang w:val="en-US"/>
              </w:rPr>
              <w:t xml:space="preserve">) patients </w:t>
            </w:r>
          </w:p>
        </w:tc>
        <w:tc>
          <w:tcPr>
            <w:tcW w:w="1134" w:type="dxa"/>
            <w:gridSpan w:val="2"/>
            <w:tcBorders>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US</w:t>
            </w:r>
          </w:p>
        </w:tc>
        <w:tc>
          <w:tcPr>
            <w:tcW w:w="850" w:type="dxa"/>
            <w:gridSpan w:val="2"/>
            <w:tcBorders>
              <w:bottom w:val="dashed" w:sz="4" w:space="0" w:color="auto"/>
            </w:tcBorders>
          </w:tcPr>
          <w:p w:rsidR="00480B73" w:rsidRDefault="00480B73" w:rsidP="00264CE2">
            <w:pPr>
              <w:jc w:val="both"/>
              <w:rPr>
                <w:rFonts w:cs="Times New Roman"/>
                <w:sz w:val="16"/>
                <w:szCs w:val="16"/>
                <w:lang w:val="en-US"/>
              </w:rPr>
            </w:pPr>
          </w:p>
        </w:tc>
        <w:tc>
          <w:tcPr>
            <w:tcW w:w="993" w:type="dxa"/>
            <w:gridSpan w:val="2"/>
            <w:tcBorders>
              <w:bottom w:val="dashed" w:sz="4" w:space="0" w:color="auto"/>
            </w:tcBorders>
          </w:tcPr>
          <w:p w:rsidR="00480B73" w:rsidRDefault="00480B73" w:rsidP="00264CE2">
            <w:pPr>
              <w:jc w:val="both"/>
              <w:rPr>
                <w:rFonts w:cs="Times New Roman"/>
                <w:sz w:val="16"/>
                <w:szCs w:val="16"/>
              </w:rPr>
            </w:pPr>
          </w:p>
        </w:tc>
        <w:tc>
          <w:tcPr>
            <w:tcW w:w="992" w:type="dxa"/>
            <w:tcBorders>
              <w:bottom w:val="dashed" w:sz="4" w:space="0" w:color="auto"/>
            </w:tcBorders>
          </w:tcPr>
          <w:p w:rsidR="00480B73" w:rsidRDefault="00480B73" w:rsidP="00264CE2">
            <w:pPr>
              <w:jc w:val="both"/>
              <w:rPr>
                <w:rFonts w:cs="Times New Roman"/>
                <w:sz w:val="16"/>
                <w:szCs w:val="16"/>
                <w:lang w:val="en-US"/>
              </w:rPr>
            </w:pPr>
          </w:p>
        </w:tc>
        <w:tc>
          <w:tcPr>
            <w:tcW w:w="850" w:type="dxa"/>
            <w:tcBorders>
              <w:bottom w:val="dashed" w:sz="4" w:space="0" w:color="auto"/>
            </w:tcBorders>
          </w:tcPr>
          <w:p w:rsidR="00480B73" w:rsidRDefault="00480B73" w:rsidP="00264CE2">
            <w:pPr>
              <w:jc w:val="both"/>
              <w:rPr>
                <w:rFonts w:cs="Times New Roman"/>
                <w:sz w:val="16"/>
                <w:szCs w:val="16"/>
                <w:lang w:val="en-US"/>
              </w:rPr>
            </w:pPr>
          </w:p>
        </w:tc>
        <w:tc>
          <w:tcPr>
            <w:tcW w:w="1134" w:type="dxa"/>
            <w:gridSpan w:val="2"/>
            <w:tcBorders>
              <w:bottom w:val="dashed" w:sz="4" w:space="0" w:color="auto"/>
            </w:tcBorders>
          </w:tcPr>
          <w:p w:rsidR="00480B73" w:rsidRPr="00C5648D" w:rsidRDefault="00480B73" w:rsidP="00264CE2">
            <w:pPr>
              <w:jc w:val="both"/>
              <w:rPr>
                <w:rFonts w:cs="Times New Roman"/>
                <w:sz w:val="16"/>
                <w:szCs w:val="16"/>
              </w:rPr>
            </w:pPr>
            <w:r w:rsidRPr="00C5648D">
              <w:rPr>
                <w:rFonts w:cs="Times New Roman"/>
                <w:sz w:val="16"/>
                <w:szCs w:val="16"/>
              </w:rPr>
              <w:t>L-AMB (AmBisome)</w:t>
            </w:r>
          </w:p>
        </w:tc>
        <w:tc>
          <w:tcPr>
            <w:tcW w:w="1276"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2 h infusion</w:t>
            </w: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 xml:space="preserve">0.1 </w:t>
            </w:r>
          </w:p>
        </w:tc>
        <w:tc>
          <w:tcPr>
            <w:tcW w:w="1275"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NCA</w:t>
            </w:r>
          </w:p>
        </w:tc>
        <w:tc>
          <w:tcPr>
            <w:tcW w:w="993" w:type="dxa"/>
            <w:tcBorders>
              <w:bottom w:val="dashed" w:sz="4" w:space="0" w:color="auto"/>
            </w:tcBorders>
          </w:tcPr>
          <w:p w:rsidR="00480B73" w:rsidRPr="003B0FC4" w:rsidRDefault="00480B73" w:rsidP="00264CE2">
            <w:pPr>
              <w:jc w:val="both"/>
              <w:rPr>
                <w:rFonts w:cs="Times New Roman"/>
                <w:sz w:val="16"/>
                <w:szCs w:val="16"/>
                <w:lang w:val="en-US"/>
              </w:rPr>
            </w:pPr>
            <w:r w:rsidRPr="003B0FC4">
              <w:rPr>
                <w:rFonts w:cs="Times New Roman"/>
                <w:sz w:val="16"/>
                <w:szCs w:val="16"/>
                <w:lang w:val="en-US"/>
              </w:rPr>
              <w:t>N/A</w:t>
            </w:r>
          </w:p>
        </w:tc>
      </w:tr>
      <w:tr w:rsidR="00480B73" w:rsidRPr="00436D4F" w:rsidTr="00264CE2">
        <w:trPr>
          <w:trHeight w:val="70"/>
        </w:trPr>
        <w:tc>
          <w:tcPr>
            <w:tcW w:w="959" w:type="dxa"/>
            <w:vMerge/>
          </w:tcPr>
          <w:p w:rsidR="00480B73" w:rsidRPr="00436D4F"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r>
              <w:rPr>
                <w:rFonts w:cs="Times New Roman"/>
                <w:sz w:val="16"/>
                <w:szCs w:val="16"/>
                <w:lang w:val="en-US"/>
              </w:rPr>
              <w:t>1.0 mg/kg daily</w:t>
            </w:r>
          </w:p>
        </w:tc>
        <w:tc>
          <w:tcPr>
            <w:tcW w:w="1134" w:type="dxa"/>
            <w:gridSpan w:val="2"/>
            <w:tcBorders>
              <w:top w:val="dashed" w:sz="4" w:space="0" w:color="auto"/>
              <w:bottom w:val="dashed" w:sz="4" w:space="0" w:color="auto"/>
            </w:tcBorders>
          </w:tcPr>
          <w:p w:rsidR="00480B73" w:rsidRPr="00436D4F" w:rsidRDefault="00480B73" w:rsidP="00264CE2">
            <w:pPr>
              <w:jc w:val="both"/>
              <w:rPr>
                <w:rFonts w:cs="Times New Roman"/>
                <w:sz w:val="16"/>
                <w:szCs w:val="16"/>
                <w:lang w:val="en-US"/>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6</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57.5±12.9</w:t>
            </w:r>
          </w:p>
        </w:tc>
        <w:tc>
          <w:tcPr>
            <w:tcW w:w="992"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r>
              <w:rPr>
                <w:rFonts w:cs="Times New Roman"/>
                <w:sz w:val="16"/>
                <w:szCs w:val="16"/>
                <w:lang w:val="en-US"/>
              </w:rPr>
              <w:t>71.7</w:t>
            </w:r>
            <w:r>
              <w:rPr>
                <w:rFonts w:cs="Times New Roman"/>
                <w:sz w:val="16"/>
                <w:szCs w:val="16"/>
              </w:rPr>
              <w:t>±13.3</w:t>
            </w: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50%</w:t>
            </w:r>
          </w:p>
        </w:tc>
        <w:tc>
          <w:tcPr>
            <w:tcW w:w="1134" w:type="dxa"/>
            <w:gridSpan w:val="2"/>
            <w:vMerge w:val="restart"/>
            <w:tcBorders>
              <w:top w:val="dashed" w:sz="4" w:space="0" w:color="auto"/>
            </w:tcBorders>
          </w:tcPr>
          <w:p w:rsidR="00480B73" w:rsidRDefault="00480B73" w:rsidP="00264CE2">
            <w:pPr>
              <w:jc w:val="both"/>
              <w:rPr>
                <w:rFonts w:cs="Times New Roman"/>
                <w:sz w:val="16"/>
                <w:szCs w:val="16"/>
              </w:rPr>
            </w:pPr>
          </w:p>
        </w:tc>
        <w:tc>
          <w:tcPr>
            <w:tcW w:w="1276" w:type="dxa"/>
            <w:gridSpan w:val="2"/>
            <w:vMerge w:val="restart"/>
            <w:tcBorders>
              <w:top w:val="dashed" w:sz="4" w:space="0" w:color="auto"/>
            </w:tcBorders>
          </w:tcPr>
          <w:p w:rsidR="00480B73" w:rsidRDefault="00480B73" w:rsidP="00264CE2">
            <w:pPr>
              <w:jc w:val="both"/>
              <w:rPr>
                <w:rFonts w:cs="Times New Roman"/>
                <w:sz w:val="16"/>
                <w:szCs w:val="16"/>
              </w:rPr>
            </w:pPr>
          </w:p>
        </w:tc>
        <w:tc>
          <w:tcPr>
            <w:tcW w:w="1134" w:type="dxa"/>
            <w:gridSpan w:val="2"/>
            <w:vMerge w:val="restart"/>
            <w:tcBorders>
              <w:top w:val="dashed" w:sz="4" w:space="0" w:color="auto"/>
            </w:tcBorders>
          </w:tcPr>
          <w:p w:rsidR="00480B73" w:rsidRDefault="00480B73" w:rsidP="00264CE2">
            <w:pPr>
              <w:jc w:val="both"/>
              <w:rPr>
                <w:rFonts w:cs="Times New Roman"/>
                <w:sz w:val="16"/>
                <w:szCs w:val="16"/>
              </w:rPr>
            </w:pPr>
          </w:p>
        </w:tc>
        <w:tc>
          <w:tcPr>
            <w:tcW w:w="851" w:type="dxa"/>
            <w:gridSpan w:val="2"/>
            <w:vMerge w:val="restart"/>
            <w:tcBorders>
              <w:top w:val="dashed" w:sz="4" w:space="0" w:color="auto"/>
            </w:tcBorders>
          </w:tcPr>
          <w:p w:rsidR="00480B73" w:rsidRDefault="00480B73" w:rsidP="00264CE2">
            <w:pPr>
              <w:jc w:val="both"/>
              <w:rPr>
                <w:rFonts w:cs="Times New Roman"/>
                <w:sz w:val="16"/>
                <w:szCs w:val="16"/>
              </w:rPr>
            </w:pPr>
          </w:p>
        </w:tc>
        <w:tc>
          <w:tcPr>
            <w:tcW w:w="1275" w:type="dxa"/>
            <w:gridSpan w:val="2"/>
            <w:vMerge w:val="restart"/>
            <w:tcBorders>
              <w:top w:val="dashed" w:sz="4" w:space="0" w:color="auto"/>
            </w:tcBorders>
          </w:tcPr>
          <w:p w:rsidR="00480B73" w:rsidRPr="00436D4F" w:rsidRDefault="00480B73" w:rsidP="00264CE2">
            <w:pPr>
              <w:jc w:val="both"/>
              <w:rPr>
                <w:rFonts w:cs="Times New Roman"/>
                <w:sz w:val="16"/>
                <w:szCs w:val="16"/>
                <w:lang w:val="en-US"/>
              </w:rPr>
            </w:pPr>
          </w:p>
        </w:tc>
        <w:tc>
          <w:tcPr>
            <w:tcW w:w="993" w:type="dxa"/>
            <w:vMerge w:val="restart"/>
            <w:tcBorders>
              <w:top w:val="dashed" w:sz="4" w:space="0" w:color="auto"/>
            </w:tcBorders>
          </w:tcPr>
          <w:p w:rsidR="00480B73" w:rsidRPr="00436D4F" w:rsidRDefault="00480B73" w:rsidP="00264CE2">
            <w:pPr>
              <w:jc w:val="both"/>
              <w:rPr>
                <w:rFonts w:cs="Times New Roman"/>
                <w:sz w:val="16"/>
                <w:szCs w:val="16"/>
                <w:lang w:val="en-US"/>
              </w:rPr>
            </w:pPr>
          </w:p>
        </w:tc>
      </w:tr>
      <w:tr w:rsidR="00480B73" w:rsidRPr="00436D4F" w:rsidTr="00264CE2">
        <w:trPr>
          <w:trHeight w:val="64"/>
        </w:trPr>
        <w:tc>
          <w:tcPr>
            <w:tcW w:w="959" w:type="dxa"/>
            <w:vMerge/>
          </w:tcPr>
          <w:p w:rsidR="00480B73" w:rsidRPr="003B68E7"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3B0FC4" w:rsidRDefault="00480B73" w:rsidP="00264CE2">
            <w:pPr>
              <w:jc w:val="both"/>
              <w:rPr>
                <w:rFonts w:cs="Times New Roman"/>
                <w:sz w:val="16"/>
                <w:szCs w:val="16"/>
                <w:lang w:val="en-US"/>
              </w:rPr>
            </w:pPr>
            <w:r>
              <w:rPr>
                <w:rFonts w:cs="Times New Roman"/>
                <w:sz w:val="16"/>
                <w:szCs w:val="16"/>
                <w:lang w:val="en-US"/>
              </w:rPr>
              <w:t>7.5 mg/kg weekly</w:t>
            </w:r>
          </w:p>
        </w:tc>
        <w:tc>
          <w:tcPr>
            <w:tcW w:w="1134" w:type="dxa"/>
            <w:gridSpan w:val="2"/>
            <w:tcBorders>
              <w:top w:val="dashed" w:sz="4" w:space="0" w:color="auto"/>
              <w:bottom w:val="dashed" w:sz="4" w:space="0" w:color="auto"/>
            </w:tcBorders>
          </w:tcPr>
          <w:p w:rsidR="00480B73" w:rsidRPr="00230EEB" w:rsidRDefault="00480B73" w:rsidP="00264CE2">
            <w:pPr>
              <w:jc w:val="both"/>
              <w:rPr>
                <w:rFonts w:cs="Times New Roman"/>
                <w:sz w:val="10"/>
                <w:szCs w:val="16"/>
                <w:lang w:val="en-US"/>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4</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61.0±7.7</w:t>
            </w:r>
          </w:p>
        </w:tc>
        <w:tc>
          <w:tcPr>
            <w:tcW w:w="992"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r>
              <w:rPr>
                <w:rFonts w:cs="Times New Roman"/>
                <w:sz w:val="16"/>
                <w:szCs w:val="16"/>
              </w:rPr>
              <w:t>83.9±26.1</w:t>
            </w: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75%</w:t>
            </w:r>
          </w:p>
        </w:tc>
        <w:tc>
          <w:tcPr>
            <w:tcW w:w="1134" w:type="dxa"/>
            <w:gridSpan w:val="2"/>
            <w:vMerge/>
          </w:tcPr>
          <w:p w:rsidR="00480B73" w:rsidRDefault="00480B73" w:rsidP="00264CE2">
            <w:pPr>
              <w:jc w:val="both"/>
              <w:rPr>
                <w:rFonts w:cs="Times New Roman"/>
                <w:sz w:val="16"/>
                <w:szCs w:val="16"/>
              </w:rPr>
            </w:pPr>
          </w:p>
        </w:tc>
        <w:tc>
          <w:tcPr>
            <w:tcW w:w="1276" w:type="dxa"/>
            <w:gridSpan w:val="2"/>
            <w:vMerge/>
          </w:tcPr>
          <w:p w:rsidR="00480B73" w:rsidRDefault="00480B73" w:rsidP="00264CE2">
            <w:pPr>
              <w:jc w:val="both"/>
              <w:rPr>
                <w:rFonts w:cs="Times New Roman"/>
                <w:sz w:val="16"/>
                <w:szCs w:val="16"/>
              </w:rPr>
            </w:pPr>
          </w:p>
        </w:tc>
        <w:tc>
          <w:tcPr>
            <w:tcW w:w="1134" w:type="dxa"/>
            <w:gridSpan w:val="2"/>
            <w:vMerge/>
          </w:tcPr>
          <w:p w:rsidR="00480B73" w:rsidRDefault="00480B73" w:rsidP="00264CE2">
            <w:pPr>
              <w:jc w:val="both"/>
              <w:rPr>
                <w:rFonts w:cs="Times New Roman"/>
                <w:sz w:val="16"/>
                <w:szCs w:val="16"/>
              </w:rPr>
            </w:pPr>
          </w:p>
        </w:tc>
        <w:tc>
          <w:tcPr>
            <w:tcW w:w="851" w:type="dxa"/>
            <w:gridSpan w:val="2"/>
            <w:vMerge/>
          </w:tcPr>
          <w:p w:rsidR="00480B73" w:rsidRDefault="00480B73" w:rsidP="00264CE2">
            <w:pPr>
              <w:jc w:val="both"/>
              <w:rPr>
                <w:rFonts w:cs="Times New Roman"/>
                <w:sz w:val="16"/>
                <w:szCs w:val="16"/>
              </w:rPr>
            </w:pPr>
          </w:p>
        </w:tc>
        <w:tc>
          <w:tcPr>
            <w:tcW w:w="1275" w:type="dxa"/>
            <w:gridSpan w:val="2"/>
            <w:vMerge/>
          </w:tcPr>
          <w:p w:rsidR="00480B73" w:rsidRPr="00436D4F" w:rsidRDefault="00480B73" w:rsidP="00264CE2">
            <w:pPr>
              <w:jc w:val="both"/>
              <w:rPr>
                <w:rFonts w:cs="Times New Roman"/>
                <w:sz w:val="16"/>
                <w:szCs w:val="16"/>
                <w:lang w:val="en-US"/>
              </w:rPr>
            </w:pPr>
          </w:p>
        </w:tc>
        <w:tc>
          <w:tcPr>
            <w:tcW w:w="993" w:type="dxa"/>
            <w:vMerge/>
          </w:tcPr>
          <w:p w:rsidR="00480B73" w:rsidRDefault="00480B73" w:rsidP="00264CE2">
            <w:pPr>
              <w:jc w:val="both"/>
              <w:rPr>
                <w:rFonts w:cs="Times New Roman"/>
                <w:sz w:val="16"/>
                <w:szCs w:val="16"/>
                <w:lang w:val="en-US"/>
              </w:rPr>
            </w:pPr>
          </w:p>
        </w:tc>
      </w:tr>
      <w:tr w:rsidR="00480B73" w:rsidRPr="00436D4F" w:rsidTr="00264CE2">
        <w:trPr>
          <w:trHeight w:val="70"/>
        </w:trPr>
        <w:tc>
          <w:tcPr>
            <w:tcW w:w="959" w:type="dxa"/>
            <w:vMerge/>
          </w:tcPr>
          <w:p w:rsidR="00480B73" w:rsidRPr="003B68E7" w:rsidRDefault="00480B73" w:rsidP="00264CE2">
            <w:pPr>
              <w:jc w:val="both"/>
              <w:rPr>
                <w:rFonts w:cs="Times New Roman"/>
                <w:sz w:val="16"/>
                <w:szCs w:val="16"/>
                <w:lang w:val="en-US"/>
              </w:rPr>
            </w:pPr>
          </w:p>
        </w:tc>
        <w:tc>
          <w:tcPr>
            <w:tcW w:w="1701" w:type="dxa"/>
            <w:tcBorders>
              <w:top w:val="dashed" w:sz="4" w:space="0" w:color="auto"/>
            </w:tcBorders>
          </w:tcPr>
          <w:p w:rsidR="00480B73" w:rsidRPr="00154358" w:rsidRDefault="00480B73" w:rsidP="00264CE2">
            <w:pPr>
              <w:jc w:val="both"/>
              <w:rPr>
                <w:rFonts w:cs="Times New Roman"/>
                <w:sz w:val="16"/>
                <w:szCs w:val="16"/>
                <w:lang w:val="en-US"/>
              </w:rPr>
            </w:pPr>
            <w:r>
              <w:rPr>
                <w:rFonts w:cs="Times New Roman"/>
                <w:sz w:val="16"/>
                <w:szCs w:val="16"/>
                <w:lang w:val="en-US"/>
              </w:rPr>
              <w:t>15 mg/kg, single dose</w:t>
            </w:r>
          </w:p>
        </w:tc>
        <w:tc>
          <w:tcPr>
            <w:tcW w:w="1134" w:type="dxa"/>
            <w:gridSpan w:val="2"/>
            <w:tcBorders>
              <w:top w:val="dashed" w:sz="4" w:space="0" w:color="auto"/>
            </w:tcBorders>
          </w:tcPr>
          <w:p w:rsidR="00480B73" w:rsidRDefault="00480B73" w:rsidP="00264CE2">
            <w:pPr>
              <w:jc w:val="both"/>
              <w:rPr>
                <w:rFonts w:cs="Times New Roman"/>
                <w:sz w:val="16"/>
                <w:szCs w:val="16"/>
                <w:lang w:val="en-US"/>
              </w:rPr>
            </w:pPr>
          </w:p>
        </w:tc>
        <w:tc>
          <w:tcPr>
            <w:tcW w:w="850" w:type="dxa"/>
            <w:gridSpan w:val="2"/>
            <w:tcBorders>
              <w:top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6</w:t>
            </w:r>
          </w:p>
        </w:tc>
        <w:tc>
          <w:tcPr>
            <w:tcW w:w="993" w:type="dxa"/>
            <w:gridSpan w:val="2"/>
            <w:tcBorders>
              <w:top w:val="dashed" w:sz="4" w:space="0" w:color="auto"/>
            </w:tcBorders>
          </w:tcPr>
          <w:p w:rsidR="00480B73" w:rsidRDefault="00480B73" w:rsidP="00264CE2">
            <w:pPr>
              <w:jc w:val="both"/>
              <w:rPr>
                <w:rFonts w:cs="Times New Roman"/>
                <w:sz w:val="16"/>
                <w:szCs w:val="16"/>
              </w:rPr>
            </w:pPr>
            <w:r>
              <w:rPr>
                <w:rFonts w:cs="Times New Roman"/>
                <w:sz w:val="16"/>
                <w:szCs w:val="16"/>
              </w:rPr>
              <w:t>56.7±7.1</w:t>
            </w:r>
          </w:p>
        </w:tc>
        <w:tc>
          <w:tcPr>
            <w:tcW w:w="992" w:type="dxa"/>
            <w:tcBorders>
              <w:top w:val="dashed" w:sz="4" w:space="0" w:color="auto"/>
            </w:tcBorders>
          </w:tcPr>
          <w:p w:rsidR="00480B73" w:rsidRPr="00144BC4" w:rsidRDefault="00480B73" w:rsidP="00264CE2">
            <w:pPr>
              <w:jc w:val="both"/>
              <w:rPr>
                <w:rFonts w:cs="Times New Roman"/>
                <w:sz w:val="16"/>
                <w:szCs w:val="16"/>
                <w:lang w:val="en-US"/>
              </w:rPr>
            </w:pPr>
            <w:r>
              <w:rPr>
                <w:rFonts w:cs="Times New Roman"/>
                <w:sz w:val="16"/>
                <w:szCs w:val="16"/>
              </w:rPr>
              <w:t>87.5±27.1</w:t>
            </w:r>
          </w:p>
        </w:tc>
        <w:tc>
          <w:tcPr>
            <w:tcW w:w="850" w:type="dxa"/>
            <w:tcBorders>
              <w:top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67%</w:t>
            </w:r>
          </w:p>
        </w:tc>
        <w:tc>
          <w:tcPr>
            <w:tcW w:w="1134" w:type="dxa"/>
            <w:gridSpan w:val="2"/>
            <w:vMerge/>
          </w:tcPr>
          <w:p w:rsidR="00480B73" w:rsidRDefault="00480B73" w:rsidP="00264CE2">
            <w:pPr>
              <w:jc w:val="both"/>
              <w:rPr>
                <w:rFonts w:cs="Times New Roman"/>
                <w:sz w:val="16"/>
                <w:szCs w:val="16"/>
              </w:rPr>
            </w:pPr>
          </w:p>
        </w:tc>
        <w:tc>
          <w:tcPr>
            <w:tcW w:w="1276" w:type="dxa"/>
            <w:gridSpan w:val="2"/>
            <w:vMerge/>
          </w:tcPr>
          <w:p w:rsidR="00480B73" w:rsidRDefault="00480B73" w:rsidP="00264CE2">
            <w:pPr>
              <w:jc w:val="both"/>
              <w:rPr>
                <w:rFonts w:cs="Times New Roman"/>
                <w:sz w:val="16"/>
                <w:szCs w:val="16"/>
              </w:rPr>
            </w:pPr>
          </w:p>
        </w:tc>
        <w:tc>
          <w:tcPr>
            <w:tcW w:w="1134" w:type="dxa"/>
            <w:gridSpan w:val="2"/>
            <w:vMerge/>
          </w:tcPr>
          <w:p w:rsidR="00480B73" w:rsidRDefault="00480B73" w:rsidP="00264CE2">
            <w:pPr>
              <w:jc w:val="both"/>
              <w:rPr>
                <w:rFonts w:cs="Times New Roman"/>
                <w:sz w:val="16"/>
                <w:szCs w:val="16"/>
              </w:rPr>
            </w:pPr>
          </w:p>
        </w:tc>
        <w:tc>
          <w:tcPr>
            <w:tcW w:w="851" w:type="dxa"/>
            <w:gridSpan w:val="2"/>
            <w:vMerge/>
          </w:tcPr>
          <w:p w:rsidR="00480B73" w:rsidRDefault="00480B73" w:rsidP="00264CE2">
            <w:pPr>
              <w:jc w:val="both"/>
              <w:rPr>
                <w:rFonts w:cs="Times New Roman"/>
                <w:sz w:val="16"/>
                <w:szCs w:val="16"/>
              </w:rPr>
            </w:pPr>
          </w:p>
        </w:tc>
        <w:tc>
          <w:tcPr>
            <w:tcW w:w="1275" w:type="dxa"/>
            <w:gridSpan w:val="2"/>
            <w:vMerge/>
          </w:tcPr>
          <w:p w:rsidR="00480B73" w:rsidRPr="00436D4F" w:rsidRDefault="00480B73" w:rsidP="00264CE2">
            <w:pPr>
              <w:jc w:val="both"/>
              <w:rPr>
                <w:rFonts w:cs="Times New Roman"/>
                <w:sz w:val="16"/>
                <w:szCs w:val="16"/>
                <w:lang w:val="en-US"/>
              </w:rPr>
            </w:pPr>
          </w:p>
        </w:tc>
        <w:tc>
          <w:tcPr>
            <w:tcW w:w="993" w:type="dxa"/>
            <w:vMerge/>
          </w:tcPr>
          <w:p w:rsidR="00480B73" w:rsidRDefault="00480B73" w:rsidP="00264CE2">
            <w:pPr>
              <w:jc w:val="both"/>
              <w:rPr>
                <w:rFonts w:cs="Times New Roman"/>
                <w:sz w:val="16"/>
                <w:szCs w:val="16"/>
                <w:lang w:val="en-US"/>
              </w:rPr>
            </w:pPr>
          </w:p>
        </w:tc>
      </w:tr>
      <w:tr w:rsidR="00480B73" w:rsidRPr="00783252" w:rsidTr="00264CE2">
        <w:trPr>
          <w:trHeight w:val="70"/>
        </w:trPr>
        <w:tc>
          <w:tcPr>
            <w:tcW w:w="959" w:type="dxa"/>
            <w:vMerge w:val="restart"/>
          </w:tcPr>
          <w:p w:rsidR="00480B73" w:rsidRDefault="00480B73" w:rsidP="00264CE2">
            <w:pPr>
              <w:jc w:val="both"/>
              <w:rPr>
                <w:rFonts w:cs="Times New Roman"/>
                <w:sz w:val="16"/>
                <w:szCs w:val="16"/>
              </w:rPr>
            </w:pPr>
            <w:r>
              <w:rPr>
                <w:rFonts w:cs="Times New Roman"/>
                <w:sz w:val="16"/>
                <w:szCs w:val="16"/>
              </w:rPr>
              <w:t xml:space="preserve">Heinemann et al. </w:t>
            </w:r>
          </w:p>
          <w:p w:rsidR="00480B73" w:rsidRPr="00783252" w:rsidRDefault="00480B73" w:rsidP="00264CE2">
            <w:pPr>
              <w:jc w:val="both"/>
              <w:rPr>
                <w:rFonts w:cs="Times New Roman"/>
                <w:sz w:val="16"/>
                <w:szCs w:val="16"/>
                <w:lang w:val="en-US"/>
              </w:rPr>
            </w:pPr>
            <w:r>
              <w:rPr>
                <w:rFonts w:cs="Times New Roman"/>
                <w:sz w:val="16"/>
                <w:szCs w:val="16"/>
              </w:rPr>
              <w:fldChar w:fldCharType="begin" w:fldLock="1"/>
            </w:r>
            <w:r>
              <w:rPr>
                <w:rFonts w:cs="Times New Roman"/>
                <w:sz w:val="16"/>
                <w:szCs w:val="16"/>
              </w:rPr>
              <w:instrText>ADDIN CSL_CITATION { "citationItems" : [ { "id" : "ITEM-1", "itemData" : { "ISBN" : "0066-4804", "PMID" : "9174183", "abstract" : "The liposomal formulation of amphotericin B (AmBisome) greatly reduces the acute and chronic side effects of the parent drug. The present study describes the pharmacokinetic characteristics of AmBisome applied to 10 patients at a dose of 2.8 to 3.0 mg/kg of body weight and compares them to the pharmacokinetics observed in 6 patients treated with amphotericin B deoxycholate at the standard dose of 1.0 mg/kg. Interpatient variabilities of amphotericin B peak concentrations (Cmax) and areas under concentration-time curves (AUC) were 8- to 10-fold greater for patients treated with AmBisome than for patients treated with amphotericin B deoxycholate. At the threefold greater dose of AmBisome, median Cmaxs were 8.4-fold higher (14.4 versus 1.7 microg/ml) and median AUCs exceeded those observed with amphotericin B deoxycholate by 9-fold. This was in part explained by a 5.7-fold lower volume of distribution (0.42 liters/kg) in AmBisome-treated patients. The elimination of amphotericin B from serum was biphasic for both formulations. However, the apparent half-life of elimination was twofold shorter for AmBisome (P = 0.03). Neither hemodialysis nor hemofiltration had a significant impact on AmBisome pharmacokinetics as analyzed in one patient. In conclusion, the liposomal formulation of amphotericin B significantly (P = 0.001) reduces the volume of drug distribution, thereby allowing for greater drug concentrations in serum. The low toxicity of AmBisome therefore cannot readily be explained by its serum pharmacokinetics.", "author" : [ { "dropping-particle" : "", "family" : "Heinemann", "given" : "V", "non-dropping-particle" : "", "parse-names" : false, "suffix" : "" }, { "dropping-particle" : "", "family" : "Bosse", "given" : "D", "non-dropping-particle" : "", "parse-names" : false, "suffix" : "" }, { "dropping-particle" : "", "family" : "Jehn", "given" : "U", "non-dropping-particle" : "", "parse-names" : false, "suffix" : "" }, { "dropping-particle" : "", "family" : "Kahny", "given" : "B", "non-dropping-particle" : "", "parse-names" : false, "suffix" : "" }, { "dropping-particle" : "", "family" : "Wachholz", "given" : "K", "non-dropping-particle" : "", "parse-names" : false, "suffix" : "" }, { "dropping-particle" : "", "family" : "Debus", "given" : "A", "non-dropping-particle" : "", "parse-names" : false, "suffix" : "" }, { "dropping-particle" : "", "family" : "Scholz", "given" : "P", "non-dropping-particle" : "", "parse-names" : false, "suffix" : "" }, { "dropping-particle" : "", "family" : "Kolb", "given" : "H J", "non-dropping-particle" : "", "parse-names" : false, "suffix" : "" }, { "dropping-particle" : "", "family" : "Wilmanns", "given" : "W", "non-dropping-particle" : "", "parse-names" : false, "suffix" : "" } ], "container-title" : "Antimicrobial Agents &amp; Chemotherapy", "id" : "ITEM-1", "issue" : "6", "issued" : { "date-parts" : [ [ "1997" ] ] }, "page" : "1275-1280", "title" : "Pharmacokinetics of liposomal amphotericin B (Ambisome) in critically ill patients", "type" : "article-journal", "volume" : "41" }, "uris" : [ "http://www.mendeley.com/documents/?uuid=842501ad-5bbf-4201-9923-ddeb8005fed5" ] } ], "mendeley" : { "formattedCitation" : "[95]", "plainTextFormattedCitation" : "[95]", "previouslyFormattedCitation" : "[95]"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[95]</w:t>
            </w:r>
            <w:r>
              <w:rPr>
                <w:rFonts w:cs="Times New Roman"/>
                <w:sz w:val="16"/>
                <w:szCs w:val="16"/>
              </w:rPr>
              <w:fldChar w:fldCharType="end"/>
            </w:r>
          </w:p>
        </w:tc>
        <w:tc>
          <w:tcPr>
            <w:tcW w:w="1701" w:type="dxa"/>
            <w:tcBorders>
              <w:bottom w:val="dashed" w:sz="4" w:space="0" w:color="auto"/>
            </w:tcBorders>
          </w:tcPr>
          <w:p w:rsidR="00480B73" w:rsidRDefault="00480B73" w:rsidP="00264CE2">
            <w:pPr>
              <w:jc w:val="both"/>
              <w:rPr>
                <w:rFonts w:cs="Times New Roman"/>
                <w:sz w:val="16"/>
                <w:szCs w:val="16"/>
              </w:rPr>
            </w:pPr>
            <w:r>
              <w:rPr>
                <w:rFonts w:cs="Times New Roman"/>
                <w:sz w:val="16"/>
                <w:szCs w:val="16"/>
              </w:rPr>
              <w:t>Critically ill patients</w:t>
            </w:r>
          </w:p>
          <w:p w:rsidR="00480B73" w:rsidRPr="00E72EDB" w:rsidRDefault="00480B73" w:rsidP="00264CE2">
            <w:pPr>
              <w:jc w:val="both"/>
              <w:rPr>
                <w:rFonts w:cs="Times New Roman"/>
                <w:sz w:val="16"/>
                <w:szCs w:val="16"/>
              </w:rPr>
            </w:pPr>
          </w:p>
        </w:tc>
        <w:tc>
          <w:tcPr>
            <w:tcW w:w="1134" w:type="dxa"/>
            <w:gridSpan w:val="2"/>
            <w:tcBorders>
              <w:bottom w:val="dashed" w:sz="4" w:space="0" w:color="auto"/>
            </w:tcBorders>
          </w:tcPr>
          <w:p w:rsidR="00480B73" w:rsidRPr="00E72EDB" w:rsidRDefault="00480B73" w:rsidP="00264CE2">
            <w:pPr>
              <w:rPr>
                <w:rFonts w:cs="Times New Roman"/>
                <w:sz w:val="16"/>
                <w:szCs w:val="16"/>
              </w:rPr>
            </w:pPr>
            <w:r>
              <w:rPr>
                <w:rFonts w:cs="Times New Roman"/>
                <w:sz w:val="16"/>
                <w:szCs w:val="16"/>
              </w:rPr>
              <w:t>Germany</w:t>
            </w:r>
          </w:p>
        </w:tc>
        <w:tc>
          <w:tcPr>
            <w:tcW w:w="850" w:type="dxa"/>
            <w:gridSpan w:val="2"/>
            <w:tcBorders>
              <w:bottom w:val="dashed" w:sz="4" w:space="0" w:color="auto"/>
            </w:tcBorders>
          </w:tcPr>
          <w:p w:rsidR="00480B73" w:rsidRPr="00E72EDB" w:rsidRDefault="00480B73" w:rsidP="00264CE2">
            <w:pPr>
              <w:jc w:val="both"/>
              <w:rPr>
                <w:rFonts w:cs="Times New Roman"/>
                <w:sz w:val="16"/>
                <w:szCs w:val="16"/>
              </w:rPr>
            </w:pPr>
          </w:p>
        </w:tc>
        <w:tc>
          <w:tcPr>
            <w:tcW w:w="993" w:type="dxa"/>
            <w:gridSpan w:val="2"/>
            <w:tcBorders>
              <w:bottom w:val="dashed" w:sz="4" w:space="0" w:color="auto"/>
            </w:tcBorders>
          </w:tcPr>
          <w:p w:rsidR="00480B73" w:rsidRPr="00E72EDB" w:rsidRDefault="00480B73" w:rsidP="00264CE2">
            <w:pPr>
              <w:jc w:val="both"/>
              <w:rPr>
                <w:rFonts w:cs="Times New Roman"/>
                <w:sz w:val="16"/>
                <w:szCs w:val="16"/>
              </w:rPr>
            </w:pPr>
          </w:p>
        </w:tc>
        <w:tc>
          <w:tcPr>
            <w:tcW w:w="992" w:type="dxa"/>
            <w:tcBorders>
              <w:bottom w:val="dashed" w:sz="4" w:space="0" w:color="auto"/>
            </w:tcBorders>
          </w:tcPr>
          <w:p w:rsidR="00480B73" w:rsidRPr="00E72EDB" w:rsidRDefault="00480B73" w:rsidP="00264CE2">
            <w:pPr>
              <w:jc w:val="both"/>
              <w:rPr>
                <w:rFonts w:cs="Times New Roman"/>
                <w:sz w:val="16"/>
                <w:szCs w:val="16"/>
              </w:rPr>
            </w:pPr>
          </w:p>
        </w:tc>
        <w:tc>
          <w:tcPr>
            <w:tcW w:w="850" w:type="dxa"/>
            <w:tcBorders>
              <w:bottom w:val="dashed" w:sz="4" w:space="0" w:color="auto"/>
            </w:tcBorders>
          </w:tcPr>
          <w:p w:rsidR="00480B73" w:rsidRPr="00E72EDB" w:rsidRDefault="00480B73" w:rsidP="00264CE2">
            <w:pPr>
              <w:jc w:val="both"/>
              <w:rPr>
                <w:rFonts w:cs="Times New Roman"/>
                <w:sz w:val="16"/>
                <w:szCs w:val="16"/>
              </w:rPr>
            </w:pPr>
          </w:p>
        </w:tc>
        <w:tc>
          <w:tcPr>
            <w:tcW w:w="1134" w:type="dxa"/>
            <w:gridSpan w:val="2"/>
            <w:tcBorders>
              <w:bottom w:val="dashed" w:sz="4" w:space="0" w:color="auto"/>
            </w:tcBorders>
          </w:tcPr>
          <w:p w:rsidR="00480B73" w:rsidRDefault="00480B73" w:rsidP="00264CE2">
            <w:pPr>
              <w:jc w:val="both"/>
              <w:rPr>
                <w:rFonts w:cs="Times New Roman"/>
                <w:sz w:val="16"/>
                <w:szCs w:val="16"/>
              </w:rPr>
            </w:pPr>
          </w:p>
        </w:tc>
        <w:tc>
          <w:tcPr>
            <w:tcW w:w="1276"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IV</w:t>
            </w:r>
          </w:p>
          <w:p w:rsidR="00480B73" w:rsidRPr="00E72EDB" w:rsidRDefault="00480B73" w:rsidP="00264CE2">
            <w:pPr>
              <w:jc w:val="both"/>
              <w:rPr>
                <w:rFonts w:cs="Times New Roman"/>
                <w:sz w:val="16"/>
                <w:szCs w:val="16"/>
              </w:rPr>
            </w:pPr>
            <w:r>
              <w:rPr>
                <w:rFonts w:cs="Times New Roman"/>
                <w:sz w:val="16"/>
                <w:szCs w:val="16"/>
              </w:rPr>
              <w:t>1 h infusion</w:t>
            </w: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Borders>
              <w:bottom w:val="dashed" w:sz="4" w:space="0" w:color="auto"/>
            </w:tcBorders>
          </w:tcPr>
          <w:p w:rsidR="00480B73" w:rsidRPr="00E72EDB" w:rsidRDefault="00480B73" w:rsidP="00264CE2">
            <w:pPr>
              <w:jc w:val="both"/>
              <w:rPr>
                <w:rFonts w:cs="Times New Roman"/>
                <w:sz w:val="16"/>
                <w:szCs w:val="16"/>
              </w:rPr>
            </w:pPr>
            <w:r>
              <w:rPr>
                <w:rFonts w:cs="Times New Roman"/>
                <w:sz w:val="16"/>
                <w:szCs w:val="16"/>
              </w:rPr>
              <w:t>0.05</w:t>
            </w:r>
          </w:p>
        </w:tc>
        <w:tc>
          <w:tcPr>
            <w:tcW w:w="1275" w:type="dxa"/>
            <w:gridSpan w:val="2"/>
            <w:tcBorders>
              <w:bottom w:val="dashed" w:sz="4" w:space="0" w:color="auto"/>
            </w:tcBorders>
          </w:tcPr>
          <w:p w:rsidR="00480B73" w:rsidRPr="00E72EDB" w:rsidRDefault="00480B73" w:rsidP="00264CE2">
            <w:pPr>
              <w:jc w:val="both"/>
              <w:rPr>
                <w:rFonts w:cs="Times New Roman"/>
                <w:sz w:val="16"/>
                <w:szCs w:val="16"/>
              </w:rPr>
            </w:pPr>
            <w:r>
              <w:rPr>
                <w:rFonts w:cs="Times New Roman"/>
                <w:color w:val="000000" w:themeColor="text1"/>
                <w:sz w:val="16"/>
                <w:szCs w:val="18"/>
              </w:rPr>
              <w:t>Compartmental (individual-based)</w:t>
            </w:r>
          </w:p>
        </w:tc>
        <w:tc>
          <w:tcPr>
            <w:tcW w:w="993" w:type="dxa"/>
            <w:tcBorders>
              <w:bottom w:val="dashed" w:sz="4" w:space="0" w:color="auto"/>
            </w:tcBorders>
          </w:tcPr>
          <w:p w:rsidR="00480B73" w:rsidRPr="00E72EDB" w:rsidRDefault="00480B73" w:rsidP="00264CE2">
            <w:pPr>
              <w:jc w:val="both"/>
              <w:rPr>
                <w:rFonts w:cs="Times New Roman"/>
                <w:sz w:val="16"/>
                <w:szCs w:val="16"/>
              </w:rPr>
            </w:pPr>
            <w:r>
              <w:rPr>
                <w:rFonts w:cs="Times New Roman"/>
                <w:sz w:val="16"/>
                <w:szCs w:val="16"/>
              </w:rPr>
              <w:t>2-CMT</w:t>
            </w:r>
          </w:p>
        </w:tc>
      </w:tr>
      <w:tr w:rsidR="00480B73" w:rsidRPr="00783252" w:rsidTr="00264CE2">
        <w:trPr>
          <w:trHeight w:val="70"/>
        </w:trPr>
        <w:tc>
          <w:tcPr>
            <w:tcW w:w="959" w:type="dxa"/>
            <w:vMerge/>
          </w:tcPr>
          <w:p w:rsidR="00480B73" w:rsidRPr="00783252"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E72EDB" w:rsidRDefault="00480B73" w:rsidP="00264CE2">
            <w:pPr>
              <w:jc w:val="both"/>
              <w:rPr>
                <w:rFonts w:cs="Times New Roman"/>
                <w:sz w:val="16"/>
                <w:szCs w:val="16"/>
              </w:rPr>
            </w:pPr>
            <w:r>
              <w:rPr>
                <w:rFonts w:cs="Times New Roman"/>
                <w:sz w:val="16"/>
                <w:szCs w:val="16"/>
              </w:rPr>
              <w:t>L-AMB</w:t>
            </w:r>
          </w:p>
        </w:tc>
        <w:tc>
          <w:tcPr>
            <w:tcW w:w="1134" w:type="dxa"/>
            <w:gridSpan w:val="2"/>
            <w:tcBorders>
              <w:top w:val="dashed" w:sz="4" w:space="0" w:color="auto"/>
              <w:bottom w:val="dashed" w:sz="4" w:space="0" w:color="auto"/>
            </w:tcBorders>
          </w:tcPr>
          <w:p w:rsidR="00480B73" w:rsidRPr="00E72EDB" w:rsidRDefault="00480B73" w:rsidP="00264CE2">
            <w:pPr>
              <w:rPr>
                <w:rFonts w:cs="Times New Roman"/>
                <w:sz w:val="16"/>
                <w:szCs w:val="16"/>
              </w:rPr>
            </w:pPr>
          </w:p>
        </w:tc>
        <w:tc>
          <w:tcPr>
            <w:tcW w:w="850" w:type="dxa"/>
            <w:gridSpan w:val="2"/>
            <w:tcBorders>
              <w:top w:val="dashed" w:sz="4" w:space="0" w:color="auto"/>
              <w:bottom w:val="dashed" w:sz="4" w:space="0" w:color="auto"/>
            </w:tcBorders>
          </w:tcPr>
          <w:p w:rsidR="00480B73" w:rsidRPr="00E72EDB" w:rsidRDefault="00480B73" w:rsidP="00264CE2">
            <w:pPr>
              <w:jc w:val="both"/>
              <w:rPr>
                <w:rFonts w:cs="Times New Roman"/>
                <w:sz w:val="16"/>
                <w:szCs w:val="16"/>
              </w:rPr>
            </w:pPr>
            <w:r>
              <w:rPr>
                <w:rFonts w:cs="Times New Roman"/>
                <w:sz w:val="16"/>
                <w:szCs w:val="16"/>
              </w:rPr>
              <w:t>16</w:t>
            </w:r>
            <w:r>
              <w:rPr>
                <w:rFonts w:cs="Times New Roman"/>
                <w:sz w:val="16"/>
                <w:szCs w:val="16"/>
                <w:vertAlign w:val="superscript"/>
              </w:rPr>
              <w:t>a</w:t>
            </w:r>
          </w:p>
        </w:tc>
        <w:tc>
          <w:tcPr>
            <w:tcW w:w="993" w:type="dxa"/>
            <w:gridSpan w:val="2"/>
            <w:tcBorders>
              <w:top w:val="dashed" w:sz="4" w:space="0" w:color="auto"/>
              <w:bottom w:val="dashed" w:sz="4" w:space="0" w:color="auto"/>
            </w:tcBorders>
          </w:tcPr>
          <w:p w:rsidR="00480B73" w:rsidRPr="00E72EDB" w:rsidRDefault="00480B73" w:rsidP="00264CE2">
            <w:pPr>
              <w:jc w:val="both"/>
              <w:rPr>
                <w:rFonts w:cs="Times New Roman"/>
                <w:sz w:val="16"/>
                <w:szCs w:val="16"/>
              </w:rPr>
            </w:pPr>
            <w:r>
              <w:rPr>
                <w:rFonts w:cs="Times New Roman"/>
                <w:sz w:val="16"/>
                <w:szCs w:val="16"/>
              </w:rPr>
              <w:t>47 (20-67)</w:t>
            </w:r>
          </w:p>
        </w:tc>
        <w:tc>
          <w:tcPr>
            <w:tcW w:w="992" w:type="dxa"/>
            <w:tcBorders>
              <w:top w:val="dashed" w:sz="4" w:space="0" w:color="auto"/>
              <w:bottom w:val="dashed" w:sz="4" w:space="0" w:color="auto"/>
            </w:tcBorders>
          </w:tcPr>
          <w:p w:rsidR="00480B73" w:rsidRPr="00E72EDB" w:rsidRDefault="00480B73" w:rsidP="00264CE2">
            <w:pPr>
              <w:jc w:val="both"/>
              <w:rPr>
                <w:rFonts w:cs="Times New Roman"/>
                <w:sz w:val="16"/>
                <w:szCs w:val="16"/>
              </w:rPr>
            </w:pPr>
            <w:r>
              <w:rPr>
                <w:rFonts w:cs="Times New Roman"/>
                <w:sz w:val="16"/>
                <w:szCs w:val="16"/>
              </w:rPr>
              <w:t>72 (57-85)</w:t>
            </w:r>
          </w:p>
        </w:tc>
        <w:tc>
          <w:tcPr>
            <w:tcW w:w="850" w:type="dxa"/>
            <w:tcBorders>
              <w:top w:val="dashed" w:sz="4" w:space="0" w:color="auto"/>
              <w:bottom w:val="dashed" w:sz="4" w:space="0" w:color="auto"/>
            </w:tcBorders>
          </w:tcPr>
          <w:p w:rsidR="00480B73" w:rsidRPr="00E72EDB" w:rsidRDefault="00480B73" w:rsidP="00264CE2">
            <w:pPr>
              <w:jc w:val="both"/>
              <w:rPr>
                <w:rFonts w:cs="Times New Roman"/>
                <w:sz w:val="16"/>
                <w:szCs w:val="16"/>
              </w:rPr>
            </w:pPr>
            <w:r>
              <w:rPr>
                <w:rFonts w:cs="Times New Roman"/>
                <w:sz w:val="16"/>
                <w:szCs w:val="16"/>
              </w:rPr>
              <w:t>50%</w:t>
            </w: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L-AMB (AmBisome)</w:t>
            </w:r>
          </w:p>
        </w:tc>
        <w:tc>
          <w:tcPr>
            <w:tcW w:w="1276" w:type="dxa"/>
            <w:gridSpan w:val="2"/>
            <w:vMerge w:val="restart"/>
            <w:tcBorders>
              <w:top w:val="dashed" w:sz="4" w:space="0" w:color="auto"/>
            </w:tcBorders>
          </w:tcPr>
          <w:p w:rsidR="00480B73" w:rsidRPr="00E72EDB" w:rsidRDefault="00480B73" w:rsidP="00264CE2">
            <w:pPr>
              <w:jc w:val="both"/>
              <w:rPr>
                <w:rFonts w:cs="Times New Roman"/>
                <w:sz w:val="16"/>
                <w:szCs w:val="16"/>
              </w:rPr>
            </w:pPr>
          </w:p>
        </w:tc>
        <w:tc>
          <w:tcPr>
            <w:tcW w:w="1134" w:type="dxa"/>
            <w:gridSpan w:val="2"/>
            <w:vMerge w:val="restart"/>
            <w:tcBorders>
              <w:top w:val="dashed" w:sz="4" w:space="0" w:color="auto"/>
            </w:tcBorders>
          </w:tcPr>
          <w:p w:rsidR="00480B73" w:rsidRDefault="00480B73" w:rsidP="00264CE2">
            <w:pPr>
              <w:jc w:val="both"/>
              <w:rPr>
                <w:rFonts w:cs="Times New Roman"/>
                <w:sz w:val="16"/>
                <w:szCs w:val="16"/>
              </w:rPr>
            </w:pPr>
          </w:p>
        </w:tc>
        <w:tc>
          <w:tcPr>
            <w:tcW w:w="851" w:type="dxa"/>
            <w:gridSpan w:val="2"/>
            <w:vMerge w:val="restart"/>
            <w:tcBorders>
              <w:top w:val="dashed" w:sz="4" w:space="0" w:color="auto"/>
            </w:tcBorders>
          </w:tcPr>
          <w:p w:rsidR="00480B73" w:rsidRPr="00E72EDB" w:rsidRDefault="00480B73" w:rsidP="00264CE2">
            <w:pPr>
              <w:jc w:val="both"/>
              <w:rPr>
                <w:rFonts w:cs="Times New Roman"/>
                <w:sz w:val="16"/>
                <w:szCs w:val="16"/>
              </w:rPr>
            </w:pPr>
          </w:p>
        </w:tc>
        <w:tc>
          <w:tcPr>
            <w:tcW w:w="1275" w:type="dxa"/>
            <w:gridSpan w:val="2"/>
            <w:vMerge w:val="restart"/>
            <w:tcBorders>
              <w:top w:val="dashed" w:sz="4" w:space="0" w:color="auto"/>
            </w:tcBorders>
          </w:tcPr>
          <w:p w:rsidR="00480B73" w:rsidRPr="00E72EDB" w:rsidRDefault="00480B73" w:rsidP="00264CE2">
            <w:pPr>
              <w:jc w:val="both"/>
              <w:rPr>
                <w:rFonts w:cs="Times New Roman"/>
                <w:sz w:val="16"/>
                <w:szCs w:val="16"/>
              </w:rPr>
            </w:pPr>
          </w:p>
        </w:tc>
        <w:tc>
          <w:tcPr>
            <w:tcW w:w="993" w:type="dxa"/>
            <w:vMerge w:val="restart"/>
            <w:tcBorders>
              <w:top w:val="dashed" w:sz="4" w:space="0" w:color="auto"/>
            </w:tcBorders>
          </w:tcPr>
          <w:p w:rsidR="00480B73" w:rsidRPr="00E72EDB" w:rsidRDefault="00480B73" w:rsidP="00264CE2">
            <w:pPr>
              <w:jc w:val="both"/>
              <w:rPr>
                <w:rFonts w:cs="Times New Roman"/>
                <w:sz w:val="16"/>
                <w:szCs w:val="16"/>
              </w:rPr>
            </w:pPr>
          </w:p>
        </w:tc>
      </w:tr>
      <w:tr w:rsidR="00480B73" w:rsidRPr="00783252" w:rsidTr="00264CE2">
        <w:trPr>
          <w:trHeight w:val="70"/>
        </w:trPr>
        <w:tc>
          <w:tcPr>
            <w:tcW w:w="959" w:type="dxa"/>
            <w:vMerge/>
          </w:tcPr>
          <w:p w:rsidR="00480B73" w:rsidRPr="00783252" w:rsidRDefault="00480B73" w:rsidP="00264CE2">
            <w:pPr>
              <w:jc w:val="both"/>
              <w:rPr>
                <w:rFonts w:cs="Times New Roman"/>
                <w:sz w:val="16"/>
                <w:szCs w:val="16"/>
                <w:lang w:val="en-US"/>
              </w:rPr>
            </w:pPr>
          </w:p>
        </w:tc>
        <w:tc>
          <w:tcPr>
            <w:tcW w:w="1701" w:type="dxa"/>
            <w:tcBorders>
              <w:top w:val="dashed" w:sz="4" w:space="0" w:color="auto"/>
            </w:tcBorders>
          </w:tcPr>
          <w:p w:rsidR="00480B73" w:rsidRPr="00E72EDB" w:rsidRDefault="00480B73" w:rsidP="00264CE2">
            <w:pPr>
              <w:jc w:val="both"/>
              <w:rPr>
                <w:rFonts w:cs="Times New Roman"/>
                <w:sz w:val="16"/>
                <w:szCs w:val="16"/>
              </w:rPr>
            </w:pPr>
            <w:r>
              <w:rPr>
                <w:rFonts w:cs="Times New Roman"/>
                <w:sz w:val="16"/>
                <w:szCs w:val="16"/>
              </w:rPr>
              <w:t>D-AMB</w:t>
            </w:r>
          </w:p>
        </w:tc>
        <w:tc>
          <w:tcPr>
            <w:tcW w:w="1134" w:type="dxa"/>
            <w:gridSpan w:val="2"/>
            <w:tcBorders>
              <w:top w:val="dashed" w:sz="4" w:space="0" w:color="auto"/>
            </w:tcBorders>
          </w:tcPr>
          <w:p w:rsidR="00480B73" w:rsidRPr="00E72EDB" w:rsidRDefault="00480B73" w:rsidP="00264CE2">
            <w:pPr>
              <w:rPr>
                <w:rFonts w:cs="Times New Roman"/>
                <w:sz w:val="16"/>
                <w:szCs w:val="16"/>
              </w:rPr>
            </w:pPr>
          </w:p>
        </w:tc>
        <w:tc>
          <w:tcPr>
            <w:tcW w:w="850" w:type="dxa"/>
            <w:gridSpan w:val="2"/>
            <w:tcBorders>
              <w:top w:val="dashed" w:sz="4" w:space="0" w:color="auto"/>
            </w:tcBorders>
          </w:tcPr>
          <w:p w:rsidR="00480B73" w:rsidRPr="00E72EDB" w:rsidRDefault="00480B73" w:rsidP="00264CE2">
            <w:pPr>
              <w:jc w:val="both"/>
              <w:rPr>
                <w:rFonts w:cs="Times New Roman"/>
                <w:sz w:val="16"/>
                <w:szCs w:val="16"/>
              </w:rPr>
            </w:pPr>
            <w:r>
              <w:rPr>
                <w:rFonts w:cs="Times New Roman"/>
                <w:sz w:val="16"/>
                <w:szCs w:val="16"/>
              </w:rPr>
              <w:t>6</w:t>
            </w:r>
          </w:p>
        </w:tc>
        <w:tc>
          <w:tcPr>
            <w:tcW w:w="993" w:type="dxa"/>
            <w:gridSpan w:val="2"/>
            <w:tcBorders>
              <w:top w:val="dashed" w:sz="4" w:space="0" w:color="auto"/>
            </w:tcBorders>
          </w:tcPr>
          <w:p w:rsidR="00480B73" w:rsidRPr="00E72EDB" w:rsidRDefault="00480B73" w:rsidP="00264CE2">
            <w:pPr>
              <w:jc w:val="both"/>
              <w:rPr>
                <w:rFonts w:cs="Times New Roman"/>
                <w:sz w:val="16"/>
                <w:szCs w:val="16"/>
              </w:rPr>
            </w:pPr>
            <w:r>
              <w:rPr>
                <w:rFonts w:cs="Times New Roman"/>
                <w:sz w:val="16"/>
                <w:szCs w:val="16"/>
              </w:rPr>
              <w:t>56 (49-76)</w:t>
            </w:r>
          </w:p>
        </w:tc>
        <w:tc>
          <w:tcPr>
            <w:tcW w:w="992" w:type="dxa"/>
            <w:tcBorders>
              <w:top w:val="dashed" w:sz="4" w:space="0" w:color="auto"/>
            </w:tcBorders>
          </w:tcPr>
          <w:p w:rsidR="00480B73" w:rsidRPr="00E72EDB" w:rsidRDefault="00480B73" w:rsidP="00264CE2">
            <w:pPr>
              <w:jc w:val="both"/>
              <w:rPr>
                <w:rFonts w:cs="Times New Roman"/>
                <w:sz w:val="16"/>
                <w:szCs w:val="16"/>
              </w:rPr>
            </w:pPr>
            <w:r>
              <w:rPr>
                <w:rFonts w:cs="Times New Roman"/>
                <w:sz w:val="16"/>
                <w:szCs w:val="16"/>
              </w:rPr>
              <w:t>70 (50-120)</w:t>
            </w:r>
          </w:p>
        </w:tc>
        <w:tc>
          <w:tcPr>
            <w:tcW w:w="850" w:type="dxa"/>
            <w:tcBorders>
              <w:top w:val="dashed" w:sz="4" w:space="0" w:color="auto"/>
            </w:tcBorders>
          </w:tcPr>
          <w:p w:rsidR="00480B73" w:rsidRPr="00E72EDB" w:rsidRDefault="00480B73" w:rsidP="00264CE2">
            <w:pPr>
              <w:jc w:val="both"/>
              <w:rPr>
                <w:rFonts w:cs="Times New Roman"/>
                <w:sz w:val="16"/>
                <w:szCs w:val="16"/>
              </w:rPr>
            </w:pPr>
            <w:r>
              <w:rPr>
                <w:rFonts w:cs="Times New Roman"/>
                <w:sz w:val="16"/>
                <w:szCs w:val="16"/>
              </w:rPr>
              <w:t>83%</w:t>
            </w:r>
          </w:p>
        </w:tc>
        <w:tc>
          <w:tcPr>
            <w:tcW w:w="1134" w:type="dxa"/>
            <w:gridSpan w:val="2"/>
            <w:tcBorders>
              <w:top w:val="dashed" w:sz="4" w:space="0" w:color="auto"/>
            </w:tcBorders>
          </w:tcPr>
          <w:p w:rsidR="00480B73" w:rsidRDefault="00480B73" w:rsidP="00264CE2">
            <w:pPr>
              <w:jc w:val="both"/>
              <w:rPr>
                <w:rFonts w:cs="Times New Roman"/>
                <w:sz w:val="16"/>
                <w:szCs w:val="16"/>
              </w:rPr>
            </w:pPr>
            <w:r>
              <w:rPr>
                <w:rFonts w:cs="Times New Roman"/>
                <w:sz w:val="16"/>
                <w:szCs w:val="16"/>
              </w:rPr>
              <w:t>D-AMB (</w:t>
            </w:r>
            <w:r w:rsidRPr="003E437F">
              <w:rPr>
                <w:rFonts w:cs="Times New Roman"/>
                <w:sz w:val="16"/>
                <w:szCs w:val="16"/>
              </w:rPr>
              <w:t>Fungizone</w:t>
            </w:r>
            <w:r>
              <w:rPr>
                <w:rFonts w:cs="Times New Roman"/>
                <w:sz w:val="16"/>
                <w:szCs w:val="16"/>
              </w:rPr>
              <w:t>)</w:t>
            </w:r>
          </w:p>
        </w:tc>
        <w:tc>
          <w:tcPr>
            <w:tcW w:w="1276" w:type="dxa"/>
            <w:gridSpan w:val="2"/>
            <w:vMerge/>
          </w:tcPr>
          <w:p w:rsidR="00480B73" w:rsidRPr="00E72EDB" w:rsidRDefault="00480B73" w:rsidP="00264CE2">
            <w:pPr>
              <w:jc w:val="both"/>
              <w:rPr>
                <w:rFonts w:cs="Times New Roman"/>
                <w:sz w:val="16"/>
                <w:szCs w:val="16"/>
              </w:rPr>
            </w:pPr>
          </w:p>
        </w:tc>
        <w:tc>
          <w:tcPr>
            <w:tcW w:w="1134" w:type="dxa"/>
            <w:gridSpan w:val="2"/>
            <w:vMerge/>
          </w:tcPr>
          <w:p w:rsidR="00480B73" w:rsidRDefault="00480B73" w:rsidP="00264CE2">
            <w:pPr>
              <w:jc w:val="both"/>
              <w:rPr>
                <w:rFonts w:cs="Times New Roman"/>
                <w:sz w:val="16"/>
                <w:szCs w:val="16"/>
              </w:rPr>
            </w:pPr>
          </w:p>
        </w:tc>
        <w:tc>
          <w:tcPr>
            <w:tcW w:w="851" w:type="dxa"/>
            <w:gridSpan w:val="2"/>
            <w:vMerge/>
          </w:tcPr>
          <w:p w:rsidR="00480B73" w:rsidRPr="00E72EDB" w:rsidRDefault="00480B73" w:rsidP="00264CE2">
            <w:pPr>
              <w:jc w:val="both"/>
              <w:rPr>
                <w:rFonts w:cs="Times New Roman"/>
                <w:sz w:val="16"/>
                <w:szCs w:val="16"/>
              </w:rPr>
            </w:pPr>
          </w:p>
        </w:tc>
        <w:tc>
          <w:tcPr>
            <w:tcW w:w="1275" w:type="dxa"/>
            <w:gridSpan w:val="2"/>
            <w:vMerge/>
          </w:tcPr>
          <w:p w:rsidR="00480B73" w:rsidRPr="00E72EDB" w:rsidRDefault="00480B73" w:rsidP="00264CE2">
            <w:pPr>
              <w:jc w:val="both"/>
              <w:rPr>
                <w:rFonts w:cs="Times New Roman"/>
                <w:sz w:val="16"/>
                <w:szCs w:val="16"/>
              </w:rPr>
            </w:pPr>
          </w:p>
        </w:tc>
        <w:tc>
          <w:tcPr>
            <w:tcW w:w="993" w:type="dxa"/>
            <w:vMerge/>
          </w:tcPr>
          <w:p w:rsidR="00480B73" w:rsidRPr="00E72EDB" w:rsidRDefault="00480B73" w:rsidP="00264CE2">
            <w:pPr>
              <w:jc w:val="both"/>
              <w:rPr>
                <w:rFonts w:cs="Times New Roman"/>
                <w:sz w:val="16"/>
                <w:szCs w:val="16"/>
              </w:rPr>
            </w:pPr>
          </w:p>
        </w:tc>
      </w:tr>
      <w:tr w:rsidR="00480B73" w:rsidRPr="00783252" w:rsidTr="00264CE2">
        <w:trPr>
          <w:trHeight w:val="70"/>
        </w:trPr>
        <w:tc>
          <w:tcPr>
            <w:tcW w:w="959" w:type="dxa"/>
          </w:tcPr>
          <w:p w:rsidR="00480B73" w:rsidRPr="00783252" w:rsidRDefault="00480B73" w:rsidP="00264CE2">
            <w:pPr>
              <w:jc w:val="both"/>
              <w:rPr>
                <w:rFonts w:cs="Times New Roman"/>
                <w:sz w:val="16"/>
                <w:szCs w:val="16"/>
                <w:lang w:val="en-US"/>
              </w:rPr>
            </w:pPr>
            <w:r>
              <w:rPr>
                <w:rFonts w:cs="Times New Roman"/>
                <w:sz w:val="16"/>
                <w:szCs w:val="16"/>
              </w:rPr>
              <w:t xml:space="preserve">Hong et al. </w:t>
            </w:r>
            <w:r>
              <w:rPr>
                <w:rFonts w:cs="Times New Roman"/>
                <w:sz w:val="16"/>
                <w:szCs w:val="16"/>
              </w:rPr>
              <w:fldChar w:fldCharType="begin" w:fldLock="1"/>
            </w:r>
            <w:r>
              <w:rPr>
                <w:rFonts w:cs="Times New Roman"/>
                <w:sz w:val="16"/>
                <w:szCs w:val="16"/>
              </w:rPr>
              <w:instrText>ADDIN CSL_CITATION { "citationItems" : [ { "id" : "ITEM-1", "itemData" : { "DOI" : "10.1128/AAC.50.3.935", "abstract" : "A population pharmacokinetic model of liposomal amphotericin B (L-AmB) in pediatric patients with malignant diseases was developed and evaluated. Blood samples were collected from 39 pediatric oncology patients who received multiple doses of L-AmB with a dose range from 0.8 to 5.9 mg/kg of body weight/day. The patient cohort had an average age of 7 years (range, 0.2 to 17 years) and weighed an average of 28.8 ? 19.8 kg. Population pharmacokinetic analyses were performed with NONMEM software. Pharmacokinetic parameters, interindividual variability (IIV), between-occasion variability (BOV), and intraindividual variability were estimated. The influence of patient characteristics on the pharmacokinetics of L-AmB was explored. The final population pharmacokinetic model was evaluated by using a bootstrap sampling technique. The L-AmB plasma concentration-time data was described by a two-compartment pharmacokinetic model with zero-order input and first-order elimination. The population mean estimates of clearance (CL) and volume of distribution in the central compartment (V1 ) were 0.44 liters/h and 3.12 liters, respectively, and exhibited IIV (CL, 10%) and significant BOV (CL, 46% and V1, 56%). The covariate models were CL (liters/h) ? 0.44 \u00b7 e0.0152 \u00b7 (WT ? 21) and V1 (liters) ? 3.12 \u00b7 e0.0241 \u00b7 (WT ? 21) , where WT is the patient\u2019s body weight (kg) centered on the study population cohort median of 21 kg. Model evaluation by the bootstrap procedure indicated that the full pharmacokinetic model was robust and parameter estimates were accurate. In conclusion, the pharmaco- kinetics of L-AmB in pediatric oncology patients were adequately described by the developed population model. The model has been evaluated and can be used in the design of rational dosing strategies for L-AmB antifungal therapy in this special population", "author" : [ { "dropping-particle" : "", "family" : "Hong", "given" : "Ying", "non-dropping-particle" : "", "parse-names" : false, "suffix" : "" }, { "dropping-particle" : "", "family" : "Nath", "given" : "Christa E", "non-dropping-particle" : "", "parse-names" : false, "suffix" : "" }, { "dropping-particle" : "", "family" : "Yadav", "given" : "Satya P", "non-dropping-particle" : "", "parse-names" : false, "suffix" : "" }, { "dropping-particle" : "", "family" : "Stephen", "given" : "Katherine R", "non-dropping-particle" : "", "parse-names" : false, "suffix" : "" }, { "dropping-particle" : "", "family" : "Earl", "given" : "John W", "non-dropping-particle" : "", "parse-names" : false, "suffix" : "" }, { "dropping-particle" : "", "family" : "Mclachlan", "given" : "Andrew J", "non-dropping-particle" : "", "parse-names" : false, "suffix" : "" } ], "container-title" : "Antimicrobial agents and chemotherapy", "id" : "ITEM-1", "issue" : "3", "issued" : { "date-parts" : [ [ "2006" ] ] }, "page" : "935-942", "title" : "Population pharmacokinetics of liposomal amphotericin B in pediatric patients with malignant diseases", "type" : "article-journal", "volume" : "50" }, "uris" : [ "http://www.mendeley.com/documents/?uuid=c492e0dd-23d9-4bb4-95c5-bcdf10b56575" ] } ], "mendeley" : { "formattedCitation" : "[92]", "plainTextFormattedCitation" : "[92]", "previouslyFormattedCitation" : "[92]"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[92]</w:t>
            </w:r>
            <w:r>
              <w:rPr>
                <w:rFonts w:cs="Times New Roman"/>
                <w:sz w:val="16"/>
                <w:szCs w:val="16"/>
              </w:rPr>
              <w:fldChar w:fldCharType="end"/>
            </w:r>
          </w:p>
        </w:tc>
        <w:tc>
          <w:tcPr>
            <w:tcW w:w="1701" w:type="dxa"/>
          </w:tcPr>
          <w:p w:rsidR="00480B73" w:rsidRPr="00E72EDB" w:rsidRDefault="00480B73" w:rsidP="00264CE2">
            <w:pPr>
              <w:jc w:val="both"/>
              <w:rPr>
                <w:rFonts w:cs="Times New Roman"/>
                <w:sz w:val="16"/>
                <w:szCs w:val="16"/>
              </w:rPr>
            </w:pPr>
            <w:r>
              <w:rPr>
                <w:rFonts w:cs="Times New Roman"/>
                <w:sz w:val="16"/>
                <w:szCs w:val="16"/>
              </w:rPr>
              <w:t>Paediatric patients with malignant disease</w:t>
            </w:r>
          </w:p>
        </w:tc>
        <w:tc>
          <w:tcPr>
            <w:tcW w:w="1134" w:type="dxa"/>
            <w:gridSpan w:val="2"/>
          </w:tcPr>
          <w:p w:rsidR="00480B73" w:rsidRPr="00E72EDB" w:rsidRDefault="00480B73" w:rsidP="00264CE2">
            <w:pPr>
              <w:rPr>
                <w:rFonts w:cs="Times New Roman"/>
                <w:sz w:val="16"/>
                <w:szCs w:val="16"/>
              </w:rPr>
            </w:pPr>
            <w:r>
              <w:rPr>
                <w:rFonts w:cs="Times New Roman"/>
                <w:sz w:val="16"/>
                <w:szCs w:val="16"/>
              </w:rPr>
              <w:t>Australia</w:t>
            </w:r>
          </w:p>
        </w:tc>
        <w:tc>
          <w:tcPr>
            <w:tcW w:w="850" w:type="dxa"/>
            <w:gridSpan w:val="2"/>
          </w:tcPr>
          <w:p w:rsidR="00480B73" w:rsidRPr="00E72EDB" w:rsidRDefault="00480B73" w:rsidP="00264CE2">
            <w:pPr>
              <w:jc w:val="both"/>
              <w:rPr>
                <w:rFonts w:cs="Times New Roman"/>
                <w:sz w:val="16"/>
                <w:szCs w:val="16"/>
              </w:rPr>
            </w:pPr>
            <w:r>
              <w:rPr>
                <w:rFonts w:cs="Times New Roman"/>
                <w:sz w:val="16"/>
                <w:szCs w:val="16"/>
              </w:rPr>
              <w:t>39</w:t>
            </w:r>
          </w:p>
        </w:tc>
        <w:tc>
          <w:tcPr>
            <w:tcW w:w="993" w:type="dxa"/>
            <w:gridSpan w:val="2"/>
          </w:tcPr>
          <w:p w:rsidR="00480B73" w:rsidRDefault="00480B73" w:rsidP="00264CE2">
            <w:pPr>
              <w:jc w:val="both"/>
              <w:rPr>
                <w:rFonts w:cs="Times New Roman"/>
                <w:sz w:val="16"/>
                <w:szCs w:val="16"/>
              </w:rPr>
            </w:pPr>
            <w:r>
              <w:rPr>
                <w:rFonts w:cs="Times New Roman"/>
                <w:sz w:val="16"/>
                <w:szCs w:val="16"/>
              </w:rPr>
              <w:t>7 (0.2-17)</w:t>
            </w:r>
          </w:p>
          <w:p w:rsidR="00480B73" w:rsidRPr="00E72EDB" w:rsidRDefault="00480B73" w:rsidP="00264CE2">
            <w:pPr>
              <w:jc w:val="both"/>
              <w:rPr>
                <w:rFonts w:cs="Times New Roman"/>
                <w:sz w:val="16"/>
                <w:szCs w:val="16"/>
              </w:rPr>
            </w:pPr>
          </w:p>
        </w:tc>
        <w:tc>
          <w:tcPr>
            <w:tcW w:w="992" w:type="dxa"/>
          </w:tcPr>
          <w:p w:rsidR="00480B73" w:rsidRDefault="00480B73" w:rsidP="00264CE2">
            <w:pPr>
              <w:jc w:val="both"/>
              <w:rPr>
                <w:rFonts w:cs="Times New Roman"/>
                <w:sz w:val="16"/>
                <w:szCs w:val="16"/>
              </w:rPr>
            </w:pPr>
            <w:r>
              <w:rPr>
                <w:rFonts w:cs="Times New Roman"/>
                <w:sz w:val="16"/>
                <w:szCs w:val="16"/>
              </w:rPr>
              <w:t xml:space="preserve">28.8 kg </w:t>
            </w:r>
          </w:p>
          <w:p w:rsidR="00480B73" w:rsidRPr="00E72EDB" w:rsidRDefault="00480B73" w:rsidP="00264CE2">
            <w:pPr>
              <w:jc w:val="both"/>
              <w:rPr>
                <w:rFonts w:cs="Times New Roman"/>
                <w:sz w:val="16"/>
                <w:szCs w:val="16"/>
              </w:rPr>
            </w:pPr>
            <w:r>
              <w:rPr>
                <w:rFonts w:cs="Times New Roman"/>
                <w:sz w:val="16"/>
                <w:szCs w:val="16"/>
              </w:rPr>
              <w:t>(mean)</w:t>
            </w:r>
          </w:p>
        </w:tc>
        <w:tc>
          <w:tcPr>
            <w:tcW w:w="850" w:type="dxa"/>
          </w:tcPr>
          <w:p w:rsidR="00480B73" w:rsidRPr="00E72EDB" w:rsidRDefault="00480B73" w:rsidP="00264CE2">
            <w:pPr>
              <w:jc w:val="both"/>
              <w:rPr>
                <w:rFonts w:cs="Times New Roman"/>
                <w:sz w:val="16"/>
                <w:szCs w:val="16"/>
              </w:rPr>
            </w:pPr>
            <w:r>
              <w:rPr>
                <w:rFonts w:cs="Times New Roman"/>
                <w:sz w:val="16"/>
                <w:szCs w:val="16"/>
              </w:rPr>
              <w:t>67%</w:t>
            </w:r>
          </w:p>
        </w:tc>
        <w:tc>
          <w:tcPr>
            <w:tcW w:w="1134" w:type="dxa"/>
            <w:gridSpan w:val="2"/>
          </w:tcPr>
          <w:p w:rsidR="00480B73" w:rsidRDefault="00480B73" w:rsidP="00264CE2">
            <w:pPr>
              <w:jc w:val="both"/>
              <w:rPr>
                <w:rFonts w:cs="Times New Roman"/>
                <w:sz w:val="16"/>
                <w:szCs w:val="16"/>
              </w:rPr>
            </w:pPr>
            <w:r w:rsidRPr="00D47A06">
              <w:rPr>
                <w:rFonts w:cs="Times New Roman"/>
                <w:sz w:val="16"/>
                <w:szCs w:val="16"/>
              </w:rPr>
              <w:t>L-AMB (AmBisome)</w:t>
            </w:r>
          </w:p>
        </w:tc>
        <w:tc>
          <w:tcPr>
            <w:tcW w:w="1276" w:type="dxa"/>
            <w:gridSpan w:val="2"/>
          </w:tcPr>
          <w:p w:rsidR="00480B73" w:rsidRDefault="00480B73" w:rsidP="00264CE2">
            <w:pPr>
              <w:jc w:val="both"/>
              <w:rPr>
                <w:rFonts w:cs="Times New Roman"/>
                <w:sz w:val="16"/>
                <w:szCs w:val="16"/>
              </w:rPr>
            </w:pPr>
            <w:r>
              <w:rPr>
                <w:rFonts w:cs="Times New Roman"/>
                <w:sz w:val="16"/>
                <w:szCs w:val="16"/>
              </w:rPr>
              <w:t>IV</w:t>
            </w:r>
          </w:p>
          <w:p w:rsidR="00480B73" w:rsidRPr="00E72EDB" w:rsidRDefault="00480B73" w:rsidP="00264CE2">
            <w:pPr>
              <w:jc w:val="both"/>
              <w:rPr>
                <w:rFonts w:cs="Times New Roman"/>
                <w:sz w:val="16"/>
                <w:szCs w:val="16"/>
              </w:rPr>
            </w:pPr>
            <w:r>
              <w:rPr>
                <w:rFonts w:cs="Times New Roman"/>
                <w:sz w:val="16"/>
                <w:szCs w:val="16"/>
              </w:rPr>
              <w:t>1 h infusion</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Pr="00E72EDB" w:rsidRDefault="00480B73" w:rsidP="00264CE2">
            <w:pPr>
              <w:jc w:val="both"/>
              <w:rPr>
                <w:rFonts w:cs="Times New Roman"/>
                <w:sz w:val="16"/>
                <w:szCs w:val="16"/>
              </w:rPr>
            </w:pPr>
            <w:r>
              <w:rPr>
                <w:rFonts w:cs="Times New Roman"/>
                <w:sz w:val="16"/>
                <w:szCs w:val="16"/>
              </w:rPr>
              <w:t>0.1</w:t>
            </w:r>
          </w:p>
        </w:tc>
        <w:tc>
          <w:tcPr>
            <w:tcW w:w="1275" w:type="dxa"/>
            <w:gridSpan w:val="2"/>
          </w:tcPr>
          <w:p w:rsidR="00480B73" w:rsidRPr="00E72EDB" w:rsidRDefault="00480B73" w:rsidP="00264CE2">
            <w:pPr>
              <w:jc w:val="both"/>
              <w:rPr>
                <w:rFonts w:cs="Times New Roman"/>
                <w:sz w:val="16"/>
                <w:szCs w:val="16"/>
              </w:rPr>
            </w:pPr>
            <w:r>
              <w:rPr>
                <w:rFonts w:cs="Times New Roman"/>
                <w:sz w:val="16"/>
                <w:szCs w:val="16"/>
              </w:rPr>
              <w:t>Compartmental (population-based)</w:t>
            </w:r>
          </w:p>
        </w:tc>
        <w:tc>
          <w:tcPr>
            <w:tcW w:w="993" w:type="dxa"/>
          </w:tcPr>
          <w:p w:rsidR="00480B73" w:rsidRPr="00E72EDB" w:rsidRDefault="00480B73" w:rsidP="00264CE2">
            <w:pPr>
              <w:jc w:val="both"/>
              <w:rPr>
                <w:rFonts w:cs="Times New Roman"/>
                <w:sz w:val="16"/>
                <w:szCs w:val="16"/>
              </w:rPr>
            </w:pPr>
            <w:r>
              <w:rPr>
                <w:rFonts w:cs="Times New Roman"/>
                <w:sz w:val="16"/>
                <w:szCs w:val="16"/>
              </w:rPr>
              <w:t>2-CMT, zero order input, first-order elimination</w:t>
            </w:r>
          </w:p>
        </w:tc>
      </w:tr>
      <w:tr w:rsidR="00480B73" w:rsidRPr="00783252" w:rsidTr="00264CE2">
        <w:trPr>
          <w:trHeight w:val="70"/>
        </w:trPr>
        <w:tc>
          <w:tcPr>
            <w:tcW w:w="959" w:type="dxa"/>
            <w:vMerge w:val="restart"/>
          </w:tcPr>
          <w:p w:rsidR="00480B73" w:rsidRPr="00783252" w:rsidRDefault="00480B73" w:rsidP="00264CE2">
            <w:pPr>
              <w:jc w:val="both"/>
              <w:rPr>
                <w:rFonts w:cs="Times New Roman"/>
                <w:sz w:val="16"/>
                <w:szCs w:val="16"/>
                <w:lang w:val="en-US"/>
              </w:rPr>
            </w:pPr>
            <w:r>
              <w:rPr>
                <w:rFonts w:cs="Times New Roman"/>
                <w:sz w:val="16"/>
                <w:szCs w:val="16"/>
              </w:rPr>
              <w:t xml:space="preserve">Hope et al. </w:t>
            </w:r>
            <w:r>
              <w:rPr>
                <w:rFonts w:cs="Times New Roman"/>
                <w:sz w:val="16"/>
                <w:szCs w:val="16"/>
              </w:rPr>
              <w:fldChar w:fldCharType="begin" w:fldLock="1"/>
            </w:r>
            <w:r>
              <w:rPr>
                <w:rFonts w:cs="Times New Roman"/>
                <w:sz w:val="16"/>
                <w:szCs w:val="16"/>
              </w:rPr>
              <w:instrText>ADDIN CSL_CITATION { "citationItems" : [ { "id" : "ITEM-1", "itemData" : { "DOI" : "10.1128/AAC.00933-12", "ISBN" : "0066-4804", "ISSN" : "00664804", "PMID" : "22869566", "abstract" : "There is increased interest in intermittent regimen of liposomal amphotericin B, which may facilitate use in ambulatory settings. Little is known, however, about the most appropriate dosage and schedule of administration. Plasma pharmacokinetic data were acquired from 30 patients receiving liposomal amphotericin B for empirical treatment of suspected invasive fungal infection. Two cohorts were studied. The first cohort received 3 mg of liposomal amphotericin B/kg of body weight/day; the second cohort received 10 mg of liposomal amphotericin B/kg at time zero, followed by 5 mg/kg at 48 and 120 h. The levels of liposomal amphotericin B were measured by high-pressure liquid chromatography (HPLC). The pharmacokinetics were estimated by using a population methodology. Monte Carlo simulations were performed. D-optimal design was used to identify maximally informative sampling times for both conventional and intermittent regimens for future studies. A three-compartment pharmacokinetic model best described the data. The pharmacokinetics for both conventional and intermittent dosing were linear. The estimates for the mean (standard deviation) for clearance and the volume of the central compartment were 1.60 (0.85) liter/h and 20.61 (15.27) liters, respectively. Monte Carlo simulations demonstrated considerable variability in drug exposure. Bayesian estimates for clearance and volume increased in a linear manner with weight, but only the former was statistically significant (P = 0.039). D-optimal design provided maximally informative sampling times for future pharmacokinetic studies. The pharmacokinetics of a conventional and an intermittently administered high-dose regimen liposomal amphotericin B are linear. Further pharmacokinetic-pharmacodynamic preclinical and clinical studies are required to identify safe and effective intermittent regimens.", "author" : [ { "dropping-particle" : "", "family" : "Hope", "given" : "William W.", "non-dropping-particle" : "", "parse-names" : false, "suffix" : "" }, { "dropping-particle" : "", "family" : "Goodwin", "given" : "Joanne", "non-dropping-particle" : "", "parse-names" : false, "suffix" : "" }, { "dropping-particle" : "", "family" : "Felton", "given" : "Timothy W.", "non-dropping-particle" : "", "parse-names" : false, "suffix" : "" }, { "dropping-particle" : "", "family" : "Ellis", "given" : "Michael", "non-dropping-particle" : "", "parse-names" : false, "suffix" : "" }, { "dropping-particle" : "", "family" : "Stevens", "given" : "David A.", "non-dropping-particle" : "", "parse-names" : false, "suffix" : "" } ], "container-title" : "Antimicrobial Agents and Chemotherapy", "id" : "ITEM-1", "issue" : "10", "issued" : { "date-parts" : [ [ "2012" ] ] }, "page" : "5303-5308", "title" : "Population pharmacokinetics of conventional and intermittent dosing of liposomal amphotericin B in adults: A first critical step for rational design of innovative regimens", "type" : "article-journal", "volume" : "56" }, "uris" : [ "http://www.mendeley.com/documents/?uuid=12e7e79f-0abb-4f84-9b7e-15aed4b6b917" ] } ], "mendeley" : { "formattedCitation" : "[90]", "plainTextFormattedCitation" : "[90]", "previouslyFormattedCitation" : "[90]"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[90]</w:t>
            </w:r>
            <w:r>
              <w:rPr>
                <w:rFonts w:cs="Times New Roman"/>
                <w:sz w:val="16"/>
                <w:szCs w:val="16"/>
              </w:rPr>
              <w:fldChar w:fldCharType="end"/>
            </w:r>
            <w:r>
              <w:rPr>
                <w:rFonts w:cs="Times New Roman"/>
                <w:sz w:val="16"/>
                <w:szCs w:val="16"/>
                <w:vertAlign w:val="superscript"/>
              </w:rPr>
              <w:t>b</w:t>
            </w:r>
          </w:p>
        </w:tc>
        <w:tc>
          <w:tcPr>
            <w:tcW w:w="1701" w:type="dxa"/>
            <w:tcBorders>
              <w:bottom w:val="dashed" w:sz="4" w:space="0" w:color="auto"/>
            </w:tcBorders>
          </w:tcPr>
          <w:p w:rsidR="00480B73" w:rsidRPr="00230EEB" w:rsidRDefault="00480B73" w:rsidP="00264CE2">
            <w:pPr>
              <w:jc w:val="both"/>
              <w:rPr>
                <w:rFonts w:cs="Times New Roman"/>
                <w:sz w:val="16"/>
                <w:szCs w:val="16"/>
              </w:rPr>
            </w:pPr>
            <w:r>
              <w:rPr>
                <w:rFonts w:cs="Times New Roman"/>
                <w:sz w:val="16"/>
                <w:szCs w:val="16"/>
              </w:rPr>
              <w:t>Patients with suspected invasive fungal infection</w:t>
            </w:r>
          </w:p>
        </w:tc>
        <w:tc>
          <w:tcPr>
            <w:tcW w:w="1134" w:type="dxa"/>
            <w:gridSpan w:val="2"/>
            <w:tcBorders>
              <w:bottom w:val="dashed" w:sz="4" w:space="0" w:color="auto"/>
            </w:tcBorders>
          </w:tcPr>
          <w:p w:rsidR="00480B73" w:rsidRPr="00230EEB" w:rsidRDefault="00480B73" w:rsidP="00264CE2">
            <w:pPr>
              <w:rPr>
                <w:rFonts w:cs="Times New Roman"/>
                <w:sz w:val="16"/>
                <w:szCs w:val="16"/>
              </w:rPr>
            </w:pPr>
            <w:r>
              <w:rPr>
                <w:rFonts w:cs="Times New Roman"/>
                <w:sz w:val="16"/>
                <w:szCs w:val="16"/>
              </w:rPr>
              <w:t>United Arab Emirates</w:t>
            </w:r>
          </w:p>
        </w:tc>
        <w:tc>
          <w:tcPr>
            <w:tcW w:w="850" w:type="dxa"/>
            <w:gridSpan w:val="2"/>
            <w:tcBorders>
              <w:bottom w:val="dashed" w:sz="4" w:space="0" w:color="auto"/>
            </w:tcBorders>
          </w:tcPr>
          <w:p w:rsidR="00480B73" w:rsidRPr="00230EEB" w:rsidRDefault="00480B73" w:rsidP="00264CE2">
            <w:pPr>
              <w:jc w:val="both"/>
              <w:rPr>
                <w:rFonts w:cs="Times New Roman"/>
                <w:sz w:val="16"/>
                <w:szCs w:val="16"/>
              </w:rPr>
            </w:pPr>
          </w:p>
        </w:tc>
        <w:tc>
          <w:tcPr>
            <w:tcW w:w="993" w:type="dxa"/>
            <w:gridSpan w:val="2"/>
            <w:tcBorders>
              <w:bottom w:val="dashed" w:sz="4" w:space="0" w:color="auto"/>
            </w:tcBorders>
          </w:tcPr>
          <w:p w:rsidR="00480B73" w:rsidRPr="00230EEB" w:rsidRDefault="00480B73" w:rsidP="00264CE2">
            <w:pPr>
              <w:jc w:val="both"/>
              <w:rPr>
                <w:rFonts w:cs="Times New Roman"/>
                <w:sz w:val="16"/>
                <w:szCs w:val="16"/>
              </w:rPr>
            </w:pPr>
          </w:p>
        </w:tc>
        <w:tc>
          <w:tcPr>
            <w:tcW w:w="992" w:type="dxa"/>
            <w:tcBorders>
              <w:bottom w:val="dashed" w:sz="4" w:space="0" w:color="auto"/>
            </w:tcBorders>
          </w:tcPr>
          <w:p w:rsidR="00480B73" w:rsidRPr="00230EEB" w:rsidRDefault="00480B73" w:rsidP="00264CE2">
            <w:pPr>
              <w:jc w:val="both"/>
              <w:rPr>
                <w:rFonts w:cs="Times New Roman"/>
                <w:sz w:val="16"/>
                <w:szCs w:val="16"/>
              </w:rPr>
            </w:pPr>
          </w:p>
        </w:tc>
        <w:tc>
          <w:tcPr>
            <w:tcW w:w="850" w:type="dxa"/>
            <w:tcBorders>
              <w:bottom w:val="dashed" w:sz="4" w:space="0" w:color="auto"/>
            </w:tcBorders>
          </w:tcPr>
          <w:p w:rsidR="00480B73" w:rsidRPr="00230EEB" w:rsidRDefault="00480B73" w:rsidP="00264CE2">
            <w:pPr>
              <w:jc w:val="both"/>
              <w:rPr>
                <w:rFonts w:cs="Times New Roman"/>
                <w:sz w:val="16"/>
                <w:szCs w:val="16"/>
              </w:rPr>
            </w:pPr>
          </w:p>
        </w:tc>
        <w:tc>
          <w:tcPr>
            <w:tcW w:w="1134" w:type="dxa"/>
            <w:gridSpan w:val="2"/>
            <w:tcBorders>
              <w:bottom w:val="dashed" w:sz="4" w:space="0" w:color="auto"/>
            </w:tcBorders>
          </w:tcPr>
          <w:p w:rsidR="00480B73" w:rsidRDefault="00480B73" w:rsidP="00264CE2">
            <w:pPr>
              <w:jc w:val="both"/>
              <w:rPr>
                <w:rFonts w:cs="Times New Roman"/>
                <w:sz w:val="16"/>
                <w:szCs w:val="16"/>
              </w:rPr>
            </w:pPr>
            <w:r w:rsidRPr="00D47A06">
              <w:rPr>
                <w:rFonts w:cs="Times New Roman"/>
                <w:sz w:val="16"/>
                <w:szCs w:val="16"/>
              </w:rPr>
              <w:t>L-AMB (AmBisome)</w:t>
            </w:r>
          </w:p>
        </w:tc>
        <w:tc>
          <w:tcPr>
            <w:tcW w:w="1276"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IV</w:t>
            </w:r>
          </w:p>
          <w:p w:rsidR="00480B73" w:rsidRPr="00230EEB" w:rsidRDefault="00480B73" w:rsidP="00264CE2">
            <w:pPr>
              <w:jc w:val="both"/>
              <w:rPr>
                <w:rFonts w:cs="Times New Roman"/>
                <w:sz w:val="16"/>
                <w:szCs w:val="16"/>
              </w:rPr>
            </w:pPr>
            <w:r>
              <w:rPr>
                <w:rFonts w:cs="Times New Roman"/>
                <w:sz w:val="16"/>
                <w:szCs w:val="16"/>
              </w:rPr>
              <w:t>2 h infusion</w:t>
            </w: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Borders>
              <w:bottom w:val="dashed" w:sz="4" w:space="0" w:color="auto"/>
            </w:tcBorders>
          </w:tcPr>
          <w:p w:rsidR="00480B73" w:rsidRPr="00230EEB" w:rsidRDefault="00480B73" w:rsidP="00264CE2">
            <w:pPr>
              <w:jc w:val="both"/>
              <w:rPr>
                <w:rFonts w:cs="Times New Roman"/>
                <w:sz w:val="16"/>
                <w:szCs w:val="16"/>
              </w:rPr>
            </w:pPr>
            <w:r>
              <w:rPr>
                <w:rFonts w:cs="Times New Roman"/>
                <w:sz w:val="16"/>
                <w:szCs w:val="16"/>
              </w:rPr>
              <w:t>0.05</w:t>
            </w:r>
          </w:p>
        </w:tc>
        <w:tc>
          <w:tcPr>
            <w:tcW w:w="1275" w:type="dxa"/>
            <w:gridSpan w:val="2"/>
            <w:tcBorders>
              <w:bottom w:val="dashed" w:sz="4" w:space="0" w:color="auto"/>
            </w:tcBorders>
          </w:tcPr>
          <w:p w:rsidR="00480B73" w:rsidRPr="00230EEB" w:rsidRDefault="00480B73" w:rsidP="00264CE2">
            <w:pPr>
              <w:jc w:val="both"/>
              <w:rPr>
                <w:rFonts w:cs="Times New Roman"/>
                <w:sz w:val="16"/>
                <w:szCs w:val="16"/>
              </w:rPr>
            </w:pPr>
            <w:r>
              <w:rPr>
                <w:rFonts w:cs="Times New Roman"/>
                <w:sz w:val="16"/>
                <w:szCs w:val="16"/>
              </w:rPr>
              <w:t>Compartmental (population-based)</w:t>
            </w:r>
          </w:p>
        </w:tc>
        <w:tc>
          <w:tcPr>
            <w:tcW w:w="993" w:type="dxa"/>
            <w:tcBorders>
              <w:bottom w:val="dashed" w:sz="4" w:space="0" w:color="auto"/>
            </w:tcBorders>
          </w:tcPr>
          <w:p w:rsidR="00480B73" w:rsidRPr="00230EEB" w:rsidRDefault="00480B73" w:rsidP="00264CE2">
            <w:pPr>
              <w:jc w:val="both"/>
              <w:rPr>
                <w:rFonts w:cs="Times New Roman"/>
                <w:sz w:val="16"/>
                <w:szCs w:val="16"/>
              </w:rPr>
            </w:pPr>
            <w:r>
              <w:rPr>
                <w:rFonts w:cs="Times New Roman"/>
                <w:sz w:val="16"/>
                <w:szCs w:val="16"/>
              </w:rPr>
              <w:t>3-CMT</w:t>
            </w:r>
          </w:p>
        </w:tc>
      </w:tr>
      <w:tr w:rsidR="00480B73" w:rsidRPr="00783252" w:rsidTr="00264CE2">
        <w:trPr>
          <w:trHeight w:val="70"/>
        </w:trPr>
        <w:tc>
          <w:tcPr>
            <w:tcW w:w="959" w:type="dxa"/>
            <w:vMerge/>
          </w:tcPr>
          <w:p w:rsidR="00480B73" w:rsidRPr="00783252"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230EEB" w:rsidRDefault="00480B73" w:rsidP="00264CE2">
            <w:pPr>
              <w:jc w:val="both"/>
              <w:rPr>
                <w:rFonts w:cs="Times New Roman"/>
                <w:sz w:val="16"/>
                <w:szCs w:val="16"/>
              </w:rPr>
            </w:pPr>
            <w:r>
              <w:rPr>
                <w:rFonts w:cs="Times New Roman"/>
                <w:sz w:val="16"/>
                <w:szCs w:val="16"/>
              </w:rPr>
              <w:t>Intermittent dosing</w:t>
            </w:r>
          </w:p>
        </w:tc>
        <w:tc>
          <w:tcPr>
            <w:tcW w:w="1134" w:type="dxa"/>
            <w:gridSpan w:val="2"/>
            <w:tcBorders>
              <w:top w:val="dashed" w:sz="4" w:space="0" w:color="auto"/>
              <w:bottom w:val="dashed" w:sz="4" w:space="0" w:color="auto"/>
            </w:tcBorders>
          </w:tcPr>
          <w:p w:rsidR="00480B73" w:rsidRPr="00230EEB" w:rsidRDefault="00480B73" w:rsidP="00264CE2">
            <w:pPr>
              <w:rPr>
                <w:rFonts w:cs="Times New Roman"/>
                <w:sz w:val="16"/>
                <w:szCs w:val="16"/>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15</w:t>
            </w:r>
          </w:p>
          <w:p w:rsidR="00480B73" w:rsidRPr="00230EEB" w:rsidRDefault="00480B73" w:rsidP="00264CE2">
            <w:pPr>
              <w:jc w:val="both"/>
              <w:rPr>
                <w:rFonts w:cs="Times New Roman"/>
                <w:sz w:val="16"/>
                <w:szCs w:val="16"/>
              </w:rPr>
            </w:pPr>
          </w:p>
        </w:tc>
        <w:tc>
          <w:tcPr>
            <w:tcW w:w="993" w:type="dxa"/>
            <w:gridSpan w:val="2"/>
            <w:tcBorders>
              <w:top w:val="dashed" w:sz="4" w:space="0" w:color="auto"/>
              <w:bottom w:val="dashed" w:sz="4" w:space="0" w:color="auto"/>
            </w:tcBorders>
          </w:tcPr>
          <w:p w:rsidR="00480B73" w:rsidRPr="00230EEB" w:rsidRDefault="00480B73" w:rsidP="00264CE2">
            <w:pPr>
              <w:jc w:val="both"/>
              <w:rPr>
                <w:rFonts w:cs="Times New Roman"/>
                <w:sz w:val="16"/>
                <w:szCs w:val="16"/>
              </w:rPr>
            </w:pPr>
            <w:r>
              <w:rPr>
                <w:rFonts w:cs="Times New Roman"/>
                <w:sz w:val="16"/>
                <w:szCs w:val="16"/>
              </w:rPr>
              <w:t>36 (17-55)</w:t>
            </w:r>
          </w:p>
        </w:tc>
        <w:tc>
          <w:tcPr>
            <w:tcW w:w="992" w:type="dxa"/>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68 kg</w:t>
            </w:r>
          </w:p>
          <w:p w:rsidR="00480B73" w:rsidRPr="00230EEB" w:rsidRDefault="00480B73" w:rsidP="00264CE2">
            <w:pPr>
              <w:jc w:val="both"/>
              <w:rPr>
                <w:rFonts w:cs="Times New Roman"/>
                <w:sz w:val="16"/>
                <w:szCs w:val="16"/>
              </w:rPr>
            </w:pPr>
            <w:r>
              <w:rPr>
                <w:rFonts w:cs="Times New Roman"/>
                <w:sz w:val="16"/>
                <w:szCs w:val="16"/>
              </w:rPr>
              <w:t>(mean)</w:t>
            </w:r>
          </w:p>
        </w:tc>
        <w:tc>
          <w:tcPr>
            <w:tcW w:w="850" w:type="dxa"/>
            <w:tcBorders>
              <w:top w:val="dashed" w:sz="4" w:space="0" w:color="auto"/>
              <w:bottom w:val="dashed" w:sz="4" w:space="0" w:color="auto"/>
            </w:tcBorders>
          </w:tcPr>
          <w:p w:rsidR="00480B73" w:rsidRPr="00230EEB" w:rsidRDefault="00480B73" w:rsidP="00264CE2">
            <w:pPr>
              <w:jc w:val="both"/>
              <w:rPr>
                <w:rFonts w:cs="Times New Roman"/>
                <w:sz w:val="16"/>
                <w:szCs w:val="16"/>
              </w:rPr>
            </w:pPr>
            <w:r>
              <w:rPr>
                <w:rFonts w:cs="Times New Roman"/>
                <w:sz w:val="16"/>
                <w:szCs w:val="16"/>
              </w:rPr>
              <w:t>7%</w:t>
            </w:r>
          </w:p>
        </w:tc>
        <w:tc>
          <w:tcPr>
            <w:tcW w:w="1134" w:type="dxa"/>
            <w:gridSpan w:val="2"/>
            <w:vMerge w:val="restart"/>
            <w:tcBorders>
              <w:top w:val="dashed" w:sz="4" w:space="0" w:color="auto"/>
            </w:tcBorders>
          </w:tcPr>
          <w:p w:rsidR="00480B73" w:rsidRDefault="00480B73" w:rsidP="00264CE2">
            <w:pPr>
              <w:jc w:val="both"/>
              <w:rPr>
                <w:rFonts w:cs="Times New Roman"/>
                <w:sz w:val="16"/>
                <w:szCs w:val="16"/>
              </w:rPr>
            </w:pPr>
          </w:p>
        </w:tc>
        <w:tc>
          <w:tcPr>
            <w:tcW w:w="1276" w:type="dxa"/>
            <w:gridSpan w:val="2"/>
            <w:vMerge w:val="restart"/>
            <w:tcBorders>
              <w:top w:val="dashed" w:sz="4" w:space="0" w:color="auto"/>
            </w:tcBorders>
          </w:tcPr>
          <w:p w:rsidR="00480B73" w:rsidRPr="00230EEB" w:rsidRDefault="00480B73" w:rsidP="00264CE2">
            <w:pPr>
              <w:jc w:val="both"/>
              <w:rPr>
                <w:rFonts w:cs="Times New Roman"/>
                <w:sz w:val="16"/>
                <w:szCs w:val="16"/>
              </w:rPr>
            </w:pPr>
          </w:p>
        </w:tc>
        <w:tc>
          <w:tcPr>
            <w:tcW w:w="1134" w:type="dxa"/>
            <w:gridSpan w:val="2"/>
            <w:vMerge w:val="restart"/>
            <w:tcBorders>
              <w:top w:val="dashed" w:sz="4" w:space="0" w:color="auto"/>
            </w:tcBorders>
          </w:tcPr>
          <w:p w:rsidR="00480B73" w:rsidRDefault="00480B73" w:rsidP="00264CE2">
            <w:pPr>
              <w:jc w:val="both"/>
              <w:rPr>
                <w:rFonts w:cs="Times New Roman"/>
                <w:sz w:val="16"/>
                <w:szCs w:val="16"/>
              </w:rPr>
            </w:pPr>
          </w:p>
        </w:tc>
        <w:tc>
          <w:tcPr>
            <w:tcW w:w="851" w:type="dxa"/>
            <w:gridSpan w:val="2"/>
            <w:vMerge w:val="restart"/>
            <w:tcBorders>
              <w:top w:val="dashed" w:sz="4" w:space="0" w:color="auto"/>
            </w:tcBorders>
          </w:tcPr>
          <w:p w:rsidR="00480B73" w:rsidRPr="00230EEB" w:rsidRDefault="00480B73" w:rsidP="00264CE2">
            <w:pPr>
              <w:jc w:val="both"/>
              <w:rPr>
                <w:rFonts w:cs="Times New Roman"/>
                <w:sz w:val="16"/>
                <w:szCs w:val="16"/>
              </w:rPr>
            </w:pPr>
          </w:p>
        </w:tc>
        <w:tc>
          <w:tcPr>
            <w:tcW w:w="1275" w:type="dxa"/>
            <w:gridSpan w:val="2"/>
            <w:vMerge w:val="restart"/>
            <w:tcBorders>
              <w:top w:val="dashed" w:sz="4" w:space="0" w:color="auto"/>
            </w:tcBorders>
          </w:tcPr>
          <w:p w:rsidR="00480B73" w:rsidRPr="00230EEB" w:rsidRDefault="00480B73" w:rsidP="00264CE2">
            <w:pPr>
              <w:jc w:val="both"/>
              <w:rPr>
                <w:rFonts w:cs="Times New Roman"/>
                <w:sz w:val="16"/>
                <w:szCs w:val="16"/>
              </w:rPr>
            </w:pPr>
          </w:p>
        </w:tc>
        <w:tc>
          <w:tcPr>
            <w:tcW w:w="993" w:type="dxa"/>
            <w:vMerge w:val="restart"/>
            <w:tcBorders>
              <w:top w:val="dashed" w:sz="4" w:space="0" w:color="auto"/>
            </w:tcBorders>
          </w:tcPr>
          <w:p w:rsidR="00480B73" w:rsidRPr="00230EEB" w:rsidRDefault="00480B73" w:rsidP="00264CE2">
            <w:pPr>
              <w:jc w:val="both"/>
              <w:rPr>
                <w:rFonts w:cs="Times New Roman"/>
                <w:sz w:val="16"/>
                <w:szCs w:val="16"/>
              </w:rPr>
            </w:pPr>
          </w:p>
        </w:tc>
      </w:tr>
      <w:tr w:rsidR="00480B73" w:rsidRPr="00783252" w:rsidTr="00264CE2">
        <w:trPr>
          <w:trHeight w:val="70"/>
        </w:trPr>
        <w:tc>
          <w:tcPr>
            <w:tcW w:w="959" w:type="dxa"/>
            <w:vMerge/>
          </w:tcPr>
          <w:p w:rsidR="00480B73" w:rsidRPr="00783252" w:rsidRDefault="00480B73" w:rsidP="00264CE2">
            <w:pPr>
              <w:jc w:val="both"/>
              <w:rPr>
                <w:rFonts w:cs="Times New Roman"/>
                <w:sz w:val="16"/>
                <w:szCs w:val="16"/>
                <w:lang w:val="en-US"/>
              </w:rPr>
            </w:pPr>
          </w:p>
        </w:tc>
        <w:tc>
          <w:tcPr>
            <w:tcW w:w="1701" w:type="dxa"/>
            <w:tcBorders>
              <w:top w:val="dashed" w:sz="4" w:space="0" w:color="auto"/>
            </w:tcBorders>
          </w:tcPr>
          <w:p w:rsidR="00480B73" w:rsidRPr="00230EEB" w:rsidRDefault="00480B73" w:rsidP="00264CE2">
            <w:pPr>
              <w:jc w:val="both"/>
              <w:rPr>
                <w:rFonts w:cs="Times New Roman"/>
                <w:sz w:val="16"/>
                <w:szCs w:val="16"/>
              </w:rPr>
            </w:pPr>
            <w:r w:rsidRPr="006B0343">
              <w:rPr>
                <w:rFonts w:cs="Times New Roman"/>
                <w:sz w:val="16"/>
                <w:szCs w:val="16"/>
              </w:rPr>
              <w:t>Conventional</w:t>
            </w:r>
            <w:r>
              <w:rPr>
                <w:rFonts w:cs="Times New Roman"/>
                <w:sz w:val="16"/>
                <w:szCs w:val="16"/>
              </w:rPr>
              <w:t xml:space="preserve"> dosing</w:t>
            </w:r>
          </w:p>
        </w:tc>
        <w:tc>
          <w:tcPr>
            <w:tcW w:w="1134" w:type="dxa"/>
            <w:gridSpan w:val="2"/>
            <w:tcBorders>
              <w:top w:val="dashed" w:sz="4" w:space="0" w:color="auto"/>
            </w:tcBorders>
          </w:tcPr>
          <w:p w:rsidR="00480B73" w:rsidRPr="00230EEB" w:rsidRDefault="00480B73" w:rsidP="00264CE2">
            <w:pPr>
              <w:rPr>
                <w:rFonts w:cs="Times New Roman"/>
                <w:sz w:val="16"/>
                <w:szCs w:val="16"/>
              </w:rPr>
            </w:pPr>
          </w:p>
        </w:tc>
        <w:tc>
          <w:tcPr>
            <w:tcW w:w="850" w:type="dxa"/>
            <w:gridSpan w:val="2"/>
            <w:tcBorders>
              <w:top w:val="dashed" w:sz="4" w:space="0" w:color="auto"/>
            </w:tcBorders>
          </w:tcPr>
          <w:p w:rsidR="00480B73" w:rsidRPr="00230EEB" w:rsidRDefault="00480B73" w:rsidP="00264CE2">
            <w:pPr>
              <w:jc w:val="both"/>
              <w:rPr>
                <w:rFonts w:cs="Times New Roman"/>
                <w:sz w:val="16"/>
                <w:szCs w:val="16"/>
              </w:rPr>
            </w:pPr>
            <w:r>
              <w:rPr>
                <w:rFonts w:cs="Times New Roman"/>
                <w:sz w:val="16"/>
                <w:szCs w:val="16"/>
              </w:rPr>
              <w:t>15</w:t>
            </w:r>
          </w:p>
        </w:tc>
        <w:tc>
          <w:tcPr>
            <w:tcW w:w="993" w:type="dxa"/>
            <w:gridSpan w:val="2"/>
            <w:tcBorders>
              <w:top w:val="dashed" w:sz="4" w:space="0" w:color="auto"/>
            </w:tcBorders>
          </w:tcPr>
          <w:p w:rsidR="00480B73" w:rsidRDefault="00480B73" w:rsidP="00264CE2">
            <w:pPr>
              <w:jc w:val="both"/>
              <w:rPr>
                <w:rFonts w:cs="Times New Roman"/>
                <w:sz w:val="16"/>
                <w:szCs w:val="16"/>
              </w:rPr>
            </w:pPr>
            <w:r>
              <w:rPr>
                <w:rFonts w:cs="Times New Roman"/>
                <w:sz w:val="16"/>
                <w:szCs w:val="16"/>
              </w:rPr>
              <w:t>38 (18-55)</w:t>
            </w:r>
          </w:p>
          <w:p w:rsidR="00480B73" w:rsidRPr="00230EEB" w:rsidRDefault="00480B73" w:rsidP="00264CE2">
            <w:pPr>
              <w:jc w:val="both"/>
              <w:rPr>
                <w:rFonts w:cs="Times New Roman"/>
                <w:sz w:val="16"/>
                <w:szCs w:val="16"/>
              </w:rPr>
            </w:pPr>
          </w:p>
        </w:tc>
        <w:tc>
          <w:tcPr>
            <w:tcW w:w="992" w:type="dxa"/>
            <w:tcBorders>
              <w:top w:val="dashed" w:sz="4" w:space="0" w:color="auto"/>
            </w:tcBorders>
          </w:tcPr>
          <w:p w:rsidR="00480B73" w:rsidRDefault="00480B73" w:rsidP="00264CE2">
            <w:pPr>
              <w:jc w:val="both"/>
              <w:rPr>
                <w:rFonts w:cs="Times New Roman"/>
                <w:sz w:val="16"/>
                <w:szCs w:val="16"/>
              </w:rPr>
            </w:pPr>
            <w:r>
              <w:rPr>
                <w:rFonts w:cs="Times New Roman"/>
                <w:sz w:val="16"/>
                <w:szCs w:val="16"/>
              </w:rPr>
              <w:t>68 kg</w:t>
            </w:r>
          </w:p>
          <w:p w:rsidR="00480B73" w:rsidRPr="00230EEB" w:rsidRDefault="00480B73" w:rsidP="00264CE2">
            <w:pPr>
              <w:jc w:val="both"/>
              <w:rPr>
                <w:rFonts w:cs="Times New Roman"/>
                <w:sz w:val="16"/>
                <w:szCs w:val="16"/>
              </w:rPr>
            </w:pPr>
            <w:r>
              <w:rPr>
                <w:rFonts w:cs="Times New Roman"/>
                <w:sz w:val="16"/>
                <w:szCs w:val="16"/>
              </w:rPr>
              <w:t>(mean)</w:t>
            </w:r>
          </w:p>
        </w:tc>
        <w:tc>
          <w:tcPr>
            <w:tcW w:w="850" w:type="dxa"/>
            <w:tcBorders>
              <w:top w:val="dashed" w:sz="4" w:space="0" w:color="auto"/>
            </w:tcBorders>
          </w:tcPr>
          <w:p w:rsidR="00480B73" w:rsidRPr="00230EEB" w:rsidRDefault="00480B73" w:rsidP="00264CE2">
            <w:pPr>
              <w:jc w:val="both"/>
              <w:rPr>
                <w:rFonts w:cs="Times New Roman"/>
                <w:sz w:val="16"/>
                <w:szCs w:val="16"/>
              </w:rPr>
            </w:pPr>
            <w:r>
              <w:rPr>
                <w:rFonts w:cs="Times New Roman"/>
                <w:sz w:val="16"/>
                <w:szCs w:val="16"/>
              </w:rPr>
              <w:t>60%</w:t>
            </w:r>
          </w:p>
        </w:tc>
        <w:tc>
          <w:tcPr>
            <w:tcW w:w="1134" w:type="dxa"/>
            <w:gridSpan w:val="2"/>
            <w:vMerge/>
          </w:tcPr>
          <w:p w:rsidR="00480B73" w:rsidRDefault="00480B73" w:rsidP="00264CE2">
            <w:pPr>
              <w:jc w:val="both"/>
              <w:rPr>
                <w:rFonts w:cs="Times New Roman"/>
                <w:sz w:val="16"/>
                <w:szCs w:val="16"/>
              </w:rPr>
            </w:pPr>
          </w:p>
        </w:tc>
        <w:tc>
          <w:tcPr>
            <w:tcW w:w="1276" w:type="dxa"/>
            <w:gridSpan w:val="2"/>
            <w:vMerge/>
          </w:tcPr>
          <w:p w:rsidR="00480B73" w:rsidRPr="00230EEB" w:rsidRDefault="00480B73" w:rsidP="00264CE2">
            <w:pPr>
              <w:jc w:val="both"/>
              <w:rPr>
                <w:rFonts w:cs="Times New Roman"/>
                <w:sz w:val="16"/>
                <w:szCs w:val="16"/>
              </w:rPr>
            </w:pPr>
          </w:p>
        </w:tc>
        <w:tc>
          <w:tcPr>
            <w:tcW w:w="1134" w:type="dxa"/>
            <w:gridSpan w:val="2"/>
            <w:vMerge/>
          </w:tcPr>
          <w:p w:rsidR="00480B73" w:rsidRDefault="00480B73" w:rsidP="00264CE2">
            <w:pPr>
              <w:jc w:val="both"/>
              <w:rPr>
                <w:rFonts w:cs="Times New Roman"/>
                <w:sz w:val="16"/>
                <w:szCs w:val="16"/>
              </w:rPr>
            </w:pPr>
          </w:p>
        </w:tc>
        <w:tc>
          <w:tcPr>
            <w:tcW w:w="851" w:type="dxa"/>
            <w:gridSpan w:val="2"/>
            <w:vMerge/>
          </w:tcPr>
          <w:p w:rsidR="00480B73" w:rsidRPr="00230EEB" w:rsidRDefault="00480B73" w:rsidP="00264CE2">
            <w:pPr>
              <w:jc w:val="both"/>
              <w:rPr>
                <w:rFonts w:cs="Times New Roman"/>
                <w:sz w:val="16"/>
                <w:szCs w:val="16"/>
              </w:rPr>
            </w:pPr>
          </w:p>
        </w:tc>
        <w:tc>
          <w:tcPr>
            <w:tcW w:w="1275" w:type="dxa"/>
            <w:gridSpan w:val="2"/>
            <w:vMerge/>
          </w:tcPr>
          <w:p w:rsidR="00480B73" w:rsidRPr="00230EEB" w:rsidRDefault="00480B73" w:rsidP="00264CE2">
            <w:pPr>
              <w:jc w:val="both"/>
              <w:rPr>
                <w:rFonts w:cs="Times New Roman"/>
                <w:sz w:val="16"/>
                <w:szCs w:val="16"/>
              </w:rPr>
            </w:pPr>
          </w:p>
        </w:tc>
        <w:tc>
          <w:tcPr>
            <w:tcW w:w="993" w:type="dxa"/>
            <w:vMerge/>
          </w:tcPr>
          <w:p w:rsidR="00480B73" w:rsidRPr="00230EEB" w:rsidRDefault="00480B73" w:rsidP="00264CE2">
            <w:pPr>
              <w:jc w:val="both"/>
              <w:rPr>
                <w:rFonts w:cs="Times New Roman"/>
                <w:sz w:val="16"/>
                <w:szCs w:val="16"/>
              </w:rPr>
            </w:pPr>
          </w:p>
        </w:tc>
      </w:tr>
      <w:tr w:rsidR="00480B73" w:rsidRPr="00783252" w:rsidTr="00264CE2">
        <w:trPr>
          <w:trHeight w:val="70"/>
        </w:trPr>
        <w:tc>
          <w:tcPr>
            <w:tcW w:w="959" w:type="dxa"/>
          </w:tcPr>
          <w:p w:rsidR="00480B73" w:rsidRPr="00783252" w:rsidRDefault="00480B73" w:rsidP="00264CE2">
            <w:pPr>
              <w:jc w:val="both"/>
              <w:rPr>
                <w:rFonts w:cs="Times New Roman"/>
                <w:sz w:val="16"/>
                <w:szCs w:val="16"/>
              </w:rPr>
            </w:pPr>
            <w:r w:rsidRPr="00783252">
              <w:rPr>
                <w:rFonts w:cs="Times New Roman"/>
                <w:sz w:val="16"/>
                <w:szCs w:val="16"/>
                <w:lang w:val="en-US"/>
              </w:rPr>
              <w:lastRenderedPageBreak/>
              <w:t xml:space="preserve">Kan et al. </w:t>
            </w:r>
            <w:r>
              <w:rPr>
                <w:rFonts w:cs="Times New Roman"/>
                <w:sz w:val="16"/>
                <w:szCs w:val="16"/>
              </w:rPr>
              <w:fldChar w:fldCharType="begin" w:fldLock="1"/>
            </w:r>
            <w:r>
              <w:rPr>
                <w:rFonts w:cs="Times New Roman"/>
                <w:sz w:val="16"/>
                <w:szCs w:val="16"/>
                <w:lang w:val="en-US"/>
              </w:rPr>
              <w:instrText>ADDIN CSL_CITATION { "citationItems" : [ { "id" : "ITEM-1", "itemData" : { "DOI" : "10.1093/infdis/164.2.418", "ISSN" : "0022-1899", "PMID" : "1856491", "abstract" : "Amphotericin B lipid complex (ABLC), a lipid complex formulation of amphotericin B, and amphotericin B desoxycholate (AB) were compared for safety, tolerance, and pharmacokinetics in two groups of eight healthy male volunteers. After a 1-mg test dose, study drug was infused at 0.1, 0.25, and 0.5 mg/kg; the 0.5-mg/kg dose was not given to subjects receiving AB. ABLC caused few acute adverse effects except for mild somnolence (drowsiness) in six volunteers. In addition, three of eight ABLC recipient had asymptomatic, transient serum transaminase elevations that resolved spontaneously. The AB recipients experienced more acute side effects, but only one had a mild shaking chill: three of eight also experienced sleepiness. No significant changes in vital signs, electrocardiogram, oximetry, pulmonary function, or clinical status were observed in either group. Due to its increased estimate volume of distribution and estimated clearance. ABLC yielded decreased amphotericin B levels and area under the serum concentration versus time curve relative to AB.", "author" : [ { "dropping-particle" : "", "family" : "Kan", "given" : "V L", "non-dropping-particle" : "", "parse-names" : false, "suffix" : "" }, { "dropping-particle" : "", "family" : "Bennett", "given" : "J E", "non-dropping-particle" : "", "parse-names" : false, "suffix" : "" }, { "dropping-particle" : "", "family" : "Amantea", "given" : "M A", "non-dropping-particle" : "", "parse-names" : false, "suffix" : "" }, { "dropping-particle" : "", "family" : "Smolskis", "given" : "M C", "non-dropping-particle" : "", "parse-names" : false, "suffix" : "" }, { "dropping-particle" : "", "family" : "McManus", "given" : "E", "non-dropping-particle" : "", "parse-names" : false, "suffix" : "" }, { "dropping-particle" : "", "family" : "Grasela", "given" : "D M", "non-dropping-particle" : "", "parse-names" : false, "suffix" : "" }, { "dropping-particle" : "", "family" : "Sherman", "given" : "J W", "non-dropping-particle" : "", "parse-names" : false, "suffix" : "" } ], "container-title" : "Journal of infectious diseases", "id" : "ITEM-1", "issue" : "2", "issued" : { "date-parts" : [ [ "1991" ] ] }, "page" : "418-421", "title" : "Comparative safety, tolerance, and pharmacokinetics of amphotericin B lipid complex and amphotericin B desoxycholate in healthy male volunteers", "type" : "article-journal", "volume" : "164" }, "uris" : [ "http://www.mendeley.com/documents/?uuid=9ee7de84-6aa5-4e2a-ae3d-2b73f7d725aa" ] } ], "mendeley" : { "formattedCitation" : "[135]", "plainTextFormattedCitation" : "[135]", "previouslyFormattedCitation" : "[134]" }, "properties" : { "noteIndex" : 0 }, "schema" : "https://github.com/citation-style-language/schema/raw/master/csl-citation.json" }</w:instrText>
            </w:r>
            <w:r>
              <w:rPr>
                <w:rFonts w:cs="Times New Roman"/>
                <w:sz w:val="16"/>
                <w:szCs w:val="16"/>
              </w:rPr>
              <w:fldChar w:fldCharType="separate"/>
            </w:r>
            <w:r w:rsidRPr="001015EC">
              <w:rPr>
                <w:rFonts w:cs="Times New Roman"/>
                <w:noProof/>
                <w:sz w:val="16"/>
                <w:szCs w:val="16"/>
              </w:rPr>
              <w:t>[135]</w:t>
            </w:r>
            <w:r>
              <w:rPr>
                <w:rFonts w:cs="Times New Roman"/>
                <w:sz w:val="16"/>
                <w:szCs w:val="16"/>
              </w:rPr>
              <w:fldChar w:fldCharType="end"/>
            </w:r>
          </w:p>
        </w:tc>
        <w:tc>
          <w:tcPr>
            <w:tcW w:w="1701" w:type="dxa"/>
          </w:tcPr>
          <w:p w:rsidR="00480B73" w:rsidRPr="00783252" w:rsidRDefault="00480B73" w:rsidP="00264CE2">
            <w:pPr>
              <w:jc w:val="both"/>
              <w:rPr>
                <w:rFonts w:cs="Times New Roman"/>
                <w:sz w:val="16"/>
                <w:szCs w:val="16"/>
              </w:rPr>
            </w:pPr>
            <w:r>
              <w:rPr>
                <w:rFonts w:cs="Times New Roman"/>
                <w:sz w:val="16"/>
                <w:szCs w:val="16"/>
              </w:rPr>
              <w:t>Healthy volunteers</w:t>
            </w:r>
          </w:p>
        </w:tc>
        <w:tc>
          <w:tcPr>
            <w:tcW w:w="1134" w:type="dxa"/>
            <w:gridSpan w:val="2"/>
          </w:tcPr>
          <w:p w:rsidR="00480B73" w:rsidRPr="00783252" w:rsidRDefault="00480B73" w:rsidP="00264CE2">
            <w:pPr>
              <w:rPr>
                <w:rFonts w:cs="Times New Roman"/>
                <w:sz w:val="16"/>
                <w:szCs w:val="16"/>
              </w:rPr>
            </w:pPr>
            <w:r>
              <w:rPr>
                <w:rFonts w:cs="Times New Roman"/>
                <w:sz w:val="16"/>
                <w:szCs w:val="16"/>
              </w:rPr>
              <w:t>US</w:t>
            </w:r>
          </w:p>
        </w:tc>
        <w:tc>
          <w:tcPr>
            <w:tcW w:w="850" w:type="dxa"/>
            <w:gridSpan w:val="2"/>
          </w:tcPr>
          <w:p w:rsidR="00480B73" w:rsidRPr="00783252" w:rsidRDefault="00480B73" w:rsidP="00264CE2">
            <w:pPr>
              <w:jc w:val="both"/>
              <w:rPr>
                <w:rFonts w:cs="Times New Roman"/>
                <w:sz w:val="16"/>
                <w:szCs w:val="16"/>
              </w:rPr>
            </w:pPr>
            <w:r>
              <w:rPr>
                <w:rFonts w:cs="Times New Roman"/>
                <w:sz w:val="16"/>
                <w:szCs w:val="16"/>
              </w:rPr>
              <w:t>16</w:t>
            </w:r>
          </w:p>
        </w:tc>
        <w:tc>
          <w:tcPr>
            <w:tcW w:w="993" w:type="dxa"/>
            <w:gridSpan w:val="2"/>
          </w:tcPr>
          <w:p w:rsidR="00480B73" w:rsidRPr="00783252" w:rsidRDefault="00480B73" w:rsidP="00264CE2">
            <w:pPr>
              <w:jc w:val="both"/>
              <w:rPr>
                <w:rFonts w:cs="Times New Roman"/>
                <w:sz w:val="16"/>
                <w:szCs w:val="16"/>
              </w:rPr>
            </w:pPr>
            <w:r>
              <w:rPr>
                <w:rFonts w:cs="Times New Roman"/>
                <w:sz w:val="16"/>
                <w:szCs w:val="16"/>
              </w:rPr>
              <w:t>26.6 (20-38)</w:t>
            </w:r>
          </w:p>
        </w:tc>
        <w:tc>
          <w:tcPr>
            <w:tcW w:w="992" w:type="dxa"/>
          </w:tcPr>
          <w:p w:rsidR="00480B73" w:rsidRPr="00783252" w:rsidRDefault="00480B73" w:rsidP="00264CE2">
            <w:pPr>
              <w:jc w:val="both"/>
              <w:rPr>
                <w:rFonts w:cs="Times New Roman"/>
                <w:sz w:val="16"/>
                <w:szCs w:val="16"/>
              </w:rPr>
            </w:pPr>
            <w:r>
              <w:rPr>
                <w:rFonts w:cs="Times New Roman"/>
                <w:sz w:val="16"/>
                <w:szCs w:val="16"/>
              </w:rPr>
              <w:t>74.2 (55-87)</w:t>
            </w:r>
          </w:p>
        </w:tc>
        <w:tc>
          <w:tcPr>
            <w:tcW w:w="850" w:type="dxa"/>
          </w:tcPr>
          <w:p w:rsidR="00480B73" w:rsidRPr="00783252" w:rsidRDefault="00480B73" w:rsidP="00264CE2">
            <w:pPr>
              <w:jc w:val="both"/>
              <w:rPr>
                <w:rFonts w:cs="Times New Roman"/>
                <w:sz w:val="16"/>
                <w:szCs w:val="16"/>
              </w:rPr>
            </w:pPr>
            <w:r>
              <w:rPr>
                <w:rFonts w:cs="Times New Roman"/>
                <w:sz w:val="16"/>
                <w:szCs w:val="16"/>
              </w:rPr>
              <w:t>100%</w:t>
            </w:r>
          </w:p>
        </w:tc>
        <w:tc>
          <w:tcPr>
            <w:tcW w:w="1134" w:type="dxa"/>
            <w:gridSpan w:val="2"/>
          </w:tcPr>
          <w:p w:rsidR="00480B73" w:rsidRPr="00783252" w:rsidRDefault="00480B73" w:rsidP="00264CE2">
            <w:pPr>
              <w:jc w:val="both"/>
              <w:rPr>
                <w:rFonts w:cs="Times New Roman"/>
                <w:sz w:val="16"/>
                <w:szCs w:val="16"/>
              </w:rPr>
            </w:pPr>
            <w:r>
              <w:rPr>
                <w:rFonts w:cs="Times New Roman"/>
                <w:sz w:val="16"/>
                <w:szCs w:val="16"/>
              </w:rPr>
              <w:t>D-AMB (</w:t>
            </w:r>
            <w:r w:rsidRPr="003E437F">
              <w:rPr>
                <w:rFonts w:cs="Times New Roman"/>
                <w:sz w:val="16"/>
                <w:szCs w:val="16"/>
              </w:rPr>
              <w:t>Fungizone</w:t>
            </w:r>
            <w:r>
              <w:rPr>
                <w:rFonts w:cs="Times New Roman"/>
                <w:sz w:val="16"/>
                <w:szCs w:val="16"/>
              </w:rPr>
              <w:t>)</w:t>
            </w:r>
          </w:p>
        </w:tc>
        <w:tc>
          <w:tcPr>
            <w:tcW w:w="1276" w:type="dxa"/>
            <w:gridSpan w:val="2"/>
          </w:tcPr>
          <w:p w:rsidR="00480B73" w:rsidRPr="00783252" w:rsidRDefault="00480B73" w:rsidP="00264CE2">
            <w:pPr>
              <w:jc w:val="both"/>
              <w:rPr>
                <w:rFonts w:cs="Times New Roman"/>
                <w:sz w:val="16"/>
                <w:szCs w:val="16"/>
              </w:rPr>
            </w:pPr>
            <w:r>
              <w:rPr>
                <w:rFonts w:cs="Times New Roman"/>
                <w:sz w:val="16"/>
                <w:szCs w:val="16"/>
              </w:rPr>
              <w:t>IV</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Pr="00783252"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Pr="00783252" w:rsidRDefault="00480B73" w:rsidP="00264CE2">
            <w:pPr>
              <w:jc w:val="both"/>
              <w:rPr>
                <w:rFonts w:cs="Times New Roman"/>
                <w:sz w:val="16"/>
                <w:szCs w:val="16"/>
              </w:rPr>
            </w:pPr>
            <w:r>
              <w:rPr>
                <w:rFonts w:cs="Times New Roman"/>
                <w:sz w:val="16"/>
                <w:szCs w:val="16"/>
              </w:rPr>
              <w:t>0.025</w:t>
            </w:r>
          </w:p>
        </w:tc>
        <w:tc>
          <w:tcPr>
            <w:tcW w:w="1275" w:type="dxa"/>
            <w:gridSpan w:val="2"/>
          </w:tcPr>
          <w:p w:rsidR="00480B73" w:rsidRPr="00783252" w:rsidRDefault="00480B73" w:rsidP="00264CE2">
            <w:pPr>
              <w:jc w:val="both"/>
              <w:rPr>
                <w:rFonts w:cs="Times New Roman"/>
                <w:sz w:val="16"/>
                <w:szCs w:val="16"/>
              </w:rPr>
            </w:pPr>
            <w:r>
              <w:rPr>
                <w:rFonts w:cs="Times New Roman"/>
                <w:sz w:val="16"/>
                <w:szCs w:val="16"/>
              </w:rPr>
              <w:t>NCA</w:t>
            </w:r>
          </w:p>
        </w:tc>
        <w:tc>
          <w:tcPr>
            <w:tcW w:w="993" w:type="dxa"/>
          </w:tcPr>
          <w:p w:rsidR="00480B73" w:rsidRPr="00783252" w:rsidRDefault="00480B73" w:rsidP="00264CE2">
            <w:pPr>
              <w:jc w:val="both"/>
              <w:rPr>
                <w:rFonts w:cs="Times New Roman"/>
                <w:sz w:val="16"/>
                <w:szCs w:val="16"/>
              </w:rPr>
            </w:pPr>
            <w:r>
              <w:rPr>
                <w:rFonts w:cs="Times New Roman"/>
                <w:sz w:val="16"/>
                <w:szCs w:val="16"/>
              </w:rPr>
              <w:t>N/A</w:t>
            </w:r>
          </w:p>
        </w:tc>
      </w:tr>
      <w:tr w:rsidR="00480B73" w:rsidRPr="00436D4F" w:rsidTr="00264CE2">
        <w:trPr>
          <w:trHeight w:val="70"/>
        </w:trPr>
        <w:tc>
          <w:tcPr>
            <w:tcW w:w="959" w:type="dxa"/>
          </w:tcPr>
          <w:p w:rsidR="00480B73" w:rsidRPr="00783252" w:rsidRDefault="00480B73" w:rsidP="00264CE2">
            <w:pPr>
              <w:jc w:val="both"/>
              <w:rPr>
                <w:rFonts w:cs="Times New Roman"/>
                <w:sz w:val="16"/>
                <w:szCs w:val="16"/>
              </w:rPr>
            </w:pPr>
            <w:r>
              <w:rPr>
                <w:rFonts w:cs="Times New Roman"/>
                <w:sz w:val="16"/>
                <w:szCs w:val="16"/>
              </w:rPr>
              <w:t xml:space="preserve">Koren et al. </w:t>
            </w:r>
            <w:r>
              <w:rPr>
                <w:rFonts w:cs="Times New Roman"/>
                <w:sz w:val="16"/>
                <w:szCs w:val="16"/>
              </w:rPr>
              <w:fldChar w:fldCharType="begin" w:fldLock="1"/>
            </w:r>
            <w:r>
              <w:rPr>
                <w:rFonts w:cs="Times New Roman"/>
                <w:sz w:val="16"/>
                <w:szCs w:val="16"/>
              </w:rPr>
              <w:instrText>ADDIN CSL_CITATION { "citationItems" : [ { "id" : "ITEM-1", "itemData" : { "DOI" : "10.1016/S0022-3476(88)80653-X", "ISBN" : "0022-3476 (Print)\\r0022-3476 (Linking)", "ISSN" : "00223476", "PMID" : "3411404", "abstract" : "The pharmacokinetics and safety of amphotericin B infusion were studied in 13 infants and children (age range 3 weeks to 18 years; median age 11 years) treated with the drug for proved (n=11) or suspected (n=2) fungal infections. The dose during the first day was 0.5 mg/kg, followed by a daily dose of 1 mg/kg for the rest of the treatment period in most patients. The drug was infused over 4 to 6 hours. During the first day, serum concentrations were above the target therapeutic level of 0.3 ??g/ml in all patients at 2 and 6 hours from the start of the infusion, in 12 of 13 patients at 12 hours, but in only 6 of 13 patients at 24 hours. On the third day, all concentrations were &gt;0.3 ??g/ml throughout the 24-hour period, and in 12 of 13 patients were &gt;0.5 ??g/ml. The same kinetic profile prevalled on days 7 to 10 of therapy, with a tendency for increasing concentrations. Elimination half-life was 9.93??1.5 hours (mean??SEM), clearance rate 26??5 ml/kg ?? hr, and distribution volume 378??25 ml/kg. The half-life inversely correlated with patients' age. Pharmacokinetic values calculated during the first day were not different from those calculated on day 3. Significant decreases in hemoglobin, platelets, and serum potassium concentration were recorded along with significant increases in serum creatinine, urea, and aspartate transaminase values. Because of the large pharmacokinetic variability and the high rate of serious adverse effects, individualized dosing of amphotericin B based on therapeutic drug monitoring should be considered. ?? 1988 The C.V. Mosby Company.", "author" : [ { "dropping-particle" : "", "family" : "Koren", "given" : "Gideon", "non-dropping-particle" : "", "parse-names" : false, "suffix" : "" }, { "dropping-particle" : "", "family" : "Lau", "given" : "Allan", "non-dropping-particle" : "", "parse-names" : false, "suffix" : "" }, { "dropping-particle" : "", "family" : "Klein", "given" : "Julia", "non-dropping-particle" : "", "parse-names" : false, "suffix" : "" }, { "dropping-particle" : "", "family" : "Golas", "given" : "Cheryl", "non-dropping-particle" : "", "parse-names" : false, "suffix" : "" }, { "dropping-particle" : "", "family" : "Bologa-Campeanu", "given" : "Monica", "non-dropping-particle" : "", "parse-names" : false, "suffix" : "" }, { "dropping-particle" : "", "family" : "Soldin", "given" : "Steven", "non-dropping-particle" : "", "parse-names" : false, "suffix" : "" }, { "dropping-particle" : "", "family" : "MacLeod", "given" : "Stuart M.", "non-dropping-particle" : "", "parse-names" : false, "suffix" : "" }, { "dropping-particle" : "", "family" : "Prober", "given" : "Charles", "non-dropping-particle" : "", "parse-names" : false, "suffix" : "" } ], "container-title" : "The Journal of Pediatrics", "id" : "ITEM-1", "issue" : "3", "issued" : { "date-parts" : [ [ "1988" ] ] }, "page" : "559-563", "title" : "Pharmacokinetics and adverse effects of amphotericin B in infants and children", "type" : "article-journal", "volume" : "113" }, "uris" : [ "http://www.mendeley.com/documents/?uuid=5eb7979f-35e6-49a8-8cb1-bc11fe543444" ] } ], "mendeley" : { "formattedCitation" : "[102]", "plainTextFormattedCitation" : "[102]", "previouslyFormattedCitation" : "[102]"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[102]</w:t>
            </w:r>
            <w:r>
              <w:rPr>
                <w:rFonts w:cs="Times New Roman"/>
                <w:sz w:val="16"/>
                <w:szCs w:val="16"/>
              </w:rPr>
              <w:fldChar w:fldCharType="end"/>
            </w:r>
          </w:p>
        </w:tc>
        <w:tc>
          <w:tcPr>
            <w:tcW w:w="1701" w:type="dxa"/>
          </w:tcPr>
          <w:p w:rsidR="00480B73" w:rsidRDefault="00480B73" w:rsidP="00264CE2">
            <w:pPr>
              <w:jc w:val="both"/>
              <w:rPr>
                <w:rFonts w:cs="Times New Roman"/>
                <w:sz w:val="16"/>
                <w:szCs w:val="16"/>
                <w:lang w:val="en-US"/>
              </w:rPr>
            </w:pPr>
            <w:r>
              <w:rPr>
                <w:rFonts w:cs="Times New Roman"/>
                <w:sz w:val="16"/>
                <w:szCs w:val="16"/>
              </w:rPr>
              <w:t>Pediatric patients (various infections)</w:t>
            </w:r>
          </w:p>
        </w:tc>
        <w:tc>
          <w:tcPr>
            <w:tcW w:w="1134" w:type="dxa"/>
            <w:gridSpan w:val="2"/>
          </w:tcPr>
          <w:p w:rsidR="00480B73" w:rsidRDefault="00480B73" w:rsidP="00264CE2">
            <w:pPr>
              <w:rPr>
                <w:rFonts w:cs="Times New Roman"/>
                <w:sz w:val="16"/>
                <w:szCs w:val="16"/>
                <w:lang w:val="en-US"/>
              </w:rPr>
            </w:pPr>
            <w:r>
              <w:rPr>
                <w:rFonts w:cs="Times New Roman"/>
                <w:sz w:val="16"/>
                <w:szCs w:val="16"/>
              </w:rPr>
              <w:t>Canada</w:t>
            </w:r>
          </w:p>
        </w:tc>
        <w:tc>
          <w:tcPr>
            <w:tcW w:w="850" w:type="dxa"/>
            <w:gridSpan w:val="2"/>
          </w:tcPr>
          <w:p w:rsidR="00480B73" w:rsidRDefault="00480B73" w:rsidP="00264CE2">
            <w:pPr>
              <w:jc w:val="both"/>
              <w:rPr>
                <w:rFonts w:cs="Times New Roman"/>
                <w:sz w:val="16"/>
                <w:szCs w:val="16"/>
                <w:lang w:val="en-US"/>
              </w:rPr>
            </w:pPr>
            <w:r>
              <w:rPr>
                <w:rFonts w:cs="Times New Roman"/>
                <w:sz w:val="16"/>
                <w:szCs w:val="16"/>
              </w:rPr>
              <w:t>13</w:t>
            </w:r>
          </w:p>
        </w:tc>
        <w:tc>
          <w:tcPr>
            <w:tcW w:w="993" w:type="dxa"/>
            <w:gridSpan w:val="2"/>
          </w:tcPr>
          <w:p w:rsidR="00480B73" w:rsidRDefault="00480B73" w:rsidP="00264CE2">
            <w:pPr>
              <w:jc w:val="both"/>
              <w:rPr>
                <w:rFonts w:cs="Times New Roman"/>
                <w:sz w:val="16"/>
                <w:szCs w:val="16"/>
              </w:rPr>
            </w:pPr>
            <w:r>
              <w:rPr>
                <w:rFonts w:cs="Times New Roman"/>
                <w:sz w:val="16"/>
                <w:szCs w:val="16"/>
              </w:rPr>
              <w:t>Range 0-18</w:t>
            </w:r>
          </w:p>
        </w:tc>
        <w:tc>
          <w:tcPr>
            <w:tcW w:w="992" w:type="dxa"/>
          </w:tcPr>
          <w:p w:rsidR="00480B73" w:rsidRDefault="00480B73" w:rsidP="00264CE2">
            <w:pPr>
              <w:jc w:val="both"/>
              <w:rPr>
                <w:rFonts w:cs="Times New Roman"/>
                <w:sz w:val="16"/>
                <w:szCs w:val="16"/>
                <w:lang w:val="en-US"/>
              </w:rPr>
            </w:pPr>
            <w:r>
              <w:rPr>
                <w:rFonts w:cs="Times New Roman"/>
                <w:sz w:val="16"/>
                <w:szCs w:val="16"/>
              </w:rPr>
              <w:t>N/A</w:t>
            </w:r>
          </w:p>
        </w:tc>
        <w:tc>
          <w:tcPr>
            <w:tcW w:w="850" w:type="dxa"/>
          </w:tcPr>
          <w:p w:rsidR="00480B73" w:rsidRDefault="00480B73" w:rsidP="00264CE2">
            <w:pPr>
              <w:jc w:val="both"/>
              <w:rPr>
                <w:rFonts w:cs="Times New Roman"/>
                <w:sz w:val="16"/>
                <w:szCs w:val="16"/>
                <w:lang w:val="en-US"/>
              </w:rPr>
            </w:pPr>
            <w:r>
              <w:rPr>
                <w:rFonts w:cs="Times New Roman"/>
                <w:sz w:val="16"/>
                <w:szCs w:val="16"/>
              </w:rPr>
              <w:t>N/A</w:t>
            </w:r>
          </w:p>
        </w:tc>
        <w:tc>
          <w:tcPr>
            <w:tcW w:w="1134" w:type="dxa"/>
            <w:gridSpan w:val="2"/>
          </w:tcPr>
          <w:p w:rsidR="00480B73" w:rsidRDefault="00480B73" w:rsidP="00264CE2">
            <w:pPr>
              <w:jc w:val="both"/>
              <w:rPr>
                <w:rFonts w:cs="Times New Roman"/>
                <w:sz w:val="16"/>
                <w:szCs w:val="16"/>
              </w:rPr>
            </w:pPr>
            <w:r>
              <w:rPr>
                <w:rFonts w:cs="Times New Roman"/>
                <w:sz w:val="16"/>
                <w:szCs w:val="16"/>
              </w:rPr>
              <w:t xml:space="preserve">D-AMB </w:t>
            </w:r>
          </w:p>
          <w:p w:rsidR="00480B73" w:rsidRDefault="00480B73" w:rsidP="00264CE2">
            <w:pPr>
              <w:jc w:val="both"/>
              <w:rPr>
                <w:rFonts w:cs="Times New Roman"/>
                <w:sz w:val="16"/>
                <w:szCs w:val="16"/>
              </w:rPr>
            </w:pPr>
          </w:p>
        </w:tc>
        <w:tc>
          <w:tcPr>
            <w:tcW w:w="1276" w:type="dxa"/>
            <w:gridSpan w:val="2"/>
          </w:tcPr>
          <w:p w:rsidR="00480B73" w:rsidRDefault="00480B73" w:rsidP="00264CE2">
            <w:pPr>
              <w:jc w:val="both"/>
              <w:rPr>
                <w:rFonts w:cs="Times New Roman"/>
                <w:sz w:val="16"/>
                <w:szCs w:val="16"/>
              </w:rPr>
            </w:pPr>
            <w:r>
              <w:rPr>
                <w:rFonts w:cs="Times New Roman"/>
                <w:sz w:val="16"/>
                <w:szCs w:val="16"/>
              </w:rPr>
              <w:t>N/A</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Default="00480B73" w:rsidP="00264CE2">
            <w:pPr>
              <w:jc w:val="both"/>
              <w:rPr>
                <w:rFonts w:cs="Times New Roman"/>
                <w:sz w:val="16"/>
                <w:szCs w:val="16"/>
              </w:rPr>
            </w:pPr>
            <w:r>
              <w:rPr>
                <w:rFonts w:cs="Times New Roman"/>
                <w:sz w:val="16"/>
                <w:szCs w:val="16"/>
              </w:rPr>
              <w:t>0.1</w:t>
            </w:r>
          </w:p>
        </w:tc>
        <w:tc>
          <w:tcPr>
            <w:tcW w:w="1275" w:type="dxa"/>
            <w:gridSpan w:val="2"/>
          </w:tcPr>
          <w:p w:rsidR="00480B73" w:rsidRPr="00436D4F" w:rsidRDefault="00480B73" w:rsidP="00264CE2">
            <w:pPr>
              <w:jc w:val="both"/>
              <w:rPr>
                <w:rFonts w:cs="Times New Roman"/>
                <w:sz w:val="16"/>
                <w:szCs w:val="16"/>
                <w:lang w:val="en-US"/>
              </w:rPr>
            </w:pPr>
            <w:r>
              <w:rPr>
                <w:rFonts w:cs="Times New Roman"/>
                <w:color w:val="000000" w:themeColor="text1"/>
                <w:sz w:val="16"/>
                <w:szCs w:val="18"/>
              </w:rPr>
              <w:t>Compartmental (individual-based)</w:t>
            </w:r>
          </w:p>
        </w:tc>
        <w:tc>
          <w:tcPr>
            <w:tcW w:w="993" w:type="dxa"/>
          </w:tcPr>
          <w:p w:rsidR="00480B73" w:rsidRPr="00436D4F" w:rsidRDefault="00480B73" w:rsidP="00264CE2">
            <w:pPr>
              <w:jc w:val="both"/>
              <w:rPr>
                <w:rFonts w:cs="Times New Roman"/>
                <w:sz w:val="16"/>
                <w:szCs w:val="16"/>
                <w:lang w:val="en-US"/>
              </w:rPr>
            </w:pPr>
            <w:r>
              <w:rPr>
                <w:rFonts w:cs="Times New Roman"/>
                <w:sz w:val="16"/>
                <w:szCs w:val="16"/>
              </w:rPr>
              <w:t>1-CMT</w:t>
            </w:r>
          </w:p>
        </w:tc>
      </w:tr>
      <w:tr w:rsidR="00480B73" w:rsidRPr="00436D4F" w:rsidTr="00264CE2">
        <w:trPr>
          <w:trHeight w:val="70"/>
        </w:trPr>
        <w:tc>
          <w:tcPr>
            <w:tcW w:w="959" w:type="dxa"/>
          </w:tcPr>
          <w:p w:rsidR="00480B73" w:rsidRPr="00580B1D" w:rsidRDefault="00480B73" w:rsidP="00264CE2">
            <w:pPr>
              <w:jc w:val="both"/>
              <w:rPr>
                <w:rFonts w:cs="Times New Roman"/>
                <w:sz w:val="16"/>
                <w:szCs w:val="16"/>
                <w:lang w:val="en-US"/>
              </w:rPr>
            </w:pPr>
            <w:r>
              <w:rPr>
                <w:rFonts w:cs="Times New Roman"/>
                <w:sz w:val="16"/>
                <w:szCs w:val="16"/>
              </w:rPr>
              <w:t xml:space="preserve">Lestner et al. </w:t>
            </w:r>
            <w:r>
              <w:rPr>
                <w:rFonts w:cs="Times New Roman"/>
                <w:sz w:val="16"/>
                <w:szCs w:val="16"/>
              </w:rPr>
              <w:fldChar w:fldCharType="begin" w:fldLock="1"/>
            </w:r>
            <w:r>
              <w:rPr>
                <w:rFonts w:cs="Times New Roman"/>
                <w:sz w:val="16"/>
                <w:szCs w:val="16"/>
              </w:rPr>
              <w:instrText>ADDIN CSL_CITATION { "citationItems" : [ { "id" : "ITEM-1", "itemData" : { "author" : [ { "dropping-particle" : "", "family" : "Lestner", "given" : "J M", "non-dropping-particle" : "", "parse-names" : false, "suffix" : "" }, { "dropping-particle" : "", "family" : "Groll", "given" : "Andreas H.", "non-dropping-particle" : "", "parse-names" : false, "suffix" : "" }, { "dropping-particle" : "", "family" : "Aljayyoussi", "given" : "G", "non-dropping-particle" : "", "parse-names" : false, "suffix" : "" }, { "dropping-particle" : "", "family" : "Seibel", "given" : "Nita L.", "non-dropping-particle" : "", "parse-names" : false, "suffix" : "" }, { "dropping-particle" : "", "family" : "Shad", "given" : "A", "non-dropping-particle" : "", "parse-names" : false, "suffix" : "" }, { "dropping-particle" : "", "family" : "Gonzalez", "given" : "C", "non-dropping-particle" : "", "parse-names" : false, "suffix" : "" }, { "dropping-particle" : "V", "family" : "Wood", "given" : "L", "non-dropping-particle" : "", "parse-names" : false, "suffix" : "" }, { "dropping-particle" : "", "family" : "Jarosinski", "given" : "Paul F", "non-dropping-particle" : "", "parse-names" : false, "suffix" : "" }, { "dropping-particle" : "", "family" : "Walsh", "given" : "T J", "non-dropping-particle" : "", "parse-names" : false, "suffix" : "" }, { "dropping-particle" : "", "family" : "Hope", "given" : "William W.", "non-dropping-particle" : "", "parse-names" : false, "suffix" : "" } ], "container-title" : "Antimicrobial Agents and Chemotherapy", "id" : "ITEM-1", "issue" : "12", "issued" : { "date-parts" : [ [ "2016" ] ] }, "page" : "7340-7346", "title" : "Population pharmacokinetics of Liposomal Amphotericin B in Immunocompromised Children", "type" : "article-journal", "volume" : "60" }, "uris" : [ "http://www.mendeley.com/documents/?uuid=5b0a0645-149a-4f00-b7fe-751a1c57c801" ] } ], "mendeley" : { "formattedCitation" : "[94]", "plainTextFormattedCitation" : "[94]", "previouslyFormattedCitation" : "[94]"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[94]</w:t>
            </w:r>
            <w:r>
              <w:rPr>
                <w:rFonts w:cs="Times New Roman"/>
                <w:sz w:val="16"/>
                <w:szCs w:val="16"/>
              </w:rPr>
              <w:fldChar w:fldCharType="end"/>
            </w:r>
          </w:p>
        </w:tc>
        <w:tc>
          <w:tcPr>
            <w:tcW w:w="1701" w:type="dxa"/>
          </w:tcPr>
          <w:p w:rsidR="00480B73" w:rsidRPr="00580B1D" w:rsidRDefault="00480B73" w:rsidP="00264CE2">
            <w:pPr>
              <w:jc w:val="both"/>
              <w:rPr>
                <w:rFonts w:cs="Times New Roman"/>
                <w:sz w:val="16"/>
                <w:szCs w:val="16"/>
                <w:lang w:val="en-US"/>
              </w:rPr>
            </w:pPr>
            <w:r>
              <w:rPr>
                <w:rFonts w:cs="Times New Roman"/>
                <w:sz w:val="16"/>
                <w:szCs w:val="16"/>
              </w:rPr>
              <w:t>Immunocompromised children</w:t>
            </w:r>
          </w:p>
        </w:tc>
        <w:tc>
          <w:tcPr>
            <w:tcW w:w="1134" w:type="dxa"/>
            <w:gridSpan w:val="2"/>
          </w:tcPr>
          <w:p w:rsidR="00480B73" w:rsidRPr="00580B1D" w:rsidRDefault="00480B73" w:rsidP="00264CE2">
            <w:pPr>
              <w:rPr>
                <w:rFonts w:cs="Times New Roman"/>
                <w:sz w:val="16"/>
                <w:szCs w:val="16"/>
                <w:lang w:val="en-US"/>
              </w:rPr>
            </w:pPr>
            <w:r>
              <w:rPr>
                <w:rFonts w:cs="Times New Roman"/>
                <w:sz w:val="16"/>
                <w:szCs w:val="16"/>
              </w:rPr>
              <w:t>US</w:t>
            </w:r>
          </w:p>
        </w:tc>
        <w:tc>
          <w:tcPr>
            <w:tcW w:w="850" w:type="dxa"/>
            <w:gridSpan w:val="2"/>
          </w:tcPr>
          <w:p w:rsidR="00480B73" w:rsidRPr="00580B1D" w:rsidRDefault="00480B73" w:rsidP="00264CE2">
            <w:pPr>
              <w:jc w:val="both"/>
              <w:rPr>
                <w:rFonts w:cs="Times New Roman"/>
                <w:sz w:val="16"/>
                <w:szCs w:val="16"/>
                <w:lang w:val="en-US"/>
              </w:rPr>
            </w:pPr>
            <w:r>
              <w:rPr>
                <w:rFonts w:cs="Times New Roman"/>
                <w:sz w:val="16"/>
                <w:szCs w:val="16"/>
              </w:rPr>
              <w:t>35</w:t>
            </w:r>
          </w:p>
        </w:tc>
        <w:tc>
          <w:tcPr>
            <w:tcW w:w="993" w:type="dxa"/>
            <w:gridSpan w:val="2"/>
          </w:tcPr>
          <w:p w:rsidR="00480B73" w:rsidRDefault="00480B73" w:rsidP="00264CE2">
            <w:pPr>
              <w:jc w:val="both"/>
              <w:rPr>
                <w:rFonts w:cs="Times New Roman"/>
                <w:sz w:val="16"/>
                <w:szCs w:val="16"/>
              </w:rPr>
            </w:pPr>
            <w:r>
              <w:rPr>
                <w:rFonts w:cs="Times New Roman"/>
                <w:sz w:val="16"/>
                <w:szCs w:val="16"/>
              </w:rPr>
              <w:t>8.7±4.6</w:t>
            </w:r>
          </w:p>
          <w:p w:rsidR="00480B73" w:rsidRPr="00580B1D" w:rsidRDefault="00480B73" w:rsidP="00264CE2">
            <w:pPr>
              <w:jc w:val="both"/>
              <w:rPr>
                <w:rFonts w:cs="Times New Roman"/>
                <w:sz w:val="16"/>
                <w:szCs w:val="16"/>
                <w:lang w:val="en-US"/>
              </w:rPr>
            </w:pPr>
          </w:p>
        </w:tc>
        <w:tc>
          <w:tcPr>
            <w:tcW w:w="992" w:type="dxa"/>
          </w:tcPr>
          <w:p w:rsidR="00480B73" w:rsidRDefault="00480B73" w:rsidP="00264CE2">
            <w:pPr>
              <w:jc w:val="both"/>
              <w:rPr>
                <w:rFonts w:cs="Times New Roman"/>
                <w:sz w:val="16"/>
                <w:szCs w:val="16"/>
              </w:rPr>
            </w:pPr>
            <w:r>
              <w:rPr>
                <w:rFonts w:cs="Times New Roman"/>
                <w:sz w:val="16"/>
                <w:szCs w:val="16"/>
              </w:rPr>
              <w:t>26.9±14.0</w:t>
            </w:r>
          </w:p>
          <w:p w:rsidR="00480B73" w:rsidRPr="00EB0164" w:rsidRDefault="00480B73" w:rsidP="00264CE2">
            <w:pPr>
              <w:jc w:val="both"/>
              <w:rPr>
                <w:rFonts w:cs="Times New Roman"/>
                <w:sz w:val="16"/>
                <w:szCs w:val="16"/>
              </w:rPr>
            </w:pPr>
          </w:p>
        </w:tc>
        <w:tc>
          <w:tcPr>
            <w:tcW w:w="850" w:type="dxa"/>
          </w:tcPr>
          <w:p w:rsidR="00480B73" w:rsidRPr="00580B1D" w:rsidRDefault="00480B73" w:rsidP="00264CE2">
            <w:pPr>
              <w:jc w:val="both"/>
              <w:rPr>
                <w:rFonts w:cs="Times New Roman"/>
                <w:sz w:val="16"/>
                <w:szCs w:val="16"/>
                <w:lang w:val="en-US"/>
              </w:rPr>
            </w:pPr>
            <w:r>
              <w:rPr>
                <w:rFonts w:cs="Times New Roman"/>
                <w:sz w:val="16"/>
                <w:szCs w:val="16"/>
              </w:rPr>
              <w:t>63%</w:t>
            </w:r>
          </w:p>
        </w:tc>
        <w:tc>
          <w:tcPr>
            <w:tcW w:w="1134" w:type="dxa"/>
            <w:gridSpan w:val="2"/>
          </w:tcPr>
          <w:p w:rsidR="00480B73" w:rsidRDefault="00480B73" w:rsidP="00264CE2">
            <w:pPr>
              <w:jc w:val="both"/>
              <w:rPr>
                <w:rFonts w:cs="Times New Roman"/>
                <w:sz w:val="16"/>
                <w:szCs w:val="16"/>
              </w:rPr>
            </w:pPr>
            <w:r w:rsidRPr="00D47A06">
              <w:rPr>
                <w:rFonts w:cs="Times New Roman"/>
                <w:sz w:val="16"/>
                <w:szCs w:val="16"/>
              </w:rPr>
              <w:t>L-AMB (AmBisome)</w:t>
            </w:r>
          </w:p>
        </w:tc>
        <w:tc>
          <w:tcPr>
            <w:tcW w:w="1276" w:type="dxa"/>
            <w:gridSpan w:val="2"/>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1 h infusion</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Pr="00580B1D" w:rsidRDefault="00480B73" w:rsidP="00264CE2">
            <w:pPr>
              <w:jc w:val="both"/>
              <w:rPr>
                <w:rFonts w:cs="Times New Roman"/>
                <w:sz w:val="16"/>
                <w:szCs w:val="16"/>
                <w:lang w:val="en-US"/>
              </w:rPr>
            </w:pPr>
            <w:r>
              <w:rPr>
                <w:rFonts w:cs="Times New Roman"/>
                <w:sz w:val="16"/>
                <w:szCs w:val="16"/>
              </w:rPr>
              <w:t>0.05</w:t>
            </w:r>
          </w:p>
        </w:tc>
        <w:tc>
          <w:tcPr>
            <w:tcW w:w="1275" w:type="dxa"/>
            <w:gridSpan w:val="2"/>
          </w:tcPr>
          <w:p w:rsidR="00480B73" w:rsidRDefault="00480B73" w:rsidP="00264CE2">
            <w:pPr>
              <w:jc w:val="both"/>
              <w:rPr>
                <w:rFonts w:cs="Times New Roman"/>
                <w:sz w:val="16"/>
                <w:szCs w:val="16"/>
              </w:rPr>
            </w:pPr>
            <w:r>
              <w:rPr>
                <w:rFonts w:cs="Times New Roman"/>
                <w:sz w:val="16"/>
                <w:szCs w:val="16"/>
              </w:rPr>
              <w:t>Compartmental (population-based)</w:t>
            </w:r>
          </w:p>
        </w:tc>
        <w:tc>
          <w:tcPr>
            <w:tcW w:w="993" w:type="dxa"/>
          </w:tcPr>
          <w:p w:rsidR="00480B73" w:rsidRDefault="00480B73" w:rsidP="00264CE2">
            <w:pPr>
              <w:jc w:val="both"/>
              <w:rPr>
                <w:rFonts w:cs="Times New Roman"/>
                <w:sz w:val="16"/>
                <w:szCs w:val="16"/>
              </w:rPr>
            </w:pPr>
            <w:r>
              <w:rPr>
                <w:rFonts w:cs="Times New Roman"/>
                <w:sz w:val="16"/>
                <w:szCs w:val="16"/>
              </w:rPr>
              <w:t>2-CMT</w:t>
            </w:r>
          </w:p>
          <w:p w:rsidR="00480B73" w:rsidRPr="00580B1D" w:rsidRDefault="00480B73" w:rsidP="00264CE2">
            <w:pPr>
              <w:jc w:val="both"/>
              <w:rPr>
                <w:rFonts w:cs="Times New Roman"/>
                <w:sz w:val="16"/>
                <w:szCs w:val="16"/>
                <w:lang w:val="en-US"/>
              </w:rPr>
            </w:pPr>
          </w:p>
        </w:tc>
      </w:tr>
      <w:tr w:rsidR="00480B73" w:rsidRPr="00436D4F" w:rsidTr="00264CE2">
        <w:trPr>
          <w:trHeight w:val="70"/>
        </w:trPr>
        <w:tc>
          <w:tcPr>
            <w:tcW w:w="959" w:type="dxa"/>
          </w:tcPr>
          <w:p w:rsidR="00480B73" w:rsidRPr="00783252" w:rsidRDefault="00480B73" w:rsidP="00264CE2">
            <w:pPr>
              <w:jc w:val="both"/>
              <w:rPr>
                <w:rFonts w:cs="Times New Roman"/>
                <w:sz w:val="16"/>
                <w:szCs w:val="16"/>
              </w:rPr>
            </w:pPr>
            <w:proofErr w:type="spellStart"/>
            <w:r w:rsidRPr="00580B1D">
              <w:rPr>
                <w:rFonts w:cs="Times New Roman"/>
                <w:sz w:val="16"/>
                <w:szCs w:val="16"/>
                <w:lang w:val="en-US"/>
              </w:rPr>
              <w:t>Nath</w:t>
            </w:r>
            <w:proofErr w:type="spellEnd"/>
            <w:r w:rsidRPr="00580B1D">
              <w:rPr>
                <w:rFonts w:cs="Times New Roman"/>
                <w:sz w:val="16"/>
                <w:szCs w:val="16"/>
                <w:lang w:val="en-US"/>
              </w:rPr>
              <w:t xml:space="preserve"> et al. </w:t>
            </w:r>
            <w:r>
              <w:rPr>
                <w:rFonts w:cs="Times New Roman"/>
                <w:sz w:val="16"/>
                <w:szCs w:val="16"/>
              </w:rPr>
              <w:fldChar w:fldCharType="begin" w:fldLock="1"/>
            </w:r>
            <w:r>
              <w:rPr>
                <w:rFonts w:cs="Times New Roman"/>
                <w:sz w:val="16"/>
                <w:szCs w:val="16"/>
                <w:lang w:val="en-US"/>
              </w:rPr>
              <w:instrText>ADDIN CSL_CITATION { "citationItems" : [ { "id" : "ITEM-1", "itemData" : { "DOI" : "10.1046/j.0306-5251.2001.01496.x", "ISBN" : "0306-5251", "ISSN" : "03065251", "PMID" : "11736878", "abstract" : "AIMS: To construct a population pharmacokinetic model for the antifungal agent, amphotericin B (AmB), in children with malignant diseases.\\n\\nMETHODS: A two compartment population pharmacokinetic model for AmB was developed using concentration-time data from 57 children aged between 9 months and 16 years who had received 1 mg kg(-1) day(-1) doses in either dextrose (doseform=1) or lipid emulsion (doseform=2). P-Pharm (version 1.5) was used to estimate the basic population parameters, to identify covariates with significant relationships with the pharmacokinetic parameters and to construct a Covariate model. The predictive performance of the Covariate model was assessed in an independent group of 26 children (the validation group).\\n\\nRESULTS: The Covariate model had population mean estimates for clearance (CL), volume of distribution into the central compartment (V) and the distributional rate constants (k12 and k21) of 0.88 l h(-1), 9.97 l, 0.27 h(-1) and 0.16 h(-1), respectively, and the intersubject variability of these parameters was 19%, 49%, 55% and 48%, respectively. The following covariate relationships were identified: CL (l h(-1)) = 0.053 + 0.0456 weight (0.75) (kg) + 0.242 doseform and V (l) = 7.11 + 0.107 weight (kg). Our Covariate model provided unbiased and precise predictions of AmB concentrations in the validation group of children: the mean prediction error was 0.0089 mg l(-1) (95% confidence interval: -0.0075, 0.0252 mg l(-1)) and the root mean square prediction error was 0.1245 mg l(-1) (95% confidence interval: 0.1131, 0.1349 mg l(-1)).\\n\\nCONCLUSIONS: A valid population pharmacokinetic model for AmB has been developed and may now be used in conjunction with AmB toxicity and efficacy data to develop dosing guidelines for safe and effective AmB therapy in children with malignancy.", "author" : [ { "dropping-particle" : "", "family" : "Nath", "given" : "Christa E.", "non-dropping-particle" : "", "parse-names" : false, "suffix" : "" }, { "dropping-particle" : "", "family" : "McLachlan", "given" : "Andrew J.", "non-dropping-particle" : "", "parse-names" : false, "suffix" : "" }, { "dropping-particle" : "", "family" : "Shaw", "given" : "Peter J.", "non-dropping-particle" : "", "parse-names" : false, "suffix" : "" }, { "dropping-particle" : "", "family" : "Gunning", "given" : "Robyn", "non-dropping-particle" : "", "parse-names" : false, "suffix" : "" }, { "dropping-particle" : "", "family" : "Earl", "given" : "John W.", "non-dropping-particle" : "", "parse-names" : false, "suffix" : "" } ], "container-title" : "British Journal of Clinical Pharmacology", "id" : "ITEM-1", "issue" : "6", "issued" : { "date-parts" : [ [ "2001" ] ] }, "page" : "671-680", "title" : "Population pharmacokinetics of amphotericin B in children with malignant diseases", "type" : "article-journal", "volume" : "52" }, "uris" : [ "http://www.mendeley.com/documents/?uuid=2107e8ff-7d9c-4728-950b-2802c1f21856" ] } ], "mendeley" : { "formattedCitation" : "[136]", "plainTextFormattedCitation" : "[136]", "previouslyFormattedCitation" : "[135]" }, "properties" : { "noteIndex" : 0 }, "schema" : "https://github.com/citation-style-language/schema/raw/master/csl-citation.json" }</w:instrText>
            </w:r>
            <w:r>
              <w:rPr>
                <w:rFonts w:cs="Times New Roman"/>
                <w:sz w:val="16"/>
                <w:szCs w:val="16"/>
              </w:rPr>
              <w:fldChar w:fldCharType="separate"/>
            </w:r>
            <w:r w:rsidRPr="001015EC">
              <w:rPr>
                <w:rFonts w:cs="Times New Roman"/>
                <w:noProof/>
                <w:sz w:val="16"/>
                <w:szCs w:val="16"/>
                <w:lang w:val="en-US"/>
              </w:rPr>
              <w:t>[136]</w:t>
            </w:r>
            <w:r>
              <w:rPr>
                <w:rFonts w:cs="Times New Roman"/>
                <w:sz w:val="16"/>
                <w:szCs w:val="16"/>
              </w:rPr>
              <w:fldChar w:fldCharType="end"/>
            </w:r>
          </w:p>
        </w:tc>
        <w:tc>
          <w:tcPr>
            <w:tcW w:w="1701" w:type="dxa"/>
          </w:tcPr>
          <w:p w:rsidR="00480B73" w:rsidRDefault="00480B73" w:rsidP="00264CE2">
            <w:pPr>
              <w:jc w:val="both"/>
              <w:rPr>
                <w:rFonts w:cs="Times New Roman"/>
                <w:sz w:val="16"/>
                <w:szCs w:val="16"/>
                <w:lang w:val="en-US"/>
              </w:rPr>
            </w:pPr>
            <w:r w:rsidRPr="00580B1D">
              <w:rPr>
                <w:rFonts w:cs="Times New Roman"/>
                <w:sz w:val="16"/>
                <w:szCs w:val="16"/>
                <w:lang w:val="en-US"/>
              </w:rPr>
              <w:t>Children with malignant disease</w:t>
            </w:r>
          </w:p>
        </w:tc>
        <w:tc>
          <w:tcPr>
            <w:tcW w:w="1134" w:type="dxa"/>
            <w:gridSpan w:val="2"/>
          </w:tcPr>
          <w:p w:rsidR="00480B73" w:rsidRDefault="00480B73" w:rsidP="00264CE2">
            <w:pPr>
              <w:rPr>
                <w:rFonts w:cs="Times New Roman"/>
                <w:sz w:val="16"/>
                <w:szCs w:val="16"/>
                <w:lang w:val="en-US"/>
              </w:rPr>
            </w:pPr>
            <w:r w:rsidRPr="00580B1D">
              <w:rPr>
                <w:rFonts w:cs="Times New Roman"/>
                <w:sz w:val="16"/>
                <w:szCs w:val="16"/>
                <w:lang w:val="en-US"/>
              </w:rPr>
              <w:t>Australia</w:t>
            </w:r>
          </w:p>
        </w:tc>
        <w:tc>
          <w:tcPr>
            <w:tcW w:w="850" w:type="dxa"/>
            <w:gridSpan w:val="2"/>
          </w:tcPr>
          <w:p w:rsidR="00480B73" w:rsidRDefault="00480B73" w:rsidP="00264CE2">
            <w:pPr>
              <w:jc w:val="both"/>
              <w:rPr>
                <w:rFonts w:cs="Times New Roman"/>
                <w:sz w:val="16"/>
                <w:szCs w:val="16"/>
                <w:lang w:val="en-US"/>
              </w:rPr>
            </w:pPr>
            <w:r w:rsidRPr="00580B1D">
              <w:rPr>
                <w:rFonts w:cs="Times New Roman"/>
                <w:sz w:val="16"/>
                <w:szCs w:val="16"/>
                <w:lang w:val="en-US"/>
              </w:rPr>
              <w:t>83</w:t>
            </w:r>
          </w:p>
        </w:tc>
        <w:tc>
          <w:tcPr>
            <w:tcW w:w="993" w:type="dxa"/>
            <w:gridSpan w:val="2"/>
          </w:tcPr>
          <w:p w:rsidR="00480B73" w:rsidRDefault="00480B73" w:rsidP="00264CE2">
            <w:pPr>
              <w:jc w:val="both"/>
              <w:rPr>
                <w:rFonts w:cs="Times New Roman"/>
                <w:sz w:val="16"/>
                <w:szCs w:val="16"/>
              </w:rPr>
            </w:pPr>
            <w:r w:rsidRPr="00580B1D">
              <w:rPr>
                <w:rFonts w:cs="Times New Roman"/>
                <w:sz w:val="16"/>
                <w:szCs w:val="16"/>
                <w:lang w:val="en-US"/>
              </w:rPr>
              <w:t>6 (1-16)</w:t>
            </w:r>
          </w:p>
        </w:tc>
        <w:tc>
          <w:tcPr>
            <w:tcW w:w="992" w:type="dxa"/>
          </w:tcPr>
          <w:p w:rsidR="00480B73" w:rsidRDefault="00480B73" w:rsidP="00264CE2">
            <w:pPr>
              <w:jc w:val="both"/>
              <w:rPr>
                <w:rFonts w:cs="Times New Roman"/>
                <w:sz w:val="16"/>
                <w:szCs w:val="16"/>
                <w:lang w:val="en-US"/>
              </w:rPr>
            </w:pPr>
            <w:r w:rsidRPr="00EB0164">
              <w:rPr>
                <w:rFonts w:cs="Times New Roman"/>
                <w:sz w:val="16"/>
                <w:szCs w:val="16"/>
              </w:rPr>
              <w:t>23.3±1.3</w:t>
            </w:r>
          </w:p>
        </w:tc>
        <w:tc>
          <w:tcPr>
            <w:tcW w:w="850" w:type="dxa"/>
          </w:tcPr>
          <w:p w:rsidR="00480B73" w:rsidRDefault="00480B73" w:rsidP="00264CE2">
            <w:pPr>
              <w:jc w:val="both"/>
              <w:rPr>
                <w:rFonts w:cs="Times New Roman"/>
                <w:sz w:val="16"/>
                <w:szCs w:val="16"/>
                <w:lang w:val="en-US"/>
              </w:rPr>
            </w:pPr>
            <w:r w:rsidRPr="00580B1D">
              <w:rPr>
                <w:rFonts w:cs="Times New Roman"/>
                <w:sz w:val="16"/>
                <w:szCs w:val="16"/>
                <w:lang w:val="en-US"/>
              </w:rPr>
              <w:t>59%</w:t>
            </w:r>
          </w:p>
        </w:tc>
        <w:tc>
          <w:tcPr>
            <w:tcW w:w="1134" w:type="dxa"/>
            <w:gridSpan w:val="2"/>
          </w:tcPr>
          <w:p w:rsidR="00480B73" w:rsidRDefault="00480B73" w:rsidP="00264CE2">
            <w:pPr>
              <w:jc w:val="both"/>
              <w:rPr>
                <w:rFonts w:cs="Times New Roman"/>
                <w:sz w:val="16"/>
                <w:szCs w:val="16"/>
              </w:rPr>
            </w:pPr>
            <w:r>
              <w:rPr>
                <w:rFonts w:cs="Times New Roman"/>
                <w:sz w:val="16"/>
                <w:szCs w:val="16"/>
              </w:rPr>
              <w:t>D-AMB (</w:t>
            </w:r>
            <w:r w:rsidRPr="003E437F">
              <w:rPr>
                <w:rFonts w:cs="Times New Roman"/>
                <w:sz w:val="16"/>
                <w:szCs w:val="16"/>
              </w:rPr>
              <w:t>Fungizone</w:t>
            </w:r>
            <w:r>
              <w:rPr>
                <w:rFonts w:cs="Times New Roman"/>
                <w:sz w:val="16"/>
                <w:szCs w:val="16"/>
              </w:rPr>
              <w:t>)</w:t>
            </w:r>
          </w:p>
        </w:tc>
        <w:tc>
          <w:tcPr>
            <w:tcW w:w="1276" w:type="dxa"/>
            <w:gridSpan w:val="2"/>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2 h infusion</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Default="00480B73" w:rsidP="00264CE2">
            <w:pPr>
              <w:jc w:val="both"/>
              <w:rPr>
                <w:rFonts w:cs="Times New Roman"/>
                <w:sz w:val="16"/>
                <w:szCs w:val="16"/>
              </w:rPr>
            </w:pPr>
            <w:r w:rsidRPr="00580B1D">
              <w:rPr>
                <w:rFonts w:cs="Times New Roman"/>
                <w:sz w:val="16"/>
                <w:szCs w:val="16"/>
                <w:lang w:val="en-US"/>
              </w:rPr>
              <w:t>0.1</w:t>
            </w:r>
          </w:p>
        </w:tc>
        <w:tc>
          <w:tcPr>
            <w:tcW w:w="1275" w:type="dxa"/>
            <w:gridSpan w:val="2"/>
          </w:tcPr>
          <w:p w:rsidR="00480B73" w:rsidRPr="00436D4F" w:rsidRDefault="00480B73" w:rsidP="00264CE2">
            <w:pPr>
              <w:jc w:val="both"/>
              <w:rPr>
                <w:rFonts w:cs="Times New Roman"/>
                <w:sz w:val="16"/>
                <w:szCs w:val="16"/>
                <w:lang w:val="en-US"/>
              </w:rPr>
            </w:pPr>
            <w:r>
              <w:rPr>
                <w:rFonts w:cs="Times New Roman"/>
                <w:sz w:val="16"/>
                <w:szCs w:val="16"/>
              </w:rPr>
              <w:t>Compartmental (population-based)</w:t>
            </w:r>
          </w:p>
        </w:tc>
        <w:tc>
          <w:tcPr>
            <w:tcW w:w="993" w:type="dxa"/>
          </w:tcPr>
          <w:p w:rsidR="00480B73" w:rsidRPr="00436D4F" w:rsidRDefault="00480B73" w:rsidP="00264CE2">
            <w:pPr>
              <w:jc w:val="both"/>
              <w:rPr>
                <w:rFonts w:cs="Times New Roman"/>
                <w:sz w:val="16"/>
                <w:szCs w:val="16"/>
                <w:lang w:val="en-US"/>
              </w:rPr>
            </w:pPr>
            <w:r w:rsidRPr="00580B1D">
              <w:rPr>
                <w:rFonts w:cs="Times New Roman"/>
                <w:sz w:val="16"/>
                <w:szCs w:val="16"/>
                <w:lang w:val="en-US"/>
              </w:rPr>
              <w:t>2-</w:t>
            </w:r>
            <w:proofErr w:type="spellStart"/>
            <w:r w:rsidRPr="00580B1D">
              <w:rPr>
                <w:rFonts w:cs="Times New Roman"/>
                <w:sz w:val="16"/>
                <w:szCs w:val="16"/>
                <w:lang w:val="en-US"/>
              </w:rPr>
              <w:t>CMT</w:t>
            </w:r>
            <w:proofErr w:type="spellEnd"/>
          </w:p>
        </w:tc>
      </w:tr>
      <w:tr w:rsidR="00480B73" w:rsidRPr="00436D4F" w:rsidTr="00264CE2">
        <w:trPr>
          <w:trHeight w:val="70"/>
        </w:trPr>
        <w:tc>
          <w:tcPr>
            <w:tcW w:w="959" w:type="dxa"/>
          </w:tcPr>
          <w:p w:rsidR="00480B73" w:rsidRPr="00E72EDB" w:rsidRDefault="00480B73" w:rsidP="00264CE2">
            <w:pPr>
              <w:jc w:val="both"/>
              <w:rPr>
                <w:rFonts w:cs="Times New Roman"/>
                <w:sz w:val="16"/>
                <w:szCs w:val="16"/>
              </w:rPr>
            </w:pPr>
            <w:r>
              <w:rPr>
                <w:rFonts w:cs="Times New Roman"/>
                <w:sz w:val="16"/>
                <w:szCs w:val="16"/>
              </w:rPr>
              <w:t xml:space="preserve">Ohata et al. </w:t>
            </w:r>
            <w:r>
              <w:rPr>
                <w:rFonts w:cs="Times New Roman"/>
                <w:sz w:val="16"/>
                <w:szCs w:val="16"/>
              </w:rPr>
              <w:fldChar w:fldCharType="begin" w:fldLock="1"/>
            </w:r>
            <w:r>
              <w:rPr>
                <w:rFonts w:cs="Times New Roman"/>
                <w:sz w:val="16"/>
                <w:szCs w:val="16"/>
              </w:rPr>
              <w:instrText>ADDIN CSL_CITATION { "citationItems" : [ { "id" : "ITEM-1", "itemData" : { "DOI" : "10.1016/j.dmpk.2015.08.003", "ISSN" : "18800920", "abstract" : "The pharmacokinetic characteristics of liposomal amphotericin B (L-AMB; AmBisome\u00ae) in patients with invasive fungal infection were investigated. A population pharmacokinetic (PK) model in Japanese pediatric patients was developed based on 159 serum amphotericin B (AMPH-B) concentrations obtained in a post-marketing clinical study. The subjects were 39 patients with a mean age of 8.4 years (SD 4.5) and mean body weight of 27.1 kg (SD 14.1). A two-compartment PK model with zero-order input and first-order elimination was fitted to serum AMPH-B concentrations for L-AMB doses of 1.0, 2.5, and 5.0 mg/kg/day. Body weight showed significant correlations with PK parameters, such as clearance (CL) and distribution volume of the central compartment (Vc). The predicted Cmax/dose and AUC0-24/dose in Japanese pediatric patients were similar to those in non-Japanese pediatric patients and Japanese adult patients. Extremely large increases in Ctrough compared with predicted values were observed in some Japanese pediatric patients, but no relationships with demographic characteristics, clinical laboratory test values, or representative adverse drug reaction (decreased potassium) were found. The population PK parameters in this study are useful for simulating PK profiles of L-AMB and will be helpful for PK exposure comparisons among different populations and in investigations of pharmacokinetic-pharmacodynamic characteristics in patients. Chemical compounds Amphotericin B Deoxycholate (PubChem CID:23668620); amphotericin B (PubChem CID:5280965); 3-nitrophenol (PubChem CID:11137); methanol (PubChem CID:887).", "author" : [ { "dropping-particle" : "", "family" : "Ohata", "given" : "Yuka", "non-dropping-particle" : "", "parse-names" : false, "suffix" : "" }, { "dropping-particle" : "", "family" : "Tomita", "given" : "Yoshiko", "non-dropping-particle" : "", "parse-names" : false, "suffix" : "" }, { "dropping-particle" : "", "family" : "Suzuki", "given" : "Kota", "non-dropping-particle" : "", "parse-names" : false, "suffix" : "" }, { "dropping-particle" : "", "family" : "Maniwa", "given" : "Takashi", "non-dropping-particle" : "", "parse-names" : false, "suffix" : "" }, { "dropping-particle" : "", "family" : "Yano", "given" : "Yoshitaka", "non-dropping-particle" : "", "parse-names" : false, "suffix" : "" }, { "dropping-particle" : "", "family" : "Sunakawa", "given" : "Keisuke", "non-dropping-particle" : "", "parse-names" : false, "suffix" : "" } ], "container-title" : "Drug Metabolism and Pharmacokinetics", "id" : "ITEM-1", "issue" : "6", "issued" : { "date-parts" : [ [ "2015" ] ] }, "page" : "400-409", "title" : "Pharmacokinetic evaluation of liposomal amphotericin B (L-AMB) in patients with invasive fungal infection: Population approach in Japanese pediatrics", "type" : "article-journal", "volume" : "30" }, "uris" : [ "http://www.mendeley.com/documents/?uuid=5627d8bd-5588-4372-a72a-bf55091d7d3a" ] } ], "mendeley" : { "formattedCitation" : "[93]", "plainTextFormattedCitation" : "[93]", "previouslyFormattedCitation" : "[93]"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[93]</w:t>
            </w:r>
            <w:r>
              <w:rPr>
                <w:rFonts w:cs="Times New Roman"/>
                <w:sz w:val="16"/>
                <w:szCs w:val="16"/>
              </w:rPr>
              <w:fldChar w:fldCharType="end"/>
            </w:r>
          </w:p>
        </w:tc>
        <w:tc>
          <w:tcPr>
            <w:tcW w:w="1701" w:type="dxa"/>
          </w:tcPr>
          <w:p w:rsidR="00480B73" w:rsidRDefault="00480B73" w:rsidP="00264CE2">
            <w:pPr>
              <w:jc w:val="both"/>
              <w:rPr>
                <w:rFonts w:cs="Times New Roman"/>
                <w:sz w:val="16"/>
                <w:szCs w:val="16"/>
                <w:lang w:val="en-US"/>
              </w:rPr>
            </w:pPr>
            <w:r>
              <w:rPr>
                <w:rFonts w:cs="Times New Roman"/>
                <w:sz w:val="16"/>
                <w:szCs w:val="16"/>
              </w:rPr>
              <w:t xml:space="preserve">Patients with invasive fungal infection </w:t>
            </w:r>
          </w:p>
        </w:tc>
        <w:tc>
          <w:tcPr>
            <w:tcW w:w="1134" w:type="dxa"/>
            <w:gridSpan w:val="2"/>
          </w:tcPr>
          <w:p w:rsidR="00480B73" w:rsidRDefault="00480B73" w:rsidP="00264CE2">
            <w:pPr>
              <w:rPr>
                <w:rFonts w:cs="Times New Roman"/>
                <w:sz w:val="16"/>
                <w:szCs w:val="16"/>
                <w:lang w:val="en-US"/>
              </w:rPr>
            </w:pPr>
            <w:r>
              <w:rPr>
                <w:rFonts w:cs="Times New Roman"/>
                <w:sz w:val="16"/>
                <w:szCs w:val="16"/>
              </w:rPr>
              <w:t>Japan</w:t>
            </w:r>
          </w:p>
        </w:tc>
        <w:tc>
          <w:tcPr>
            <w:tcW w:w="850" w:type="dxa"/>
            <w:gridSpan w:val="2"/>
          </w:tcPr>
          <w:p w:rsidR="00480B73" w:rsidRDefault="00480B73" w:rsidP="00264CE2">
            <w:pPr>
              <w:jc w:val="both"/>
              <w:rPr>
                <w:rFonts w:cs="Times New Roman"/>
                <w:sz w:val="16"/>
                <w:szCs w:val="16"/>
                <w:lang w:val="en-US"/>
              </w:rPr>
            </w:pPr>
            <w:r>
              <w:rPr>
                <w:rFonts w:cs="Times New Roman"/>
                <w:sz w:val="16"/>
                <w:szCs w:val="16"/>
              </w:rPr>
              <w:t>39</w:t>
            </w:r>
          </w:p>
        </w:tc>
        <w:tc>
          <w:tcPr>
            <w:tcW w:w="993" w:type="dxa"/>
            <w:gridSpan w:val="2"/>
          </w:tcPr>
          <w:p w:rsidR="00480B73" w:rsidRDefault="00480B73" w:rsidP="00264CE2">
            <w:pPr>
              <w:jc w:val="both"/>
              <w:rPr>
                <w:rFonts w:cs="Times New Roman"/>
                <w:sz w:val="16"/>
                <w:szCs w:val="16"/>
              </w:rPr>
            </w:pPr>
            <w:r>
              <w:rPr>
                <w:rFonts w:cs="Times New Roman"/>
                <w:sz w:val="16"/>
                <w:szCs w:val="16"/>
              </w:rPr>
              <w:t>8.4±4.5</w:t>
            </w:r>
          </w:p>
          <w:p w:rsidR="00480B73" w:rsidRDefault="00480B73" w:rsidP="00264CE2">
            <w:pPr>
              <w:jc w:val="both"/>
              <w:rPr>
                <w:rFonts w:cs="Times New Roman"/>
                <w:sz w:val="16"/>
                <w:szCs w:val="16"/>
              </w:rPr>
            </w:pPr>
          </w:p>
        </w:tc>
        <w:tc>
          <w:tcPr>
            <w:tcW w:w="992" w:type="dxa"/>
          </w:tcPr>
          <w:p w:rsidR="00480B73" w:rsidRDefault="00480B73" w:rsidP="00264CE2">
            <w:pPr>
              <w:jc w:val="both"/>
              <w:rPr>
                <w:rFonts w:cs="Times New Roman"/>
                <w:sz w:val="16"/>
                <w:szCs w:val="16"/>
              </w:rPr>
            </w:pPr>
            <w:r>
              <w:rPr>
                <w:rFonts w:cs="Times New Roman"/>
                <w:sz w:val="16"/>
                <w:szCs w:val="16"/>
              </w:rPr>
              <w:t>27.1±14.1</w:t>
            </w:r>
          </w:p>
          <w:p w:rsidR="00480B73" w:rsidRDefault="00480B73" w:rsidP="00264CE2">
            <w:pPr>
              <w:jc w:val="both"/>
              <w:rPr>
                <w:rFonts w:cs="Times New Roman"/>
                <w:sz w:val="16"/>
                <w:szCs w:val="16"/>
                <w:lang w:val="en-US"/>
              </w:rPr>
            </w:pPr>
          </w:p>
        </w:tc>
        <w:tc>
          <w:tcPr>
            <w:tcW w:w="850" w:type="dxa"/>
          </w:tcPr>
          <w:p w:rsidR="00480B73" w:rsidRDefault="00480B73" w:rsidP="00264CE2">
            <w:pPr>
              <w:jc w:val="both"/>
              <w:rPr>
                <w:rFonts w:cs="Times New Roman"/>
                <w:sz w:val="16"/>
                <w:szCs w:val="16"/>
                <w:lang w:val="en-US"/>
              </w:rPr>
            </w:pPr>
            <w:r>
              <w:rPr>
                <w:rFonts w:cs="Times New Roman"/>
                <w:sz w:val="16"/>
                <w:szCs w:val="16"/>
              </w:rPr>
              <w:t>59%</w:t>
            </w:r>
          </w:p>
        </w:tc>
        <w:tc>
          <w:tcPr>
            <w:tcW w:w="1134" w:type="dxa"/>
            <w:gridSpan w:val="2"/>
          </w:tcPr>
          <w:p w:rsidR="00480B73" w:rsidRDefault="00480B73" w:rsidP="00264CE2">
            <w:pPr>
              <w:jc w:val="both"/>
              <w:rPr>
                <w:rFonts w:cs="Times New Roman"/>
                <w:sz w:val="16"/>
                <w:szCs w:val="16"/>
              </w:rPr>
            </w:pPr>
            <w:r w:rsidRPr="00D47A06">
              <w:rPr>
                <w:rFonts w:cs="Times New Roman"/>
                <w:sz w:val="16"/>
                <w:szCs w:val="16"/>
              </w:rPr>
              <w:t>L-AMB (AmBisome)</w:t>
            </w:r>
          </w:p>
        </w:tc>
        <w:tc>
          <w:tcPr>
            <w:tcW w:w="1276" w:type="dxa"/>
            <w:gridSpan w:val="2"/>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1-1.25 h infusion</w:t>
            </w:r>
          </w:p>
        </w:tc>
        <w:tc>
          <w:tcPr>
            <w:tcW w:w="1134" w:type="dxa"/>
            <w:gridSpan w:val="2"/>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Pr>
          <w:p w:rsidR="00480B73" w:rsidRDefault="00480B73" w:rsidP="00264CE2">
            <w:pPr>
              <w:jc w:val="both"/>
              <w:rPr>
                <w:rFonts w:cs="Times New Roman"/>
                <w:sz w:val="16"/>
                <w:szCs w:val="16"/>
              </w:rPr>
            </w:pPr>
            <w:r>
              <w:rPr>
                <w:rFonts w:cs="Times New Roman"/>
                <w:sz w:val="16"/>
                <w:szCs w:val="16"/>
              </w:rPr>
              <w:t>0.1</w:t>
            </w:r>
          </w:p>
        </w:tc>
        <w:tc>
          <w:tcPr>
            <w:tcW w:w="1275" w:type="dxa"/>
            <w:gridSpan w:val="2"/>
          </w:tcPr>
          <w:p w:rsidR="00480B73" w:rsidRPr="00436D4F" w:rsidRDefault="00480B73" w:rsidP="00264CE2">
            <w:pPr>
              <w:jc w:val="both"/>
              <w:rPr>
                <w:rFonts w:cs="Times New Roman"/>
                <w:sz w:val="16"/>
                <w:szCs w:val="16"/>
                <w:lang w:val="en-US"/>
              </w:rPr>
            </w:pPr>
            <w:r>
              <w:rPr>
                <w:rFonts w:cs="Times New Roman"/>
                <w:sz w:val="16"/>
                <w:szCs w:val="16"/>
              </w:rPr>
              <w:t>Compartmental (population-based)</w:t>
            </w:r>
          </w:p>
        </w:tc>
        <w:tc>
          <w:tcPr>
            <w:tcW w:w="993" w:type="dxa"/>
          </w:tcPr>
          <w:p w:rsidR="00480B73" w:rsidRPr="00436D4F" w:rsidRDefault="00480B73" w:rsidP="00264CE2">
            <w:pPr>
              <w:jc w:val="both"/>
              <w:rPr>
                <w:rFonts w:cs="Times New Roman"/>
                <w:sz w:val="16"/>
                <w:szCs w:val="16"/>
                <w:lang w:val="en-US"/>
              </w:rPr>
            </w:pPr>
            <w:r>
              <w:rPr>
                <w:rFonts w:cs="Times New Roman"/>
                <w:sz w:val="16"/>
                <w:szCs w:val="16"/>
              </w:rPr>
              <w:t>2-CMT, zero order input, first-order elimination</w:t>
            </w:r>
          </w:p>
        </w:tc>
      </w:tr>
      <w:tr w:rsidR="00480B73" w:rsidRPr="00436D4F" w:rsidTr="00264CE2">
        <w:trPr>
          <w:trHeight w:val="70"/>
        </w:trPr>
        <w:tc>
          <w:tcPr>
            <w:tcW w:w="959" w:type="dxa"/>
            <w:vMerge w:val="restart"/>
          </w:tcPr>
          <w:p w:rsidR="00480B73" w:rsidRPr="00230EEB" w:rsidRDefault="00480B73" w:rsidP="00264CE2">
            <w:pPr>
              <w:jc w:val="both"/>
              <w:rPr>
                <w:rFonts w:cs="Times New Roman"/>
                <w:sz w:val="16"/>
                <w:szCs w:val="16"/>
              </w:rPr>
            </w:pPr>
            <w:r w:rsidRPr="00E72EDB">
              <w:rPr>
                <w:rFonts w:cs="Times New Roman"/>
                <w:sz w:val="16"/>
                <w:szCs w:val="16"/>
              </w:rPr>
              <w:t xml:space="preserve">Walsh et al. </w:t>
            </w:r>
            <w:r>
              <w:rPr>
                <w:rFonts w:cs="Times New Roman"/>
                <w:sz w:val="16"/>
                <w:szCs w:val="16"/>
              </w:rPr>
              <w:fldChar w:fldCharType="begin" w:fldLock="1"/>
            </w:r>
            <w:r>
              <w:rPr>
                <w:rFonts w:cs="Times New Roman"/>
                <w:sz w:val="16"/>
                <w:szCs w:val="16"/>
              </w:rPr>
              <w:instrText>ADDIN CSL_CITATION { "citationItems" : [ { "id" : "ITEM-1", "itemData" : { "ISBN" : "0066-4804", "ISSN" : "00664804", "PMID" : "9736569", "abstract" : "The safety, tolerance, and pharmacokinetics of a small unilamellar liposomal formulation of amphotericin B (AmBisome) administered for empirical antifungal therapy were evaluated for 36 persistently febrile neutropenic adults receiving cancer chemotherapy and bone marrow transplantation. The protocol was an open-label, sequential-dose-escalation, multidose pharmacokinetic study which enrolled a total of 8 to 12 patients in each of the four dosage cohorts. Each cohort received daily doses of either 1.0, 2.5, 5.0, or 7.5 mg of amphotericin B in the form of AmBisome/kg of body weight. The study population consisted of patients between the ages of 13 and 80 years with neutropenia (absolute neutrophil count, &lt;500/mm3) who were eligible to receive empirical antifungal therapy. Patients were monitored for safety and tolerance by frequent laboratory examinations and the monitoring of infusion-related reactions. Efficacy was assessed by monitoring for the development of invasive fungal infection. The pharmacokinetic parameters of AmBisome were measured as those of amphotericin B by high-performance liquid chromatography. Noncompartmental methods were used to calculate pharmacokinetic parameters. AmBisome administered as a 1-h infusion in this population was well tolerated and was seldom associated with infusion-related toxicity. Infusion-related side effects occurred in 15 (5%) of all 331 infusions, and only two patients (5%) required premedication. Serum creatinine, potassium, and magnesium levels were not significantly changed from baseline in any of the dosage cohorts, and there was no net increase in serum transaminase levels. AmBisome followed a nonlinear dosage relationship that was consistent with reticuloendothelial uptake and redistribution. There were no breakthrough fungal infections during empirical therapy with AmBisome. AmBisome administered to febrile neutropenic patients in this study was well tolerated, was seldom associated with infusion-related toxicity, was characterized by nonlinear saturation kinetics, and was effective in preventing breakthrough fungal infections.", "author" : [ { "dropping-particle" : "", "family" : "Walsh", "given" : "Thomas J.", "non-dropping-particle" : "", "parse-names" : false, "suffix" : "" }, { "dropping-particle" : "", "family" : "Yeldandi", "given" : "Vijay", "non-dropping-particle" : "", "parse-names" : false, "suffix" : "" }, { "dropping-particle" : "", "family" : "McEvoy", "given" : "Maureen", "non-dropping-particle" : "", "parse-names" : false, "suffix" : "" }, { "dropping-particle" : "", "family" : "Gonzalez", "given" : "Corina", "non-dropping-particle" : "", "parse-names" : false, "suffix" : "" }, { "dropping-particle" : "", "family" : "Chanock", "given" : "Stephen", "non-dropping-particle" : "", "parse-names" : false, "suffix" : "" }, { "dropping-particle" : "", "family" : "Freifeld", "given" : "Alison", "non-dropping-particle" : "", "parse-names" : false, "suffix" : "" }, { "dropping-particle" : "", "family" : "Seibel", "given" : "Nita I.", "non-dropping-particle" : "", "parse-names" : false, "suffix" : "" }, { "dropping-particle" : "", "family" : "Whitcomb", "given" : "Patricia O.", "non-dropping-particle" : "", "parse-names" : false, "suffix" : "" }, { "dropping-particle" : "", "family" : "Jarosinski", "given" : "Paul", "non-dropping-particle" : "", "parse-names" : false, "suffix" : "" }, { "dropping-particle" : "", "family" : "Boswell", "given" : "Garry", "non-dropping-particle" : "", "parse-names" : false, "suffix" : "" }, { "dropping-particle" : "", "family" : "Bekersky", "given" : "Ihor", "non-dropping-particle" : "", "parse-names" : false, "suffix" : "" }, { "dropping-particle" : "", "family" : "Alak", "given" : "Ala", "non-dropping-particle" : "", "parse-names" : false, "suffix" : "" }, { "dropping-particle" : "", "family" : "Buell", "given" : "Donald", "non-dropping-particle" : "", "parse-names" : false, "suffix" : "" }, { "dropping-particle" : "", "family" : "Barret", "given" : "John", "non-dropping-particle" : "", "parse-names" : false, "suffix" : "" }, { "dropping-particle" : "", "family" : "Wilson", "given" : "Wyndham", "non-dropping-particle" : "", "parse-names" : false, "suffix" : "" } ], "container-title" : "Antimicrobial Agents and Chemotherapy", "id" : "ITEM-1", "issue" : "9", "issued" : { "date-parts" : [ [ "1998" ] ] }, "page" : "2391-2398", "title" : "Safety, tolerance, and pharmacokinetics of a small unilamellar liposomal formulation of amphotericin B (AmBisome) in neutropenic patients", "type" : "article-journal", "volume" : "42" }, "uris" : [ "http://www.mendeley.com/documents/?uuid=620969b9-dab5-44a2-a246-36f3ddb2eb91" ] } ], "mendeley" : { "formattedCitation" : "[89]", "plainTextFormattedCitation" : "[89]", "previouslyFormattedCitation" : "[89]"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lang w:val="en-US"/>
              </w:rPr>
              <w:t>[89]</w:t>
            </w:r>
            <w:r>
              <w:rPr>
                <w:rFonts w:cs="Times New Roman"/>
                <w:sz w:val="16"/>
                <w:szCs w:val="16"/>
              </w:rPr>
              <w:fldChar w:fldCharType="end"/>
            </w:r>
          </w:p>
        </w:tc>
        <w:tc>
          <w:tcPr>
            <w:tcW w:w="1701" w:type="dxa"/>
            <w:tcBorders>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N</w:t>
            </w:r>
            <w:r w:rsidRPr="00144BC4">
              <w:rPr>
                <w:rFonts w:cs="Times New Roman"/>
                <w:sz w:val="16"/>
                <w:szCs w:val="16"/>
                <w:lang w:val="en-US"/>
              </w:rPr>
              <w:t>eutropenic</w:t>
            </w:r>
            <w:r>
              <w:rPr>
                <w:rFonts w:cs="Times New Roman"/>
                <w:sz w:val="16"/>
                <w:szCs w:val="16"/>
                <w:lang w:val="en-US"/>
              </w:rPr>
              <w:t xml:space="preserve"> patients</w:t>
            </w:r>
          </w:p>
        </w:tc>
        <w:tc>
          <w:tcPr>
            <w:tcW w:w="1134" w:type="dxa"/>
            <w:gridSpan w:val="2"/>
            <w:tcBorders>
              <w:bottom w:val="dashed" w:sz="4" w:space="0" w:color="auto"/>
            </w:tcBorders>
          </w:tcPr>
          <w:p w:rsidR="00480B73" w:rsidRDefault="00480B73" w:rsidP="00264CE2">
            <w:pPr>
              <w:rPr>
                <w:rFonts w:cs="Times New Roman"/>
                <w:sz w:val="16"/>
                <w:szCs w:val="16"/>
                <w:lang w:val="en-US"/>
              </w:rPr>
            </w:pPr>
            <w:r>
              <w:rPr>
                <w:rFonts w:cs="Times New Roman"/>
                <w:sz w:val="16"/>
                <w:szCs w:val="16"/>
                <w:lang w:val="en-US"/>
              </w:rPr>
              <w:t>US</w:t>
            </w:r>
          </w:p>
        </w:tc>
        <w:tc>
          <w:tcPr>
            <w:tcW w:w="850" w:type="dxa"/>
            <w:gridSpan w:val="2"/>
            <w:tcBorders>
              <w:bottom w:val="dashed" w:sz="4" w:space="0" w:color="auto"/>
            </w:tcBorders>
          </w:tcPr>
          <w:p w:rsidR="00480B73" w:rsidRDefault="00480B73" w:rsidP="00264CE2">
            <w:pPr>
              <w:jc w:val="both"/>
              <w:rPr>
                <w:rFonts w:cs="Times New Roman"/>
                <w:sz w:val="16"/>
                <w:szCs w:val="16"/>
                <w:lang w:val="en-US"/>
              </w:rPr>
            </w:pPr>
          </w:p>
        </w:tc>
        <w:tc>
          <w:tcPr>
            <w:tcW w:w="993" w:type="dxa"/>
            <w:gridSpan w:val="2"/>
            <w:tcBorders>
              <w:bottom w:val="dashed" w:sz="4" w:space="0" w:color="auto"/>
            </w:tcBorders>
          </w:tcPr>
          <w:p w:rsidR="00480B73" w:rsidRDefault="00480B73" w:rsidP="00264CE2">
            <w:pPr>
              <w:jc w:val="both"/>
              <w:rPr>
                <w:rFonts w:cs="Times New Roman"/>
                <w:sz w:val="16"/>
                <w:szCs w:val="16"/>
              </w:rPr>
            </w:pPr>
          </w:p>
        </w:tc>
        <w:tc>
          <w:tcPr>
            <w:tcW w:w="992" w:type="dxa"/>
            <w:tcBorders>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N/A</w:t>
            </w:r>
          </w:p>
        </w:tc>
        <w:tc>
          <w:tcPr>
            <w:tcW w:w="850" w:type="dxa"/>
            <w:tcBorders>
              <w:bottom w:val="dashed" w:sz="4" w:space="0" w:color="auto"/>
            </w:tcBorders>
          </w:tcPr>
          <w:p w:rsidR="00480B73" w:rsidRDefault="00480B73" w:rsidP="00264CE2">
            <w:pPr>
              <w:jc w:val="both"/>
              <w:rPr>
                <w:rFonts w:cs="Times New Roman"/>
                <w:sz w:val="16"/>
                <w:szCs w:val="16"/>
                <w:lang w:val="en-US"/>
              </w:rPr>
            </w:pP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L-AMB (AmBisome)</w:t>
            </w:r>
          </w:p>
        </w:tc>
        <w:tc>
          <w:tcPr>
            <w:tcW w:w="1276"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1 h infusion</w:t>
            </w: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0.05</w:t>
            </w:r>
          </w:p>
        </w:tc>
        <w:tc>
          <w:tcPr>
            <w:tcW w:w="1275" w:type="dxa"/>
            <w:gridSpan w:val="2"/>
            <w:tcBorders>
              <w:bottom w:val="dashed" w:sz="4" w:space="0" w:color="auto"/>
            </w:tcBorders>
          </w:tcPr>
          <w:p w:rsidR="00480B73" w:rsidRPr="00436D4F" w:rsidRDefault="00480B73" w:rsidP="00264CE2">
            <w:pPr>
              <w:jc w:val="both"/>
              <w:rPr>
                <w:rFonts w:cs="Times New Roman"/>
                <w:sz w:val="16"/>
                <w:szCs w:val="16"/>
                <w:lang w:val="en-US"/>
              </w:rPr>
            </w:pPr>
            <w:proofErr w:type="spellStart"/>
            <w:r w:rsidRPr="00436D4F">
              <w:rPr>
                <w:rFonts w:cs="Times New Roman"/>
                <w:sz w:val="16"/>
                <w:szCs w:val="16"/>
                <w:lang w:val="en-US"/>
              </w:rPr>
              <w:t>NCA</w:t>
            </w:r>
            <w:proofErr w:type="spellEnd"/>
          </w:p>
        </w:tc>
        <w:tc>
          <w:tcPr>
            <w:tcW w:w="993" w:type="dxa"/>
            <w:tcBorders>
              <w:bottom w:val="dashed" w:sz="4" w:space="0" w:color="auto"/>
            </w:tcBorders>
          </w:tcPr>
          <w:p w:rsidR="00480B73" w:rsidRPr="00436D4F" w:rsidRDefault="00480B73" w:rsidP="00264CE2">
            <w:pPr>
              <w:jc w:val="both"/>
              <w:rPr>
                <w:rFonts w:cs="Times New Roman"/>
                <w:sz w:val="16"/>
                <w:szCs w:val="16"/>
                <w:lang w:val="en-US"/>
              </w:rPr>
            </w:pPr>
            <w:r w:rsidRPr="00436D4F">
              <w:rPr>
                <w:rFonts w:cs="Times New Roman"/>
                <w:sz w:val="16"/>
                <w:szCs w:val="16"/>
                <w:lang w:val="en-US"/>
              </w:rPr>
              <w:t>N/A</w:t>
            </w:r>
          </w:p>
        </w:tc>
      </w:tr>
      <w:tr w:rsidR="00480B73" w:rsidRPr="00436D4F" w:rsidTr="00264CE2">
        <w:trPr>
          <w:trHeight w:val="63"/>
        </w:trPr>
        <w:tc>
          <w:tcPr>
            <w:tcW w:w="959" w:type="dxa"/>
            <w:vMerge/>
          </w:tcPr>
          <w:p w:rsidR="00480B73" w:rsidRPr="00436D4F"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r>
              <w:rPr>
                <w:rFonts w:cs="Times New Roman"/>
                <w:sz w:val="16"/>
                <w:szCs w:val="16"/>
                <w:lang w:val="en-US"/>
              </w:rPr>
              <w:t>1.0 mg/kg</w:t>
            </w:r>
          </w:p>
        </w:tc>
        <w:tc>
          <w:tcPr>
            <w:tcW w:w="1134" w:type="dxa"/>
            <w:gridSpan w:val="2"/>
            <w:tcBorders>
              <w:top w:val="dashed" w:sz="4" w:space="0" w:color="auto"/>
              <w:bottom w:val="dashed" w:sz="4" w:space="0" w:color="auto"/>
            </w:tcBorders>
          </w:tcPr>
          <w:p w:rsidR="00480B73" w:rsidRPr="00230EEB" w:rsidRDefault="00480B73" w:rsidP="00264CE2">
            <w:pPr>
              <w:rPr>
                <w:sz w:val="16"/>
                <w:lang w:val="en-US"/>
              </w:rPr>
            </w:pPr>
          </w:p>
        </w:tc>
        <w:tc>
          <w:tcPr>
            <w:tcW w:w="850" w:type="dxa"/>
            <w:gridSpan w:val="2"/>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r>
              <w:rPr>
                <w:rFonts w:cs="Times New Roman"/>
                <w:sz w:val="16"/>
                <w:szCs w:val="16"/>
                <w:lang w:val="en-US"/>
              </w:rPr>
              <w:t>8</w:t>
            </w:r>
          </w:p>
        </w:tc>
        <w:tc>
          <w:tcPr>
            <w:tcW w:w="993" w:type="dxa"/>
            <w:gridSpan w:val="2"/>
            <w:tcBorders>
              <w:top w:val="dashed" w:sz="4" w:space="0" w:color="auto"/>
              <w:bottom w:val="dashed" w:sz="4" w:space="0" w:color="auto"/>
            </w:tcBorders>
          </w:tcPr>
          <w:p w:rsidR="00480B73" w:rsidRPr="00154358" w:rsidRDefault="00480B73" w:rsidP="00264CE2">
            <w:pPr>
              <w:jc w:val="both"/>
              <w:rPr>
                <w:rFonts w:cs="Times New Roman"/>
                <w:sz w:val="16"/>
                <w:szCs w:val="16"/>
              </w:rPr>
            </w:pPr>
            <w:r>
              <w:rPr>
                <w:rFonts w:cs="Times New Roman"/>
                <w:sz w:val="16"/>
                <w:szCs w:val="16"/>
              </w:rPr>
              <w:t>44.5±6.1</w:t>
            </w:r>
          </w:p>
        </w:tc>
        <w:tc>
          <w:tcPr>
            <w:tcW w:w="992"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850"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r>
              <w:rPr>
                <w:rFonts w:cs="Times New Roman"/>
                <w:sz w:val="16"/>
                <w:szCs w:val="16"/>
                <w:lang w:val="en-US"/>
              </w:rPr>
              <w:t>38%</w:t>
            </w:r>
          </w:p>
        </w:tc>
        <w:tc>
          <w:tcPr>
            <w:tcW w:w="1134" w:type="dxa"/>
            <w:gridSpan w:val="2"/>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1276" w:type="dxa"/>
            <w:gridSpan w:val="2"/>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1134" w:type="dxa"/>
            <w:gridSpan w:val="2"/>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851" w:type="dxa"/>
            <w:gridSpan w:val="2"/>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1275" w:type="dxa"/>
            <w:gridSpan w:val="2"/>
            <w:tcBorders>
              <w:top w:val="dashed" w:sz="4" w:space="0" w:color="auto"/>
              <w:bottom w:val="dashed" w:sz="4" w:space="0" w:color="auto"/>
            </w:tcBorders>
          </w:tcPr>
          <w:p w:rsidR="00480B73" w:rsidRPr="00436D4F" w:rsidRDefault="00480B73" w:rsidP="00264CE2">
            <w:pPr>
              <w:jc w:val="both"/>
              <w:rPr>
                <w:rFonts w:cs="Times New Roman"/>
                <w:sz w:val="16"/>
                <w:szCs w:val="16"/>
                <w:lang w:val="en-US"/>
              </w:rPr>
            </w:pPr>
          </w:p>
        </w:tc>
        <w:tc>
          <w:tcPr>
            <w:tcW w:w="993" w:type="dxa"/>
            <w:tcBorders>
              <w:top w:val="dashed" w:sz="4" w:space="0" w:color="auto"/>
              <w:bottom w:val="dashed" w:sz="4" w:space="0" w:color="auto"/>
            </w:tcBorders>
          </w:tcPr>
          <w:p w:rsidR="00480B73" w:rsidRPr="00436D4F" w:rsidRDefault="00480B73" w:rsidP="00264CE2">
            <w:pPr>
              <w:jc w:val="both"/>
              <w:rPr>
                <w:rFonts w:cs="Times New Roman"/>
                <w:sz w:val="16"/>
                <w:szCs w:val="16"/>
                <w:lang w:val="en-US"/>
              </w:rPr>
            </w:pPr>
          </w:p>
        </w:tc>
      </w:tr>
      <w:tr w:rsidR="00480B73" w:rsidRPr="00436D4F" w:rsidTr="00264CE2">
        <w:trPr>
          <w:trHeight w:val="64"/>
        </w:trPr>
        <w:tc>
          <w:tcPr>
            <w:tcW w:w="959" w:type="dxa"/>
            <w:vMerge/>
          </w:tcPr>
          <w:p w:rsidR="00480B73" w:rsidRPr="003B68E7"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154358" w:rsidRDefault="00480B73" w:rsidP="00264CE2">
            <w:pPr>
              <w:jc w:val="both"/>
              <w:rPr>
                <w:rFonts w:cs="Times New Roman"/>
                <w:sz w:val="16"/>
                <w:szCs w:val="16"/>
                <w:lang w:val="en-US"/>
              </w:rPr>
            </w:pPr>
            <w:r w:rsidRPr="00144BC4">
              <w:rPr>
                <w:rFonts w:cs="Times New Roman"/>
                <w:sz w:val="16"/>
                <w:szCs w:val="16"/>
                <w:lang w:val="en-US"/>
              </w:rPr>
              <w:t>2.</w:t>
            </w:r>
            <w:r>
              <w:rPr>
                <w:rFonts w:cs="Times New Roman"/>
                <w:sz w:val="16"/>
                <w:szCs w:val="16"/>
                <w:lang w:val="en-US"/>
              </w:rPr>
              <w:t>5 mg/kg</w:t>
            </w: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8</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41.3±4.0</w:t>
            </w:r>
          </w:p>
        </w:tc>
        <w:tc>
          <w:tcPr>
            <w:tcW w:w="992"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38%</w:t>
            </w:r>
          </w:p>
        </w:tc>
        <w:tc>
          <w:tcPr>
            <w:tcW w:w="1134" w:type="dxa"/>
            <w:gridSpan w:val="2"/>
            <w:tcBorders>
              <w:top w:val="dashed" w:sz="4" w:space="0" w:color="auto"/>
              <w:bottom w:val="dashed" w:sz="4" w:space="0" w:color="auto"/>
            </w:tcBorders>
          </w:tcPr>
          <w:p w:rsidR="00480B73" w:rsidRPr="00C5648D" w:rsidRDefault="00480B73" w:rsidP="00264CE2">
            <w:pPr>
              <w:jc w:val="both"/>
              <w:rPr>
                <w:rFonts w:cs="Times New Roman"/>
                <w:sz w:val="16"/>
                <w:szCs w:val="16"/>
              </w:rPr>
            </w:pPr>
          </w:p>
        </w:tc>
        <w:tc>
          <w:tcPr>
            <w:tcW w:w="1276" w:type="dxa"/>
            <w:gridSpan w:val="2"/>
            <w:tcBorders>
              <w:top w:val="dashed" w:sz="4" w:space="0" w:color="auto"/>
              <w:bottom w:val="dashed" w:sz="4" w:space="0" w:color="auto"/>
            </w:tcBorders>
          </w:tcPr>
          <w:p w:rsidR="00480B73" w:rsidRDefault="00480B73" w:rsidP="00264CE2">
            <w:pPr>
              <w:jc w:val="both"/>
              <w:rPr>
                <w:rFonts w:cs="Times New Roman"/>
                <w:sz w:val="16"/>
                <w:szCs w:val="16"/>
              </w:rPr>
            </w:pP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rPr>
            </w:pPr>
          </w:p>
        </w:tc>
        <w:tc>
          <w:tcPr>
            <w:tcW w:w="851" w:type="dxa"/>
            <w:gridSpan w:val="2"/>
            <w:tcBorders>
              <w:top w:val="dashed" w:sz="4" w:space="0" w:color="auto"/>
              <w:bottom w:val="dashed" w:sz="4" w:space="0" w:color="auto"/>
            </w:tcBorders>
          </w:tcPr>
          <w:p w:rsidR="00480B73" w:rsidRDefault="00480B73" w:rsidP="00264CE2">
            <w:pPr>
              <w:jc w:val="both"/>
              <w:rPr>
                <w:rFonts w:cs="Times New Roman"/>
                <w:sz w:val="16"/>
                <w:szCs w:val="16"/>
              </w:rPr>
            </w:pPr>
          </w:p>
        </w:tc>
        <w:tc>
          <w:tcPr>
            <w:tcW w:w="1275" w:type="dxa"/>
            <w:gridSpan w:val="2"/>
            <w:tcBorders>
              <w:top w:val="dashed" w:sz="4" w:space="0" w:color="auto"/>
              <w:bottom w:val="dashed" w:sz="4" w:space="0" w:color="auto"/>
            </w:tcBorders>
          </w:tcPr>
          <w:p w:rsidR="00480B73" w:rsidRPr="00436D4F" w:rsidRDefault="00480B73" w:rsidP="00264CE2">
            <w:pPr>
              <w:jc w:val="both"/>
              <w:rPr>
                <w:rFonts w:cs="Times New Roman"/>
                <w:sz w:val="16"/>
                <w:szCs w:val="16"/>
                <w:lang w:val="en-US"/>
              </w:rPr>
            </w:pPr>
          </w:p>
        </w:tc>
        <w:tc>
          <w:tcPr>
            <w:tcW w:w="993" w:type="dxa"/>
            <w:tcBorders>
              <w:top w:val="dashed" w:sz="4" w:space="0" w:color="auto"/>
              <w:bottom w:val="dashed" w:sz="4" w:space="0" w:color="auto"/>
            </w:tcBorders>
          </w:tcPr>
          <w:p w:rsidR="00480B73" w:rsidRPr="003B0FC4" w:rsidRDefault="00480B73" w:rsidP="00264CE2">
            <w:pPr>
              <w:jc w:val="both"/>
              <w:rPr>
                <w:rFonts w:cs="Times New Roman"/>
                <w:sz w:val="16"/>
                <w:szCs w:val="16"/>
                <w:lang w:val="en-US"/>
              </w:rPr>
            </w:pPr>
          </w:p>
        </w:tc>
      </w:tr>
      <w:tr w:rsidR="00480B73" w:rsidRPr="00436D4F" w:rsidTr="00264CE2">
        <w:trPr>
          <w:trHeight w:val="70"/>
        </w:trPr>
        <w:tc>
          <w:tcPr>
            <w:tcW w:w="959" w:type="dxa"/>
            <w:vMerge/>
          </w:tcPr>
          <w:p w:rsidR="00480B73" w:rsidRPr="003B68E7"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154358" w:rsidRDefault="00480B73" w:rsidP="00264CE2">
            <w:pPr>
              <w:rPr>
                <w:rFonts w:cs="Times New Roman"/>
                <w:sz w:val="16"/>
                <w:szCs w:val="16"/>
                <w:lang w:val="en-US"/>
              </w:rPr>
            </w:pPr>
            <w:r>
              <w:rPr>
                <w:rFonts w:cs="Times New Roman"/>
                <w:sz w:val="16"/>
                <w:szCs w:val="16"/>
                <w:lang w:val="en-US"/>
              </w:rPr>
              <w:t>5.0 mg/kg</w:t>
            </w: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12</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35.2±4.4</w:t>
            </w:r>
          </w:p>
        </w:tc>
        <w:tc>
          <w:tcPr>
            <w:tcW w:w="992"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25%</w:t>
            </w:r>
          </w:p>
        </w:tc>
        <w:tc>
          <w:tcPr>
            <w:tcW w:w="1134" w:type="dxa"/>
            <w:gridSpan w:val="2"/>
            <w:tcBorders>
              <w:top w:val="dashed" w:sz="4" w:space="0" w:color="auto"/>
              <w:bottom w:val="dashed" w:sz="4" w:space="0" w:color="auto"/>
            </w:tcBorders>
          </w:tcPr>
          <w:p w:rsidR="00480B73" w:rsidRPr="00C5648D" w:rsidRDefault="00480B73" w:rsidP="00264CE2">
            <w:pPr>
              <w:jc w:val="both"/>
              <w:rPr>
                <w:rFonts w:cs="Times New Roman"/>
                <w:sz w:val="16"/>
                <w:szCs w:val="16"/>
              </w:rPr>
            </w:pPr>
          </w:p>
        </w:tc>
        <w:tc>
          <w:tcPr>
            <w:tcW w:w="1276" w:type="dxa"/>
            <w:gridSpan w:val="2"/>
            <w:tcBorders>
              <w:top w:val="dashed" w:sz="4" w:space="0" w:color="auto"/>
              <w:bottom w:val="dashed" w:sz="4" w:space="0" w:color="auto"/>
            </w:tcBorders>
          </w:tcPr>
          <w:p w:rsidR="00480B73" w:rsidRDefault="00480B73" w:rsidP="00264CE2">
            <w:pPr>
              <w:jc w:val="both"/>
              <w:rPr>
                <w:rFonts w:cs="Times New Roman"/>
                <w:sz w:val="16"/>
                <w:szCs w:val="16"/>
              </w:rPr>
            </w:pP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rPr>
            </w:pPr>
          </w:p>
        </w:tc>
        <w:tc>
          <w:tcPr>
            <w:tcW w:w="851" w:type="dxa"/>
            <w:gridSpan w:val="2"/>
            <w:tcBorders>
              <w:top w:val="dashed" w:sz="4" w:space="0" w:color="auto"/>
              <w:bottom w:val="dashed" w:sz="4" w:space="0" w:color="auto"/>
            </w:tcBorders>
          </w:tcPr>
          <w:p w:rsidR="00480B73" w:rsidRDefault="00480B73" w:rsidP="00264CE2">
            <w:pPr>
              <w:jc w:val="both"/>
              <w:rPr>
                <w:rFonts w:cs="Times New Roman"/>
                <w:sz w:val="16"/>
                <w:szCs w:val="16"/>
              </w:rPr>
            </w:pPr>
          </w:p>
        </w:tc>
        <w:tc>
          <w:tcPr>
            <w:tcW w:w="1275" w:type="dxa"/>
            <w:gridSpan w:val="2"/>
            <w:tcBorders>
              <w:top w:val="dashed" w:sz="4" w:space="0" w:color="auto"/>
              <w:bottom w:val="dashed" w:sz="4" w:space="0" w:color="auto"/>
            </w:tcBorders>
          </w:tcPr>
          <w:p w:rsidR="00480B73" w:rsidRPr="00436D4F" w:rsidRDefault="00480B73" w:rsidP="00264CE2">
            <w:pPr>
              <w:jc w:val="both"/>
              <w:rPr>
                <w:rFonts w:cs="Times New Roman"/>
                <w:sz w:val="16"/>
                <w:szCs w:val="16"/>
                <w:lang w:val="en-US"/>
              </w:rPr>
            </w:pPr>
          </w:p>
        </w:tc>
        <w:tc>
          <w:tcPr>
            <w:tcW w:w="993" w:type="dxa"/>
            <w:tcBorders>
              <w:top w:val="dashed" w:sz="4" w:space="0" w:color="auto"/>
              <w:bottom w:val="dashed" w:sz="4" w:space="0" w:color="auto"/>
            </w:tcBorders>
          </w:tcPr>
          <w:p w:rsidR="00480B73" w:rsidRPr="003B0FC4" w:rsidRDefault="00480B73" w:rsidP="00264CE2">
            <w:pPr>
              <w:jc w:val="both"/>
              <w:rPr>
                <w:rFonts w:cs="Times New Roman"/>
                <w:sz w:val="16"/>
                <w:szCs w:val="16"/>
                <w:lang w:val="en-US"/>
              </w:rPr>
            </w:pPr>
          </w:p>
        </w:tc>
      </w:tr>
      <w:tr w:rsidR="00480B73" w:rsidRPr="00436D4F" w:rsidTr="00264CE2">
        <w:trPr>
          <w:trHeight w:val="70"/>
        </w:trPr>
        <w:tc>
          <w:tcPr>
            <w:tcW w:w="959" w:type="dxa"/>
            <w:vMerge/>
          </w:tcPr>
          <w:p w:rsidR="00480B73" w:rsidRPr="003B68E7" w:rsidRDefault="00480B73" w:rsidP="00264CE2">
            <w:pPr>
              <w:jc w:val="both"/>
              <w:rPr>
                <w:rFonts w:cs="Times New Roman"/>
                <w:sz w:val="16"/>
                <w:szCs w:val="16"/>
                <w:lang w:val="en-US"/>
              </w:rPr>
            </w:pPr>
          </w:p>
        </w:tc>
        <w:tc>
          <w:tcPr>
            <w:tcW w:w="1701" w:type="dxa"/>
            <w:tcBorders>
              <w:top w:val="dashed" w:sz="4" w:space="0" w:color="auto"/>
            </w:tcBorders>
          </w:tcPr>
          <w:p w:rsidR="00480B73" w:rsidRPr="00154358" w:rsidRDefault="00480B73" w:rsidP="00264CE2">
            <w:pPr>
              <w:rPr>
                <w:rFonts w:cs="Times New Roman"/>
                <w:sz w:val="16"/>
                <w:szCs w:val="16"/>
                <w:lang w:val="en-US"/>
              </w:rPr>
            </w:pPr>
            <w:r>
              <w:rPr>
                <w:rFonts w:cs="Times New Roman"/>
                <w:sz w:val="16"/>
                <w:szCs w:val="16"/>
                <w:lang w:val="en-US"/>
              </w:rPr>
              <w:t>7.5  mg/kg</w:t>
            </w:r>
          </w:p>
        </w:tc>
        <w:tc>
          <w:tcPr>
            <w:tcW w:w="1134" w:type="dxa"/>
            <w:gridSpan w:val="2"/>
            <w:tcBorders>
              <w:top w:val="dashed" w:sz="4" w:space="0" w:color="auto"/>
            </w:tcBorders>
          </w:tcPr>
          <w:p w:rsidR="00480B73" w:rsidRDefault="00480B73" w:rsidP="00264CE2">
            <w:pPr>
              <w:jc w:val="both"/>
              <w:rPr>
                <w:rFonts w:cs="Times New Roman"/>
                <w:sz w:val="16"/>
                <w:szCs w:val="16"/>
                <w:lang w:val="en-US"/>
              </w:rPr>
            </w:pPr>
          </w:p>
        </w:tc>
        <w:tc>
          <w:tcPr>
            <w:tcW w:w="850" w:type="dxa"/>
            <w:gridSpan w:val="2"/>
            <w:tcBorders>
              <w:top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8</w:t>
            </w:r>
          </w:p>
        </w:tc>
        <w:tc>
          <w:tcPr>
            <w:tcW w:w="993" w:type="dxa"/>
            <w:gridSpan w:val="2"/>
            <w:tcBorders>
              <w:top w:val="dashed" w:sz="4" w:space="0" w:color="auto"/>
            </w:tcBorders>
          </w:tcPr>
          <w:p w:rsidR="00480B73" w:rsidRDefault="00480B73" w:rsidP="00264CE2">
            <w:pPr>
              <w:jc w:val="both"/>
              <w:rPr>
                <w:rFonts w:cs="Times New Roman"/>
                <w:sz w:val="16"/>
                <w:szCs w:val="16"/>
              </w:rPr>
            </w:pPr>
            <w:r>
              <w:rPr>
                <w:rFonts w:cs="Times New Roman"/>
                <w:sz w:val="16"/>
                <w:szCs w:val="16"/>
              </w:rPr>
              <w:t>36.5±6.2</w:t>
            </w:r>
          </w:p>
        </w:tc>
        <w:tc>
          <w:tcPr>
            <w:tcW w:w="992" w:type="dxa"/>
            <w:tcBorders>
              <w:top w:val="dashed" w:sz="4" w:space="0" w:color="auto"/>
            </w:tcBorders>
          </w:tcPr>
          <w:p w:rsidR="00480B73" w:rsidRPr="00144BC4" w:rsidRDefault="00480B73" w:rsidP="00264CE2">
            <w:pPr>
              <w:jc w:val="both"/>
              <w:rPr>
                <w:rFonts w:cs="Times New Roman"/>
                <w:sz w:val="16"/>
                <w:szCs w:val="16"/>
                <w:lang w:val="en-US"/>
              </w:rPr>
            </w:pPr>
          </w:p>
        </w:tc>
        <w:tc>
          <w:tcPr>
            <w:tcW w:w="850" w:type="dxa"/>
            <w:tcBorders>
              <w:top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63%</w:t>
            </w:r>
          </w:p>
        </w:tc>
        <w:tc>
          <w:tcPr>
            <w:tcW w:w="1134" w:type="dxa"/>
            <w:gridSpan w:val="2"/>
            <w:tcBorders>
              <w:top w:val="dashed" w:sz="4" w:space="0" w:color="auto"/>
            </w:tcBorders>
          </w:tcPr>
          <w:p w:rsidR="00480B73" w:rsidRPr="00C5648D" w:rsidRDefault="00480B73" w:rsidP="00264CE2">
            <w:pPr>
              <w:jc w:val="both"/>
              <w:rPr>
                <w:rFonts w:cs="Times New Roman"/>
                <w:sz w:val="16"/>
                <w:szCs w:val="16"/>
              </w:rPr>
            </w:pPr>
          </w:p>
        </w:tc>
        <w:tc>
          <w:tcPr>
            <w:tcW w:w="1276" w:type="dxa"/>
            <w:gridSpan w:val="2"/>
            <w:tcBorders>
              <w:top w:val="dashed" w:sz="4" w:space="0" w:color="auto"/>
            </w:tcBorders>
          </w:tcPr>
          <w:p w:rsidR="00480B73" w:rsidRDefault="00480B73" w:rsidP="00264CE2">
            <w:pPr>
              <w:jc w:val="both"/>
              <w:rPr>
                <w:rFonts w:cs="Times New Roman"/>
                <w:sz w:val="16"/>
                <w:szCs w:val="16"/>
              </w:rPr>
            </w:pPr>
          </w:p>
        </w:tc>
        <w:tc>
          <w:tcPr>
            <w:tcW w:w="1134" w:type="dxa"/>
            <w:gridSpan w:val="2"/>
            <w:tcBorders>
              <w:top w:val="dashed" w:sz="4" w:space="0" w:color="auto"/>
            </w:tcBorders>
          </w:tcPr>
          <w:p w:rsidR="00480B73" w:rsidRDefault="00480B73" w:rsidP="00264CE2">
            <w:pPr>
              <w:jc w:val="both"/>
              <w:rPr>
                <w:rFonts w:cs="Times New Roman"/>
                <w:sz w:val="16"/>
                <w:szCs w:val="16"/>
              </w:rPr>
            </w:pPr>
          </w:p>
        </w:tc>
        <w:tc>
          <w:tcPr>
            <w:tcW w:w="851" w:type="dxa"/>
            <w:gridSpan w:val="2"/>
            <w:tcBorders>
              <w:top w:val="dashed" w:sz="4" w:space="0" w:color="auto"/>
            </w:tcBorders>
          </w:tcPr>
          <w:p w:rsidR="00480B73" w:rsidRDefault="00480B73" w:rsidP="00264CE2">
            <w:pPr>
              <w:jc w:val="both"/>
              <w:rPr>
                <w:rFonts w:cs="Times New Roman"/>
                <w:sz w:val="16"/>
                <w:szCs w:val="16"/>
              </w:rPr>
            </w:pPr>
          </w:p>
        </w:tc>
        <w:tc>
          <w:tcPr>
            <w:tcW w:w="1275" w:type="dxa"/>
            <w:gridSpan w:val="2"/>
            <w:tcBorders>
              <w:top w:val="dashed" w:sz="4" w:space="0" w:color="auto"/>
            </w:tcBorders>
          </w:tcPr>
          <w:p w:rsidR="00480B73" w:rsidRPr="00436D4F" w:rsidRDefault="00480B73" w:rsidP="00264CE2">
            <w:pPr>
              <w:jc w:val="both"/>
              <w:rPr>
                <w:rFonts w:cs="Times New Roman"/>
                <w:sz w:val="16"/>
                <w:szCs w:val="16"/>
                <w:lang w:val="en-US"/>
              </w:rPr>
            </w:pPr>
          </w:p>
        </w:tc>
        <w:tc>
          <w:tcPr>
            <w:tcW w:w="993" w:type="dxa"/>
            <w:tcBorders>
              <w:top w:val="dashed" w:sz="4" w:space="0" w:color="auto"/>
            </w:tcBorders>
          </w:tcPr>
          <w:p w:rsidR="00480B73" w:rsidRPr="003B0FC4" w:rsidRDefault="00480B73" w:rsidP="00264CE2">
            <w:pPr>
              <w:jc w:val="both"/>
              <w:rPr>
                <w:rFonts w:cs="Times New Roman"/>
                <w:sz w:val="16"/>
                <w:szCs w:val="16"/>
                <w:lang w:val="en-US"/>
              </w:rPr>
            </w:pPr>
          </w:p>
        </w:tc>
      </w:tr>
      <w:tr w:rsidR="00480B73" w:rsidRPr="00436D4F" w:rsidTr="00264CE2">
        <w:trPr>
          <w:trHeight w:val="70"/>
        </w:trPr>
        <w:tc>
          <w:tcPr>
            <w:tcW w:w="959" w:type="dxa"/>
            <w:vMerge w:val="restart"/>
          </w:tcPr>
          <w:p w:rsidR="00480B73" w:rsidRPr="003B68E7" w:rsidRDefault="00480B73" w:rsidP="00264CE2">
            <w:pPr>
              <w:jc w:val="both"/>
              <w:rPr>
                <w:rFonts w:cs="Times New Roman"/>
                <w:sz w:val="16"/>
                <w:szCs w:val="16"/>
                <w:lang w:val="en-US"/>
              </w:rPr>
            </w:pPr>
            <w:r w:rsidRPr="003B68E7">
              <w:rPr>
                <w:rFonts w:cs="Times New Roman"/>
                <w:sz w:val="16"/>
                <w:szCs w:val="16"/>
                <w:lang w:val="en-US"/>
              </w:rPr>
              <w:t xml:space="preserve">Walsh et al. </w:t>
            </w:r>
            <w:r>
              <w:rPr>
                <w:rFonts w:cs="Times New Roman"/>
                <w:sz w:val="16"/>
                <w:szCs w:val="16"/>
                <w:lang w:val="en-US"/>
              </w:rPr>
              <w:fldChar w:fldCharType="begin" w:fldLock="1"/>
            </w:r>
            <w:r>
              <w:rPr>
                <w:rFonts w:cs="Times New Roman"/>
                <w:sz w:val="16"/>
                <w:szCs w:val="16"/>
                <w:lang w:val="en-US"/>
              </w:rPr>
              <w:instrText>ADDIN CSL_CITATION { "citationItems" : [ { "id" : "ITEM-1", "itemData" : { "DOI" : "10.1128/AAC.45.12.3487", "author" : [ { "dropping-particle" : "", "family" : "Walsh", "given" : "T J", "non-dropping-particle" : "", "parse-names" : false, "suffix" : "" }, { "dropping-particle" : "", "family" : "Goodman", "given" : "J L", "non-dropping-particle" : "", "parse-names" : false, "suffix" : "" }, { "dropping-particle" : "", "family" : "Pappas", "given" : "P", "non-dropping-particle" : "", "parse-names" : false, "suffix" : "" }, { "dropping-particle" : "", "family" : "Bekersky", "given" : "I", "non-dropping-particle" : "", "parse-names" : false, "suffix" : "" }, { "dropping-particle" : "", "family" : "Buell", "given" : "D N", "non-dropping-particle" : "", "parse-names" : false, "suffix" : "" }, { "dropping-particle" : "", "family" : "Roden", "given" : "M", "non-dropping-particle" : "", "parse-names" : false, "suffix" : "" }, { "dropping-particle" : "", "family" : "Barrett", "given" : "J", "non-dropping-particle" : "", "parse-names" : false, "suffix" : "" }, { "dropping-particle" : "", "family" : "Anaissie", "given" : "E J", "non-dropping-particle" : "", "parse-names" : false, "suffix" : "" } ], "container-title" : "Antimicrobial agents and chemotherapy", "id" : "ITEM-1", "issue" : "12", "issued" : { "date-parts" : [ [ "2001" ] ] }, "page" : "3487-3496", "title" : "Safety, tolerance and pharmacokinetics of high-dose liposomal amphotericin B (AmBisome) in patients infected with Aspergillus species and other filamentous fungi: maximum tolerated dose study", "type" : "article-journal", "volume" : "45" }, "uris" : [ "http://www.mendeley.com/documents/?uuid=ccb582af-6b86-476f-97e7-7c90511b0e2f" ] } ], "mendeley" : { "formattedCitation" : "[88]", "plainTextFormattedCitation" : "[88]", "previouslyFormattedCitation" : "[88]" }, "properties" : { "noteIndex" : 0 }, "schema" : "https://github.com/citation-style-language/schema/raw/master/csl-citation.json" }</w:instrText>
            </w:r>
            <w:r>
              <w:rPr>
                <w:rFonts w:cs="Times New Roman"/>
                <w:sz w:val="16"/>
                <w:szCs w:val="16"/>
                <w:lang w:val="en-US"/>
              </w:rPr>
              <w:fldChar w:fldCharType="separate"/>
            </w:r>
            <w:r w:rsidRPr="00B244DA">
              <w:rPr>
                <w:rFonts w:cs="Times New Roman"/>
                <w:noProof/>
                <w:sz w:val="16"/>
                <w:szCs w:val="16"/>
                <w:lang w:val="en-US"/>
              </w:rPr>
              <w:t>[88]</w:t>
            </w:r>
            <w:r>
              <w:rPr>
                <w:rFonts w:cs="Times New Roman"/>
                <w:sz w:val="16"/>
                <w:szCs w:val="16"/>
                <w:lang w:val="en-US"/>
              </w:rPr>
              <w:fldChar w:fldCharType="end"/>
            </w:r>
          </w:p>
        </w:tc>
        <w:tc>
          <w:tcPr>
            <w:tcW w:w="1701" w:type="dxa"/>
            <w:tcBorders>
              <w:bottom w:val="dashed" w:sz="4" w:space="0" w:color="auto"/>
            </w:tcBorders>
          </w:tcPr>
          <w:p w:rsidR="00480B73" w:rsidRPr="002325F7" w:rsidRDefault="00480B73" w:rsidP="00264CE2">
            <w:pPr>
              <w:rPr>
                <w:rFonts w:cs="Times New Roman"/>
                <w:sz w:val="16"/>
                <w:szCs w:val="16"/>
                <w:lang w:val="en-US"/>
              </w:rPr>
            </w:pPr>
            <w:r w:rsidRPr="002325F7">
              <w:rPr>
                <w:rFonts w:cs="Times New Roman"/>
                <w:sz w:val="16"/>
                <w:szCs w:val="16"/>
                <w:lang w:val="en-US"/>
              </w:rPr>
              <w:t xml:space="preserve">Immunocompromised patients with  </w:t>
            </w:r>
            <w:r>
              <w:rPr>
                <w:rFonts w:cs="Times New Roman"/>
                <w:sz w:val="16"/>
                <w:szCs w:val="16"/>
                <w:lang w:val="en-US"/>
              </w:rPr>
              <w:t>invasive fungal infections</w:t>
            </w:r>
          </w:p>
        </w:tc>
        <w:tc>
          <w:tcPr>
            <w:tcW w:w="1134" w:type="dxa"/>
            <w:gridSpan w:val="2"/>
            <w:tcBorders>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US</w:t>
            </w:r>
          </w:p>
        </w:tc>
        <w:tc>
          <w:tcPr>
            <w:tcW w:w="850" w:type="dxa"/>
            <w:gridSpan w:val="2"/>
            <w:tcBorders>
              <w:bottom w:val="dashed" w:sz="4" w:space="0" w:color="auto"/>
            </w:tcBorders>
          </w:tcPr>
          <w:p w:rsidR="00480B73" w:rsidRDefault="00480B73" w:rsidP="00264CE2">
            <w:pPr>
              <w:jc w:val="both"/>
              <w:rPr>
                <w:rFonts w:cs="Times New Roman"/>
                <w:sz w:val="16"/>
                <w:szCs w:val="16"/>
                <w:lang w:val="en-US"/>
              </w:rPr>
            </w:pPr>
          </w:p>
        </w:tc>
        <w:tc>
          <w:tcPr>
            <w:tcW w:w="993" w:type="dxa"/>
            <w:gridSpan w:val="2"/>
            <w:tcBorders>
              <w:bottom w:val="dashed" w:sz="4" w:space="0" w:color="auto"/>
            </w:tcBorders>
          </w:tcPr>
          <w:p w:rsidR="00480B73" w:rsidRDefault="00480B73" w:rsidP="00264CE2">
            <w:pPr>
              <w:jc w:val="both"/>
              <w:rPr>
                <w:rFonts w:cs="Times New Roman"/>
                <w:sz w:val="16"/>
                <w:szCs w:val="16"/>
              </w:rPr>
            </w:pPr>
          </w:p>
        </w:tc>
        <w:tc>
          <w:tcPr>
            <w:tcW w:w="992" w:type="dxa"/>
            <w:tcBorders>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N/A</w:t>
            </w:r>
            <w:r>
              <w:rPr>
                <w:rFonts w:cs="Times New Roman"/>
                <w:sz w:val="16"/>
                <w:szCs w:val="16"/>
                <w:vertAlign w:val="superscript"/>
                <w:lang w:val="en-US"/>
              </w:rPr>
              <w:t>c</w:t>
            </w:r>
          </w:p>
        </w:tc>
        <w:tc>
          <w:tcPr>
            <w:tcW w:w="850" w:type="dxa"/>
            <w:tcBorders>
              <w:bottom w:val="dashed" w:sz="4" w:space="0" w:color="auto"/>
            </w:tcBorders>
          </w:tcPr>
          <w:p w:rsidR="00480B73" w:rsidRDefault="00480B73" w:rsidP="00264CE2">
            <w:pPr>
              <w:jc w:val="both"/>
              <w:rPr>
                <w:rFonts w:cs="Times New Roman"/>
                <w:sz w:val="16"/>
                <w:szCs w:val="16"/>
                <w:lang w:val="en-US"/>
              </w:rPr>
            </w:pPr>
          </w:p>
        </w:tc>
        <w:tc>
          <w:tcPr>
            <w:tcW w:w="1134" w:type="dxa"/>
            <w:gridSpan w:val="2"/>
            <w:tcBorders>
              <w:bottom w:val="dashed" w:sz="4" w:space="0" w:color="auto"/>
            </w:tcBorders>
          </w:tcPr>
          <w:p w:rsidR="00480B73" w:rsidRPr="00C5648D" w:rsidRDefault="00480B73" w:rsidP="00264CE2">
            <w:pPr>
              <w:jc w:val="both"/>
              <w:rPr>
                <w:rFonts w:cs="Times New Roman"/>
                <w:sz w:val="16"/>
                <w:szCs w:val="16"/>
              </w:rPr>
            </w:pPr>
            <w:r w:rsidRPr="00C5648D">
              <w:rPr>
                <w:rFonts w:cs="Times New Roman"/>
                <w:sz w:val="16"/>
                <w:szCs w:val="16"/>
              </w:rPr>
              <w:t>L-AMB (AmBisome)</w:t>
            </w:r>
          </w:p>
        </w:tc>
        <w:tc>
          <w:tcPr>
            <w:tcW w:w="1276"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IV</w:t>
            </w:r>
          </w:p>
          <w:p w:rsidR="00480B73" w:rsidRDefault="00480B73" w:rsidP="00264CE2">
            <w:pPr>
              <w:jc w:val="both"/>
              <w:rPr>
                <w:rFonts w:cs="Times New Roman"/>
                <w:sz w:val="16"/>
                <w:szCs w:val="16"/>
              </w:rPr>
            </w:pPr>
            <w:r>
              <w:rPr>
                <w:rFonts w:cs="Times New Roman"/>
                <w:sz w:val="16"/>
                <w:szCs w:val="16"/>
              </w:rPr>
              <w:t>2 h infusion</w:t>
            </w:r>
          </w:p>
        </w:tc>
        <w:tc>
          <w:tcPr>
            <w:tcW w:w="1134"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Borders>
              <w:bottom w:val="dashed" w:sz="4" w:space="0" w:color="auto"/>
            </w:tcBorders>
          </w:tcPr>
          <w:p w:rsidR="00480B73" w:rsidRDefault="00480B73" w:rsidP="00264CE2">
            <w:pPr>
              <w:jc w:val="both"/>
              <w:rPr>
                <w:rFonts w:cs="Times New Roman"/>
                <w:sz w:val="16"/>
                <w:szCs w:val="16"/>
              </w:rPr>
            </w:pPr>
            <w:r>
              <w:rPr>
                <w:rFonts w:cs="Times New Roman"/>
                <w:sz w:val="16"/>
                <w:szCs w:val="16"/>
              </w:rPr>
              <w:t>0.1</w:t>
            </w:r>
          </w:p>
        </w:tc>
        <w:tc>
          <w:tcPr>
            <w:tcW w:w="1275" w:type="dxa"/>
            <w:gridSpan w:val="2"/>
            <w:tcBorders>
              <w:bottom w:val="dashed" w:sz="4" w:space="0" w:color="auto"/>
            </w:tcBorders>
          </w:tcPr>
          <w:p w:rsidR="00480B73" w:rsidRPr="00436D4F" w:rsidRDefault="00480B73" w:rsidP="00264CE2">
            <w:pPr>
              <w:jc w:val="both"/>
              <w:rPr>
                <w:rFonts w:cs="Times New Roman"/>
                <w:sz w:val="16"/>
                <w:szCs w:val="16"/>
                <w:lang w:val="en-US"/>
              </w:rPr>
            </w:pPr>
            <w:proofErr w:type="spellStart"/>
            <w:r w:rsidRPr="00436D4F">
              <w:rPr>
                <w:rFonts w:cs="Times New Roman"/>
                <w:sz w:val="16"/>
                <w:szCs w:val="16"/>
                <w:lang w:val="en-US"/>
              </w:rPr>
              <w:t>NCA</w:t>
            </w:r>
            <w:proofErr w:type="spellEnd"/>
          </w:p>
        </w:tc>
        <w:tc>
          <w:tcPr>
            <w:tcW w:w="993" w:type="dxa"/>
            <w:tcBorders>
              <w:bottom w:val="dashed" w:sz="4" w:space="0" w:color="auto"/>
            </w:tcBorders>
          </w:tcPr>
          <w:p w:rsidR="00480B73" w:rsidRPr="00436D4F" w:rsidRDefault="00480B73" w:rsidP="00264CE2">
            <w:pPr>
              <w:jc w:val="both"/>
              <w:rPr>
                <w:rFonts w:cs="Times New Roman"/>
                <w:sz w:val="16"/>
                <w:szCs w:val="16"/>
                <w:lang w:val="en-US"/>
              </w:rPr>
            </w:pPr>
            <w:r w:rsidRPr="00436D4F">
              <w:rPr>
                <w:rFonts w:cs="Times New Roman"/>
                <w:sz w:val="16"/>
                <w:szCs w:val="16"/>
                <w:lang w:val="en-US"/>
              </w:rPr>
              <w:t>N/A</w:t>
            </w:r>
          </w:p>
        </w:tc>
      </w:tr>
      <w:tr w:rsidR="00480B73" w:rsidRPr="00436D4F" w:rsidTr="00264CE2">
        <w:trPr>
          <w:trHeight w:val="70"/>
        </w:trPr>
        <w:tc>
          <w:tcPr>
            <w:tcW w:w="959" w:type="dxa"/>
            <w:vMerge/>
          </w:tcPr>
          <w:p w:rsidR="00480B73" w:rsidRPr="00436D4F"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144BC4" w:rsidRDefault="00480B73" w:rsidP="00264CE2">
            <w:pPr>
              <w:rPr>
                <w:rFonts w:cs="Times New Roman"/>
                <w:sz w:val="16"/>
                <w:szCs w:val="16"/>
                <w:lang w:val="en-US"/>
              </w:rPr>
            </w:pPr>
            <w:r w:rsidRPr="004050C3">
              <w:rPr>
                <w:rFonts w:cs="Times New Roman"/>
                <w:sz w:val="16"/>
                <w:szCs w:val="16"/>
              </w:rPr>
              <w:t>7.5  mg/kg</w:t>
            </w:r>
          </w:p>
        </w:tc>
        <w:tc>
          <w:tcPr>
            <w:tcW w:w="1134" w:type="dxa"/>
            <w:gridSpan w:val="2"/>
            <w:tcBorders>
              <w:top w:val="dashed" w:sz="4" w:space="0" w:color="auto"/>
              <w:bottom w:val="dashed" w:sz="4" w:space="0" w:color="auto"/>
            </w:tcBorders>
          </w:tcPr>
          <w:p w:rsidR="00480B73" w:rsidRPr="00436D4F" w:rsidRDefault="00480B73" w:rsidP="00264CE2">
            <w:pPr>
              <w:jc w:val="both"/>
              <w:rPr>
                <w:rFonts w:cs="Times New Roman"/>
                <w:sz w:val="16"/>
                <w:szCs w:val="16"/>
                <w:lang w:val="en-US"/>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8</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40.4±9.5</w:t>
            </w:r>
          </w:p>
        </w:tc>
        <w:tc>
          <w:tcPr>
            <w:tcW w:w="992" w:type="dxa"/>
            <w:tcBorders>
              <w:top w:val="dashed" w:sz="4" w:space="0" w:color="auto"/>
              <w:bottom w:val="dashed" w:sz="4" w:space="0" w:color="auto"/>
            </w:tcBorders>
          </w:tcPr>
          <w:p w:rsidR="00480B73" w:rsidRPr="001155C4" w:rsidRDefault="00480B73" w:rsidP="00264CE2">
            <w:pPr>
              <w:jc w:val="both"/>
              <w:rPr>
                <w:rFonts w:cs="Times New Roman"/>
                <w:sz w:val="16"/>
                <w:szCs w:val="16"/>
                <w:vertAlign w:val="superscript"/>
                <w:lang w:val="en-US"/>
              </w:rPr>
            </w:pP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100%</w:t>
            </w:r>
          </w:p>
        </w:tc>
        <w:tc>
          <w:tcPr>
            <w:tcW w:w="1134" w:type="dxa"/>
            <w:gridSpan w:val="2"/>
            <w:vMerge w:val="restart"/>
            <w:tcBorders>
              <w:top w:val="dashed" w:sz="4" w:space="0" w:color="auto"/>
            </w:tcBorders>
          </w:tcPr>
          <w:p w:rsidR="00480B73" w:rsidRDefault="00480B73" w:rsidP="00264CE2">
            <w:pPr>
              <w:jc w:val="both"/>
              <w:rPr>
                <w:rFonts w:cs="Times New Roman"/>
                <w:sz w:val="16"/>
                <w:szCs w:val="16"/>
              </w:rPr>
            </w:pPr>
          </w:p>
        </w:tc>
        <w:tc>
          <w:tcPr>
            <w:tcW w:w="1276" w:type="dxa"/>
            <w:gridSpan w:val="2"/>
            <w:vMerge w:val="restart"/>
            <w:tcBorders>
              <w:top w:val="dashed" w:sz="4" w:space="0" w:color="auto"/>
            </w:tcBorders>
          </w:tcPr>
          <w:p w:rsidR="00480B73" w:rsidRDefault="00480B73" w:rsidP="00264CE2">
            <w:pPr>
              <w:jc w:val="both"/>
              <w:rPr>
                <w:rFonts w:cs="Times New Roman"/>
                <w:sz w:val="16"/>
                <w:szCs w:val="16"/>
              </w:rPr>
            </w:pPr>
          </w:p>
        </w:tc>
        <w:tc>
          <w:tcPr>
            <w:tcW w:w="1134" w:type="dxa"/>
            <w:gridSpan w:val="2"/>
            <w:vMerge w:val="restart"/>
            <w:tcBorders>
              <w:top w:val="dashed" w:sz="4" w:space="0" w:color="auto"/>
            </w:tcBorders>
          </w:tcPr>
          <w:p w:rsidR="00480B73" w:rsidRDefault="00480B73" w:rsidP="00264CE2">
            <w:pPr>
              <w:jc w:val="both"/>
              <w:rPr>
                <w:rFonts w:cs="Times New Roman"/>
                <w:sz w:val="16"/>
                <w:szCs w:val="16"/>
              </w:rPr>
            </w:pPr>
          </w:p>
        </w:tc>
        <w:tc>
          <w:tcPr>
            <w:tcW w:w="851" w:type="dxa"/>
            <w:gridSpan w:val="2"/>
            <w:vMerge w:val="restart"/>
            <w:tcBorders>
              <w:top w:val="dashed" w:sz="4" w:space="0" w:color="auto"/>
            </w:tcBorders>
          </w:tcPr>
          <w:p w:rsidR="00480B73" w:rsidRDefault="00480B73" w:rsidP="00264CE2">
            <w:pPr>
              <w:jc w:val="both"/>
              <w:rPr>
                <w:rFonts w:cs="Times New Roman"/>
                <w:sz w:val="16"/>
                <w:szCs w:val="16"/>
              </w:rPr>
            </w:pPr>
          </w:p>
        </w:tc>
        <w:tc>
          <w:tcPr>
            <w:tcW w:w="1275" w:type="dxa"/>
            <w:gridSpan w:val="2"/>
            <w:vMerge w:val="restart"/>
            <w:tcBorders>
              <w:top w:val="dashed" w:sz="4" w:space="0" w:color="auto"/>
            </w:tcBorders>
          </w:tcPr>
          <w:p w:rsidR="00480B73" w:rsidRPr="006956EC" w:rsidRDefault="00480B73" w:rsidP="00264CE2">
            <w:pPr>
              <w:jc w:val="both"/>
              <w:rPr>
                <w:rFonts w:cs="Times New Roman"/>
                <w:sz w:val="16"/>
                <w:szCs w:val="16"/>
                <w:vertAlign w:val="superscript"/>
                <w:lang w:val="en-US"/>
              </w:rPr>
            </w:pPr>
          </w:p>
        </w:tc>
        <w:tc>
          <w:tcPr>
            <w:tcW w:w="993" w:type="dxa"/>
            <w:vMerge w:val="restart"/>
            <w:tcBorders>
              <w:top w:val="dashed" w:sz="4" w:space="0" w:color="auto"/>
            </w:tcBorders>
          </w:tcPr>
          <w:p w:rsidR="00480B73" w:rsidRPr="00436D4F" w:rsidRDefault="00480B73" w:rsidP="00264CE2">
            <w:pPr>
              <w:jc w:val="both"/>
              <w:rPr>
                <w:rFonts w:cs="Times New Roman"/>
                <w:sz w:val="16"/>
                <w:szCs w:val="16"/>
                <w:lang w:val="en-US"/>
              </w:rPr>
            </w:pPr>
          </w:p>
        </w:tc>
      </w:tr>
      <w:tr w:rsidR="00480B73" w:rsidRPr="00436D4F" w:rsidTr="00264CE2">
        <w:trPr>
          <w:trHeight w:val="64"/>
        </w:trPr>
        <w:tc>
          <w:tcPr>
            <w:tcW w:w="959" w:type="dxa"/>
            <w:vMerge/>
          </w:tcPr>
          <w:p w:rsidR="00480B73" w:rsidRPr="003B68E7"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10.0 mg/kg</w:t>
            </w: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10</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39.8±10.9</w:t>
            </w:r>
          </w:p>
        </w:tc>
        <w:tc>
          <w:tcPr>
            <w:tcW w:w="992"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90%</w:t>
            </w:r>
          </w:p>
        </w:tc>
        <w:tc>
          <w:tcPr>
            <w:tcW w:w="1134" w:type="dxa"/>
            <w:gridSpan w:val="2"/>
            <w:vMerge/>
          </w:tcPr>
          <w:p w:rsidR="00480B73" w:rsidRPr="00C5648D" w:rsidRDefault="00480B73" w:rsidP="00264CE2">
            <w:pPr>
              <w:jc w:val="both"/>
              <w:rPr>
                <w:rFonts w:cs="Times New Roman"/>
                <w:sz w:val="16"/>
                <w:szCs w:val="16"/>
              </w:rPr>
            </w:pPr>
          </w:p>
        </w:tc>
        <w:tc>
          <w:tcPr>
            <w:tcW w:w="1276" w:type="dxa"/>
            <w:gridSpan w:val="2"/>
            <w:vMerge/>
          </w:tcPr>
          <w:p w:rsidR="00480B73" w:rsidRDefault="00480B73" w:rsidP="00264CE2">
            <w:pPr>
              <w:jc w:val="both"/>
              <w:rPr>
                <w:rFonts w:cs="Times New Roman"/>
                <w:sz w:val="16"/>
                <w:szCs w:val="16"/>
              </w:rPr>
            </w:pPr>
          </w:p>
        </w:tc>
        <w:tc>
          <w:tcPr>
            <w:tcW w:w="1134" w:type="dxa"/>
            <w:gridSpan w:val="2"/>
            <w:vMerge/>
          </w:tcPr>
          <w:p w:rsidR="00480B73" w:rsidRDefault="00480B73" w:rsidP="00264CE2">
            <w:pPr>
              <w:jc w:val="both"/>
              <w:rPr>
                <w:rFonts w:cs="Times New Roman"/>
                <w:sz w:val="16"/>
                <w:szCs w:val="16"/>
              </w:rPr>
            </w:pPr>
          </w:p>
        </w:tc>
        <w:tc>
          <w:tcPr>
            <w:tcW w:w="851" w:type="dxa"/>
            <w:gridSpan w:val="2"/>
            <w:vMerge/>
          </w:tcPr>
          <w:p w:rsidR="00480B73" w:rsidRDefault="00480B73" w:rsidP="00264CE2">
            <w:pPr>
              <w:jc w:val="both"/>
              <w:rPr>
                <w:rFonts w:cs="Times New Roman"/>
                <w:sz w:val="16"/>
                <w:szCs w:val="16"/>
              </w:rPr>
            </w:pPr>
          </w:p>
        </w:tc>
        <w:tc>
          <w:tcPr>
            <w:tcW w:w="1275" w:type="dxa"/>
            <w:gridSpan w:val="2"/>
            <w:vMerge/>
          </w:tcPr>
          <w:p w:rsidR="00480B73" w:rsidRPr="00436D4F" w:rsidRDefault="00480B73" w:rsidP="00264CE2">
            <w:pPr>
              <w:jc w:val="both"/>
              <w:rPr>
                <w:rFonts w:cs="Times New Roman"/>
                <w:sz w:val="16"/>
                <w:szCs w:val="16"/>
                <w:lang w:val="en-US"/>
              </w:rPr>
            </w:pPr>
          </w:p>
        </w:tc>
        <w:tc>
          <w:tcPr>
            <w:tcW w:w="993" w:type="dxa"/>
            <w:vMerge/>
          </w:tcPr>
          <w:p w:rsidR="00480B73" w:rsidRPr="00436D4F" w:rsidRDefault="00480B73" w:rsidP="00264CE2">
            <w:pPr>
              <w:jc w:val="both"/>
              <w:rPr>
                <w:rFonts w:cs="Times New Roman"/>
                <w:sz w:val="16"/>
                <w:szCs w:val="16"/>
                <w:lang w:val="en-US"/>
              </w:rPr>
            </w:pPr>
          </w:p>
        </w:tc>
      </w:tr>
      <w:tr w:rsidR="00480B73" w:rsidRPr="00436D4F" w:rsidTr="00264CE2">
        <w:trPr>
          <w:trHeight w:val="70"/>
        </w:trPr>
        <w:tc>
          <w:tcPr>
            <w:tcW w:w="959" w:type="dxa"/>
            <w:vMerge/>
          </w:tcPr>
          <w:p w:rsidR="00480B73" w:rsidRPr="003B68E7" w:rsidRDefault="00480B73" w:rsidP="00264CE2">
            <w:pPr>
              <w:jc w:val="both"/>
              <w:rPr>
                <w:rFonts w:cs="Times New Roman"/>
                <w:sz w:val="16"/>
                <w:szCs w:val="16"/>
                <w:lang w:val="en-US"/>
              </w:rPr>
            </w:pPr>
          </w:p>
        </w:tc>
        <w:tc>
          <w:tcPr>
            <w:tcW w:w="1701" w:type="dxa"/>
            <w:tcBorders>
              <w:top w:val="dashed" w:sz="4" w:space="0" w:color="auto"/>
              <w:bottom w:val="dashed" w:sz="4" w:space="0" w:color="auto"/>
            </w:tcBorders>
          </w:tcPr>
          <w:p w:rsidR="00480B73" w:rsidRPr="002325F7" w:rsidRDefault="00480B73" w:rsidP="00264CE2">
            <w:pPr>
              <w:rPr>
                <w:rFonts w:cs="Times New Roman"/>
                <w:sz w:val="16"/>
                <w:szCs w:val="16"/>
                <w:lang w:val="en-US"/>
              </w:rPr>
            </w:pPr>
            <w:r w:rsidRPr="002325F7">
              <w:rPr>
                <w:rFonts w:cs="Times New Roman"/>
                <w:sz w:val="16"/>
                <w:szCs w:val="16"/>
                <w:lang w:val="en-US"/>
              </w:rPr>
              <w:t>12.5 mg/kg</w:t>
            </w:r>
          </w:p>
        </w:tc>
        <w:tc>
          <w:tcPr>
            <w:tcW w:w="1134"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p>
        </w:tc>
        <w:tc>
          <w:tcPr>
            <w:tcW w:w="850" w:type="dxa"/>
            <w:gridSpan w:val="2"/>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7</w:t>
            </w:r>
          </w:p>
        </w:tc>
        <w:tc>
          <w:tcPr>
            <w:tcW w:w="993" w:type="dxa"/>
            <w:gridSpan w:val="2"/>
            <w:tcBorders>
              <w:top w:val="dashed" w:sz="4" w:space="0" w:color="auto"/>
              <w:bottom w:val="dashed" w:sz="4" w:space="0" w:color="auto"/>
            </w:tcBorders>
          </w:tcPr>
          <w:p w:rsidR="00480B73" w:rsidRDefault="00480B73" w:rsidP="00264CE2">
            <w:pPr>
              <w:jc w:val="both"/>
              <w:rPr>
                <w:rFonts w:cs="Times New Roman"/>
                <w:sz w:val="16"/>
                <w:szCs w:val="16"/>
              </w:rPr>
            </w:pPr>
            <w:r>
              <w:rPr>
                <w:rFonts w:cs="Times New Roman"/>
                <w:sz w:val="16"/>
                <w:szCs w:val="16"/>
              </w:rPr>
              <w:t>47.6±12.6</w:t>
            </w:r>
          </w:p>
        </w:tc>
        <w:tc>
          <w:tcPr>
            <w:tcW w:w="992" w:type="dxa"/>
            <w:tcBorders>
              <w:top w:val="dashed" w:sz="4" w:space="0" w:color="auto"/>
              <w:bottom w:val="dashed" w:sz="4" w:space="0" w:color="auto"/>
            </w:tcBorders>
          </w:tcPr>
          <w:p w:rsidR="00480B73" w:rsidRPr="00144BC4" w:rsidRDefault="00480B73" w:rsidP="00264CE2">
            <w:pPr>
              <w:jc w:val="both"/>
              <w:rPr>
                <w:rFonts w:cs="Times New Roman"/>
                <w:sz w:val="16"/>
                <w:szCs w:val="16"/>
                <w:lang w:val="en-US"/>
              </w:rPr>
            </w:pPr>
          </w:p>
        </w:tc>
        <w:tc>
          <w:tcPr>
            <w:tcW w:w="850" w:type="dxa"/>
            <w:tcBorders>
              <w:top w:val="dashed" w:sz="4" w:space="0" w:color="auto"/>
              <w:bottom w:val="dashed" w:sz="4" w:space="0" w:color="auto"/>
            </w:tcBorders>
          </w:tcPr>
          <w:p w:rsidR="00480B73" w:rsidRDefault="00480B73" w:rsidP="00264CE2">
            <w:pPr>
              <w:jc w:val="both"/>
              <w:rPr>
                <w:rFonts w:cs="Times New Roman"/>
                <w:sz w:val="16"/>
                <w:szCs w:val="16"/>
                <w:lang w:val="en-US"/>
              </w:rPr>
            </w:pPr>
            <w:r>
              <w:rPr>
                <w:rFonts w:cs="Times New Roman"/>
                <w:sz w:val="16"/>
                <w:szCs w:val="16"/>
                <w:lang w:val="en-US"/>
              </w:rPr>
              <w:t>71%</w:t>
            </w:r>
          </w:p>
        </w:tc>
        <w:tc>
          <w:tcPr>
            <w:tcW w:w="1134" w:type="dxa"/>
            <w:gridSpan w:val="2"/>
            <w:vMerge/>
          </w:tcPr>
          <w:p w:rsidR="00480B73" w:rsidRPr="00C5648D" w:rsidRDefault="00480B73" w:rsidP="00264CE2">
            <w:pPr>
              <w:jc w:val="both"/>
              <w:rPr>
                <w:rFonts w:cs="Times New Roman"/>
                <w:sz w:val="16"/>
                <w:szCs w:val="16"/>
              </w:rPr>
            </w:pPr>
          </w:p>
        </w:tc>
        <w:tc>
          <w:tcPr>
            <w:tcW w:w="1276" w:type="dxa"/>
            <w:gridSpan w:val="2"/>
            <w:vMerge/>
          </w:tcPr>
          <w:p w:rsidR="00480B73" w:rsidRDefault="00480B73" w:rsidP="00264CE2">
            <w:pPr>
              <w:jc w:val="both"/>
              <w:rPr>
                <w:rFonts w:cs="Times New Roman"/>
                <w:sz w:val="16"/>
                <w:szCs w:val="16"/>
              </w:rPr>
            </w:pPr>
          </w:p>
        </w:tc>
        <w:tc>
          <w:tcPr>
            <w:tcW w:w="1134" w:type="dxa"/>
            <w:gridSpan w:val="2"/>
            <w:vMerge/>
          </w:tcPr>
          <w:p w:rsidR="00480B73" w:rsidRDefault="00480B73" w:rsidP="00264CE2">
            <w:pPr>
              <w:jc w:val="both"/>
              <w:rPr>
                <w:rFonts w:cs="Times New Roman"/>
                <w:sz w:val="16"/>
                <w:szCs w:val="16"/>
              </w:rPr>
            </w:pPr>
          </w:p>
        </w:tc>
        <w:tc>
          <w:tcPr>
            <w:tcW w:w="851" w:type="dxa"/>
            <w:gridSpan w:val="2"/>
            <w:vMerge/>
          </w:tcPr>
          <w:p w:rsidR="00480B73" w:rsidRDefault="00480B73" w:rsidP="00264CE2">
            <w:pPr>
              <w:jc w:val="both"/>
              <w:rPr>
                <w:rFonts w:cs="Times New Roman"/>
                <w:sz w:val="16"/>
                <w:szCs w:val="16"/>
              </w:rPr>
            </w:pPr>
          </w:p>
        </w:tc>
        <w:tc>
          <w:tcPr>
            <w:tcW w:w="1275" w:type="dxa"/>
            <w:gridSpan w:val="2"/>
            <w:vMerge/>
          </w:tcPr>
          <w:p w:rsidR="00480B73" w:rsidRPr="00436D4F" w:rsidRDefault="00480B73" w:rsidP="00264CE2">
            <w:pPr>
              <w:jc w:val="both"/>
              <w:rPr>
                <w:rFonts w:cs="Times New Roman"/>
                <w:sz w:val="16"/>
                <w:szCs w:val="16"/>
                <w:lang w:val="en-US"/>
              </w:rPr>
            </w:pPr>
          </w:p>
        </w:tc>
        <w:tc>
          <w:tcPr>
            <w:tcW w:w="993" w:type="dxa"/>
            <w:vMerge/>
          </w:tcPr>
          <w:p w:rsidR="00480B73" w:rsidRPr="00436D4F" w:rsidRDefault="00480B73" w:rsidP="00264CE2">
            <w:pPr>
              <w:jc w:val="both"/>
              <w:rPr>
                <w:rFonts w:cs="Times New Roman"/>
                <w:sz w:val="16"/>
                <w:szCs w:val="16"/>
                <w:lang w:val="en-US"/>
              </w:rPr>
            </w:pPr>
          </w:p>
        </w:tc>
      </w:tr>
      <w:tr w:rsidR="00480B73" w:rsidRPr="00436D4F" w:rsidTr="00264CE2">
        <w:trPr>
          <w:trHeight w:val="70"/>
        </w:trPr>
        <w:tc>
          <w:tcPr>
            <w:tcW w:w="959" w:type="dxa"/>
            <w:vMerge/>
            <w:tcBorders>
              <w:bottom w:val="single" w:sz="4" w:space="0" w:color="auto"/>
            </w:tcBorders>
          </w:tcPr>
          <w:p w:rsidR="00480B73" w:rsidRPr="003B68E7" w:rsidRDefault="00480B73" w:rsidP="00264CE2">
            <w:pPr>
              <w:jc w:val="both"/>
              <w:rPr>
                <w:rFonts w:cs="Times New Roman"/>
                <w:sz w:val="16"/>
                <w:szCs w:val="16"/>
                <w:lang w:val="en-US"/>
              </w:rPr>
            </w:pPr>
          </w:p>
        </w:tc>
        <w:tc>
          <w:tcPr>
            <w:tcW w:w="1701" w:type="dxa"/>
            <w:tcBorders>
              <w:top w:val="dashed" w:sz="4" w:space="0" w:color="auto"/>
              <w:bottom w:val="single" w:sz="4" w:space="0" w:color="auto"/>
            </w:tcBorders>
          </w:tcPr>
          <w:p w:rsidR="00480B73" w:rsidRPr="002325F7" w:rsidRDefault="00480B73" w:rsidP="00264CE2">
            <w:pPr>
              <w:rPr>
                <w:rFonts w:cs="Times New Roman"/>
                <w:sz w:val="16"/>
                <w:szCs w:val="16"/>
                <w:lang w:val="en-US"/>
              </w:rPr>
            </w:pPr>
            <w:r w:rsidRPr="002325F7">
              <w:rPr>
                <w:rFonts w:cs="Times New Roman"/>
                <w:sz w:val="16"/>
                <w:szCs w:val="16"/>
                <w:lang w:val="en-US"/>
              </w:rPr>
              <w:t>15.0 mg/kg</w:t>
            </w:r>
          </w:p>
        </w:tc>
        <w:tc>
          <w:tcPr>
            <w:tcW w:w="1134" w:type="dxa"/>
            <w:gridSpan w:val="2"/>
            <w:tcBorders>
              <w:top w:val="dashed" w:sz="4" w:space="0" w:color="auto"/>
              <w:bottom w:val="single" w:sz="4" w:space="0" w:color="auto"/>
            </w:tcBorders>
          </w:tcPr>
          <w:p w:rsidR="00480B73" w:rsidRDefault="00480B73" w:rsidP="00264CE2">
            <w:pPr>
              <w:jc w:val="both"/>
              <w:rPr>
                <w:rFonts w:cs="Times New Roman"/>
                <w:sz w:val="16"/>
                <w:szCs w:val="16"/>
                <w:lang w:val="en-US"/>
              </w:rPr>
            </w:pPr>
          </w:p>
        </w:tc>
        <w:tc>
          <w:tcPr>
            <w:tcW w:w="850" w:type="dxa"/>
            <w:gridSpan w:val="2"/>
            <w:tcBorders>
              <w:top w:val="dashed" w:sz="4" w:space="0" w:color="auto"/>
              <w:bottom w:val="single" w:sz="4" w:space="0" w:color="auto"/>
            </w:tcBorders>
          </w:tcPr>
          <w:p w:rsidR="00480B73" w:rsidRDefault="00480B73" w:rsidP="00264CE2">
            <w:pPr>
              <w:jc w:val="both"/>
              <w:rPr>
                <w:rFonts w:cs="Times New Roman"/>
                <w:sz w:val="16"/>
                <w:szCs w:val="16"/>
                <w:lang w:val="en-US"/>
              </w:rPr>
            </w:pPr>
            <w:r>
              <w:rPr>
                <w:rFonts w:cs="Times New Roman"/>
                <w:sz w:val="16"/>
                <w:szCs w:val="16"/>
                <w:lang w:val="en-US"/>
              </w:rPr>
              <w:t>19</w:t>
            </w:r>
          </w:p>
        </w:tc>
        <w:tc>
          <w:tcPr>
            <w:tcW w:w="993" w:type="dxa"/>
            <w:gridSpan w:val="2"/>
            <w:tcBorders>
              <w:top w:val="dashed" w:sz="4" w:space="0" w:color="auto"/>
              <w:bottom w:val="single" w:sz="4" w:space="0" w:color="auto"/>
            </w:tcBorders>
          </w:tcPr>
          <w:p w:rsidR="00480B73" w:rsidRDefault="00480B73" w:rsidP="00264CE2">
            <w:pPr>
              <w:jc w:val="both"/>
              <w:rPr>
                <w:rFonts w:cs="Times New Roman"/>
                <w:sz w:val="16"/>
                <w:szCs w:val="16"/>
              </w:rPr>
            </w:pPr>
            <w:r>
              <w:rPr>
                <w:rFonts w:cs="Times New Roman"/>
                <w:sz w:val="16"/>
                <w:szCs w:val="16"/>
              </w:rPr>
              <w:t>44.6±12.7</w:t>
            </w:r>
          </w:p>
        </w:tc>
        <w:tc>
          <w:tcPr>
            <w:tcW w:w="992" w:type="dxa"/>
            <w:tcBorders>
              <w:top w:val="dashed" w:sz="4" w:space="0" w:color="auto"/>
              <w:bottom w:val="single" w:sz="4" w:space="0" w:color="auto"/>
            </w:tcBorders>
          </w:tcPr>
          <w:p w:rsidR="00480B73" w:rsidRPr="00144BC4" w:rsidRDefault="00480B73" w:rsidP="00264CE2">
            <w:pPr>
              <w:jc w:val="both"/>
              <w:rPr>
                <w:rFonts w:cs="Times New Roman"/>
                <w:sz w:val="16"/>
                <w:szCs w:val="16"/>
                <w:lang w:val="en-US"/>
              </w:rPr>
            </w:pPr>
          </w:p>
        </w:tc>
        <w:tc>
          <w:tcPr>
            <w:tcW w:w="850" w:type="dxa"/>
            <w:tcBorders>
              <w:top w:val="dashed" w:sz="4" w:space="0" w:color="auto"/>
              <w:bottom w:val="single" w:sz="4" w:space="0" w:color="auto"/>
            </w:tcBorders>
          </w:tcPr>
          <w:p w:rsidR="00480B73" w:rsidRDefault="00480B73" w:rsidP="00264CE2">
            <w:pPr>
              <w:jc w:val="both"/>
              <w:rPr>
                <w:rFonts w:cs="Times New Roman"/>
                <w:sz w:val="16"/>
                <w:szCs w:val="16"/>
                <w:lang w:val="en-US"/>
              </w:rPr>
            </w:pPr>
            <w:r>
              <w:rPr>
                <w:rFonts w:cs="Times New Roman"/>
                <w:sz w:val="16"/>
                <w:szCs w:val="16"/>
                <w:lang w:val="en-US"/>
              </w:rPr>
              <w:t>68%</w:t>
            </w:r>
          </w:p>
        </w:tc>
        <w:tc>
          <w:tcPr>
            <w:tcW w:w="1134" w:type="dxa"/>
            <w:gridSpan w:val="2"/>
            <w:vMerge/>
            <w:tcBorders>
              <w:bottom w:val="single" w:sz="4" w:space="0" w:color="auto"/>
            </w:tcBorders>
          </w:tcPr>
          <w:p w:rsidR="00480B73" w:rsidRPr="00C5648D" w:rsidRDefault="00480B73" w:rsidP="00264CE2">
            <w:pPr>
              <w:jc w:val="both"/>
              <w:rPr>
                <w:rFonts w:cs="Times New Roman"/>
                <w:sz w:val="16"/>
                <w:szCs w:val="16"/>
              </w:rPr>
            </w:pPr>
          </w:p>
        </w:tc>
        <w:tc>
          <w:tcPr>
            <w:tcW w:w="1276" w:type="dxa"/>
            <w:gridSpan w:val="2"/>
            <w:vMerge/>
            <w:tcBorders>
              <w:bottom w:val="single" w:sz="4" w:space="0" w:color="auto"/>
            </w:tcBorders>
          </w:tcPr>
          <w:p w:rsidR="00480B73" w:rsidRDefault="00480B73" w:rsidP="00264CE2">
            <w:pPr>
              <w:jc w:val="both"/>
              <w:rPr>
                <w:rFonts w:cs="Times New Roman"/>
                <w:sz w:val="16"/>
                <w:szCs w:val="16"/>
              </w:rPr>
            </w:pPr>
          </w:p>
        </w:tc>
        <w:tc>
          <w:tcPr>
            <w:tcW w:w="1134" w:type="dxa"/>
            <w:gridSpan w:val="2"/>
            <w:vMerge/>
            <w:tcBorders>
              <w:bottom w:val="single" w:sz="4" w:space="0" w:color="auto"/>
            </w:tcBorders>
          </w:tcPr>
          <w:p w:rsidR="00480B73" w:rsidRDefault="00480B73" w:rsidP="00264CE2">
            <w:pPr>
              <w:jc w:val="both"/>
              <w:rPr>
                <w:rFonts w:cs="Times New Roman"/>
                <w:sz w:val="16"/>
                <w:szCs w:val="16"/>
              </w:rPr>
            </w:pPr>
          </w:p>
        </w:tc>
        <w:tc>
          <w:tcPr>
            <w:tcW w:w="851" w:type="dxa"/>
            <w:gridSpan w:val="2"/>
            <w:vMerge/>
            <w:tcBorders>
              <w:bottom w:val="single" w:sz="4" w:space="0" w:color="auto"/>
            </w:tcBorders>
          </w:tcPr>
          <w:p w:rsidR="00480B73" w:rsidRDefault="00480B73" w:rsidP="00264CE2">
            <w:pPr>
              <w:jc w:val="both"/>
              <w:rPr>
                <w:rFonts w:cs="Times New Roman"/>
                <w:sz w:val="16"/>
                <w:szCs w:val="16"/>
              </w:rPr>
            </w:pPr>
          </w:p>
        </w:tc>
        <w:tc>
          <w:tcPr>
            <w:tcW w:w="1275" w:type="dxa"/>
            <w:gridSpan w:val="2"/>
            <w:vMerge/>
            <w:tcBorders>
              <w:bottom w:val="single" w:sz="4" w:space="0" w:color="auto"/>
            </w:tcBorders>
          </w:tcPr>
          <w:p w:rsidR="00480B73" w:rsidRPr="00436D4F" w:rsidRDefault="00480B73" w:rsidP="00264CE2">
            <w:pPr>
              <w:jc w:val="both"/>
              <w:rPr>
                <w:rFonts w:cs="Times New Roman"/>
                <w:sz w:val="16"/>
                <w:szCs w:val="16"/>
                <w:lang w:val="en-US"/>
              </w:rPr>
            </w:pPr>
          </w:p>
        </w:tc>
        <w:tc>
          <w:tcPr>
            <w:tcW w:w="993" w:type="dxa"/>
            <w:vMerge/>
            <w:tcBorders>
              <w:bottom w:val="single" w:sz="4" w:space="0" w:color="auto"/>
            </w:tcBorders>
          </w:tcPr>
          <w:p w:rsidR="00480B73" w:rsidRPr="00436D4F" w:rsidRDefault="00480B73" w:rsidP="00264CE2">
            <w:pPr>
              <w:jc w:val="both"/>
              <w:rPr>
                <w:rFonts w:cs="Times New Roman"/>
                <w:sz w:val="16"/>
                <w:szCs w:val="16"/>
                <w:lang w:val="en-US"/>
              </w:rPr>
            </w:pPr>
          </w:p>
        </w:tc>
      </w:tr>
      <w:tr w:rsidR="00480B73" w:rsidRPr="00436D4F" w:rsidTr="00264CE2">
        <w:trPr>
          <w:trHeight w:val="70"/>
        </w:trPr>
        <w:tc>
          <w:tcPr>
            <w:tcW w:w="959" w:type="dxa"/>
            <w:tcBorders>
              <w:top w:val="single" w:sz="4" w:space="0" w:color="auto"/>
              <w:left w:val="nil"/>
              <w:bottom w:val="nil"/>
              <w:right w:val="nil"/>
            </w:tcBorders>
          </w:tcPr>
          <w:p w:rsidR="00480B73" w:rsidRPr="00580B1D" w:rsidRDefault="00480B73" w:rsidP="00264CE2">
            <w:pPr>
              <w:jc w:val="both"/>
              <w:rPr>
                <w:rFonts w:cs="Times New Roman"/>
                <w:sz w:val="16"/>
                <w:szCs w:val="16"/>
                <w:lang w:val="en-US"/>
              </w:rPr>
            </w:pPr>
            <w:proofErr w:type="spellStart"/>
            <w:r w:rsidRPr="00580B1D">
              <w:rPr>
                <w:rFonts w:cs="Times New Roman"/>
                <w:sz w:val="16"/>
                <w:szCs w:val="16"/>
                <w:lang w:val="en-US"/>
              </w:rPr>
              <w:t>Würthewein</w:t>
            </w:r>
            <w:proofErr w:type="spellEnd"/>
            <w:r w:rsidRPr="00580B1D">
              <w:rPr>
                <w:rFonts w:cs="Times New Roman"/>
                <w:sz w:val="16"/>
                <w:szCs w:val="16"/>
                <w:lang w:val="en-US"/>
              </w:rPr>
              <w:t xml:space="preserve"> et al. </w:t>
            </w:r>
          </w:p>
          <w:p w:rsidR="00480B73" w:rsidRPr="003B68E7" w:rsidRDefault="00480B73" w:rsidP="00264CE2">
            <w:pPr>
              <w:jc w:val="both"/>
              <w:rPr>
                <w:rFonts w:cs="Times New Roman"/>
                <w:sz w:val="16"/>
                <w:szCs w:val="16"/>
                <w:lang w:val="en-US"/>
              </w:rPr>
            </w:pPr>
            <w:r>
              <w:rPr>
                <w:rFonts w:cs="Times New Roman"/>
                <w:sz w:val="16"/>
                <w:szCs w:val="16"/>
              </w:rPr>
              <w:fldChar w:fldCharType="begin" w:fldLock="1"/>
            </w:r>
            <w:r>
              <w:rPr>
                <w:rFonts w:cs="Times New Roman"/>
                <w:sz w:val="16"/>
                <w:szCs w:val="16"/>
                <w:lang w:val="en-US"/>
              </w:rPr>
              <w:instrText>ADDIN CSL_CITATION { "citationItems" : [ { "id" : "ITEM-1", "itemData" : { "DOI" : "10.1128/AAC.00265-11", "ISBN" : "0066-4804", "ISSN" : "00664804", "PMID" : "22083471", "abstract" : "Liposomal amphotericin B (LAMB) and caspofungin (CAS) are important antifungal agents in allogeneic hematopoietic stem cell transplant (aHSCT) recipients. Little is known, however, about the pharmacokinetics (PK) of both agents and their combination in this population. The PK of LAMB and CAS and the potential for PK interactions between both agents were investigated within a risk-stratified, randomized phase II clinical trial in 53 adult aHSCT recipients with granulocytopenia and refractory fever. Patients received either LAMB (n = 17; 3 mg/kg once a day [QD]), CAS (n = 19; 50 mg QD; day 1, 70 mg), or the combination of both (CAS-LAMB; n = 17) for a median duration of 10 to 13 days (range, 4 to 28 days) until defervescence and granulocyte recovery. PK sampling was performed on days 1 and 4. Drug concentrations in plasma (LAMB, 405 samples; CAS, 458 samples) were quantified by high-pressure liquid chromatography and were analyzed using population pharmacokinetic modeling. CAS concentration data best fitted a two-compartment model with a proportional error model and interindividual variability (IIV) for clearance (CL) and central volume of distribution (V(1)) (CL, 0.462 liter/h \u00b1 25%; V(1), 8.33 liters \u00b1 29%; intercompartmental clearance [Q], 1.25 liters/h; peripheral volume of distribution [V(2)], 3.59 liters). Concentration data for LAMB best fitted a two-compartment model with a proportional error model and IIV for all parameters (CL, 1.22 liters/h \u00b1 64%; V(1), 19.2 liters \u00b1 38%; Q, 2.18 liters/h \u00b1 47%; V(2), 52.8 liters \u00b1 84%). Internal model validation showed predictability and robustness of both models. None of the covariates tested (LAMB or CAS comedication, gender, body weight, age, body surface area, serum bilirubin, and creatinine clearance) further improved the models. In summary, the disposition of LAMB and CAS was best described by two-compartment models. Drug exposures in aHSCT patients were comparable to those in other populations, and no PK interactions were observed between the two compounds.", "author" : [ { "dropping-particle" : "", "family" : "W\u00fcrthwein", "given" : "Gudrun", "non-dropping-particle" : "", "parse-names" : false, "suffix" : "" }, { "dropping-particle" : "", "family" : "Young", "given" : "Charlotte", "non-dropping-particle" : "", "parse-names" : false, "suffix" : "" }, { "dropping-particle" : "", "family" : "Lanvers-Kaminsky", "given" : "Claudia", "non-dropping-particle" : "", "parse-names" : false, "suffix" : "" }, { "dropping-particle" : "", "family" : "Hempel", "given" : "Georg", "non-dropping-particle" : "", "parse-names" : false, "suffix" : "" }, { "dropping-particle" : "", "family" : "Trame", "given" : "Mirjam N.", "non-dropping-particle" : "", "parse-names" : false, "suffix" : "" }, { "dropping-particle" : "", "family" : "Schwerdtfeger", "given" : "Rainer", "non-dropping-particle" : "", "parse-names" : false, "suffix" : "" }, { "dropping-particle" : "", "family" : "Ostermann", "given" : "Helmut", "non-dropping-particle" : "", "parse-names" : false, "suffix" : "" }, { "dropping-particle" : "", "family" : "Heinz", "given" : "Werner J.", "non-dropping-particle" : "", "parse-names" : false, "suffix" : "" }, { "dropping-particle" : "", "family" : "Cornely", "given" : "Oliver A.", "non-dropping-particle" : "", "parse-names" : false, "suffix" : "" }, { "dropping-particle" : "", "family" : "Kolve", "given" : "Hedwig", "non-dropping-particle" : "", "parse-names" : false, "suffix" : "" }, { "dropping-particle" : "", "family" : "Boos", "given" : "Joachim", "non-dropping-particle" : "", "parse-names" : false, "suffix" : "" }, { "dropping-particle" : "", "family" : "Silling", "given" : "Gerda", "non-dropping-particle" : "", "parse-names" : false, "suffix" : "" }, { "dropping-particle" : "", "family" : "Groll", "given" : "Andreas H.", "non-dropping-particle" : "", "parse-names" : false, "suffix" : "" } ], "container-title" : "Antimicrobial Agents and Chemotherapy", "id" : "ITEM-1", "issue" : "1", "issued" : { "date-parts" : [ [ "2012" ] ] }, "page" : "536-543", "title" : "Population pharmacokinetics of liposomal amphotericin B and caspofungin in allogeneic hematopoietic stem cell recipients", "type" : "article-journal", "volume" : "56" }, "uris" : [ "http://www.mendeley.com/documents/?uuid=6db84ddf-8739-40fa-a1a6-7c14f68ccd92" ] } ], "mendeley" : { "formattedCitation" : "[91]", "plainTextFormattedCitation" : "[91]", "previouslyFormattedCitation" : "[91]" }, "properties" : { "noteIndex" : 0 }, "schema" : "https://github.com/citation-style-language/schema/raw/master/csl-citation.json" }</w:instrText>
            </w:r>
            <w:r>
              <w:rPr>
                <w:rFonts w:cs="Times New Roman"/>
                <w:sz w:val="16"/>
                <w:szCs w:val="16"/>
              </w:rPr>
              <w:fldChar w:fldCharType="separate"/>
            </w:r>
            <w:r w:rsidRPr="00B244DA">
              <w:rPr>
                <w:rFonts w:cs="Times New Roman"/>
                <w:noProof/>
                <w:sz w:val="16"/>
                <w:szCs w:val="16"/>
              </w:rPr>
              <w:t>[91]</w:t>
            </w:r>
            <w:r>
              <w:rPr>
                <w:rFonts w:cs="Times New Roman"/>
                <w:sz w:val="16"/>
                <w:szCs w:val="16"/>
              </w:rPr>
              <w:fldChar w:fldCharType="end"/>
            </w:r>
          </w:p>
        </w:tc>
        <w:tc>
          <w:tcPr>
            <w:tcW w:w="1701" w:type="dxa"/>
            <w:tcBorders>
              <w:top w:val="single" w:sz="4" w:space="0" w:color="auto"/>
              <w:left w:val="nil"/>
              <w:bottom w:val="dashSmallGap" w:sz="4" w:space="0" w:color="auto"/>
              <w:right w:val="nil"/>
            </w:tcBorders>
          </w:tcPr>
          <w:p w:rsidR="00480B73" w:rsidRPr="002325F7" w:rsidRDefault="00480B73" w:rsidP="00264CE2">
            <w:pPr>
              <w:rPr>
                <w:rFonts w:cs="Times New Roman"/>
                <w:sz w:val="16"/>
                <w:szCs w:val="16"/>
                <w:lang w:val="en-US"/>
              </w:rPr>
            </w:pPr>
            <w:r>
              <w:rPr>
                <w:rFonts w:cs="Times New Roman"/>
                <w:sz w:val="16"/>
                <w:szCs w:val="16"/>
              </w:rPr>
              <w:t>Allogeneic hematopoietic stem cell recipients</w:t>
            </w:r>
          </w:p>
        </w:tc>
        <w:tc>
          <w:tcPr>
            <w:tcW w:w="1134" w:type="dxa"/>
            <w:gridSpan w:val="2"/>
            <w:tcBorders>
              <w:top w:val="single" w:sz="4" w:space="0" w:color="auto"/>
              <w:left w:val="nil"/>
              <w:bottom w:val="dashSmallGap" w:sz="4" w:space="0" w:color="auto"/>
              <w:right w:val="nil"/>
            </w:tcBorders>
          </w:tcPr>
          <w:p w:rsidR="00480B73" w:rsidRDefault="00480B73" w:rsidP="00264CE2">
            <w:pPr>
              <w:jc w:val="both"/>
              <w:rPr>
                <w:rFonts w:cs="Times New Roman"/>
                <w:sz w:val="16"/>
                <w:szCs w:val="16"/>
                <w:lang w:val="en-US"/>
              </w:rPr>
            </w:pPr>
            <w:r>
              <w:rPr>
                <w:rFonts w:cs="Times New Roman"/>
                <w:sz w:val="16"/>
                <w:szCs w:val="16"/>
              </w:rPr>
              <w:t>Germany</w:t>
            </w:r>
          </w:p>
        </w:tc>
        <w:tc>
          <w:tcPr>
            <w:tcW w:w="850" w:type="dxa"/>
            <w:gridSpan w:val="2"/>
            <w:tcBorders>
              <w:top w:val="single" w:sz="4" w:space="0" w:color="auto"/>
              <w:left w:val="nil"/>
              <w:bottom w:val="dashSmallGap" w:sz="4" w:space="0" w:color="auto"/>
              <w:right w:val="nil"/>
            </w:tcBorders>
          </w:tcPr>
          <w:p w:rsidR="00480B73" w:rsidRDefault="00480B73" w:rsidP="00264CE2">
            <w:pPr>
              <w:jc w:val="both"/>
              <w:rPr>
                <w:rFonts w:cs="Times New Roman"/>
                <w:sz w:val="16"/>
                <w:szCs w:val="16"/>
                <w:lang w:val="en-US"/>
              </w:rPr>
            </w:pPr>
          </w:p>
        </w:tc>
        <w:tc>
          <w:tcPr>
            <w:tcW w:w="993" w:type="dxa"/>
            <w:gridSpan w:val="2"/>
            <w:tcBorders>
              <w:top w:val="single" w:sz="4" w:space="0" w:color="auto"/>
              <w:left w:val="nil"/>
              <w:bottom w:val="dashSmallGap" w:sz="4" w:space="0" w:color="auto"/>
              <w:right w:val="nil"/>
            </w:tcBorders>
          </w:tcPr>
          <w:p w:rsidR="00480B73" w:rsidRDefault="00480B73" w:rsidP="00264CE2">
            <w:pPr>
              <w:jc w:val="both"/>
              <w:rPr>
                <w:rFonts w:cs="Times New Roman"/>
                <w:sz w:val="16"/>
                <w:szCs w:val="16"/>
              </w:rPr>
            </w:pPr>
          </w:p>
        </w:tc>
        <w:tc>
          <w:tcPr>
            <w:tcW w:w="992" w:type="dxa"/>
            <w:tcBorders>
              <w:top w:val="single" w:sz="4" w:space="0" w:color="auto"/>
              <w:left w:val="nil"/>
              <w:bottom w:val="dashSmallGap" w:sz="4" w:space="0" w:color="auto"/>
              <w:right w:val="nil"/>
            </w:tcBorders>
          </w:tcPr>
          <w:p w:rsidR="00480B73" w:rsidRPr="00144BC4" w:rsidRDefault="00480B73" w:rsidP="00264CE2">
            <w:pPr>
              <w:jc w:val="both"/>
              <w:rPr>
                <w:rFonts w:cs="Times New Roman"/>
                <w:sz w:val="16"/>
                <w:szCs w:val="16"/>
                <w:lang w:val="en-US"/>
              </w:rPr>
            </w:pPr>
          </w:p>
        </w:tc>
        <w:tc>
          <w:tcPr>
            <w:tcW w:w="850" w:type="dxa"/>
            <w:tcBorders>
              <w:top w:val="single" w:sz="4" w:space="0" w:color="auto"/>
              <w:left w:val="nil"/>
              <w:bottom w:val="dashSmallGap" w:sz="4" w:space="0" w:color="auto"/>
              <w:right w:val="nil"/>
            </w:tcBorders>
          </w:tcPr>
          <w:p w:rsidR="00480B73" w:rsidRDefault="00480B73" w:rsidP="00264CE2">
            <w:pPr>
              <w:jc w:val="both"/>
              <w:rPr>
                <w:rFonts w:cs="Times New Roman"/>
                <w:sz w:val="16"/>
                <w:szCs w:val="16"/>
                <w:lang w:val="en-US"/>
              </w:rPr>
            </w:pPr>
          </w:p>
        </w:tc>
        <w:tc>
          <w:tcPr>
            <w:tcW w:w="1134" w:type="dxa"/>
            <w:gridSpan w:val="2"/>
            <w:tcBorders>
              <w:top w:val="single" w:sz="4" w:space="0" w:color="auto"/>
              <w:left w:val="nil"/>
              <w:bottom w:val="dashSmallGap" w:sz="4" w:space="0" w:color="auto"/>
              <w:right w:val="nil"/>
            </w:tcBorders>
          </w:tcPr>
          <w:p w:rsidR="00480B73" w:rsidRPr="00C5648D" w:rsidRDefault="00480B73" w:rsidP="00264CE2">
            <w:pPr>
              <w:jc w:val="both"/>
              <w:rPr>
                <w:rFonts w:cs="Times New Roman"/>
                <w:sz w:val="16"/>
                <w:szCs w:val="16"/>
              </w:rPr>
            </w:pPr>
            <w:r w:rsidRPr="00D47A06">
              <w:rPr>
                <w:rFonts w:cs="Times New Roman"/>
                <w:sz w:val="16"/>
                <w:szCs w:val="16"/>
              </w:rPr>
              <w:t>L-AMB (AmBisome)</w:t>
            </w:r>
          </w:p>
        </w:tc>
        <w:tc>
          <w:tcPr>
            <w:tcW w:w="1276" w:type="dxa"/>
            <w:gridSpan w:val="2"/>
            <w:tcBorders>
              <w:top w:val="single" w:sz="4" w:space="0" w:color="auto"/>
              <w:left w:val="nil"/>
              <w:bottom w:val="dashSmallGap" w:sz="4" w:space="0" w:color="auto"/>
              <w:right w:val="nil"/>
            </w:tcBorders>
          </w:tcPr>
          <w:p w:rsidR="00480B73" w:rsidRDefault="00480B73" w:rsidP="00264CE2">
            <w:pPr>
              <w:jc w:val="both"/>
              <w:rPr>
                <w:rFonts w:cs="Times New Roman"/>
                <w:sz w:val="16"/>
                <w:szCs w:val="16"/>
              </w:rPr>
            </w:pPr>
            <w:r>
              <w:rPr>
                <w:rFonts w:cs="Times New Roman"/>
                <w:sz w:val="16"/>
                <w:szCs w:val="16"/>
              </w:rPr>
              <w:t>IV</w:t>
            </w:r>
          </w:p>
        </w:tc>
        <w:tc>
          <w:tcPr>
            <w:tcW w:w="1134" w:type="dxa"/>
            <w:gridSpan w:val="2"/>
            <w:tcBorders>
              <w:top w:val="single" w:sz="4" w:space="0" w:color="auto"/>
              <w:left w:val="nil"/>
              <w:bottom w:val="dashSmallGap" w:sz="4" w:space="0" w:color="auto"/>
              <w:right w:val="nil"/>
            </w:tcBorders>
          </w:tcPr>
          <w:p w:rsidR="00480B73" w:rsidRDefault="00480B73" w:rsidP="00264CE2">
            <w:pPr>
              <w:jc w:val="both"/>
              <w:rPr>
                <w:rFonts w:cs="Times New Roman"/>
                <w:sz w:val="16"/>
                <w:szCs w:val="16"/>
              </w:rPr>
            </w:pPr>
            <w:r>
              <w:rPr>
                <w:rFonts w:cs="Times New Roman"/>
                <w:sz w:val="16"/>
                <w:szCs w:val="16"/>
              </w:rPr>
              <w:t>HPLC-UV</w:t>
            </w:r>
          </w:p>
          <w:p w:rsidR="00480B73" w:rsidRDefault="00480B73" w:rsidP="00264CE2">
            <w:pPr>
              <w:jc w:val="both"/>
              <w:rPr>
                <w:rFonts w:cs="Times New Roman"/>
                <w:sz w:val="16"/>
                <w:szCs w:val="16"/>
              </w:rPr>
            </w:pPr>
            <w:r>
              <w:rPr>
                <w:rFonts w:cs="Times New Roman"/>
                <w:sz w:val="16"/>
                <w:szCs w:val="16"/>
              </w:rPr>
              <w:t>(total AMB)</w:t>
            </w:r>
          </w:p>
        </w:tc>
        <w:tc>
          <w:tcPr>
            <w:tcW w:w="851" w:type="dxa"/>
            <w:gridSpan w:val="2"/>
            <w:tcBorders>
              <w:top w:val="single" w:sz="4" w:space="0" w:color="auto"/>
              <w:left w:val="nil"/>
              <w:bottom w:val="dashSmallGap" w:sz="4" w:space="0" w:color="auto"/>
              <w:right w:val="nil"/>
            </w:tcBorders>
          </w:tcPr>
          <w:p w:rsidR="00480B73" w:rsidRDefault="00480B73" w:rsidP="00264CE2">
            <w:pPr>
              <w:jc w:val="both"/>
              <w:rPr>
                <w:rFonts w:cs="Times New Roman"/>
                <w:sz w:val="16"/>
                <w:szCs w:val="16"/>
              </w:rPr>
            </w:pPr>
            <w:r>
              <w:rPr>
                <w:rFonts w:cs="Times New Roman"/>
                <w:sz w:val="16"/>
                <w:szCs w:val="16"/>
              </w:rPr>
              <w:t>0.1</w:t>
            </w:r>
          </w:p>
        </w:tc>
        <w:tc>
          <w:tcPr>
            <w:tcW w:w="1275" w:type="dxa"/>
            <w:gridSpan w:val="2"/>
            <w:tcBorders>
              <w:top w:val="single" w:sz="4" w:space="0" w:color="auto"/>
              <w:left w:val="nil"/>
              <w:bottom w:val="dashSmallGap" w:sz="4" w:space="0" w:color="auto"/>
              <w:right w:val="nil"/>
            </w:tcBorders>
          </w:tcPr>
          <w:p w:rsidR="00480B73" w:rsidRPr="00436D4F" w:rsidRDefault="00480B73" w:rsidP="00264CE2">
            <w:pPr>
              <w:jc w:val="both"/>
              <w:rPr>
                <w:rFonts w:cs="Times New Roman"/>
                <w:sz w:val="16"/>
                <w:szCs w:val="16"/>
                <w:lang w:val="en-US"/>
              </w:rPr>
            </w:pPr>
            <w:r>
              <w:rPr>
                <w:rFonts w:cs="Times New Roman"/>
                <w:sz w:val="16"/>
                <w:szCs w:val="16"/>
              </w:rPr>
              <w:t>Compartmental (population-based)</w:t>
            </w:r>
          </w:p>
        </w:tc>
        <w:tc>
          <w:tcPr>
            <w:tcW w:w="993" w:type="dxa"/>
            <w:tcBorders>
              <w:top w:val="single" w:sz="4" w:space="0" w:color="auto"/>
              <w:left w:val="nil"/>
              <w:bottom w:val="dashSmallGap" w:sz="4" w:space="0" w:color="auto"/>
              <w:right w:val="nil"/>
            </w:tcBorders>
          </w:tcPr>
          <w:p w:rsidR="00480B73" w:rsidRPr="00436D4F" w:rsidRDefault="00480B73" w:rsidP="00264CE2">
            <w:pPr>
              <w:jc w:val="both"/>
              <w:rPr>
                <w:rFonts w:cs="Times New Roman"/>
                <w:sz w:val="16"/>
                <w:szCs w:val="16"/>
                <w:lang w:val="en-US"/>
              </w:rPr>
            </w:pPr>
            <w:r>
              <w:rPr>
                <w:rFonts w:cs="Times New Roman"/>
                <w:sz w:val="16"/>
                <w:szCs w:val="16"/>
              </w:rPr>
              <w:t>2-CMT</w:t>
            </w:r>
          </w:p>
        </w:tc>
      </w:tr>
      <w:tr w:rsidR="00480B73" w:rsidRPr="00436D4F" w:rsidTr="00264CE2">
        <w:trPr>
          <w:trHeight w:val="70"/>
        </w:trPr>
        <w:tc>
          <w:tcPr>
            <w:tcW w:w="959" w:type="dxa"/>
            <w:tcBorders>
              <w:top w:val="nil"/>
              <w:left w:val="nil"/>
              <w:bottom w:val="nil"/>
              <w:right w:val="nil"/>
            </w:tcBorders>
          </w:tcPr>
          <w:p w:rsidR="00480B73" w:rsidRPr="003B68E7" w:rsidRDefault="00480B73" w:rsidP="00264CE2">
            <w:pPr>
              <w:jc w:val="both"/>
              <w:rPr>
                <w:rFonts w:cs="Times New Roman"/>
                <w:sz w:val="16"/>
                <w:szCs w:val="16"/>
                <w:lang w:val="en-US"/>
              </w:rPr>
            </w:pPr>
          </w:p>
        </w:tc>
        <w:tc>
          <w:tcPr>
            <w:tcW w:w="1701" w:type="dxa"/>
            <w:tcBorders>
              <w:top w:val="dashSmallGap" w:sz="4" w:space="0" w:color="auto"/>
              <w:left w:val="nil"/>
              <w:bottom w:val="dashSmallGap" w:sz="4" w:space="0" w:color="auto"/>
              <w:right w:val="nil"/>
            </w:tcBorders>
          </w:tcPr>
          <w:p w:rsidR="00480B73" w:rsidRPr="002325F7" w:rsidRDefault="00480B73" w:rsidP="00264CE2">
            <w:pPr>
              <w:rPr>
                <w:rFonts w:cs="Times New Roman"/>
                <w:sz w:val="16"/>
                <w:szCs w:val="16"/>
                <w:lang w:val="en-US"/>
              </w:rPr>
            </w:pPr>
            <w:r>
              <w:rPr>
                <w:rFonts w:cs="Times New Roman"/>
                <w:sz w:val="16"/>
                <w:szCs w:val="16"/>
              </w:rPr>
              <w:t>L-AmpB monotherapy</w:t>
            </w:r>
          </w:p>
        </w:tc>
        <w:tc>
          <w:tcPr>
            <w:tcW w:w="1134" w:type="dxa"/>
            <w:gridSpan w:val="2"/>
            <w:tcBorders>
              <w:top w:val="dashSmallGap" w:sz="4" w:space="0" w:color="auto"/>
              <w:left w:val="nil"/>
              <w:bottom w:val="dashSmallGap" w:sz="4" w:space="0" w:color="auto"/>
              <w:right w:val="nil"/>
            </w:tcBorders>
          </w:tcPr>
          <w:p w:rsidR="00480B73" w:rsidRDefault="00480B73" w:rsidP="00264CE2">
            <w:pPr>
              <w:jc w:val="both"/>
              <w:rPr>
                <w:rFonts w:cs="Times New Roman"/>
                <w:sz w:val="16"/>
                <w:szCs w:val="16"/>
                <w:lang w:val="en-US"/>
              </w:rPr>
            </w:pPr>
          </w:p>
        </w:tc>
        <w:tc>
          <w:tcPr>
            <w:tcW w:w="850" w:type="dxa"/>
            <w:gridSpan w:val="2"/>
            <w:tcBorders>
              <w:top w:val="dashSmallGap" w:sz="4" w:space="0" w:color="auto"/>
              <w:left w:val="nil"/>
              <w:bottom w:val="dashSmallGap" w:sz="4" w:space="0" w:color="auto"/>
              <w:right w:val="nil"/>
            </w:tcBorders>
          </w:tcPr>
          <w:p w:rsidR="00480B73" w:rsidRDefault="00480B73" w:rsidP="00264CE2">
            <w:pPr>
              <w:jc w:val="both"/>
              <w:rPr>
                <w:rFonts w:cs="Times New Roman"/>
                <w:sz w:val="16"/>
                <w:szCs w:val="16"/>
                <w:lang w:val="en-US"/>
              </w:rPr>
            </w:pPr>
            <w:r>
              <w:rPr>
                <w:rFonts w:cs="Times New Roman"/>
                <w:sz w:val="16"/>
                <w:szCs w:val="16"/>
              </w:rPr>
              <w:t>17</w:t>
            </w:r>
          </w:p>
        </w:tc>
        <w:tc>
          <w:tcPr>
            <w:tcW w:w="993" w:type="dxa"/>
            <w:gridSpan w:val="2"/>
            <w:tcBorders>
              <w:top w:val="dashSmallGap" w:sz="4" w:space="0" w:color="auto"/>
              <w:left w:val="nil"/>
              <w:bottom w:val="dashSmallGap" w:sz="4" w:space="0" w:color="auto"/>
              <w:right w:val="nil"/>
            </w:tcBorders>
          </w:tcPr>
          <w:p w:rsidR="00480B73" w:rsidRDefault="00480B73" w:rsidP="00264CE2">
            <w:pPr>
              <w:jc w:val="both"/>
              <w:rPr>
                <w:rFonts w:cs="Times New Roman"/>
                <w:sz w:val="16"/>
                <w:szCs w:val="16"/>
              </w:rPr>
            </w:pPr>
            <w:r>
              <w:rPr>
                <w:rFonts w:cs="Times New Roman"/>
                <w:sz w:val="16"/>
                <w:szCs w:val="16"/>
              </w:rPr>
              <w:t>39 (18-60)</w:t>
            </w:r>
          </w:p>
        </w:tc>
        <w:tc>
          <w:tcPr>
            <w:tcW w:w="992" w:type="dxa"/>
            <w:tcBorders>
              <w:top w:val="dashSmallGap" w:sz="4" w:space="0" w:color="auto"/>
              <w:left w:val="nil"/>
              <w:bottom w:val="dashSmallGap" w:sz="4" w:space="0" w:color="auto"/>
              <w:right w:val="nil"/>
            </w:tcBorders>
          </w:tcPr>
          <w:p w:rsidR="00480B73" w:rsidRPr="00144BC4" w:rsidRDefault="00480B73" w:rsidP="00264CE2">
            <w:pPr>
              <w:jc w:val="both"/>
              <w:rPr>
                <w:rFonts w:cs="Times New Roman"/>
                <w:sz w:val="16"/>
                <w:szCs w:val="16"/>
                <w:lang w:val="en-US"/>
              </w:rPr>
            </w:pPr>
            <w:r>
              <w:rPr>
                <w:rFonts w:cs="Times New Roman"/>
                <w:sz w:val="16"/>
                <w:szCs w:val="16"/>
              </w:rPr>
              <w:t>72 (44-105)</w:t>
            </w:r>
          </w:p>
        </w:tc>
        <w:tc>
          <w:tcPr>
            <w:tcW w:w="850" w:type="dxa"/>
            <w:tcBorders>
              <w:top w:val="dashSmallGap" w:sz="4" w:space="0" w:color="auto"/>
              <w:left w:val="nil"/>
              <w:bottom w:val="dashSmallGap" w:sz="4" w:space="0" w:color="auto"/>
              <w:right w:val="nil"/>
            </w:tcBorders>
          </w:tcPr>
          <w:p w:rsidR="00480B73" w:rsidRDefault="00480B73" w:rsidP="00264CE2">
            <w:pPr>
              <w:jc w:val="both"/>
              <w:rPr>
                <w:rFonts w:cs="Times New Roman"/>
                <w:sz w:val="16"/>
                <w:szCs w:val="16"/>
                <w:lang w:val="en-US"/>
              </w:rPr>
            </w:pPr>
            <w:r>
              <w:rPr>
                <w:rFonts w:cs="Times New Roman"/>
                <w:sz w:val="16"/>
                <w:szCs w:val="16"/>
              </w:rPr>
              <w:t>65%</w:t>
            </w:r>
          </w:p>
        </w:tc>
        <w:tc>
          <w:tcPr>
            <w:tcW w:w="1134" w:type="dxa"/>
            <w:gridSpan w:val="2"/>
            <w:tcBorders>
              <w:top w:val="nil"/>
              <w:left w:val="nil"/>
              <w:bottom w:val="nil"/>
              <w:right w:val="nil"/>
            </w:tcBorders>
          </w:tcPr>
          <w:p w:rsidR="00480B73" w:rsidRPr="00C5648D" w:rsidRDefault="00480B73" w:rsidP="00264CE2">
            <w:pPr>
              <w:jc w:val="both"/>
              <w:rPr>
                <w:rFonts w:cs="Times New Roman"/>
                <w:sz w:val="16"/>
                <w:szCs w:val="16"/>
              </w:rPr>
            </w:pPr>
          </w:p>
        </w:tc>
        <w:tc>
          <w:tcPr>
            <w:tcW w:w="1276" w:type="dxa"/>
            <w:gridSpan w:val="2"/>
            <w:tcBorders>
              <w:top w:val="nil"/>
              <w:left w:val="nil"/>
              <w:bottom w:val="nil"/>
              <w:right w:val="nil"/>
            </w:tcBorders>
          </w:tcPr>
          <w:p w:rsidR="00480B73" w:rsidRDefault="00480B73" w:rsidP="00264CE2">
            <w:pPr>
              <w:jc w:val="both"/>
              <w:rPr>
                <w:rFonts w:cs="Times New Roman"/>
                <w:sz w:val="16"/>
                <w:szCs w:val="16"/>
              </w:rPr>
            </w:pPr>
          </w:p>
        </w:tc>
        <w:tc>
          <w:tcPr>
            <w:tcW w:w="1134" w:type="dxa"/>
            <w:gridSpan w:val="2"/>
            <w:tcBorders>
              <w:top w:val="nil"/>
              <w:left w:val="nil"/>
              <w:bottom w:val="nil"/>
              <w:right w:val="nil"/>
            </w:tcBorders>
          </w:tcPr>
          <w:p w:rsidR="00480B73" w:rsidRDefault="00480B73" w:rsidP="00264CE2">
            <w:pPr>
              <w:jc w:val="both"/>
              <w:rPr>
                <w:rFonts w:cs="Times New Roman"/>
                <w:sz w:val="16"/>
                <w:szCs w:val="16"/>
              </w:rPr>
            </w:pPr>
          </w:p>
        </w:tc>
        <w:tc>
          <w:tcPr>
            <w:tcW w:w="851" w:type="dxa"/>
            <w:gridSpan w:val="2"/>
            <w:tcBorders>
              <w:top w:val="nil"/>
              <w:left w:val="nil"/>
              <w:bottom w:val="nil"/>
              <w:right w:val="nil"/>
            </w:tcBorders>
          </w:tcPr>
          <w:p w:rsidR="00480B73" w:rsidRDefault="00480B73" w:rsidP="00264CE2">
            <w:pPr>
              <w:jc w:val="both"/>
              <w:rPr>
                <w:rFonts w:cs="Times New Roman"/>
                <w:sz w:val="16"/>
                <w:szCs w:val="16"/>
              </w:rPr>
            </w:pPr>
          </w:p>
        </w:tc>
        <w:tc>
          <w:tcPr>
            <w:tcW w:w="1275" w:type="dxa"/>
            <w:gridSpan w:val="2"/>
            <w:tcBorders>
              <w:top w:val="nil"/>
              <w:left w:val="nil"/>
              <w:bottom w:val="nil"/>
              <w:right w:val="nil"/>
            </w:tcBorders>
          </w:tcPr>
          <w:p w:rsidR="00480B73" w:rsidRPr="00436D4F" w:rsidRDefault="00480B73" w:rsidP="00264CE2">
            <w:pPr>
              <w:jc w:val="both"/>
              <w:rPr>
                <w:rFonts w:cs="Times New Roman"/>
                <w:sz w:val="16"/>
                <w:szCs w:val="16"/>
                <w:lang w:val="en-US"/>
              </w:rPr>
            </w:pPr>
          </w:p>
        </w:tc>
        <w:tc>
          <w:tcPr>
            <w:tcW w:w="993" w:type="dxa"/>
            <w:tcBorders>
              <w:top w:val="nil"/>
              <w:left w:val="nil"/>
              <w:bottom w:val="nil"/>
              <w:right w:val="nil"/>
            </w:tcBorders>
          </w:tcPr>
          <w:p w:rsidR="00480B73" w:rsidRPr="00436D4F" w:rsidRDefault="00480B73" w:rsidP="00264CE2">
            <w:pPr>
              <w:jc w:val="both"/>
              <w:rPr>
                <w:rFonts w:cs="Times New Roman"/>
                <w:sz w:val="16"/>
                <w:szCs w:val="16"/>
                <w:lang w:val="en-US"/>
              </w:rPr>
            </w:pPr>
          </w:p>
        </w:tc>
      </w:tr>
      <w:tr w:rsidR="00480B73" w:rsidRPr="00436D4F" w:rsidTr="00264CE2">
        <w:trPr>
          <w:trHeight w:val="70"/>
        </w:trPr>
        <w:tc>
          <w:tcPr>
            <w:tcW w:w="959" w:type="dxa"/>
            <w:tcBorders>
              <w:top w:val="nil"/>
              <w:left w:val="nil"/>
              <w:bottom w:val="single" w:sz="4" w:space="0" w:color="auto"/>
              <w:right w:val="nil"/>
            </w:tcBorders>
          </w:tcPr>
          <w:p w:rsidR="00480B73" w:rsidRPr="003B68E7" w:rsidRDefault="00480B73" w:rsidP="00264CE2">
            <w:pPr>
              <w:jc w:val="both"/>
              <w:rPr>
                <w:rFonts w:cs="Times New Roman"/>
                <w:sz w:val="16"/>
                <w:szCs w:val="16"/>
                <w:lang w:val="en-US"/>
              </w:rPr>
            </w:pPr>
          </w:p>
        </w:tc>
        <w:tc>
          <w:tcPr>
            <w:tcW w:w="1701" w:type="dxa"/>
            <w:tcBorders>
              <w:top w:val="dashSmallGap" w:sz="4" w:space="0" w:color="auto"/>
              <w:left w:val="nil"/>
              <w:bottom w:val="single" w:sz="4" w:space="0" w:color="auto"/>
              <w:right w:val="nil"/>
            </w:tcBorders>
          </w:tcPr>
          <w:p w:rsidR="00480B73" w:rsidRPr="002325F7" w:rsidRDefault="00480B73" w:rsidP="00264CE2">
            <w:pPr>
              <w:rPr>
                <w:rFonts w:cs="Times New Roman"/>
                <w:sz w:val="16"/>
                <w:szCs w:val="16"/>
                <w:lang w:val="en-US"/>
              </w:rPr>
            </w:pPr>
            <w:r>
              <w:rPr>
                <w:rFonts w:cs="Times New Roman"/>
                <w:sz w:val="16"/>
                <w:szCs w:val="16"/>
              </w:rPr>
              <w:t>L</w:t>
            </w:r>
            <w:r w:rsidRPr="00BC60C9">
              <w:rPr>
                <w:rFonts w:cs="Times New Roman"/>
                <w:sz w:val="16"/>
                <w:szCs w:val="16"/>
              </w:rPr>
              <w:t>-AmpB+ CAS</w:t>
            </w:r>
            <w:r>
              <w:rPr>
                <w:rFonts w:cs="Times New Roman"/>
                <w:sz w:val="16"/>
                <w:szCs w:val="16"/>
                <w:vertAlign w:val="superscript"/>
              </w:rPr>
              <w:t>d</w:t>
            </w:r>
          </w:p>
        </w:tc>
        <w:tc>
          <w:tcPr>
            <w:tcW w:w="1134" w:type="dxa"/>
            <w:gridSpan w:val="2"/>
            <w:tcBorders>
              <w:top w:val="dashSmallGap" w:sz="4" w:space="0" w:color="auto"/>
              <w:left w:val="nil"/>
              <w:bottom w:val="single" w:sz="4" w:space="0" w:color="auto"/>
              <w:right w:val="nil"/>
            </w:tcBorders>
          </w:tcPr>
          <w:p w:rsidR="00480B73" w:rsidRDefault="00480B73" w:rsidP="00264CE2">
            <w:pPr>
              <w:jc w:val="both"/>
              <w:rPr>
                <w:rFonts w:cs="Times New Roman"/>
                <w:sz w:val="16"/>
                <w:szCs w:val="16"/>
                <w:lang w:val="en-US"/>
              </w:rPr>
            </w:pPr>
          </w:p>
        </w:tc>
        <w:tc>
          <w:tcPr>
            <w:tcW w:w="850" w:type="dxa"/>
            <w:gridSpan w:val="2"/>
            <w:tcBorders>
              <w:top w:val="dashSmallGap" w:sz="4" w:space="0" w:color="auto"/>
              <w:left w:val="nil"/>
              <w:bottom w:val="single" w:sz="4" w:space="0" w:color="auto"/>
              <w:right w:val="nil"/>
            </w:tcBorders>
          </w:tcPr>
          <w:p w:rsidR="00480B73" w:rsidRDefault="00480B73" w:rsidP="00264CE2">
            <w:pPr>
              <w:jc w:val="both"/>
              <w:rPr>
                <w:rFonts w:cs="Times New Roman"/>
                <w:sz w:val="16"/>
                <w:szCs w:val="16"/>
                <w:lang w:val="en-US"/>
              </w:rPr>
            </w:pPr>
            <w:r>
              <w:rPr>
                <w:rFonts w:cs="Times New Roman"/>
                <w:sz w:val="16"/>
                <w:szCs w:val="16"/>
              </w:rPr>
              <w:t>17</w:t>
            </w:r>
          </w:p>
        </w:tc>
        <w:tc>
          <w:tcPr>
            <w:tcW w:w="993" w:type="dxa"/>
            <w:gridSpan w:val="2"/>
            <w:tcBorders>
              <w:top w:val="dashSmallGap" w:sz="4" w:space="0" w:color="auto"/>
              <w:left w:val="nil"/>
              <w:bottom w:val="single" w:sz="4" w:space="0" w:color="auto"/>
              <w:right w:val="nil"/>
            </w:tcBorders>
          </w:tcPr>
          <w:p w:rsidR="00480B73" w:rsidRDefault="00480B73" w:rsidP="00264CE2">
            <w:pPr>
              <w:jc w:val="both"/>
              <w:rPr>
                <w:rFonts w:cs="Times New Roman"/>
                <w:sz w:val="16"/>
                <w:szCs w:val="16"/>
              </w:rPr>
            </w:pPr>
            <w:r>
              <w:rPr>
                <w:rFonts w:cs="Times New Roman"/>
                <w:sz w:val="16"/>
                <w:szCs w:val="16"/>
              </w:rPr>
              <w:t>48 (20-61)</w:t>
            </w:r>
          </w:p>
        </w:tc>
        <w:tc>
          <w:tcPr>
            <w:tcW w:w="992" w:type="dxa"/>
            <w:tcBorders>
              <w:top w:val="dashSmallGap" w:sz="4" w:space="0" w:color="auto"/>
              <w:left w:val="nil"/>
              <w:bottom w:val="single" w:sz="4" w:space="0" w:color="auto"/>
              <w:right w:val="nil"/>
            </w:tcBorders>
          </w:tcPr>
          <w:p w:rsidR="00480B73" w:rsidRPr="00144BC4" w:rsidRDefault="00480B73" w:rsidP="00264CE2">
            <w:pPr>
              <w:jc w:val="both"/>
              <w:rPr>
                <w:rFonts w:cs="Times New Roman"/>
                <w:sz w:val="16"/>
                <w:szCs w:val="16"/>
                <w:lang w:val="en-US"/>
              </w:rPr>
            </w:pPr>
            <w:r>
              <w:rPr>
                <w:rFonts w:cs="Times New Roman"/>
                <w:sz w:val="16"/>
                <w:szCs w:val="16"/>
              </w:rPr>
              <w:t>80 (54-99)</w:t>
            </w:r>
          </w:p>
        </w:tc>
        <w:tc>
          <w:tcPr>
            <w:tcW w:w="850" w:type="dxa"/>
            <w:tcBorders>
              <w:top w:val="dashSmallGap" w:sz="4" w:space="0" w:color="auto"/>
              <w:left w:val="nil"/>
              <w:bottom w:val="single" w:sz="4" w:space="0" w:color="auto"/>
              <w:right w:val="nil"/>
            </w:tcBorders>
          </w:tcPr>
          <w:p w:rsidR="00480B73" w:rsidRDefault="00480B73" w:rsidP="00264CE2">
            <w:pPr>
              <w:jc w:val="both"/>
              <w:rPr>
                <w:rFonts w:cs="Times New Roman"/>
                <w:sz w:val="16"/>
                <w:szCs w:val="16"/>
                <w:lang w:val="en-US"/>
              </w:rPr>
            </w:pPr>
            <w:r>
              <w:rPr>
                <w:rFonts w:cs="Times New Roman"/>
                <w:sz w:val="16"/>
                <w:szCs w:val="16"/>
              </w:rPr>
              <w:t>59%</w:t>
            </w:r>
          </w:p>
        </w:tc>
        <w:tc>
          <w:tcPr>
            <w:tcW w:w="1134" w:type="dxa"/>
            <w:gridSpan w:val="2"/>
            <w:tcBorders>
              <w:top w:val="nil"/>
              <w:left w:val="nil"/>
              <w:bottom w:val="single" w:sz="4" w:space="0" w:color="auto"/>
              <w:right w:val="nil"/>
            </w:tcBorders>
          </w:tcPr>
          <w:p w:rsidR="00480B73" w:rsidRPr="00C5648D" w:rsidRDefault="00480B73" w:rsidP="00264CE2">
            <w:pPr>
              <w:jc w:val="both"/>
              <w:rPr>
                <w:rFonts w:cs="Times New Roman"/>
                <w:sz w:val="16"/>
                <w:szCs w:val="16"/>
              </w:rPr>
            </w:pPr>
          </w:p>
        </w:tc>
        <w:tc>
          <w:tcPr>
            <w:tcW w:w="1276" w:type="dxa"/>
            <w:gridSpan w:val="2"/>
            <w:tcBorders>
              <w:top w:val="nil"/>
              <w:left w:val="nil"/>
              <w:bottom w:val="single" w:sz="4" w:space="0" w:color="auto"/>
              <w:right w:val="nil"/>
            </w:tcBorders>
          </w:tcPr>
          <w:p w:rsidR="00480B73" w:rsidRDefault="00480B73" w:rsidP="00264CE2">
            <w:pPr>
              <w:jc w:val="both"/>
              <w:rPr>
                <w:rFonts w:cs="Times New Roman"/>
                <w:sz w:val="16"/>
                <w:szCs w:val="16"/>
              </w:rPr>
            </w:pPr>
          </w:p>
        </w:tc>
        <w:tc>
          <w:tcPr>
            <w:tcW w:w="1134" w:type="dxa"/>
            <w:gridSpan w:val="2"/>
            <w:tcBorders>
              <w:top w:val="nil"/>
              <w:left w:val="nil"/>
              <w:bottom w:val="single" w:sz="4" w:space="0" w:color="auto"/>
              <w:right w:val="nil"/>
            </w:tcBorders>
          </w:tcPr>
          <w:p w:rsidR="00480B73" w:rsidRDefault="00480B73" w:rsidP="00264CE2">
            <w:pPr>
              <w:jc w:val="both"/>
              <w:rPr>
                <w:rFonts w:cs="Times New Roman"/>
                <w:sz w:val="16"/>
                <w:szCs w:val="16"/>
              </w:rPr>
            </w:pPr>
          </w:p>
        </w:tc>
        <w:tc>
          <w:tcPr>
            <w:tcW w:w="851" w:type="dxa"/>
            <w:gridSpan w:val="2"/>
            <w:tcBorders>
              <w:top w:val="nil"/>
              <w:left w:val="nil"/>
              <w:bottom w:val="single" w:sz="4" w:space="0" w:color="auto"/>
              <w:right w:val="nil"/>
            </w:tcBorders>
          </w:tcPr>
          <w:p w:rsidR="00480B73" w:rsidRDefault="00480B73" w:rsidP="00264CE2">
            <w:pPr>
              <w:jc w:val="both"/>
              <w:rPr>
                <w:rFonts w:cs="Times New Roman"/>
                <w:sz w:val="16"/>
                <w:szCs w:val="16"/>
              </w:rPr>
            </w:pPr>
          </w:p>
        </w:tc>
        <w:tc>
          <w:tcPr>
            <w:tcW w:w="1275" w:type="dxa"/>
            <w:gridSpan w:val="2"/>
            <w:tcBorders>
              <w:top w:val="nil"/>
              <w:left w:val="nil"/>
              <w:bottom w:val="single" w:sz="4" w:space="0" w:color="auto"/>
              <w:right w:val="nil"/>
            </w:tcBorders>
          </w:tcPr>
          <w:p w:rsidR="00480B73" w:rsidRPr="00436D4F" w:rsidRDefault="00480B73" w:rsidP="00264CE2">
            <w:pPr>
              <w:jc w:val="both"/>
              <w:rPr>
                <w:rFonts w:cs="Times New Roman"/>
                <w:sz w:val="16"/>
                <w:szCs w:val="16"/>
                <w:lang w:val="en-US"/>
              </w:rPr>
            </w:pPr>
          </w:p>
        </w:tc>
        <w:tc>
          <w:tcPr>
            <w:tcW w:w="993" w:type="dxa"/>
            <w:tcBorders>
              <w:top w:val="nil"/>
              <w:left w:val="nil"/>
              <w:bottom w:val="single" w:sz="4" w:space="0" w:color="auto"/>
              <w:right w:val="nil"/>
            </w:tcBorders>
          </w:tcPr>
          <w:p w:rsidR="00480B73" w:rsidRPr="00436D4F" w:rsidRDefault="00480B73" w:rsidP="00264CE2">
            <w:pPr>
              <w:jc w:val="both"/>
              <w:rPr>
                <w:rFonts w:cs="Times New Roman"/>
                <w:sz w:val="16"/>
                <w:szCs w:val="16"/>
                <w:lang w:val="en-US"/>
              </w:rPr>
            </w:pPr>
          </w:p>
        </w:tc>
      </w:tr>
    </w:tbl>
    <w:p w:rsidR="00480B73" w:rsidRPr="00E2577D" w:rsidRDefault="00480B73" w:rsidP="00480B73">
      <w:pPr>
        <w:rPr>
          <w:sz w:val="16"/>
          <w:szCs w:val="16"/>
        </w:rPr>
      </w:pPr>
      <w:r w:rsidRPr="00E2577D">
        <w:rPr>
          <w:sz w:val="16"/>
          <w:szCs w:val="16"/>
        </w:rPr>
        <w:t xml:space="preserve">IV: intravenous, </w:t>
      </w:r>
      <w:proofErr w:type="spellStart"/>
      <w:r w:rsidRPr="00E2577D">
        <w:rPr>
          <w:sz w:val="16"/>
          <w:szCs w:val="16"/>
        </w:rPr>
        <w:t>LLOQ</w:t>
      </w:r>
      <w:proofErr w:type="spellEnd"/>
      <w:r w:rsidRPr="00E2577D">
        <w:rPr>
          <w:sz w:val="16"/>
          <w:szCs w:val="16"/>
        </w:rPr>
        <w:t xml:space="preserve">: lower limit of quantitation, </w:t>
      </w:r>
      <w:proofErr w:type="spellStart"/>
      <w:r w:rsidRPr="00E2577D">
        <w:rPr>
          <w:sz w:val="16"/>
          <w:szCs w:val="16"/>
        </w:rPr>
        <w:t>CMT</w:t>
      </w:r>
      <w:proofErr w:type="spellEnd"/>
      <w:r w:rsidRPr="00E2577D">
        <w:rPr>
          <w:sz w:val="16"/>
          <w:szCs w:val="16"/>
        </w:rPr>
        <w:t xml:space="preserve">: compartmental, </w:t>
      </w:r>
      <w:proofErr w:type="spellStart"/>
      <w:r w:rsidRPr="00E2577D">
        <w:rPr>
          <w:sz w:val="16"/>
          <w:szCs w:val="16"/>
        </w:rPr>
        <w:t>NCA</w:t>
      </w:r>
      <w:proofErr w:type="spellEnd"/>
      <w:r w:rsidRPr="00E2577D">
        <w:rPr>
          <w:sz w:val="16"/>
          <w:szCs w:val="16"/>
        </w:rPr>
        <w:t>: non-compartmental analysis, N/A: not available, HPLC: high-performance liquid chromatography, LC-MS/MS: liquid chromatography tandem mass spectrometry, L-</w:t>
      </w:r>
      <w:proofErr w:type="spellStart"/>
      <w:r w:rsidRPr="00E2577D">
        <w:rPr>
          <w:sz w:val="16"/>
          <w:szCs w:val="16"/>
        </w:rPr>
        <w:t>AMB</w:t>
      </w:r>
      <w:proofErr w:type="spellEnd"/>
      <w:r w:rsidRPr="00E2577D">
        <w:rPr>
          <w:sz w:val="16"/>
          <w:szCs w:val="16"/>
        </w:rPr>
        <w:t>: liposomal amphotericin B, D-</w:t>
      </w:r>
      <w:proofErr w:type="spellStart"/>
      <w:r w:rsidRPr="00E2577D">
        <w:rPr>
          <w:sz w:val="16"/>
          <w:szCs w:val="16"/>
        </w:rPr>
        <w:t>AMB</w:t>
      </w:r>
      <w:proofErr w:type="spellEnd"/>
      <w:r>
        <w:rPr>
          <w:sz w:val="16"/>
          <w:szCs w:val="16"/>
        </w:rPr>
        <w:t>: amphotericin B deoxycholate</w:t>
      </w:r>
    </w:p>
    <w:p w:rsidR="00480B73" w:rsidRPr="0057054A" w:rsidRDefault="00480B73" w:rsidP="00480B73">
      <w:pPr>
        <w:rPr>
          <w:sz w:val="16"/>
          <w:szCs w:val="18"/>
        </w:rPr>
      </w:pPr>
      <w:proofErr w:type="spellStart"/>
      <w:proofErr w:type="gramStart"/>
      <w:r>
        <w:rPr>
          <w:sz w:val="16"/>
          <w:szCs w:val="18"/>
          <w:vertAlign w:val="superscript"/>
        </w:rPr>
        <w:t>a</w:t>
      </w:r>
      <w:r w:rsidRPr="0057054A">
        <w:rPr>
          <w:sz w:val="16"/>
          <w:szCs w:val="18"/>
        </w:rPr>
        <w:t>PK</w:t>
      </w:r>
      <w:proofErr w:type="spellEnd"/>
      <w:proofErr w:type="gramEnd"/>
      <w:r w:rsidRPr="0057054A">
        <w:rPr>
          <w:sz w:val="16"/>
          <w:szCs w:val="18"/>
        </w:rPr>
        <w:t xml:space="preserve"> analysis only performed on 10 patients that received 2.8-3.0 mg/kg dose</w:t>
      </w:r>
    </w:p>
    <w:p w:rsidR="00480B73" w:rsidRDefault="00480B73" w:rsidP="00480B73">
      <w:pPr>
        <w:rPr>
          <w:sz w:val="16"/>
          <w:szCs w:val="18"/>
        </w:rPr>
      </w:pPr>
      <w:proofErr w:type="spellStart"/>
      <w:proofErr w:type="gramStart"/>
      <w:r>
        <w:rPr>
          <w:sz w:val="16"/>
          <w:szCs w:val="18"/>
          <w:vertAlign w:val="superscript"/>
        </w:rPr>
        <w:t>b</w:t>
      </w:r>
      <w:r w:rsidRPr="0057054A">
        <w:rPr>
          <w:sz w:val="16"/>
          <w:szCs w:val="18"/>
        </w:rPr>
        <w:t>Only</w:t>
      </w:r>
      <w:proofErr w:type="spellEnd"/>
      <w:proofErr w:type="gramEnd"/>
      <w:r w:rsidRPr="0057054A">
        <w:rPr>
          <w:sz w:val="16"/>
          <w:szCs w:val="18"/>
        </w:rPr>
        <w:t xml:space="preserve"> 28 out of 30 patients included in population </w:t>
      </w:r>
      <w:proofErr w:type="spellStart"/>
      <w:r w:rsidRPr="0057054A">
        <w:rPr>
          <w:sz w:val="16"/>
          <w:szCs w:val="18"/>
        </w:rPr>
        <w:t>PK</w:t>
      </w:r>
      <w:proofErr w:type="spellEnd"/>
      <w:r w:rsidRPr="0057054A">
        <w:rPr>
          <w:sz w:val="16"/>
          <w:szCs w:val="18"/>
        </w:rPr>
        <w:t xml:space="preserve"> model </w:t>
      </w:r>
    </w:p>
    <w:p w:rsidR="00480B73" w:rsidRPr="0057054A" w:rsidRDefault="00480B73" w:rsidP="00480B73">
      <w:pPr>
        <w:rPr>
          <w:sz w:val="16"/>
          <w:szCs w:val="18"/>
        </w:rPr>
      </w:pPr>
      <w:proofErr w:type="spellStart"/>
      <w:proofErr w:type="gramStart"/>
      <w:r>
        <w:rPr>
          <w:sz w:val="16"/>
          <w:szCs w:val="18"/>
          <w:vertAlign w:val="superscript"/>
        </w:rPr>
        <w:t>c</w:t>
      </w:r>
      <w:r w:rsidRPr="0057054A">
        <w:rPr>
          <w:sz w:val="16"/>
          <w:szCs w:val="18"/>
        </w:rPr>
        <w:t>Weight</w:t>
      </w:r>
      <w:proofErr w:type="spellEnd"/>
      <w:proofErr w:type="gramEnd"/>
      <w:r w:rsidRPr="0057054A">
        <w:rPr>
          <w:sz w:val="16"/>
          <w:szCs w:val="18"/>
        </w:rPr>
        <w:t xml:space="preserve"> values not reported, but no significant difference in weight between the dosing regimens was reported </w:t>
      </w:r>
    </w:p>
    <w:p w:rsidR="00480B73" w:rsidRPr="0057054A" w:rsidRDefault="00480B73" w:rsidP="00480B73">
      <w:pPr>
        <w:rPr>
          <w:sz w:val="16"/>
          <w:szCs w:val="18"/>
        </w:rPr>
      </w:pPr>
      <w:proofErr w:type="spellStart"/>
      <w:proofErr w:type="gramStart"/>
      <w:r>
        <w:rPr>
          <w:sz w:val="16"/>
          <w:szCs w:val="18"/>
          <w:vertAlign w:val="superscript"/>
        </w:rPr>
        <w:t>d</w:t>
      </w:r>
      <w:r w:rsidRPr="0057054A">
        <w:rPr>
          <w:sz w:val="16"/>
          <w:szCs w:val="18"/>
        </w:rPr>
        <w:t>These</w:t>
      </w:r>
      <w:proofErr w:type="spellEnd"/>
      <w:proofErr w:type="gramEnd"/>
      <w:r w:rsidRPr="0057054A">
        <w:rPr>
          <w:sz w:val="16"/>
          <w:szCs w:val="18"/>
        </w:rPr>
        <w:t xml:space="preserve"> patients received combination of L-</w:t>
      </w:r>
      <w:proofErr w:type="spellStart"/>
      <w:r w:rsidRPr="0057054A">
        <w:rPr>
          <w:sz w:val="16"/>
          <w:szCs w:val="18"/>
        </w:rPr>
        <w:t>AMB</w:t>
      </w:r>
      <w:proofErr w:type="spellEnd"/>
      <w:r w:rsidRPr="0057054A">
        <w:rPr>
          <w:sz w:val="16"/>
          <w:szCs w:val="18"/>
        </w:rPr>
        <w:t xml:space="preserve"> with </w:t>
      </w:r>
      <w:proofErr w:type="spellStart"/>
      <w:r w:rsidRPr="0057054A">
        <w:rPr>
          <w:sz w:val="16"/>
          <w:szCs w:val="18"/>
        </w:rPr>
        <w:t>caspofungin</w:t>
      </w:r>
      <w:proofErr w:type="spellEnd"/>
      <w:r w:rsidRPr="0057054A">
        <w:rPr>
          <w:sz w:val="16"/>
          <w:szCs w:val="18"/>
        </w:rPr>
        <w:t xml:space="preserve"> (CAS)</w:t>
      </w:r>
    </w:p>
    <w:p w:rsidR="00480B73" w:rsidRPr="00C3491F" w:rsidRDefault="00480B73" w:rsidP="00480B73">
      <w:pPr>
        <w:rPr>
          <w:color w:val="FF0000"/>
          <w:sz w:val="18"/>
          <w:szCs w:val="18"/>
        </w:rPr>
      </w:pPr>
    </w:p>
    <w:p w:rsidR="00DE0E56" w:rsidRDefault="00DE0E56"/>
    <w:sectPr w:rsidR="00DE0E56" w:rsidSect="00480B73">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MyriadPro-LightIt">
    <w:panose1 w:val="00000000000000000000"/>
    <w:charset w:val="00"/>
    <w:family w:val="auto"/>
    <w:notTrueType/>
    <w:pitch w:val="default"/>
    <w:sig w:usb0="00000003" w:usb1="00000000" w:usb2="00000000" w:usb3="00000000" w:csb0="00000001" w:csb1="00000000"/>
  </w:font>
  <w:font w:name="MyriadPro-Light">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10CB"/>
    <w:multiLevelType w:val="hybridMultilevel"/>
    <w:tmpl w:val="9760E4E6"/>
    <w:lvl w:ilvl="0" w:tplc="E4DEAC50">
      <w:start w:val="1"/>
      <w:numFmt w:val="decimal"/>
      <w:lvlText w:val="%1."/>
      <w:lvlJc w:val="left"/>
      <w:pPr>
        <w:tabs>
          <w:tab w:val="num" w:pos="720"/>
        </w:tabs>
        <w:ind w:left="720" w:hanging="360"/>
      </w:pPr>
      <w:rPr>
        <w:rFonts w:cs="Times New Roman" w:hint="default"/>
        <w:i/>
      </w:rPr>
    </w:lvl>
    <w:lvl w:ilvl="1" w:tplc="04130003" w:tentative="1">
      <w:start w:val="1"/>
      <w:numFmt w:val="bullet"/>
      <w:lvlText w:val="o"/>
      <w:lvlJc w:val="left"/>
      <w:pPr>
        <w:tabs>
          <w:tab w:val="num" w:pos="1092"/>
        </w:tabs>
        <w:ind w:left="1092" w:hanging="360"/>
      </w:pPr>
      <w:rPr>
        <w:rFonts w:ascii="Courier New" w:hAnsi="Courier New" w:hint="default"/>
      </w:rPr>
    </w:lvl>
    <w:lvl w:ilvl="2" w:tplc="04130005" w:tentative="1">
      <w:start w:val="1"/>
      <w:numFmt w:val="bullet"/>
      <w:lvlText w:val=""/>
      <w:lvlJc w:val="left"/>
      <w:pPr>
        <w:tabs>
          <w:tab w:val="num" w:pos="1812"/>
        </w:tabs>
        <w:ind w:left="1812" w:hanging="360"/>
      </w:pPr>
      <w:rPr>
        <w:rFonts w:ascii="Wingdings" w:hAnsi="Wingdings" w:hint="default"/>
      </w:rPr>
    </w:lvl>
    <w:lvl w:ilvl="3" w:tplc="04130001" w:tentative="1">
      <w:start w:val="1"/>
      <w:numFmt w:val="bullet"/>
      <w:lvlText w:val=""/>
      <w:lvlJc w:val="left"/>
      <w:pPr>
        <w:tabs>
          <w:tab w:val="num" w:pos="2532"/>
        </w:tabs>
        <w:ind w:left="2532" w:hanging="360"/>
      </w:pPr>
      <w:rPr>
        <w:rFonts w:ascii="Symbol" w:hAnsi="Symbol" w:hint="default"/>
      </w:rPr>
    </w:lvl>
    <w:lvl w:ilvl="4" w:tplc="04130003" w:tentative="1">
      <w:start w:val="1"/>
      <w:numFmt w:val="bullet"/>
      <w:lvlText w:val="o"/>
      <w:lvlJc w:val="left"/>
      <w:pPr>
        <w:tabs>
          <w:tab w:val="num" w:pos="3252"/>
        </w:tabs>
        <w:ind w:left="3252" w:hanging="360"/>
      </w:pPr>
      <w:rPr>
        <w:rFonts w:ascii="Courier New" w:hAnsi="Courier New" w:hint="default"/>
      </w:rPr>
    </w:lvl>
    <w:lvl w:ilvl="5" w:tplc="04130005" w:tentative="1">
      <w:start w:val="1"/>
      <w:numFmt w:val="bullet"/>
      <w:lvlText w:val=""/>
      <w:lvlJc w:val="left"/>
      <w:pPr>
        <w:tabs>
          <w:tab w:val="num" w:pos="3972"/>
        </w:tabs>
        <w:ind w:left="3972" w:hanging="360"/>
      </w:pPr>
      <w:rPr>
        <w:rFonts w:ascii="Wingdings" w:hAnsi="Wingdings" w:hint="default"/>
      </w:rPr>
    </w:lvl>
    <w:lvl w:ilvl="6" w:tplc="04130001" w:tentative="1">
      <w:start w:val="1"/>
      <w:numFmt w:val="bullet"/>
      <w:lvlText w:val=""/>
      <w:lvlJc w:val="left"/>
      <w:pPr>
        <w:tabs>
          <w:tab w:val="num" w:pos="4692"/>
        </w:tabs>
        <w:ind w:left="4692" w:hanging="360"/>
      </w:pPr>
      <w:rPr>
        <w:rFonts w:ascii="Symbol" w:hAnsi="Symbol" w:hint="default"/>
      </w:rPr>
    </w:lvl>
    <w:lvl w:ilvl="7" w:tplc="04130003" w:tentative="1">
      <w:start w:val="1"/>
      <w:numFmt w:val="bullet"/>
      <w:lvlText w:val="o"/>
      <w:lvlJc w:val="left"/>
      <w:pPr>
        <w:tabs>
          <w:tab w:val="num" w:pos="5412"/>
        </w:tabs>
        <w:ind w:left="5412" w:hanging="360"/>
      </w:pPr>
      <w:rPr>
        <w:rFonts w:ascii="Courier New" w:hAnsi="Courier New" w:hint="default"/>
      </w:rPr>
    </w:lvl>
    <w:lvl w:ilvl="8" w:tplc="04130005" w:tentative="1">
      <w:start w:val="1"/>
      <w:numFmt w:val="bullet"/>
      <w:lvlText w:val=""/>
      <w:lvlJc w:val="left"/>
      <w:pPr>
        <w:tabs>
          <w:tab w:val="num" w:pos="6132"/>
        </w:tabs>
        <w:ind w:left="6132" w:hanging="360"/>
      </w:pPr>
      <w:rPr>
        <w:rFonts w:ascii="Wingdings" w:hAnsi="Wingdings" w:hint="default"/>
      </w:rPr>
    </w:lvl>
  </w:abstractNum>
  <w:abstractNum w:abstractNumId="1">
    <w:nsid w:val="015D0ABD"/>
    <w:multiLevelType w:val="multilevel"/>
    <w:tmpl w:val="E0C68CBE"/>
    <w:lvl w:ilvl="0">
      <w:start w:val="1"/>
      <w:numFmt w:val="decimal"/>
      <w:lvlText w:val="%1."/>
      <w:lvlJc w:val="left"/>
      <w:pPr>
        <w:tabs>
          <w:tab w:val="num" w:pos="360"/>
        </w:tabs>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36855DB"/>
    <w:multiLevelType w:val="hybridMultilevel"/>
    <w:tmpl w:val="2B9EBFA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42F2BB0"/>
    <w:multiLevelType w:val="hybridMultilevel"/>
    <w:tmpl w:val="517EC5A2"/>
    <w:lvl w:ilvl="0" w:tplc="147E72B8">
      <w:start w:val="1"/>
      <w:numFmt w:val="bullet"/>
      <w:lvlText w:val=""/>
      <w:lvlJc w:val="left"/>
      <w:pPr>
        <w:tabs>
          <w:tab w:val="num" w:pos="567"/>
        </w:tabs>
        <w:ind w:left="567" w:hanging="283"/>
      </w:pPr>
      <w:rPr>
        <w:rFonts w:ascii="Symbol" w:hAnsi="Symbol" w:hint="default"/>
        <w:sz w:val="24"/>
      </w:rPr>
    </w:lvl>
    <w:lvl w:ilvl="1" w:tplc="7A1C0348" w:tentative="1">
      <w:start w:val="1"/>
      <w:numFmt w:val="bullet"/>
      <w:lvlText w:val="o"/>
      <w:lvlJc w:val="left"/>
      <w:pPr>
        <w:tabs>
          <w:tab w:val="num" w:pos="1724"/>
        </w:tabs>
        <w:ind w:left="1724" w:hanging="360"/>
      </w:pPr>
      <w:rPr>
        <w:rFonts w:ascii="Courier New" w:hAnsi="Courier New" w:hint="default"/>
      </w:rPr>
    </w:lvl>
    <w:lvl w:ilvl="2" w:tplc="2AC29D98">
      <w:start w:val="1"/>
      <w:numFmt w:val="bullet"/>
      <w:lvlText w:val=""/>
      <w:lvlJc w:val="left"/>
      <w:pPr>
        <w:tabs>
          <w:tab w:val="num" w:pos="360"/>
        </w:tabs>
        <w:ind w:left="360" w:hanging="360"/>
      </w:pPr>
      <w:rPr>
        <w:rFonts w:ascii="Wingdings" w:hAnsi="Wingdings" w:hint="default"/>
        <w:sz w:val="24"/>
      </w:rPr>
    </w:lvl>
    <w:lvl w:ilvl="3" w:tplc="645A3E06" w:tentative="1">
      <w:start w:val="1"/>
      <w:numFmt w:val="bullet"/>
      <w:lvlText w:val=""/>
      <w:lvlJc w:val="left"/>
      <w:pPr>
        <w:tabs>
          <w:tab w:val="num" w:pos="3164"/>
        </w:tabs>
        <w:ind w:left="3164" w:hanging="360"/>
      </w:pPr>
      <w:rPr>
        <w:rFonts w:ascii="Symbol" w:hAnsi="Symbol" w:hint="default"/>
      </w:rPr>
    </w:lvl>
    <w:lvl w:ilvl="4" w:tplc="C6F6692C" w:tentative="1">
      <w:start w:val="1"/>
      <w:numFmt w:val="bullet"/>
      <w:lvlText w:val="o"/>
      <w:lvlJc w:val="left"/>
      <w:pPr>
        <w:tabs>
          <w:tab w:val="num" w:pos="3884"/>
        </w:tabs>
        <w:ind w:left="3884" w:hanging="360"/>
      </w:pPr>
      <w:rPr>
        <w:rFonts w:ascii="Courier New" w:hAnsi="Courier New" w:hint="default"/>
      </w:rPr>
    </w:lvl>
    <w:lvl w:ilvl="5" w:tplc="18106A7C" w:tentative="1">
      <w:start w:val="1"/>
      <w:numFmt w:val="bullet"/>
      <w:lvlText w:val=""/>
      <w:lvlJc w:val="left"/>
      <w:pPr>
        <w:tabs>
          <w:tab w:val="num" w:pos="4604"/>
        </w:tabs>
        <w:ind w:left="4604" w:hanging="360"/>
      </w:pPr>
      <w:rPr>
        <w:rFonts w:ascii="Wingdings" w:hAnsi="Wingdings" w:hint="default"/>
      </w:rPr>
    </w:lvl>
    <w:lvl w:ilvl="6" w:tplc="71261D60" w:tentative="1">
      <w:start w:val="1"/>
      <w:numFmt w:val="bullet"/>
      <w:lvlText w:val=""/>
      <w:lvlJc w:val="left"/>
      <w:pPr>
        <w:tabs>
          <w:tab w:val="num" w:pos="5324"/>
        </w:tabs>
        <w:ind w:left="5324" w:hanging="360"/>
      </w:pPr>
      <w:rPr>
        <w:rFonts w:ascii="Symbol" w:hAnsi="Symbol" w:hint="default"/>
      </w:rPr>
    </w:lvl>
    <w:lvl w:ilvl="7" w:tplc="4D66B9C4" w:tentative="1">
      <w:start w:val="1"/>
      <w:numFmt w:val="bullet"/>
      <w:lvlText w:val="o"/>
      <w:lvlJc w:val="left"/>
      <w:pPr>
        <w:tabs>
          <w:tab w:val="num" w:pos="6044"/>
        </w:tabs>
        <w:ind w:left="6044" w:hanging="360"/>
      </w:pPr>
      <w:rPr>
        <w:rFonts w:ascii="Courier New" w:hAnsi="Courier New" w:hint="default"/>
      </w:rPr>
    </w:lvl>
    <w:lvl w:ilvl="8" w:tplc="1B3C29EA" w:tentative="1">
      <w:start w:val="1"/>
      <w:numFmt w:val="bullet"/>
      <w:lvlText w:val=""/>
      <w:lvlJc w:val="left"/>
      <w:pPr>
        <w:tabs>
          <w:tab w:val="num" w:pos="6764"/>
        </w:tabs>
        <w:ind w:left="6764" w:hanging="360"/>
      </w:pPr>
      <w:rPr>
        <w:rFonts w:ascii="Wingdings" w:hAnsi="Wingdings" w:hint="default"/>
      </w:rPr>
    </w:lvl>
  </w:abstractNum>
  <w:abstractNum w:abstractNumId="4">
    <w:nsid w:val="0B3D55AA"/>
    <w:multiLevelType w:val="hybridMultilevel"/>
    <w:tmpl w:val="2B9EBFA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57D0AC9"/>
    <w:multiLevelType w:val="hybridMultilevel"/>
    <w:tmpl w:val="091839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5BA3D08"/>
    <w:multiLevelType w:val="hybridMultilevel"/>
    <w:tmpl w:val="888A8240"/>
    <w:lvl w:ilvl="0" w:tplc="A6F223AA">
      <w:start w:val="14"/>
      <w:numFmt w:val="bullet"/>
      <w:lvlText w:val=""/>
      <w:lvlJc w:val="left"/>
      <w:pPr>
        <w:ind w:left="720" w:hanging="360"/>
      </w:pPr>
      <w:rPr>
        <w:rFonts w:ascii="Symbol" w:eastAsia="MS Mincho"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99A5CDC"/>
    <w:multiLevelType w:val="hybridMultilevel"/>
    <w:tmpl w:val="C7849A14"/>
    <w:lvl w:ilvl="0" w:tplc="AFAABA68">
      <w:start w:val="10"/>
      <w:numFmt w:val="bullet"/>
      <w:lvlText w:val="-"/>
      <w:lvlJc w:val="left"/>
      <w:pPr>
        <w:ind w:left="720" w:hanging="360"/>
      </w:pPr>
      <w:rPr>
        <w:rFonts w:ascii="Times New Roman" w:eastAsia="MS Mincho"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B7A4E9B"/>
    <w:multiLevelType w:val="hybridMultilevel"/>
    <w:tmpl w:val="EE944C8A"/>
    <w:lvl w:ilvl="0" w:tplc="DC38F470">
      <w:start w:val="3"/>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BAB19F8"/>
    <w:multiLevelType w:val="multilevel"/>
    <w:tmpl w:val="EA94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DB2483"/>
    <w:multiLevelType w:val="hybridMultilevel"/>
    <w:tmpl w:val="9BAE0C6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E072F15"/>
    <w:multiLevelType w:val="hybridMultilevel"/>
    <w:tmpl w:val="8BAA5E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0010431"/>
    <w:multiLevelType w:val="multilevel"/>
    <w:tmpl w:val="ED98A862"/>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01B5621"/>
    <w:multiLevelType w:val="hybridMultilevel"/>
    <w:tmpl w:val="768AF1CC"/>
    <w:lvl w:ilvl="0" w:tplc="DFCC15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31930C2"/>
    <w:multiLevelType w:val="hybridMultilevel"/>
    <w:tmpl w:val="8F60F9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69563E3"/>
    <w:multiLevelType w:val="hybridMultilevel"/>
    <w:tmpl w:val="E68E6A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C200F40"/>
    <w:multiLevelType w:val="hybridMultilevel"/>
    <w:tmpl w:val="405C9B08"/>
    <w:lvl w:ilvl="0" w:tplc="E842F27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1A54895"/>
    <w:multiLevelType w:val="hybridMultilevel"/>
    <w:tmpl w:val="83920B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2EE0FE6"/>
    <w:multiLevelType w:val="hybridMultilevel"/>
    <w:tmpl w:val="32BCB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62B566A"/>
    <w:multiLevelType w:val="hybridMultilevel"/>
    <w:tmpl w:val="D2D83CD6"/>
    <w:lvl w:ilvl="0" w:tplc="AC3CE3AE">
      <w:start w:val="3"/>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67D0C92"/>
    <w:multiLevelType w:val="multilevel"/>
    <w:tmpl w:val="CABE7E3A"/>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nsid w:val="390D6E7E"/>
    <w:multiLevelType w:val="hybridMultilevel"/>
    <w:tmpl w:val="2FDC61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CCC2A21"/>
    <w:multiLevelType w:val="hybridMultilevel"/>
    <w:tmpl w:val="F008EADA"/>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3">
    <w:nsid w:val="3D32767D"/>
    <w:multiLevelType w:val="hybridMultilevel"/>
    <w:tmpl w:val="4718F2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3ECF492D"/>
    <w:multiLevelType w:val="hybridMultilevel"/>
    <w:tmpl w:val="4CEC5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29D47D1"/>
    <w:multiLevelType w:val="hybridMultilevel"/>
    <w:tmpl w:val="D1B8366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31A6EE5"/>
    <w:multiLevelType w:val="hybridMultilevel"/>
    <w:tmpl w:val="C9A8DE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55D4689"/>
    <w:multiLevelType w:val="hybridMultilevel"/>
    <w:tmpl w:val="445A95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45936091"/>
    <w:multiLevelType w:val="hybridMultilevel"/>
    <w:tmpl w:val="106A0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5CD7B0E"/>
    <w:multiLevelType w:val="multilevel"/>
    <w:tmpl w:val="4C2CC4F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776" w:hanging="36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260" w:hanging="72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6744" w:hanging="1080"/>
      </w:pPr>
      <w:rPr>
        <w:rFonts w:hint="default"/>
      </w:rPr>
    </w:lvl>
  </w:abstractNum>
  <w:abstractNum w:abstractNumId="30">
    <w:nsid w:val="485F3064"/>
    <w:multiLevelType w:val="hybridMultilevel"/>
    <w:tmpl w:val="A0EADCF0"/>
    <w:lvl w:ilvl="0" w:tplc="73B8CA62">
      <w:start w:val="4"/>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4B067B0E"/>
    <w:multiLevelType w:val="hybridMultilevel"/>
    <w:tmpl w:val="A164E9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4D8D5F84"/>
    <w:multiLevelType w:val="hybridMultilevel"/>
    <w:tmpl w:val="7DE892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4DF31A62"/>
    <w:multiLevelType w:val="hybridMultilevel"/>
    <w:tmpl w:val="5136DEB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50297251"/>
    <w:multiLevelType w:val="hybridMultilevel"/>
    <w:tmpl w:val="4F921656"/>
    <w:lvl w:ilvl="0" w:tplc="AC3CE3AE">
      <w:start w:val="3"/>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9F00476"/>
    <w:multiLevelType w:val="hybridMultilevel"/>
    <w:tmpl w:val="04E05356"/>
    <w:lvl w:ilvl="0" w:tplc="1C509A5A">
      <w:start w:val="1"/>
      <w:numFmt w:val="bullet"/>
      <w:lvlText w:val="-"/>
      <w:lvlJc w:val="left"/>
      <w:pPr>
        <w:ind w:left="720" w:hanging="360"/>
      </w:pPr>
      <w:rPr>
        <w:rFonts w:ascii="Times New Roman" w:eastAsia="MS Mincho"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5A275A51"/>
    <w:multiLevelType w:val="hybridMultilevel"/>
    <w:tmpl w:val="254407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5B94128B"/>
    <w:multiLevelType w:val="multilevel"/>
    <w:tmpl w:val="ED0A61BE"/>
    <w:lvl w:ilvl="0">
      <w:start w:val="1"/>
      <w:numFmt w:val="decimal"/>
      <w:lvlText w:val="%1."/>
      <w:lvlJc w:val="left"/>
      <w:pPr>
        <w:ind w:left="720" w:hanging="360"/>
      </w:pPr>
    </w:lvl>
    <w:lvl w:ilvl="1">
      <w:numFmt w:val="decimal"/>
      <w:isLgl/>
      <w:lvlText w:val="%1.%2"/>
      <w:lvlJc w:val="left"/>
      <w:pPr>
        <w:ind w:left="855" w:hanging="495"/>
      </w:pPr>
      <w:rPr>
        <w:rFonts w:hint="default"/>
      </w:rPr>
    </w:lvl>
    <w:lvl w:ilvl="2">
      <w:start w:val="1"/>
      <w:numFmt w:val="decimal"/>
      <w:isLgl/>
      <w:lvlText w:val="%1.%2.%3"/>
      <w:lvlJc w:val="left"/>
      <w:pPr>
        <w:ind w:left="855" w:hanging="495"/>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8">
    <w:nsid w:val="5D623C20"/>
    <w:multiLevelType w:val="multilevel"/>
    <w:tmpl w:val="8C34392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9">
    <w:nsid w:val="61BD4DBC"/>
    <w:multiLevelType w:val="multilevel"/>
    <w:tmpl w:val="BC047BC8"/>
    <w:lvl w:ilvl="0">
      <w:start w:val="1"/>
      <w:numFmt w:val="decimal"/>
      <w:lvlText w:val="%1."/>
      <w:lvlJc w:val="left"/>
      <w:pPr>
        <w:tabs>
          <w:tab w:val="num" w:pos="360"/>
        </w:tabs>
        <w:ind w:left="360" w:hanging="360"/>
      </w:p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636608DA"/>
    <w:multiLevelType w:val="hybridMultilevel"/>
    <w:tmpl w:val="DC52D2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7F32744"/>
    <w:multiLevelType w:val="multilevel"/>
    <w:tmpl w:val="44EA4578"/>
    <w:lvl w:ilvl="0">
      <w:start w:val="1"/>
      <w:numFmt w:val="decimal"/>
      <w:lvlText w:val="%1."/>
      <w:lvlJc w:val="left"/>
      <w:pPr>
        <w:ind w:left="720" w:hanging="360"/>
      </w:pPr>
    </w:lvl>
    <w:lvl w:ilvl="1">
      <w:start w:val="65"/>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2">
    <w:nsid w:val="68170CEC"/>
    <w:multiLevelType w:val="hybridMultilevel"/>
    <w:tmpl w:val="ED7076F6"/>
    <w:lvl w:ilvl="0" w:tplc="04130011">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6C7C0D95"/>
    <w:multiLevelType w:val="multilevel"/>
    <w:tmpl w:val="E0C68CBE"/>
    <w:lvl w:ilvl="0">
      <w:start w:val="1"/>
      <w:numFmt w:val="decimal"/>
      <w:lvlText w:val="%1."/>
      <w:lvlJc w:val="left"/>
      <w:pPr>
        <w:tabs>
          <w:tab w:val="num" w:pos="360"/>
        </w:tabs>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6E131C8A"/>
    <w:multiLevelType w:val="multilevel"/>
    <w:tmpl w:val="4026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C47751"/>
    <w:multiLevelType w:val="hybridMultilevel"/>
    <w:tmpl w:val="DE2A8C18"/>
    <w:lvl w:ilvl="0" w:tplc="9B0229C6">
      <w:start w:val="4"/>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2904CD5"/>
    <w:multiLevelType w:val="multilevel"/>
    <w:tmpl w:val="BC047BC8"/>
    <w:lvl w:ilvl="0">
      <w:start w:val="1"/>
      <w:numFmt w:val="decimal"/>
      <w:lvlText w:val="%1."/>
      <w:lvlJc w:val="left"/>
      <w:pPr>
        <w:tabs>
          <w:tab w:val="num" w:pos="360"/>
        </w:tabs>
        <w:ind w:left="360" w:hanging="360"/>
      </w:p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732E0EDB"/>
    <w:multiLevelType w:val="multilevel"/>
    <w:tmpl w:val="518A71F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776" w:hanging="36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260" w:hanging="72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6744" w:hanging="1080"/>
      </w:pPr>
      <w:rPr>
        <w:rFonts w:hint="default"/>
      </w:rPr>
    </w:lvl>
  </w:abstractNum>
  <w:abstractNum w:abstractNumId="48">
    <w:nsid w:val="76CF2D0F"/>
    <w:multiLevelType w:val="hybridMultilevel"/>
    <w:tmpl w:val="C53C2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7D770852"/>
    <w:multiLevelType w:val="hybridMultilevel"/>
    <w:tmpl w:val="DC2C19AE"/>
    <w:lvl w:ilvl="0" w:tplc="5BB2501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3"/>
  </w:num>
  <w:num w:numId="2">
    <w:abstractNumId w:val="32"/>
  </w:num>
  <w:num w:numId="3">
    <w:abstractNumId w:val="31"/>
  </w:num>
  <w:num w:numId="4">
    <w:abstractNumId w:val="15"/>
  </w:num>
  <w:num w:numId="5">
    <w:abstractNumId w:val="24"/>
  </w:num>
  <w:num w:numId="6">
    <w:abstractNumId w:val="26"/>
  </w:num>
  <w:num w:numId="7">
    <w:abstractNumId w:val="28"/>
  </w:num>
  <w:num w:numId="8">
    <w:abstractNumId w:val="7"/>
  </w:num>
  <w:num w:numId="9">
    <w:abstractNumId w:val="5"/>
  </w:num>
  <w:num w:numId="10">
    <w:abstractNumId w:val="4"/>
  </w:num>
  <w:num w:numId="11">
    <w:abstractNumId w:val="22"/>
  </w:num>
  <w:num w:numId="12">
    <w:abstractNumId w:val="0"/>
  </w:num>
  <w:num w:numId="13">
    <w:abstractNumId w:val="3"/>
  </w:num>
  <w:num w:numId="14">
    <w:abstractNumId w:val="2"/>
  </w:num>
  <w:num w:numId="15">
    <w:abstractNumId w:val="25"/>
  </w:num>
  <w:num w:numId="16">
    <w:abstractNumId w:val="27"/>
  </w:num>
  <w:num w:numId="17">
    <w:abstractNumId w:val="35"/>
  </w:num>
  <w:num w:numId="18">
    <w:abstractNumId w:val="14"/>
  </w:num>
  <w:num w:numId="19">
    <w:abstractNumId w:val="42"/>
  </w:num>
  <w:num w:numId="20">
    <w:abstractNumId w:val="13"/>
  </w:num>
  <w:num w:numId="21">
    <w:abstractNumId w:val="18"/>
  </w:num>
  <w:num w:numId="22">
    <w:abstractNumId w:val="23"/>
  </w:num>
  <w:num w:numId="23">
    <w:abstractNumId w:val="16"/>
  </w:num>
  <w:num w:numId="24">
    <w:abstractNumId w:val="48"/>
  </w:num>
  <w:num w:numId="25">
    <w:abstractNumId w:val="36"/>
  </w:num>
  <w:num w:numId="26">
    <w:abstractNumId w:val="40"/>
  </w:num>
  <w:num w:numId="27">
    <w:abstractNumId w:val="17"/>
  </w:num>
  <w:num w:numId="28">
    <w:abstractNumId w:val="6"/>
  </w:num>
  <w:num w:numId="29">
    <w:abstractNumId w:val="47"/>
  </w:num>
  <w:num w:numId="30">
    <w:abstractNumId w:val="12"/>
  </w:num>
  <w:num w:numId="31">
    <w:abstractNumId w:val="8"/>
  </w:num>
  <w:num w:numId="32">
    <w:abstractNumId w:val="29"/>
  </w:num>
  <w:num w:numId="33">
    <w:abstractNumId w:val="38"/>
  </w:num>
  <w:num w:numId="34">
    <w:abstractNumId w:val="20"/>
  </w:num>
  <w:num w:numId="35">
    <w:abstractNumId w:val="41"/>
  </w:num>
  <w:num w:numId="36">
    <w:abstractNumId w:val="37"/>
  </w:num>
  <w:num w:numId="37">
    <w:abstractNumId w:val="45"/>
  </w:num>
  <w:num w:numId="38">
    <w:abstractNumId w:val="34"/>
  </w:num>
  <w:num w:numId="39">
    <w:abstractNumId w:val="21"/>
  </w:num>
  <w:num w:numId="40">
    <w:abstractNumId w:val="19"/>
  </w:num>
  <w:num w:numId="41">
    <w:abstractNumId w:val="1"/>
  </w:num>
  <w:num w:numId="42">
    <w:abstractNumId w:val="39"/>
  </w:num>
  <w:num w:numId="43">
    <w:abstractNumId w:val="46"/>
  </w:num>
  <w:num w:numId="44">
    <w:abstractNumId w:val="44"/>
  </w:num>
  <w:num w:numId="45">
    <w:abstractNumId w:val="49"/>
  </w:num>
  <w:num w:numId="46">
    <w:abstractNumId w:val="30"/>
  </w:num>
  <w:num w:numId="47">
    <w:abstractNumId w:val="33"/>
  </w:num>
  <w:num w:numId="48">
    <w:abstractNumId w:val="11"/>
  </w:num>
  <w:num w:numId="49">
    <w:abstractNumId w:val="10"/>
  </w:num>
  <w:num w:numId="5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compat/>
  <w:rsids>
    <w:rsidRoot w:val="00480B73"/>
    <w:rsid w:val="00064D46"/>
    <w:rsid w:val="00075AA5"/>
    <w:rsid w:val="000930B1"/>
    <w:rsid w:val="00093DD2"/>
    <w:rsid w:val="000A0A13"/>
    <w:rsid w:val="000B18C1"/>
    <w:rsid w:val="001426A6"/>
    <w:rsid w:val="00151A7B"/>
    <w:rsid w:val="001A0196"/>
    <w:rsid w:val="001C4B53"/>
    <w:rsid w:val="001F257C"/>
    <w:rsid w:val="00215EA7"/>
    <w:rsid w:val="00241AFB"/>
    <w:rsid w:val="00290311"/>
    <w:rsid w:val="002D706C"/>
    <w:rsid w:val="002E056B"/>
    <w:rsid w:val="002E3BFF"/>
    <w:rsid w:val="00346D73"/>
    <w:rsid w:val="00354FD8"/>
    <w:rsid w:val="00367C06"/>
    <w:rsid w:val="0039742F"/>
    <w:rsid w:val="003A0A14"/>
    <w:rsid w:val="003F0F68"/>
    <w:rsid w:val="004073AB"/>
    <w:rsid w:val="00426A86"/>
    <w:rsid w:val="00436A2E"/>
    <w:rsid w:val="00480B73"/>
    <w:rsid w:val="00496B4D"/>
    <w:rsid w:val="005432B4"/>
    <w:rsid w:val="00593427"/>
    <w:rsid w:val="005E129A"/>
    <w:rsid w:val="005E2035"/>
    <w:rsid w:val="005F3CA2"/>
    <w:rsid w:val="005F6DA8"/>
    <w:rsid w:val="006451DC"/>
    <w:rsid w:val="00713EBF"/>
    <w:rsid w:val="007A4786"/>
    <w:rsid w:val="008311C9"/>
    <w:rsid w:val="008321AF"/>
    <w:rsid w:val="0084372A"/>
    <w:rsid w:val="00845F59"/>
    <w:rsid w:val="008A692D"/>
    <w:rsid w:val="00922301"/>
    <w:rsid w:val="0092665E"/>
    <w:rsid w:val="0093141B"/>
    <w:rsid w:val="009342C5"/>
    <w:rsid w:val="009863D0"/>
    <w:rsid w:val="009920CB"/>
    <w:rsid w:val="00997043"/>
    <w:rsid w:val="009F7B95"/>
    <w:rsid w:val="00A3651B"/>
    <w:rsid w:val="00A4696D"/>
    <w:rsid w:val="00AB45D4"/>
    <w:rsid w:val="00AC450F"/>
    <w:rsid w:val="00AC7A7A"/>
    <w:rsid w:val="00B1197A"/>
    <w:rsid w:val="00B74FBA"/>
    <w:rsid w:val="00BA348E"/>
    <w:rsid w:val="00BB58B0"/>
    <w:rsid w:val="00BF5788"/>
    <w:rsid w:val="00C01385"/>
    <w:rsid w:val="00C23D7D"/>
    <w:rsid w:val="00CA73A1"/>
    <w:rsid w:val="00CA7424"/>
    <w:rsid w:val="00D03A69"/>
    <w:rsid w:val="00D20C03"/>
    <w:rsid w:val="00DD5C31"/>
    <w:rsid w:val="00DE0E56"/>
    <w:rsid w:val="00DE0E7D"/>
    <w:rsid w:val="00E524C3"/>
    <w:rsid w:val="00E52921"/>
    <w:rsid w:val="00E6363E"/>
    <w:rsid w:val="00E716B0"/>
    <w:rsid w:val="00EC3BA6"/>
    <w:rsid w:val="00ED2552"/>
    <w:rsid w:val="00EE769B"/>
    <w:rsid w:val="00EE7784"/>
    <w:rsid w:val="00F05696"/>
    <w:rsid w:val="00F262B6"/>
    <w:rsid w:val="00F44996"/>
    <w:rsid w:val="00F5646B"/>
    <w:rsid w:val="00F60D35"/>
    <w:rsid w:val="00F95AA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E56"/>
  </w:style>
  <w:style w:type="paragraph" w:styleId="Heading1">
    <w:name w:val="heading 1"/>
    <w:basedOn w:val="Normal"/>
    <w:link w:val="Heading1Char"/>
    <w:uiPriority w:val="9"/>
    <w:qFormat/>
    <w:rsid w:val="00480B73"/>
    <w:pPr>
      <w:numPr>
        <w:numId w:val="30"/>
      </w:numPr>
      <w:spacing w:before="100" w:beforeAutospacing="1" w:after="100" w:afterAutospacing="1" w:line="240" w:lineRule="auto"/>
      <w:ind w:left="360"/>
      <w:outlineLvl w:val="0"/>
    </w:pPr>
    <w:rPr>
      <w:rFonts w:eastAsia="Times New Roman"/>
      <w:b/>
      <w:bCs/>
      <w:kern w:val="36"/>
      <w:sz w:val="22"/>
      <w:szCs w:val="48"/>
      <w:lang w:val="en-GB" w:eastAsia="nl-NL"/>
    </w:rPr>
  </w:style>
  <w:style w:type="paragraph" w:styleId="Heading2">
    <w:name w:val="heading 2"/>
    <w:basedOn w:val="Normal"/>
    <w:next w:val="Normal"/>
    <w:link w:val="Heading2Char"/>
    <w:uiPriority w:val="9"/>
    <w:unhideWhenUsed/>
    <w:qFormat/>
    <w:rsid w:val="00480B73"/>
    <w:pPr>
      <w:keepNext/>
      <w:keepLines/>
      <w:spacing w:before="200" w:after="0" w:line="480" w:lineRule="auto"/>
      <w:outlineLvl w:val="1"/>
    </w:pPr>
    <w:rPr>
      <w:rFonts w:eastAsiaTheme="majorEastAsia" w:cstheme="majorBidi"/>
      <w:b/>
      <w:bCs/>
      <w:sz w:val="22"/>
      <w:szCs w:val="26"/>
      <w:lang w:val="en-GB" w:eastAsia="ja-JP"/>
    </w:rPr>
  </w:style>
  <w:style w:type="paragraph" w:styleId="Heading3">
    <w:name w:val="heading 3"/>
    <w:basedOn w:val="Normal"/>
    <w:next w:val="Normal"/>
    <w:link w:val="Heading3Char"/>
    <w:uiPriority w:val="9"/>
    <w:unhideWhenUsed/>
    <w:qFormat/>
    <w:rsid w:val="00480B73"/>
    <w:pPr>
      <w:keepNext/>
      <w:keepLines/>
      <w:spacing w:before="200" w:after="0" w:line="480" w:lineRule="auto"/>
      <w:outlineLvl w:val="2"/>
    </w:pPr>
    <w:rPr>
      <w:rFonts w:eastAsiaTheme="majorEastAsia" w:cstheme="majorBidi"/>
      <w:b/>
      <w:bCs/>
      <w:sz w:val="22"/>
      <w:szCs w:val="22"/>
      <w:lang w:val="en-GB" w:eastAsia="ja-JP"/>
    </w:rPr>
  </w:style>
  <w:style w:type="paragraph" w:styleId="Heading4">
    <w:name w:val="heading 4"/>
    <w:basedOn w:val="Normal"/>
    <w:next w:val="Normal"/>
    <w:link w:val="Heading4Char"/>
    <w:uiPriority w:val="9"/>
    <w:semiHidden/>
    <w:unhideWhenUsed/>
    <w:qFormat/>
    <w:rsid w:val="00480B73"/>
    <w:pPr>
      <w:keepNext/>
      <w:keepLines/>
      <w:spacing w:before="200" w:after="0" w:line="240" w:lineRule="auto"/>
      <w:outlineLvl w:val="3"/>
    </w:pPr>
    <w:rPr>
      <w:rFonts w:asciiTheme="majorHAnsi" w:eastAsiaTheme="majorEastAsia" w:hAnsiTheme="majorHAnsi" w:cstheme="majorBidi"/>
      <w:b/>
      <w:bCs/>
      <w:i/>
      <w:iCs/>
      <w:color w:val="4F81BD" w:themeColor="accent1"/>
      <w:sz w:val="22"/>
      <w:szCs w:val="22"/>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B73"/>
    <w:rPr>
      <w:rFonts w:eastAsia="Times New Roman"/>
      <w:b/>
      <w:bCs/>
      <w:kern w:val="36"/>
      <w:sz w:val="22"/>
      <w:szCs w:val="48"/>
      <w:lang w:val="en-GB" w:eastAsia="nl-NL"/>
    </w:rPr>
  </w:style>
  <w:style w:type="character" w:customStyle="1" w:styleId="Heading2Char">
    <w:name w:val="Heading 2 Char"/>
    <w:basedOn w:val="DefaultParagraphFont"/>
    <w:link w:val="Heading2"/>
    <w:uiPriority w:val="9"/>
    <w:rsid w:val="00480B73"/>
    <w:rPr>
      <w:rFonts w:eastAsiaTheme="majorEastAsia" w:cstheme="majorBidi"/>
      <w:b/>
      <w:bCs/>
      <w:sz w:val="22"/>
      <w:szCs w:val="26"/>
      <w:lang w:val="en-GB" w:eastAsia="ja-JP"/>
    </w:rPr>
  </w:style>
  <w:style w:type="character" w:customStyle="1" w:styleId="Heading3Char">
    <w:name w:val="Heading 3 Char"/>
    <w:basedOn w:val="DefaultParagraphFont"/>
    <w:link w:val="Heading3"/>
    <w:uiPriority w:val="9"/>
    <w:rsid w:val="00480B73"/>
    <w:rPr>
      <w:rFonts w:eastAsiaTheme="majorEastAsia" w:cstheme="majorBidi"/>
      <w:b/>
      <w:bCs/>
      <w:sz w:val="22"/>
      <w:szCs w:val="22"/>
      <w:lang w:val="en-GB" w:eastAsia="ja-JP"/>
    </w:rPr>
  </w:style>
  <w:style w:type="character" w:customStyle="1" w:styleId="Heading4Char">
    <w:name w:val="Heading 4 Char"/>
    <w:basedOn w:val="DefaultParagraphFont"/>
    <w:link w:val="Heading4"/>
    <w:uiPriority w:val="9"/>
    <w:semiHidden/>
    <w:rsid w:val="00480B73"/>
    <w:rPr>
      <w:rFonts w:asciiTheme="majorHAnsi" w:eastAsiaTheme="majorEastAsia" w:hAnsiTheme="majorHAnsi" w:cstheme="majorBidi"/>
      <w:b/>
      <w:bCs/>
      <w:i/>
      <w:iCs/>
      <w:color w:val="4F81BD" w:themeColor="accent1"/>
      <w:sz w:val="22"/>
      <w:szCs w:val="22"/>
      <w:lang w:val="en-GB" w:eastAsia="ja-JP"/>
    </w:rPr>
  </w:style>
  <w:style w:type="character" w:styleId="CommentReference">
    <w:name w:val="annotation reference"/>
    <w:uiPriority w:val="99"/>
    <w:semiHidden/>
    <w:rsid w:val="00480B73"/>
    <w:rPr>
      <w:sz w:val="16"/>
      <w:szCs w:val="16"/>
    </w:rPr>
  </w:style>
  <w:style w:type="paragraph" w:styleId="CommentText">
    <w:name w:val="annotation text"/>
    <w:basedOn w:val="Normal"/>
    <w:link w:val="CommentTextChar"/>
    <w:uiPriority w:val="99"/>
    <w:semiHidden/>
    <w:rsid w:val="00480B73"/>
    <w:pPr>
      <w:spacing w:after="0" w:line="240" w:lineRule="auto"/>
    </w:pPr>
    <w:rPr>
      <w:rFonts w:eastAsia="MS Mincho" w:cs="Arial"/>
      <w:sz w:val="20"/>
      <w:szCs w:val="20"/>
      <w:lang w:val="en-GB" w:eastAsia="ja-JP"/>
    </w:rPr>
  </w:style>
  <w:style w:type="character" w:customStyle="1" w:styleId="CommentTextChar">
    <w:name w:val="Comment Text Char"/>
    <w:basedOn w:val="DefaultParagraphFont"/>
    <w:link w:val="CommentText"/>
    <w:uiPriority w:val="99"/>
    <w:semiHidden/>
    <w:rsid w:val="00480B73"/>
    <w:rPr>
      <w:rFonts w:eastAsia="MS Mincho" w:cs="Arial"/>
      <w:sz w:val="20"/>
      <w:szCs w:val="20"/>
      <w:lang w:val="en-GB" w:eastAsia="ja-JP"/>
    </w:rPr>
  </w:style>
  <w:style w:type="paragraph" w:styleId="BalloonText">
    <w:name w:val="Balloon Text"/>
    <w:basedOn w:val="Normal"/>
    <w:link w:val="BalloonTextChar"/>
    <w:uiPriority w:val="99"/>
    <w:semiHidden/>
    <w:unhideWhenUsed/>
    <w:rsid w:val="00480B73"/>
    <w:pPr>
      <w:spacing w:after="0" w:line="240" w:lineRule="auto"/>
    </w:pPr>
    <w:rPr>
      <w:rFonts w:ascii="Tahoma" w:eastAsia="MS Mincho" w:hAnsi="Tahoma" w:cs="Tahoma"/>
      <w:sz w:val="16"/>
      <w:szCs w:val="16"/>
      <w:lang w:val="en-GB" w:eastAsia="ja-JP"/>
    </w:rPr>
  </w:style>
  <w:style w:type="character" w:customStyle="1" w:styleId="BalloonTextChar">
    <w:name w:val="Balloon Text Char"/>
    <w:basedOn w:val="DefaultParagraphFont"/>
    <w:link w:val="BalloonText"/>
    <w:uiPriority w:val="99"/>
    <w:semiHidden/>
    <w:rsid w:val="00480B73"/>
    <w:rPr>
      <w:rFonts w:ascii="Tahoma" w:eastAsia="MS Mincho" w:hAnsi="Tahoma" w:cs="Tahoma"/>
      <w:sz w:val="16"/>
      <w:szCs w:val="16"/>
      <w:lang w:val="en-GB" w:eastAsia="ja-JP"/>
    </w:rPr>
  </w:style>
  <w:style w:type="paragraph" w:styleId="ListParagraph">
    <w:name w:val="List Paragraph"/>
    <w:basedOn w:val="Normal"/>
    <w:uiPriority w:val="34"/>
    <w:qFormat/>
    <w:rsid w:val="00480B73"/>
    <w:pPr>
      <w:ind w:left="720"/>
      <w:contextualSpacing/>
    </w:pPr>
    <w:rPr>
      <w:rFonts w:asciiTheme="minorHAnsi" w:hAnsiTheme="minorHAnsi" w:cstheme="minorBidi"/>
      <w:sz w:val="22"/>
      <w:szCs w:val="22"/>
      <w:lang w:val="en-GB"/>
    </w:rPr>
  </w:style>
  <w:style w:type="character" w:styleId="LineNumber">
    <w:name w:val="line number"/>
    <w:basedOn w:val="DefaultParagraphFont"/>
    <w:uiPriority w:val="99"/>
    <w:semiHidden/>
    <w:unhideWhenUsed/>
    <w:rsid w:val="00480B73"/>
  </w:style>
  <w:style w:type="paragraph" w:styleId="CommentSubject">
    <w:name w:val="annotation subject"/>
    <w:basedOn w:val="CommentText"/>
    <w:next w:val="CommentText"/>
    <w:link w:val="CommentSubjectChar"/>
    <w:uiPriority w:val="99"/>
    <w:semiHidden/>
    <w:unhideWhenUsed/>
    <w:rsid w:val="00480B73"/>
    <w:rPr>
      <w:b/>
      <w:bCs/>
    </w:rPr>
  </w:style>
  <w:style w:type="character" w:customStyle="1" w:styleId="CommentSubjectChar">
    <w:name w:val="Comment Subject Char"/>
    <w:basedOn w:val="CommentTextChar"/>
    <w:link w:val="CommentSubject"/>
    <w:uiPriority w:val="99"/>
    <w:semiHidden/>
    <w:rsid w:val="00480B73"/>
    <w:rPr>
      <w:b/>
      <w:bCs/>
    </w:rPr>
  </w:style>
  <w:style w:type="table" w:styleId="TableGrid">
    <w:name w:val="Table Grid"/>
    <w:basedOn w:val="TableNormal"/>
    <w:uiPriority w:val="39"/>
    <w:rsid w:val="00480B73"/>
    <w:pPr>
      <w:spacing w:after="0" w:line="240" w:lineRule="auto"/>
    </w:pPr>
    <w:rPr>
      <w:rFonts w:asciiTheme="minorHAnsi" w:hAnsiTheme="minorHAnsi" w:cstheme="minorBidi"/>
      <w:sz w:val="22"/>
      <w:szCs w:val="22"/>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480B73"/>
    <w:pPr>
      <w:keepNext/>
      <w:keepLines/>
      <w:tabs>
        <w:tab w:val="left" w:pos="2016"/>
      </w:tabs>
      <w:spacing w:before="240" w:after="120" w:line="240" w:lineRule="auto"/>
      <w:jc w:val="both"/>
    </w:pPr>
    <w:rPr>
      <w:rFonts w:ascii="Verdana" w:eastAsia="Times New Roman" w:hAnsi="Verdana"/>
      <w:i/>
      <w:color w:val="808080" w:themeColor="background1" w:themeShade="80"/>
      <w:sz w:val="18"/>
      <w:szCs w:val="20"/>
      <w:lang w:val="en-US"/>
    </w:rPr>
  </w:style>
  <w:style w:type="character" w:customStyle="1" w:styleId="Instructions">
    <w:name w:val="Instructions"/>
    <w:basedOn w:val="DefaultParagraphFont"/>
    <w:rsid w:val="00480B73"/>
    <w:rPr>
      <w:i/>
      <w:iCs/>
      <w:vanish/>
      <w:color w:val="0000FF"/>
    </w:rPr>
  </w:style>
  <w:style w:type="paragraph" w:customStyle="1" w:styleId="ParagraphSmall">
    <w:name w:val="Paragraph Small"/>
    <w:basedOn w:val="Normal"/>
    <w:rsid w:val="00480B73"/>
    <w:pPr>
      <w:spacing w:after="120" w:line="240" w:lineRule="auto"/>
      <w:jc w:val="both"/>
    </w:pPr>
    <w:rPr>
      <w:rFonts w:eastAsia="Times New Roman"/>
      <w:sz w:val="20"/>
      <w:lang w:val="en-US"/>
    </w:rPr>
  </w:style>
  <w:style w:type="paragraph" w:styleId="BodyText">
    <w:name w:val="Body Text"/>
    <w:basedOn w:val="Normal"/>
    <w:link w:val="BodyTextChar"/>
    <w:uiPriority w:val="99"/>
    <w:semiHidden/>
    <w:unhideWhenUsed/>
    <w:rsid w:val="00480B73"/>
    <w:pPr>
      <w:spacing w:after="120" w:line="240" w:lineRule="auto"/>
    </w:pPr>
    <w:rPr>
      <w:rFonts w:eastAsia="MS Mincho" w:cs="Arial"/>
      <w:sz w:val="22"/>
      <w:szCs w:val="22"/>
      <w:lang w:val="en-GB" w:eastAsia="ja-JP"/>
    </w:rPr>
  </w:style>
  <w:style w:type="character" w:customStyle="1" w:styleId="BodyTextChar">
    <w:name w:val="Body Text Char"/>
    <w:basedOn w:val="DefaultParagraphFont"/>
    <w:link w:val="BodyText"/>
    <w:uiPriority w:val="99"/>
    <w:semiHidden/>
    <w:rsid w:val="00480B73"/>
    <w:rPr>
      <w:rFonts w:eastAsia="MS Mincho" w:cs="Arial"/>
      <w:sz w:val="22"/>
      <w:szCs w:val="22"/>
      <w:lang w:val="en-GB" w:eastAsia="ja-JP"/>
    </w:rPr>
  </w:style>
  <w:style w:type="paragraph" w:customStyle="1" w:styleId="Tabletext">
    <w:name w:val="Table text"/>
    <w:basedOn w:val="BodyText"/>
    <w:link w:val="TabletextZchn"/>
    <w:uiPriority w:val="99"/>
    <w:rsid w:val="00480B73"/>
    <w:pPr>
      <w:keepLines/>
      <w:spacing w:before="40" w:after="40"/>
    </w:pPr>
    <w:rPr>
      <w:rFonts w:ascii="Arial" w:eastAsia="Times New Roman" w:hAnsi="Arial" w:cs="Times New Roman"/>
      <w:sz w:val="18"/>
      <w:szCs w:val="20"/>
      <w:lang w:val="en-US" w:eastAsia="en-US"/>
    </w:rPr>
  </w:style>
  <w:style w:type="character" w:customStyle="1" w:styleId="TabletextZchn">
    <w:name w:val="Table text Zchn"/>
    <w:link w:val="Tabletext"/>
    <w:uiPriority w:val="99"/>
    <w:locked/>
    <w:rsid w:val="00480B73"/>
    <w:rPr>
      <w:rFonts w:ascii="Arial" w:eastAsia="Times New Roman" w:hAnsi="Arial"/>
      <w:sz w:val="18"/>
      <w:szCs w:val="20"/>
      <w:lang w:val="en-US"/>
    </w:rPr>
  </w:style>
  <w:style w:type="paragraph" w:customStyle="1" w:styleId="Tableheading">
    <w:name w:val="Table heading"/>
    <w:basedOn w:val="Normal"/>
    <w:link w:val="TableheadingChar"/>
    <w:uiPriority w:val="99"/>
    <w:rsid w:val="00480B73"/>
    <w:pPr>
      <w:keepNext/>
      <w:keepLines/>
      <w:spacing w:before="80" w:after="80" w:line="240" w:lineRule="auto"/>
      <w:jc w:val="center"/>
    </w:pPr>
    <w:rPr>
      <w:rFonts w:ascii="Arial" w:eastAsia="Times New Roman" w:hAnsi="Arial"/>
      <w:b/>
      <w:sz w:val="18"/>
      <w:szCs w:val="20"/>
      <w:lang w:val="en-US"/>
    </w:rPr>
  </w:style>
  <w:style w:type="character" w:customStyle="1" w:styleId="TableheadingChar">
    <w:name w:val="Table heading Char"/>
    <w:basedOn w:val="DefaultParagraphFont"/>
    <w:link w:val="Tableheading"/>
    <w:uiPriority w:val="99"/>
    <w:locked/>
    <w:rsid w:val="00480B73"/>
    <w:rPr>
      <w:rFonts w:ascii="Arial" w:eastAsia="Times New Roman" w:hAnsi="Arial"/>
      <w:b/>
      <w:sz w:val="18"/>
      <w:szCs w:val="20"/>
      <w:lang w:val="en-US"/>
    </w:rPr>
  </w:style>
  <w:style w:type="paragraph" w:styleId="NoSpacing">
    <w:name w:val="No Spacing"/>
    <w:uiPriority w:val="99"/>
    <w:qFormat/>
    <w:rsid w:val="00480B73"/>
    <w:pPr>
      <w:spacing w:after="0" w:line="240" w:lineRule="auto"/>
      <w:jc w:val="both"/>
    </w:pPr>
    <w:rPr>
      <w:rFonts w:eastAsia="Times New Roman"/>
      <w:szCs w:val="20"/>
      <w:lang w:val="en-US"/>
    </w:rPr>
  </w:style>
  <w:style w:type="paragraph" w:styleId="NormalWeb">
    <w:name w:val="Normal (Web)"/>
    <w:basedOn w:val="Normal"/>
    <w:uiPriority w:val="99"/>
    <w:unhideWhenUsed/>
    <w:rsid w:val="00480B73"/>
    <w:pPr>
      <w:spacing w:before="100" w:beforeAutospacing="1" w:after="100" w:afterAutospacing="1" w:line="240" w:lineRule="auto"/>
      <w:jc w:val="both"/>
    </w:pPr>
    <w:rPr>
      <w:rFonts w:eastAsiaTheme="minorEastAsia"/>
      <w:lang w:val="en-US"/>
    </w:rPr>
  </w:style>
  <w:style w:type="character" w:styleId="Hyperlink">
    <w:name w:val="Hyperlink"/>
    <w:basedOn w:val="DefaultParagraphFont"/>
    <w:uiPriority w:val="99"/>
    <w:unhideWhenUsed/>
    <w:rsid w:val="00480B73"/>
    <w:rPr>
      <w:color w:val="0000FF" w:themeColor="hyperlink"/>
      <w:u w:val="single"/>
    </w:rPr>
  </w:style>
  <w:style w:type="character" w:customStyle="1" w:styleId="region">
    <w:name w:val="region"/>
    <w:basedOn w:val="DefaultParagraphFont"/>
    <w:rsid w:val="00480B73"/>
  </w:style>
  <w:style w:type="character" w:customStyle="1" w:styleId="apple-converted-space">
    <w:name w:val="apple-converted-space"/>
    <w:basedOn w:val="DefaultParagraphFont"/>
    <w:rsid w:val="00480B73"/>
  </w:style>
  <w:style w:type="table" w:styleId="LightShading">
    <w:name w:val="Light Shading"/>
    <w:basedOn w:val="TableNormal"/>
    <w:uiPriority w:val="60"/>
    <w:rsid w:val="00480B73"/>
    <w:pPr>
      <w:spacing w:after="0" w:line="240" w:lineRule="auto"/>
    </w:pPr>
    <w:rPr>
      <w:rFonts w:asciiTheme="minorHAnsi" w:hAnsiTheme="minorHAnsi" w:cstheme="minorBidi"/>
      <w:color w:val="000000" w:themeColor="text1" w:themeShade="BF"/>
      <w:sz w:val="22"/>
      <w:szCs w:val="22"/>
      <w:lang w:val="sv-S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DefaultParagraphFont"/>
    <w:rsid w:val="00480B73"/>
  </w:style>
  <w:style w:type="character" w:styleId="SubtleEmphasis">
    <w:name w:val="Subtle Emphasis"/>
    <w:basedOn w:val="DefaultParagraphFont"/>
    <w:uiPriority w:val="19"/>
    <w:qFormat/>
    <w:rsid w:val="00480B73"/>
    <w:rPr>
      <w:i/>
      <w:iCs/>
      <w:color w:val="808080" w:themeColor="text1" w:themeTint="7F"/>
    </w:rPr>
  </w:style>
  <w:style w:type="table" w:styleId="LightList">
    <w:name w:val="Light List"/>
    <w:basedOn w:val="TableNormal"/>
    <w:uiPriority w:val="61"/>
    <w:rsid w:val="00480B73"/>
    <w:pPr>
      <w:spacing w:after="0" w:line="240" w:lineRule="auto"/>
    </w:pPr>
    <w:rPr>
      <w:rFonts w:asciiTheme="minorHAnsi" w:hAnsiTheme="minorHAnsi" w:cstheme="minorBidi"/>
      <w:sz w:val="22"/>
      <w:szCs w:val="22"/>
      <w:lang w:val="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
    <w:name w:val="Medium List 2"/>
    <w:basedOn w:val="TableNormal"/>
    <w:uiPriority w:val="66"/>
    <w:rsid w:val="00480B73"/>
    <w:pPr>
      <w:spacing w:after="0" w:line="240" w:lineRule="auto"/>
    </w:pPr>
    <w:rPr>
      <w:rFonts w:asciiTheme="majorHAnsi" w:eastAsiaTheme="majorEastAsia" w:hAnsiTheme="majorHAnsi" w:cstheme="majorBidi"/>
      <w:color w:val="000000" w:themeColor="text1"/>
      <w:sz w:val="22"/>
      <w:szCs w:val="22"/>
      <w:lang w:val="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480B73"/>
    <w:rPr>
      <w:color w:val="808080"/>
    </w:rPr>
  </w:style>
  <w:style w:type="paragraph" w:styleId="Subtitle">
    <w:name w:val="Subtitle"/>
    <w:basedOn w:val="Normal"/>
    <w:next w:val="Normal"/>
    <w:link w:val="SubtitleChar"/>
    <w:uiPriority w:val="11"/>
    <w:qFormat/>
    <w:rsid w:val="00480B73"/>
    <w:pPr>
      <w:numPr>
        <w:ilvl w:val="1"/>
      </w:numPr>
      <w:spacing w:after="0" w:line="240" w:lineRule="auto"/>
    </w:pPr>
    <w:rPr>
      <w:rFonts w:eastAsiaTheme="majorEastAsia" w:cstheme="majorBidi"/>
      <w:i/>
      <w:iCs/>
      <w:color w:val="808080" w:themeColor="background1" w:themeShade="80"/>
      <w:spacing w:val="15"/>
      <w:sz w:val="18"/>
      <w:lang w:val="en-GB" w:eastAsia="ja-JP"/>
    </w:rPr>
  </w:style>
  <w:style w:type="character" w:customStyle="1" w:styleId="SubtitleChar">
    <w:name w:val="Subtitle Char"/>
    <w:basedOn w:val="DefaultParagraphFont"/>
    <w:link w:val="Subtitle"/>
    <w:uiPriority w:val="11"/>
    <w:rsid w:val="00480B73"/>
    <w:rPr>
      <w:rFonts w:eastAsiaTheme="majorEastAsia" w:cstheme="majorBidi"/>
      <w:i/>
      <w:iCs/>
      <w:color w:val="808080" w:themeColor="background1" w:themeShade="80"/>
      <w:spacing w:val="15"/>
      <w:sz w:val="18"/>
      <w:lang w:val="en-GB" w:eastAsia="ja-JP"/>
    </w:rPr>
  </w:style>
  <w:style w:type="character" w:customStyle="1" w:styleId="highlight">
    <w:name w:val="highlight"/>
    <w:basedOn w:val="DefaultParagraphFont"/>
    <w:rsid w:val="00480B73"/>
  </w:style>
  <w:style w:type="paragraph" w:styleId="HTMLPreformatted">
    <w:name w:val="HTML Preformatted"/>
    <w:basedOn w:val="Normal"/>
    <w:link w:val="HTMLPreformattedChar"/>
    <w:uiPriority w:val="99"/>
    <w:semiHidden/>
    <w:unhideWhenUsed/>
    <w:rsid w:val="00480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nl-NL"/>
    </w:rPr>
  </w:style>
  <w:style w:type="character" w:customStyle="1" w:styleId="HTMLPreformattedChar">
    <w:name w:val="HTML Preformatted Char"/>
    <w:basedOn w:val="DefaultParagraphFont"/>
    <w:link w:val="HTMLPreformatted"/>
    <w:uiPriority w:val="99"/>
    <w:semiHidden/>
    <w:rsid w:val="00480B73"/>
    <w:rPr>
      <w:rFonts w:ascii="Courier New" w:eastAsia="Times New Roman" w:hAnsi="Courier New" w:cs="Courier New"/>
      <w:sz w:val="20"/>
      <w:szCs w:val="20"/>
      <w:lang w:val="en-GB" w:eastAsia="nl-NL"/>
    </w:rPr>
  </w:style>
  <w:style w:type="paragraph" w:styleId="Title">
    <w:name w:val="Title"/>
    <w:basedOn w:val="Normal"/>
    <w:next w:val="Normal"/>
    <w:link w:val="TitleChar"/>
    <w:uiPriority w:val="10"/>
    <w:qFormat/>
    <w:rsid w:val="00480B73"/>
    <w:pPr>
      <w:spacing w:after="0" w:line="240" w:lineRule="auto"/>
      <w:contextualSpacing/>
    </w:pPr>
    <w:rPr>
      <w:rFonts w:asciiTheme="majorHAnsi" w:eastAsiaTheme="majorEastAsia" w:hAnsiTheme="majorHAnsi" w:cstheme="majorBidi"/>
      <w:spacing w:val="-10"/>
      <w:kern w:val="28"/>
      <w:sz w:val="56"/>
      <w:szCs w:val="56"/>
      <w:lang w:val="en-GB" w:eastAsia="ja-JP"/>
    </w:rPr>
  </w:style>
  <w:style w:type="character" w:customStyle="1" w:styleId="TitleChar">
    <w:name w:val="Title Char"/>
    <w:basedOn w:val="DefaultParagraphFont"/>
    <w:link w:val="Title"/>
    <w:uiPriority w:val="10"/>
    <w:rsid w:val="00480B73"/>
    <w:rPr>
      <w:rFonts w:asciiTheme="majorHAnsi" w:eastAsiaTheme="majorEastAsia" w:hAnsiTheme="majorHAnsi" w:cstheme="majorBidi"/>
      <w:spacing w:val="-10"/>
      <w:kern w:val="28"/>
      <w:sz w:val="56"/>
      <w:szCs w:val="56"/>
      <w:lang w:val="en-GB" w:eastAsia="ja-JP"/>
    </w:rPr>
  </w:style>
  <w:style w:type="paragraph" w:styleId="Header">
    <w:name w:val="header"/>
    <w:basedOn w:val="Normal"/>
    <w:link w:val="HeaderChar"/>
    <w:uiPriority w:val="99"/>
    <w:unhideWhenUsed/>
    <w:rsid w:val="00480B73"/>
    <w:pPr>
      <w:tabs>
        <w:tab w:val="center" w:pos="4536"/>
        <w:tab w:val="right" w:pos="9072"/>
      </w:tabs>
      <w:spacing w:after="0" w:line="240" w:lineRule="auto"/>
    </w:pPr>
    <w:rPr>
      <w:rFonts w:eastAsia="MS Mincho" w:cs="Arial"/>
      <w:sz w:val="22"/>
      <w:szCs w:val="22"/>
      <w:lang w:val="en-GB" w:eastAsia="ja-JP"/>
    </w:rPr>
  </w:style>
  <w:style w:type="character" w:customStyle="1" w:styleId="HeaderChar">
    <w:name w:val="Header Char"/>
    <w:basedOn w:val="DefaultParagraphFont"/>
    <w:link w:val="Header"/>
    <w:uiPriority w:val="99"/>
    <w:rsid w:val="00480B73"/>
    <w:rPr>
      <w:rFonts w:eastAsia="MS Mincho" w:cs="Arial"/>
      <w:sz w:val="22"/>
      <w:szCs w:val="22"/>
      <w:lang w:val="en-GB" w:eastAsia="ja-JP"/>
    </w:rPr>
  </w:style>
  <w:style w:type="paragraph" w:styleId="Footer">
    <w:name w:val="footer"/>
    <w:basedOn w:val="Normal"/>
    <w:link w:val="FooterChar"/>
    <w:uiPriority w:val="99"/>
    <w:unhideWhenUsed/>
    <w:rsid w:val="00480B73"/>
    <w:pPr>
      <w:tabs>
        <w:tab w:val="center" w:pos="4536"/>
        <w:tab w:val="right" w:pos="9072"/>
      </w:tabs>
      <w:spacing w:after="0" w:line="240" w:lineRule="auto"/>
    </w:pPr>
    <w:rPr>
      <w:rFonts w:eastAsia="MS Mincho" w:cs="Arial"/>
      <w:sz w:val="22"/>
      <w:szCs w:val="22"/>
      <w:lang w:val="en-GB" w:eastAsia="ja-JP"/>
    </w:rPr>
  </w:style>
  <w:style w:type="character" w:customStyle="1" w:styleId="FooterChar">
    <w:name w:val="Footer Char"/>
    <w:basedOn w:val="DefaultParagraphFont"/>
    <w:link w:val="Footer"/>
    <w:uiPriority w:val="99"/>
    <w:rsid w:val="00480B73"/>
    <w:rPr>
      <w:rFonts w:eastAsia="MS Mincho" w:cs="Arial"/>
      <w:sz w:val="22"/>
      <w:szCs w:val="22"/>
      <w:lang w:val="en-GB" w:eastAsia="ja-JP"/>
    </w:rPr>
  </w:style>
  <w:style w:type="paragraph" w:customStyle="1" w:styleId="Default">
    <w:name w:val="Default"/>
    <w:rsid w:val="00480B73"/>
    <w:pPr>
      <w:autoSpaceDE w:val="0"/>
      <w:autoSpaceDN w:val="0"/>
      <w:adjustRightInd w:val="0"/>
      <w:spacing w:after="0" w:line="240" w:lineRule="auto"/>
    </w:pPr>
    <w:rPr>
      <w:rFonts w:ascii="Code" w:hAnsi="Code" w:cs="Code"/>
      <w:color w:val="000000"/>
      <w:lang w:val="nl-NL"/>
    </w:rPr>
  </w:style>
  <w:style w:type="character" w:customStyle="1" w:styleId="abscitationtitle">
    <w:name w:val="abs_citation_title"/>
    <w:basedOn w:val="DefaultParagraphFont"/>
    <w:rsid w:val="00480B73"/>
  </w:style>
  <w:style w:type="paragraph" w:styleId="Revision">
    <w:name w:val="Revision"/>
    <w:hidden/>
    <w:uiPriority w:val="99"/>
    <w:semiHidden/>
    <w:rsid w:val="00480B73"/>
    <w:pPr>
      <w:spacing w:after="0" w:line="240" w:lineRule="auto"/>
    </w:pPr>
    <w:rPr>
      <w:rFonts w:eastAsia="MS Mincho" w:cs="Arial"/>
      <w:sz w:val="22"/>
      <w:szCs w:val="22"/>
      <w:lang w:val="en-GB" w:eastAsia="ja-JP"/>
    </w:rPr>
  </w:style>
  <w:style w:type="character" w:customStyle="1" w:styleId="publiclabelfieldcontent">
    <w:name w:val="publiclabelfieldcontent"/>
    <w:basedOn w:val="DefaultParagraphFont"/>
    <w:rsid w:val="00480B73"/>
  </w:style>
  <w:style w:type="paragraph" w:customStyle="1" w:styleId="TABLEonderschrift">
    <w:name w:val="TABLE onderschrift"/>
    <w:basedOn w:val="Subtitle"/>
    <w:link w:val="TABLEonderschriftChar"/>
    <w:qFormat/>
    <w:rsid w:val="00480B73"/>
    <w:rPr>
      <w:i w:val="0"/>
      <w:color w:val="7F7F7F" w:themeColor="text1" w:themeTint="80"/>
      <w:sz w:val="20"/>
    </w:rPr>
  </w:style>
  <w:style w:type="character" w:customStyle="1" w:styleId="TABLEonderschriftChar">
    <w:name w:val="TABLE onderschrift Char"/>
    <w:basedOn w:val="SubtitleChar"/>
    <w:link w:val="TABLEonderschrift"/>
    <w:rsid w:val="00480B73"/>
    <w:rPr>
      <w:color w:val="7F7F7F" w:themeColor="text1" w:themeTint="80"/>
      <w:sz w:val="20"/>
    </w:rPr>
  </w:style>
  <w:style w:type="character" w:styleId="Emphasis">
    <w:name w:val="Emphasis"/>
    <w:basedOn w:val="DefaultParagraphFont"/>
    <w:uiPriority w:val="20"/>
    <w:qFormat/>
    <w:rsid w:val="00480B73"/>
    <w:rPr>
      <w:i/>
      <w:iCs/>
    </w:rPr>
  </w:style>
  <w:style w:type="table" w:styleId="LightList-Accent5">
    <w:name w:val="Light List Accent 5"/>
    <w:basedOn w:val="TableNormal"/>
    <w:uiPriority w:val="61"/>
    <w:rsid w:val="00480B73"/>
    <w:pPr>
      <w:spacing w:after="0" w:line="240" w:lineRule="auto"/>
    </w:pPr>
    <w:rPr>
      <w:rFonts w:asciiTheme="minorHAnsi" w:hAnsiTheme="minorHAnsi" w:cstheme="minorBidi"/>
      <w:sz w:val="22"/>
      <w:szCs w:val="22"/>
      <w:lang w:val="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ekenstijlonderschrift">
    <w:name w:val="Tekenstijl onderschrift"/>
    <w:uiPriority w:val="99"/>
    <w:rsid w:val="00480B73"/>
    <w:rPr>
      <w:rFonts w:ascii="MyriadPro-LightIt" w:hAnsi="MyriadPro-LightIt" w:cs="MyriadPro-LightIt"/>
      <w:i/>
      <w:iCs/>
      <w:color w:val="505050"/>
      <w:sz w:val="14"/>
      <w:szCs w:val="14"/>
    </w:rPr>
  </w:style>
  <w:style w:type="paragraph" w:customStyle="1" w:styleId="TABLEbody">
    <w:name w:val="TABLE_body"/>
    <w:basedOn w:val="Subtitle"/>
    <w:uiPriority w:val="99"/>
    <w:rsid w:val="00480B73"/>
    <w:pPr>
      <w:numPr>
        <w:ilvl w:val="0"/>
      </w:numPr>
      <w:autoSpaceDE w:val="0"/>
      <w:autoSpaceDN w:val="0"/>
      <w:adjustRightInd w:val="0"/>
      <w:spacing w:line="288" w:lineRule="auto"/>
      <w:textAlignment w:val="center"/>
    </w:pPr>
    <w:rPr>
      <w:rFonts w:ascii="MyriadPro-Light" w:eastAsiaTheme="minorHAnsi" w:hAnsi="MyriadPro-Light" w:cs="MyriadPro-Light"/>
      <w:color w:val="7F7F7F"/>
      <w:spacing w:val="0"/>
      <w:sz w:val="14"/>
      <w:szCs w:val="14"/>
      <w:lang w:val="en-US" w:eastAsia="en-US"/>
    </w:rPr>
  </w:style>
  <w:style w:type="character" w:customStyle="1" w:styleId="Tekenstijl1">
    <w:name w:val="Tekenstijl 1"/>
    <w:uiPriority w:val="99"/>
    <w:rsid w:val="00480B73"/>
    <w:rPr>
      <w:rFonts w:ascii="MyriadPro-Light" w:hAnsi="MyriadPro-Light" w:cs="MyriadPro-Light"/>
      <w:color w:val="505050"/>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16488</Words>
  <Characters>93986</Characters>
  <Application>Microsoft Office Word</Application>
  <DocSecurity>0</DocSecurity>
  <Lines>783</Lines>
  <Paragraphs>220</Paragraphs>
  <ScaleCrop>false</ScaleCrop>
  <Company>Microsoft</Company>
  <LinksUpToDate>false</LinksUpToDate>
  <CharactersWithSpaces>110254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0012662</dc:creator>
  <cp:keywords/>
  <dc:description/>
  <cp:lastModifiedBy>0012662</cp:lastModifiedBy>
  <cp:revision>2</cp:revision>
  <dcterms:created xsi:type="dcterms:W3CDTF">2017-06-13T04:55:00Z</dcterms:created>
  <dcterms:modified xsi:type="dcterms:W3CDTF">2017-06-13T04:56:00Z</dcterms:modified>
</cp:coreProperties>
</file>