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9AC" w:rsidRPr="000874FA" w:rsidRDefault="00DF7259" w:rsidP="00DF7259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n-GB"/>
        </w:rPr>
      </w:pPr>
      <w:r w:rsidRPr="000874FA"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Electronic </w:t>
      </w:r>
      <w:r w:rsidR="00A559AC" w:rsidRPr="000874FA">
        <w:rPr>
          <w:rFonts w:ascii="Times New Roman" w:eastAsia="Times New Roman" w:hAnsi="Times New Roman"/>
          <w:b/>
          <w:sz w:val="24"/>
          <w:szCs w:val="24"/>
          <w:lang w:eastAsia="en-GB"/>
        </w:rPr>
        <w:t>Supplemental Material</w:t>
      </w:r>
    </w:p>
    <w:p w:rsidR="00DF7259" w:rsidRPr="000874FA" w:rsidRDefault="00DF7259" w:rsidP="00DF7259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n-GB"/>
        </w:rPr>
      </w:pPr>
    </w:p>
    <w:p w:rsidR="00DF7259" w:rsidRPr="000874FA" w:rsidRDefault="00DF7259" w:rsidP="00DF7259">
      <w:pPr>
        <w:pStyle w:val="CentredText"/>
        <w:spacing w:before="0" w:after="0" w:line="240" w:lineRule="auto"/>
        <w:jc w:val="left"/>
        <w:rPr>
          <w:rFonts w:ascii="Times New Roman" w:hAnsi="Times New Roman" w:cs="Times New Roman"/>
          <w:i/>
          <w:caps w:val="0"/>
          <w:sz w:val="28"/>
          <w:lang w:val="en-US"/>
        </w:rPr>
      </w:pPr>
      <w:r w:rsidRPr="000874FA">
        <w:rPr>
          <w:rFonts w:ascii="Times New Roman" w:hAnsi="Times New Roman" w:cs="Times New Roman"/>
          <w:i/>
          <w:caps w:val="0"/>
          <w:sz w:val="28"/>
          <w:lang w:val="en-US"/>
        </w:rPr>
        <w:t>Clinical Pharmacokinetics</w:t>
      </w:r>
    </w:p>
    <w:p w:rsidR="00DF7259" w:rsidRPr="000874FA" w:rsidRDefault="00DF7259" w:rsidP="00DF7259">
      <w:pPr>
        <w:pStyle w:val="CentredText"/>
        <w:spacing w:before="0" w:after="0" w:line="240" w:lineRule="auto"/>
        <w:rPr>
          <w:rFonts w:ascii="Times New Roman" w:hAnsi="Times New Roman" w:cs="Times New Roman"/>
          <w:caps w:val="0"/>
          <w:sz w:val="28"/>
          <w:lang w:val="en-US"/>
        </w:rPr>
      </w:pPr>
    </w:p>
    <w:p w:rsidR="00DF7259" w:rsidRPr="000874FA" w:rsidRDefault="00DF7259" w:rsidP="00DF7259">
      <w:pPr>
        <w:pStyle w:val="CentredText"/>
        <w:spacing w:before="0" w:after="0" w:line="240" w:lineRule="auto"/>
        <w:rPr>
          <w:rFonts w:ascii="Times New Roman" w:hAnsi="Times New Roman" w:cs="Times New Roman"/>
          <w:caps w:val="0"/>
          <w:sz w:val="28"/>
          <w:lang w:val="en-US"/>
        </w:rPr>
      </w:pPr>
    </w:p>
    <w:p w:rsidR="00DF7259" w:rsidRPr="000874FA" w:rsidRDefault="00DF7259" w:rsidP="00DF7259">
      <w:pPr>
        <w:pStyle w:val="CentredText"/>
        <w:spacing w:before="0" w:after="0" w:line="240" w:lineRule="auto"/>
        <w:rPr>
          <w:rFonts w:ascii="Times New Roman" w:hAnsi="Times New Roman" w:cs="Times New Roman"/>
          <w:caps w:val="0"/>
          <w:sz w:val="36"/>
          <w:lang w:val="en-US"/>
        </w:rPr>
      </w:pPr>
      <w:r w:rsidRPr="000874FA">
        <w:rPr>
          <w:rFonts w:ascii="Times New Roman" w:hAnsi="Times New Roman" w:cs="Times New Roman"/>
          <w:caps w:val="0"/>
          <w:sz w:val="36"/>
          <w:lang w:val="en-US"/>
        </w:rPr>
        <w:t>A phase 1, open-label, parallel-group, single dose trial of the pharmacokinetics, safety and tolerability of cannabidiol (</w:t>
      </w:r>
      <w:proofErr w:type="spellStart"/>
      <w:r w:rsidRPr="000874FA">
        <w:rPr>
          <w:rFonts w:ascii="Times New Roman" w:hAnsi="Times New Roman" w:cs="Times New Roman"/>
          <w:caps w:val="0"/>
          <w:sz w:val="36"/>
          <w:lang w:val="en-US"/>
        </w:rPr>
        <w:t>CBD</w:t>
      </w:r>
      <w:proofErr w:type="spellEnd"/>
      <w:r w:rsidRPr="000874FA">
        <w:rPr>
          <w:rFonts w:ascii="Times New Roman" w:hAnsi="Times New Roman" w:cs="Times New Roman"/>
          <w:caps w:val="0"/>
          <w:sz w:val="36"/>
          <w:lang w:val="en-US"/>
        </w:rPr>
        <w:t>) in subjects with mild</w:t>
      </w:r>
      <w:r w:rsidRPr="000874FA">
        <w:rPr>
          <w:rFonts w:ascii="Times New Roman" w:hAnsi="Times New Roman" w:cs="Times New Roman"/>
          <w:caps w:val="0"/>
          <w:sz w:val="36"/>
          <w:lang w:val="en-US"/>
        </w:rPr>
        <w:noBreakHyphen/>
        <w:t>to</w:t>
      </w:r>
      <w:r w:rsidRPr="000874FA">
        <w:rPr>
          <w:rFonts w:ascii="Times New Roman" w:hAnsi="Times New Roman" w:cs="Times New Roman"/>
          <w:caps w:val="0"/>
          <w:sz w:val="36"/>
          <w:lang w:val="en-US"/>
        </w:rPr>
        <w:noBreakHyphen/>
        <w:t>severe renal impairment</w:t>
      </w:r>
    </w:p>
    <w:p w:rsidR="00DF7259" w:rsidRPr="000874FA" w:rsidRDefault="00DF7259" w:rsidP="00DF7259">
      <w:pPr>
        <w:spacing w:after="0" w:line="240" w:lineRule="auto"/>
      </w:pPr>
    </w:p>
    <w:p w:rsidR="00DF7259" w:rsidRPr="000874FA" w:rsidRDefault="00DF7259" w:rsidP="00DF725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0874FA">
        <w:rPr>
          <w:rFonts w:ascii="Times New Roman" w:eastAsia="Times New Roman" w:hAnsi="Times New Roman"/>
          <w:sz w:val="24"/>
          <w:szCs w:val="24"/>
          <w:lang w:eastAsia="en-GB"/>
        </w:rPr>
        <w:t xml:space="preserve">Bola </w:t>
      </w:r>
      <w:proofErr w:type="spellStart"/>
      <w:r w:rsidRPr="000874FA">
        <w:rPr>
          <w:rFonts w:ascii="Times New Roman" w:eastAsia="Times New Roman" w:hAnsi="Times New Roman"/>
          <w:sz w:val="24"/>
          <w:szCs w:val="24"/>
          <w:lang w:eastAsia="en-GB"/>
        </w:rPr>
        <w:t>Tayo</w:t>
      </w:r>
      <w:proofErr w:type="spellEnd"/>
      <w:r w:rsidRPr="000874FA">
        <w:rPr>
          <w:rFonts w:ascii="Times New Roman" w:eastAsia="Times New Roman" w:hAnsi="Times New Roman"/>
          <w:sz w:val="24"/>
          <w:szCs w:val="24"/>
          <w:lang w:eastAsia="en-GB"/>
        </w:rPr>
        <w:t>, MD</w:t>
      </w:r>
      <w:r w:rsidRPr="000874FA">
        <w:rPr>
          <w:rFonts w:ascii="Times New Roman" w:eastAsia="Times New Roman" w:hAnsi="Times New Roman"/>
          <w:sz w:val="24"/>
          <w:szCs w:val="24"/>
          <w:vertAlign w:val="superscript"/>
          <w:lang w:eastAsia="en-GB"/>
        </w:rPr>
        <w:t>1</w:t>
      </w:r>
      <w:r w:rsidRPr="000874FA">
        <w:rPr>
          <w:rFonts w:ascii="Times New Roman" w:eastAsia="Times New Roman" w:hAnsi="Times New Roman"/>
          <w:sz w:val="24"/>
          <w:szCs w:val="24"/>
          <w:lang w:eastAsia="en-GB"/>
        </w:rPr>
        <w:t>, Lesley Taylor, PhD</w:t>
      </w:r>
      <w:r w:rsidRPr="000874FA">
        <w:rPr>
          <w:rFonts w:ascii="Times New Roman" w:eastAsia="Times New Roman" w:hAnsi="Times New Roman"/>
          <w:sz w:val="24"/>
          <w:szCs w:val="24"/>
          <w:vertAlign w:val="superscript"/>
          <w:lang w:eastAsia="en-GB"/>
        </w:rPr>
        <w:t>1*</w:t>
      </w:r>
      <w:r w:rsidRPr="000874FA">
        <w:rPr>
          <w:rFonts w:ascii="Times New Roman" w:eastAsia="Times New Roman" w:hAnsi="Times New Roman"/>
          <w:sz w:val="24"/>
          <w:szCs w:val="24"/>
          <w:lang w:eastAsia="en-GB"/>
        </w:rPr>
        <w:t xml:space="preserve">, </w:t>
      </w:r>
      <w:proofErr w:type="spellStart"/>
      <w:r w:rsidRPr="000874FA">
        <w:rPr>
          <w:rFonts w:ascii="Times New Roman" w:eastAsia="Times New Roman" w:hAnsi="Times New Roman"/>
          <w:sz w:val="24"/>
          <w:szCs w:val="24"/>
          <w:lang w:eastAsia="en-GB"/>
        </w:rPr>
        <w:t>Farhad</w:t>
      </w:r>
      <w:proofErr w:type="spellEnd"/>
      <w:r w:rsidRPr="000874FA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0874FA">
        <w:rPr>
          <w:rFonts w:ascii="Times New Roman" w:eastAsia="Times New Roman" w:hAnsi="Times New Roman"/>
          <w:sz w:val="24"/>
          <w:szCs w:val="24"/>
          <w:lang w:eastAsia="en-GB"/>
        </w:rPr>
        <w:t>Sahebkar</w:t>
      </w:r>
      <w:proofErr w:type="spellEnd"/>
      <w:r w:rsidRPr="000874FA">
        <w:rPr>
          <w:rFonts w:ascii="Times New Roman" w:eastAsia="Times New Roman" w:hAnsi="Times New Roman"/>
          <w:sz w:val="24"/>
          <w:szCs w:val="24"/>
          <w:lang w:eastAsia="en-GB"/>
        </w:rPr>
        <w:t>, MD</w:t>
      </w:r>
      <w:r w:rsidRPr="000874FA">
        <w:rPr>
          <w:rFonts w:ascii="Times New Roman" w:eastAsia="Times New Roman" w:hAnsi="Times New Roman"/>
          <w:sz w:val="24"/>
          <w:szCs w:val="24"/>
          <w:vertAlign w:val="superscript"/>
          <w:lang w:eastAsia="en-GB"/>
        </w:rPr>
        <w:t>2</w:t>
      </w:r>
      <w:r w:rsidRPr="000874FA">
        <w:rPr>
          <w:rFonts w:ascii="Times New Roman" w:eastAsia="Times New Roman" w:hAnsi="Times New Roman"/>
          <w:sz w:val="24"/>
          <w:szCs w:val="24"/>
          <w:lang w:eastAsia="en-GB"/>
        </w:rPr>
        <w:t>, Gilmour Morrison, HND</w:t>
      </w:r>
      <w:r w:rsidRPr="000874FA">
        <w:rPr>
          <w:rFonts w:ascii="Times New Roman" w:eastAsia="Times New Roman" w:hAnsi="Times New Roman"/>
          <w:sz w:val="24"/>
          <w:szCs w:val="24"/>
          <w:vertAlign w:val="superscript"/>
          <w:lang w:eastAsia="en-GB"/>
        </w:rPr>
        <w:t>1</w:t>
      </w:r>
    </w:p>
    <w:p w:rsidR="00DF7259" w:rsidRPr="000874FA" w:rsidRDefault="00DF7259" w:rsidP="00DF7259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vertAlign w:val="superscript"/>
          <w:lang w:eastAsia="en-GB"/>
        </w:rPr>
      </w:pPr>
    </w:p>
    <w:p w:rsidR="00DF7259" w:rsidRPr="000874FA" w:rsidRDefault="00DF7259" w:rsidP="00DF7259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vertAlign w:val="superscript"/>
          <w:lang w:eastAsia="en-GB"/>
        </w:rPr>
      </w:pPr>
    </w:p>
    <w:p w:rsidR="00DF7259" w:rsidRPr="000874FA" w:rsidRDefault="00DF7259" w:rsidP="00DF7259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vertAlign w:val="superscript"/>
          <w:lang w:eastAsia="en-GB"/>
        </w:rPr>
      </w:pPr>
    </w:p>
    <w:p w:rsidR="00DF7259" w:rsidRPr="000874FA" w:rsidRDefault="00DF7259" w:rsidP="00DF7259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vertAlign w:val="superscript"/>
          <w:lang w:eastAsia="en-GB"/>
        </w:rPr>
      </w:pPr>
    </w:p>
    <w:p w:rsidR="00DF7259" w:rsidRPr="000874FA" w:rsidRDefault="00DF7259" w:rsidP="00DF7259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en-GB"/>
        </w:rPr>
      </w:pPr>
      <w:r w:rsidRPr="000874FA">
        <w:rPr>
          <w:rFonts w:ascii="Times New Roman" w:eastAsia="Times New Roman" w:hAnsi="Times New Roman"/>
          <w:i/>
          <w:sz w:val="24"/>
          <w:szCs w:val="24"/>
          <w:vertAlign w:val="superscript"/>
          <w:lang w:eastAsia="en-GB"/>
        </w:rPr>
        <w:t>1</w:t>
      </w:r>
      <w:r w:rsidRPr="000874FA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Pr="000874FA">
        <w:rPr>
          <w:rFonts w:ascii="Times New Roman" w:eastAsia="Times New Roman" w:hAnsi="Times New Roman"/>
          <w:i/>
          <w:sz w:val="24"/>
          <w:szCs w:val="24"/>
          <w:lang w:eastAsia="en-GB"/>
        </w:rPr>
        <w:t xml:space="preserve">GW Research Ltd, Sovereign House, Vision Park, </w:t>
      </w:r>
      <w:proofErr w:type="spellStart"/>
      <w:r w:rsidRPr="000874FA">
        <w:rPr>
          <w:rFonts w:ascii="Times New Roman" w:eastAsia="Times New Roman" w:hAnsi="Times New Roman"/>
          <w:i/>
          <w:sz w:val="24"/>
          <w:szCs w:val="24"/>
          <w:lang w:eastAsia="en-GB"/>
        </w:rPr>
        <w:t>Histon</w:t>
      </w:r>
      <w:proofErr w:type="spellEnd"/>
      <w:r w:rsidRPr="000874FA">
        <w:rPr>
          <w:rFonts w:ascii="Times New Roman" w:eastAsia="Times New Roman" w:hAnsi="Times New Roman"/>
          <w:i/>
          <w:sz w:val="24"/>
          <w:szCs w:val="24"/>
          <w:lang w:eastAsia="en-GB"/>
        </w:rPr>
        <w:t xml:space="preserve">, Cambridge </w:t>
      </w:r>
      <w:proofErr w:type="spellStart"/>
      <w:r w:rsidRPr="000874FA">
        <w:rPr>
          <w:rFonts w:ascii="Times New Roman" w:eastAsia="Times New Roman" w:hAnsi="Times New Roman"/>
          <w:i/>
          <w:sz w:val="24"/>
          <w:szCs w:val="24"/>
          <w:lang w:eastAsia="en-GB"/>
        </w:rPr>
        <w:t>CB24</w:t>
      </w:r>
      <w:proofErr w:type="spellEnd"/>
      <w:r w:rsidRPr="000874FA">
        <w:rPr>
          <w:rFonts w:ascii="Times New Roman" w:eastAsia="Times New Roman" w:hAnsi="Times New Roman"/>
          <w:i/>
          <w:sz w:val="24"/>
          <w:szCs w:val="24"/>
          <w:lang w:eastAsia="en-GB"/>
        </w:rPr>
        <w:t xml:space="preserve"> 9BZ, UK</w:t>
      </w:r>
    </w:p>
    <w:p w:rsidR="00DF7259" w:rsidRPr="000874FA" w:rsidRDefault="00DF7259" w:rsidP="00DF7259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0874FA">
        <w:rPr>
          <w:rFonts w:ascii="Times New Roman" w:eastAsia="Times New Roman" w:hAnsi="Times New Roman"/>
          <w:i/>
          <w:sz w:val="24"/>
          <w:szCs w:val="24"/>
          <w:vertAlign w:val="superscript"/>
          <w:lang w:eastAsia="en-GB"/>
        </w:rPr>
        <w:t>2</w:t>
      </w:r>
      <w:r w:rsidRPr="000874FA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Pr="000874FA">
        <w:rPr>
          <w:rFonts w:ascii="Times New Roman" w:eastAsia="Times New Roman" w:hAnsi="Times New Roman"/>
          <w:i/>
          <w:sz w:val="24"/>
          <w:szCs w:val="24"/>
        </w:rPr>
        <w:t>Greenwich Biosciences</w:t>
      </w:r>
      <w:bookmarkStart w:id="0" w:name="_GoBack"/>
      <w:bookmarkEnd w:id="0"/>
      <w:r w:rsidRPr="000874FA">
        <w:rPr>
          <w:rFonts w:ascii="Times New Roman" w:eastAsia="Times New Roman" w:hAnsi="Times New Roman"/>
          <w:i/>
          <w:sz w:val="24"/>
          <w:szCs w:val="24"/>
        </w:rPr>
        <w:t>, Inc., 5750 Fleet Street, Suite 200, Carlsbad, CA, USA 92008</w:t>
      </w:r>
    </w:p>
    <w:p w:rsidR="00DF7259" w:rsidRPr="000874FA" w:rsidRDefault="00DF7259" w:rsidP="00DF725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F7259" w:rsidRPr="000874FA" w:rsidRDefault="00DF7259" w:rsidP="00DF725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F7259" w:rsidRPr="000874FA" w:rsidRDefault="00DF7259" w:rsidP="00DF725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F7259" w:rsidRPr="000874FA" w:rsidRDefault="00DF7259" w:rsidP="00DF725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F7259" w:rsidRPr="000874FA" w:rsidRDefault="00DF7259" w:rsidP="00DF725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F7259" w:rsidRPr="000874FA" w:rsidRDefault="00DF7259" w:rsidP="00DF725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F7259" w:rsidRPr="000874FA" w:rsidRDefault="00DF7259" w:rsidP="00DF7259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vertAlign w:val="superscript"/>
          <w:lang w:eastAsia="en-GB"/>
        </w:rPr>
      </w:pPr>
      <w:r w:rsidRPr="000874FA">
        <w:rPr>
          <w:rFonts w:ascii="Times New Roman" w:eastAsia="Times New Roman" w:hAnsi="Times New Roman"/>
          <w:sz w:val="24"/>
          <w:szCs w:val="24"/>
        </w:rPr>
        <w:t xml:space="preserve">* Dr Taylor was </w:t>
      </w:r>
      <w:r w:rsidRPr="000874FA">
        <w:rPr>
          <w:rFonts w:ascii="Times New Roman" w:hAnsi="Times New Roman"/>
          <w:sz w:val="24"/>
          <w:szCs w:val="24"/>
        </w:rPr>
        <w:t>employed at GW Research Ltd at the time this work was completed.</w:t>
      </w:r>
      <w:r w:rsidRPr="000874FA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DF7259" w:rsidRPr="000874FA" w:rsidRDefault="00DF7259" w:rsidP="00DF725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GB"/>
        </w:rPr>
      </w:pPr>
    </w:p>
    <w:p w:rsidR="00DF7259" w:rsidRPr="000874FA" w:rsidRDefault="00DF7259" w:rsidP="00DF725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GB"/>
        </w:rPr>
      </w:pPr>
    </w:p>
    <w:p w:rsidR="00DF7259" w:rsidRPr="000874FA" w:rsidRDefault="00DF7259" w:rsidP="00DF725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GB"/>
        </w:rPr>
      </w:pPr>
    </w:p>
    <w:p w:rsidR="00DF7259" w:rsidRPr="000874FA" w:rsidRDefault="00DF7259" w:rsidP="00DF725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GB"/>
        </w:rPr>
      </w:pPr>
    </w:p>
    <w:p w:rsidR="00DF7259" w:rsidRPr="000874FA" w:rsidRDefault="00DF7259" w:rsidP="00DF725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GB"/>
        </w:rPr>
      </w:pPr>
    </w:p>
    <w:p w:rsidR="00DF7259" w:rsidRPr="000874FA" w:rsidRDefault="00DF7259" w:rsidP="00DF725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GB"/>
        </w:rPr>
      </w:pPr>
      <w:r w:rsidRPr="000874FA">
        <w:rPr>
          <w:rFonts w:ascii="Times New Roman" w:eastAsia="Times New Roman" w:hAnsi="Times New Roman"/>
          <w:b/>
          <w:sz w:val="24"/>
          <w:szCs w:val="24"/>
          <w:lang w:eastAsia="en-GB"/>
        </w:rPr>
        <w:t>Corresponding author:</w:t>
      </w:r>
    </w:p>
    <w:p w:rsidR="00DF7259" w:rsidRPr="000874FA" w:rsidRDefault="00DF7259" w:rsidP="00DF725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0874FA">
        <w:rPr>
          <w:rFonts w:ascii="Times New Roman" w:eastAsia="Times New Roman" w:hAnsi="Times New Roman"/>
          <w:sz w:val="24"/>
          <w:szCs w:val="24"/>
          <w:lang w:eastAsia="en-GB"/>
        </w:rPr>
        <w:t>Gilmour Morrison, HND</w:t>
      </w:r>
    </w:p>
    <w:p w:rsidR="00DF7259" w:rsidRPr="000874FA" w:rsidRDefault="00DF7259" w:rsidP="00DF725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0874FA">
        <w:rPr>
          <w:rFonts w:ascii="Times New Roman" w:eastAsia="Times New Roman" w:hAnsi="Times New Roman"/>
          <w:sz w:val="24"/>
          <w:szCs w:val="24"/>
          <w:lang w:eastAsia="en-GB"/>
        </w:rPr>
        <w:t>Email: GMorrison@gwpharm.com</w:t>
      </w:r>
    </w:p>
    <w:p w:rsidR="00DF7259" w:rsidRPr="000874FA" w:rsidRDefault="00DF7259" w:rsidP="00DF7259">
      <w:pPr>
        <w:spacing w:after="0" w:line="240" w:lineRule="auto"/>
        <w:rPr>
          <w:rFonts w:eastAsia="Times New Roman"/>
          <w:b/>
          <w:bCs/>
          <w:u w:val="single"/>
        </w:rPr>
      </w:pPr>
      <w:r w:rsidRPr="000874FA">
        <w:rPr>
          <w:rFonts w:ascii="Times New Roman" w:eastAsia="Times New Roman" w:hAnsi="Times New Roman"/>
          <w:sz w:val="24"/>
          <w:szCs w:val="24"/>
          <w:lang w:eastAsia="en-GB"/>
        </w:rPr>
        <w:t>Telephone: 07825 869032</w:t>
      </w:r>
    </w:p>
    <w:p w:rsidR="00DF7259" w:rsidRPr="000874FA" w:rsidRDefault="00DF7259" w:rsidP="00DF7259">
      <w:pPr>
        <w:spacing w:after="0" w:line="240" w:lineRule="auto"/>
        <w:rPr>
          <w:rFonts w:eastAsia="Times New Roman"/>
          <w:b/>
          <w:bCs/>
          <w:u w:val="single"/>
        </w:rPr>
      </w:pPr>
      <w:r w:rsidRPr="000874FA">
        <w:rPr>
          <w:rFonts w:eastAsia="Times New Roman"/>
          <w:b/>
          <w:bCs/>
          <w:u w:val="single"/>
        </w:rPr>
        <w:br w:type="page"/>
      </w:r>
    </w:p>
    <w:p w:rsidR="0039008E" w:rsidRPr="000874FA" w:rsidRDefault="0039008E" w:rsidP="00DF7259">
      <w:pPr>
        <w:spacing w:before="100" w:beforeAutospacing="1" w:after="0" w:line="360" w:lineRule="auto"/>
        <w:rPr>
          <w:rFonts w:ascii="Times New Roman" w:eastAsia="Times New Roman" w:hAnsi="Times New Roman" w:cs="Times New Roman"/>
          <w:b/>
          <w:bCs/>
          <w:sz w:val="28"/>
        </w:rPr>
      </w:pPr>
      <w:r w:rsidRPr="000874FA">
        <w:rPr>
          <w:rFonts w:ascii="Times New Roman" w:eastAsia="Times New Roman" w:hAnsi="Times New Roman" w:cs="Times New Roman"/>
          <w:b/>
          <w:bCs/>
          <w:sz w:val="28"/>
        </w:rPr>
        <w:lastRenderedPageBreak/>
        <w:t>Additional Information on Bioanalytical Methods</w:t>
      </w:r>
    </w:p>
    <w:p w:rsidR="0039008E" w:rsidRPr="000874FA" w:rsidRDefault="0039008E" w:rsidP="00DF7259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874FA">
        <w:rPr>
          <w:rFonts w:ascii="Times New Roman" w:eastAsia="Times New Roman" w:hAnsi="Times New Roman" w:cs="Times New Roman"/>
          <w:sz w:val="28"/>
        </w:rPr>
        <w:t xml:space="preserve">Matrix effects were assessed in plasma from individuals and in plasma that was hemolyzed or hyperlipidemic. There were no </w:t>
      </w:r>
      <w:r w:rsidR="00000003" w:rsidRPr="000874FA">
        <w:rPr>
          <w:rFonts w:ascii="Times New Roman" w:eastAsia="Times New Roman" w:hAnsi="Times New Roman" w:cs="Times New Roman"/>
          <w:sz w:val="28"/>
        </w:rPr>
        <w:t xml:space="preserve">significant </w:t>
      </w:r>
      <w:r w:rsidRPr="000874FA">
        <w:rPr>
          <w:rFonts w:ascii="Times New Roman" w:eastAsia="Times New Roman" w:hAnsi="Times New Roman" w:cs="Times New Roman"/>
          <w:sz w:val="28"/>
        </w:rPr>
        <w:t>matrix effects in individuals or in lipidemic plasma</w:t>
      </w:r>
      <w:r w:rsidR="00E24267" w:rsidRPr="000874FA">
        <w:rPr>
          <w:rFonts w:ascii="Times New Roman" w:eastAsia="Times New Roman" w:hAnsi="Times New Roman" w:cs="Times New Roman"/>
          <w:sz w:val="28"/>
        </w:rPr>
        <w:t>, with the exception of 6-OH-CBD</w:t>
      </w:r>
      <w:r w:rsidRPr="000874FA">
        <w:rPr>
          <w:rFonts w:ascii="Times New Roman" w:eastAsia="Times New Roman" w:hAnsi="Times New Roman" w:cs="Times New Roman"/>
          <w:sz w:val="28"/>
        </w:rPr>
        <w:t>. In hemolyzed plasma, there was a matrix effect affecting 6-OH-CBD and 7-OH-CBD. Therefore</w:t>
      </w:r>
      <w:r w:rsidR="00A559AC" w:rsidRPr="000874FA">
        <w:rPr>
          <w:rFonts w:ascii="Times New Roman" w:eastAsia="Times New Roman" w:hAnsi="Times New Roman" w:cs="Times New Roman"/>
          <w:sz w:val="28"/>
        </w:rPr>
        <w:t>,</w:t>
      </w:r>
      <w:r w:rsidRPr="000874FA">
        <w:rPr>
          <w:rFonts w:ascii="Times New Roman" w:eastAsia="Times New Roman" w:hAnsi="Times New Roman" w:cs="Times New Roman"/>
          <w:sz w:val="28"/>
        </w:rPr>
        <w:t xml:space="preserve"> all plasma samples noted to be hemolyzed were analy</w:t>
      </w:r>
      <w:r w:rsidR="00A559AC" w:rsidRPr="000874FA">
        <w:rPr>
          <w:rFonts w:ascii="Times New Roman" w:eastAsia="Times New Roman" w:hAnsi="Times New Roman" w:cs="Times New Roman"/>
          <w:sz w:val="28"/>
        </w:rPr>
        <w:t>z</w:t>
      </w:r>
      <w:r w:rsidRPr="000874FA">
        <w:rPr>
          <w:rFonts w:ascii="Times New Roman" w:eastAsia="Times New Roman" w:hAnsi="Times New Roman" w:cs="Times New Roman"/>
          <w:sz w:val="28"/>
        </w:rPr>
        <w:t>ed, but data were not reported for 6-OH-CBD and 7-OH-CBD. Matrix effects were assessed in plasma from donors with impaired renal function and demonstrated acceptable precision and accuracy for all CBD analytes.</w:t>
      </w:r>
    </w:p>
    <w:p w:rsidR="0039008E" w:rsidRPr="000874FA" w:rsidRDefault="0039008E" w:rsidP="00DF7259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874FA">
        <w:rPr>
          <w:rFonts w:ascii="Times New Roman" w:eastAsia="Times New Roman" w:hAnsi="Times New Roman" w:cs="Times New Roman"/>
          <w:sz w:val="28"/>
        </w:rPr>
        <w:t>Consistent with the therapeutic indication, interference with the assay was assessed in the presence of commonly co-administered anti-epileptic drugs and found to be acceptable.</w:t>
      </w:r>
    </w:p>
    <w:p w:rsidR="0039008E" w:rsidRPr="000874FA" w:rsidRDefault="0039008E" w:rsidP="00DF7259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874FA">
        <w:rPr>
          <w:rFonts w:ascii="Times New Roman" w:eastAsia="Times New Roman" w:hAnsi="Times New Roman" w:cs="Times New Roman"/>
          <w:sz w:val="28"/>
        </w:rPr>
        <w:t>During the validations, a 10-fold dilution was validated for all analytes in plasma, with no significant carryover observed.</w:t>
      </w:r>
    </w:p>
    <w:p w:rsidR="0039008E" w:rsidRPr="000874FA" w:rsidRDefault="0039008E" w:rsidP="00DF7259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874FA">
        <w:rPr>
          <w:rFonts w:ascii="Times New Roman" w:eastAsia="Times New Roman" w:hAnsi="Times New Roman" w:cs="Times New Roman"/>
          <w:sz w:val="28"/>
        </w:rPr>
        <w:t>7-COOH-CBD was analyzed across two concentration ranges resulting in a net range of 0.25-20000ng/mL, with a lower range of 0.25</w:t>
      </w:r>
      <w:r w:rsidR="00C142FB" w:rsidRPr="000874FA">
        <w:rPr>
          <w:rFonts w:ascii="Times New Roman" w:eastAsia="Times New Roman" w:hAnsi="Times New Roman" w:cs="Times New Roman"/>
          <w:sz w:val="28"/>
        </w:rPr>
        <w:t>0</w:t>
      </w:r>
      <w:r w:rsidRPr="000874FA">
        <w:rPr>
          <w:rFonts w:ascii="Times New Roman" w:eastAsia="Times New Roman" w:hAnsi="Times New Roman" w:cs="Times New Roman"/>
          <w:sz w:val="28"/>
        </w:rPr>
        <w:t>-250 ng/mL (Linear 1/X</w:t>
      </w:r>
      <w:r w:rsidRPr="000874FA">
        <w:rPr>
          <w:rFonts w:ascii="Times New Roman" w:eastAsia="Times New Roman" w:hAnsi="Times New Roman" w:cs="Times New Roman"/>
          <w:sz w:val="28"/>
          <w:vertAlign w:val="superscript"/>
        </w:rPr>
        <w:t>2</w:t>
      </w:r>
      <w:r w:rsidRPr="000874FA">
        <w:rPr>
          <w:rFonts w:ascii="Times New Roman" w:eastAsia="Times New Roman" w:hAnsi="Times New Roman" w:cs="Times New Roman"/>
          <w:sz w:val="28"/>
        </w:rPr>
        <w:t>) and an upper range of 180-20000 ng/mL (Quadratic 1/X). The</w:t>
      </w:r>
      <w:r w:rsidR="00C142FB" w:rsidRPr="000874FA">
        <w:rPr>
          <w:rFonts w:ascii="Times New Roman" w:eastAsia="Times New Roman" w:hAnsi="Times New Roman" w:cs="Times New Roman"/>
          <w:sz w:val="28"/>
        </w:rPr>
        <w:t xml:space="preserve"> lower</w:t>
      </w:r>
      <w:r w:rsidRPr="000874FA">
        <w:rPr>
          <w:rFonts w:ascii="Times New Roman" w:eastAsia="Times New Roman" w:hAnsi="Times New Roman" w:cs="Times New Roman"/>
          <w:sz w:val="28"/>
        </w:rPr>
        <w:t xml:space="preserve"> limit of quantification in all cases was accepted as the lowest standard on the calibration curve.</w:t>
      </w:r>
    </w:p>
    <w:p w:rsidR="0039008E" w:rsidRPr="000874FA" w:rsidRDefault="0039008E" w:rsidP="0039008E">
      <w:pPr>
        <w:spacing w:after="120" w:line="240" w:lineRule="auto"/>
        <w:rPr>
          <w:rFonts w:ascii="Times New Roman" w:eastAsia="Times New Roman" w:hAnsi="Times New Roman" w:cs="Times New Roman"/>
          <w:sz w:val="24"/>
        </w:rPr>
      </w:pPr>
    </w:p>
    <w:p w:rsidR="0039008E" w:rsidRPr="000874FA" w:rsidRDefault="0039008E" w:rsidP="0039008E">
      <w:pPr>
        <w:spacing w:after="120" w:line="240" w:lineRule="auto"/>
        <w:rPr>
          <w:rFonts w:ascii="Times New Roman" w:eastAsia="Times New Roman" w:hAnsi="Times New Roman" w:cs="Times New Roman"/>
          <w:sz w:val="24"/>
        </w:rPr>
      </w:pPr>
    </w:p>
    <w:sectPr w:rsidR="0039008E" w:rsidRPr="000874FA" w:rsidSect="000874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0E7CBA"/>
    <w:multiLevelType w:val="hybridMultilevel"/>
    <w:tmpl w:val="773A572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3240" w:hanging="180"/>
      </w:pPr>
    </w:lvl>
    <w:lvl w:ilvl="3" w:tplc="0809000F">
      <w:start w:val="1"/>
      <w:numFmt w:val="decimal"/>
      <w:lvlText w:val="%4."/>
      <w:lvlJc w:val="left"/>
      <w:pPr>
        <w:ind w:left="3960" w:hanging="360"/>
      </w:pPr>
    </w:lvl>
    <w:lvl w:ilvl="4" w:tplc="08090019">
      <w:start w:val="1"/>
      <w:numFmt w:val="lowerLetter"/>
      <w:lvlText w:val="%5."/>
      <w:lvlJc w:val="left"/>
      <w:pPr>
        <w:ind w:left="4680" w:hanging="360"/>
      </w:pPr>
    </w:lvl>
    <w:lvl w:ilvl="5" w:tplc="0809001B">
      <w:start w:val="1"/>
      <w:numFmt w:val="lowerRoman"/>
      <w:lvlText w:val="%6."/>
      <w:lvlJc w:val="right"/>
      <w:pPr>
        <w:ind w:left="5400" w:hanging="180"/>
      </w:pPr>
    </w:lvl>
    <w:lvl w:ilvl="6" w:tplc="0809000F">
      <w:start w:val="1"/>
      <w:numFmt w:val="decimal"/>
      <w:lvlText w:val="%7."/>
      <w:lvlJc w:val="left"/>
      <w:pPr>
        <w:ind w:left="6120" w:hanging="360"/>
      </w:pPr>
    </w:lvl>
    <w:lvl w:ilvl="7" w:tplc="08090019">
      <w:start w:val="1"/>
      <w:numFmt w:val="lowerLetter"/>
      <w:lvlText w:val="%8."/>
      <w:lvlJc w:val="left"/>
      <w:pPr>
        <w:ind w:left="6840" w:hanging="360"/>
      </w:pPr>
    </w:lvl>
    <w:lvl w:ilvl="8" w:tplc="080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82570"/>
    <w:rsid w:val="00000003"/>
    <w:rsid w:val="000874FA"/>
    <w:rsid w:val="00125B2A"/>
    <w:rsid w:val="00130E60"/>
    <w:rsid w:val="00174001"/>
    <w:rsid w:val="00184C78"/>
    <w:rsid w:val="00195BD4"/>
    <w:rsid w:val="00334D2D"/>
    <w:rsid w:val="0039008E"/>
    <w:rsid w:val="0044734C"/>
    <w:rsid w:val="004C33EC"/>
    <w:rsid w:val="004D56DA"/>
    <w:rsid w:val="006203B8"/>
    <w:rsid w:val="006E6612"/>
    <w:rsid w:val="0079218E"/>
    <w:rsid w:val="007F7908"/>
    <w:rsid w:val="0083440B"/>
    <w:rsid w:val="008471B3"/>
    <w:rsid w:val="00A15720"/>
    <w:rsid w:val="00A52036"/>
    <w:rsid w:val="00A559AC"/>
    <w:rsid w:val="00B064FF"/>
    <w:rsid w:val="00B50CA3"/>
    <w:rsid w:val="00C142FB"/>
    <w:rsid w:val="00C5018A"/>
    <w:rsid w:val="00D82570"/>
    <w:rsid w:val="00DD185F"/>
    <w:rsid w:val="00DF7259"/>
    <w:rsid w:val="00E159B0"/>
    <w:rsid w:val="00E24267"/>
    <w:rsid w:val="00F81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C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008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30E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0E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0E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0E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0E6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E6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000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DD185F"/>
    <w:pPr>
      <w:spacing w:after="0" w:line="240" w:lineRule="auto"/>
    </w:pPr>
  </w:style>
  <w:style w:type="paragraph" w:customStyle="1" w:styleId="CentredText">
    <w:name w:val="Centred Text"/>
    <w:basedOn w:val="Normal"/>
    <w:next w:val="Normal"/>
    <w:rsid w:val="00DF7259"/>
    <w:pPr>
      <w:spacing w:before="240" w:after="240" w:line="360" w:lineRule="auto"/>
      <w:jc w:val="center"/>
    </w:pPr>
    <w:rPr>
      <w:rFonts w:ascii="Arial" w:eastAsia="Times New Roman" w:hAnsi="Arial" w:cs="Arial"/>
      <w:b/>
      <w:caps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008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30E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0E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0E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0E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0E6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E6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000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DD185F"/>
    <w:pPr>
      <w:spacing w:after="0" w:line="240" w:lineRule="auto"/>
    </w:pPr>
  </w:style>
  <w:style w:type="paragraph" w:customStyle="1" w:styleId="CentredText">
    <w:name w:val="Centred Text"/>
    <w:basedOn w:val="Normal"/>
    <w:next w:val="Normal"/>
    <w:rsid w:val="00DF7259"/>
    <w:pPr>
      <w:spacing w:before="240" w:after="240" w:line="360" w:lineRule="auto"/>
      <w:jc w:val="center"/>
    </w:pPr>
    <w:rPr>
      <w:rFonts w:ascii="Arial" w:eastAsia="Times New Roman" w:hAnsi="Arial" w:cs="Arial"/>
      <w:b/>
      <w:caps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07/relationships/stylesWithEffects" Target="stylesWithEffect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FA0963FA69A646AA916D2E41284FC10000AF13191BD7F5D64CBD5A30D6DF09A523" ma:contentTypeVersion="0" ma:contentTypeDescription="Create a new document." ma:contentTypeScope="" ma:versionID="6e69bb8bd9886a8f9a7878e8e8f341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4E8B7-83C6-486B-A316-59D9111CEE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8E2F21-6CB8-4DF6-B771-68C0861DAF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4EADD7-2DD4-4B9E-8149-BBEBB55601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1BB046A-044B-4B9D-9F53-77CEEAF8F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Brown</dc:creator>
  <cp:lastModifiedBy>0012588</cp:lastModifiedBy>
  <cp:revision>3</cp:revision>
  <dcterms:created xsi:type="dcterms:W3CDTF">2019-11-06T21:03:00Z</dcterms:created>
  <dcterms:modified xsi:type="dcterms:W3CDTF">2019-11-12T11:00:00Z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0x010100FA0963FA69A646AA916D2E41284FC10000AF13191BD7F5D64CBD5A30D6DF09A523</vt:lpwstr>
  </property>
</Properties>
</file>