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FB" w:rsidRPr="00C51DF3" w:rsidRDefault="00C51DF3" w:rsidP="00C51DF3">
      <w:pPr>
        <w:jc w:val="center"/>
        <w:rPr>
          <w:b/>
        </w:rPr>
      </w:pPr>
      <w:r w:rsidRPr="00C51DF3">
        <w:rPr>
          <w:b/>
        </w:rPr>
        <w:t>Electronic Supplementary Material</w:t>
      </w:r>
    </w:p>
    <w:p w:rsidR="00C51DF3" w:rsidRDefault="00C51DF3"/>
    <w:p w:rsidR="00C51DF3" w:rsidRPr="00C51DF3" w:rsidRDefault="00C51DF3">
      <w:pPr>
        <w:rPr>
          <w:b/>
          <w:i/>
          <w:sz w:val="28"/>
        </w:rPr>
      </w:pPr>
      <w:r w:rsidRPr="00C51DF3">
        <w:rPr>
          <w:b/>
          <w:i/>
          <w:color w:val="C00000"/>
          <w:sz w:val="28"/>
        </w:rPr>
        <w:t>Clinical Pharmacokinetics</w:t>
      </w:r>
    </w:p>
    <w:p w:rsidR="00C51DF3" w:rsidRDefault="00C51DF3"/>
    <w:p w:rsidR="00C51DF3" w:rsidRDefault="00C51DF3"/>
    <w:p w:rsidR="00C51DF3" w:rsidRPr="00C51DF3" w:rsidRDefault="00C51DF3" w:rsidP="00C51DF3">
      <w:pPr>
        <w:rPr>
          <w:sz w:val="40"/>
        </w:rPr>
      </w:pPr>
      <w:r w:rsidRPr="00C51DF3">
        <w:rPr>
          <w:sz w:val="40"/>
        </w:rPr>
        <w:t xml:space="preserve">Integration of Placental Transfer in a </w:t>
      </w:r>
      <w:proofErr w:type="spellStart"/>
      <w:r w:rsidRPr="00C51DF3">
        <w:rPr>
          <w:sz w:val="40"/>
        </w:rPr>
        <w:t>Fetal</w:t>
      </w:r>
      <w:proofErr w:type="spellEnd"/>
      <w:r w:rsidRPr="00C51DF3">
        <w:rPr>
          <w:sz w:val="40"/>
        </w:rPr>
        <w:t xml:space="preserve">–Maternal Physiologically Based Pharmacokinetic Model to Characterize Acetaminophen Exposure and Metabolic Clearance in the </w:t>
      </w:r>
      <w:proofErr w:type="spellStart"/>
      <w:r w:rsidRPr="00C51DF3">
        <w:rPr>
          <w:sz w:val="40"/>
        </w:rPr>
        <w:t>Fetus</w:t>
      </w:r>
      <w:proofErr w:type="spellEnd"/>
    </w:p>
    <w:p w:rsidR="00C51DF3" w:rsidRDefault="00C51DF3" w:rsidP="00C51DF3"/>
    <w:p w:rsidR="00C51DF3" w:rsidRDefault="00C51DF3" w:rsidP="00C51DF3"/>
    <w:p w:rsidR="00C51DF3" w:rsidRPr="00C51DF3" w:rsidRDefault="00C51DF3" w:rsidP="00C51DF3">
      <w:pPr>
        <w:rPr>
          <w:sz w:val="24"/>
        </w:rPr>
      </w:pPr>
      <w:r w:rsidRPr="00C51DF3">
        <w:rPr>
          <w:sz w:val="24"/>
        </w:rPr>
        <w:t xml:space="preserve">Paola Mian, Karel </w:t>
      </w:r>
      <w:proofErr w:type="spellStart"/>
      <w:r w:rsidRPr="00C51DF3">
        <w:rPr>
          <w:sz w:val="24"/>
        </w:rPr>
        <w:t>Allegaert</w:t>
      </w:r>
      <w:proofErr w:type="spellEnd"/>
      <w:r w:rsidRPr="00C51DF3">
        <w:rPr>
          <w:sz w:val="24"/>
        </w:rPr>
        <w:t xml:space="preserve">, Sigrid </w:t>
      </w:r>
      <w:proofErr w:type="spellStart"/>
      <w:r w:rsidRPr="00C51DF3">
        <w:rPr>
          <w:sz w:val="24"/>
        </w:rPr>
        <w:t>Conings</w:t>
      </w:r>
      <w:proofErr w:type="spellEnd"/>
      <w:r w:rsidRPr="00C51DF3">
        <w:rPr>
          <w:sz w:val="24"/>
        </w:rPr>
        <w:t xml:space="preserve">, Pieter </w:t>
      </w:r>
      <w:proofErr w:type="spellStart"/>
      <w:r w:rsidRPr="00C51DF3">
        <w:rPr>
          <w:sz w:val="24"/>
        </w:rPr>
        <w:t>Annaert</w:t>
      </w:r>
      <w:proofErr w:type="spellEnd"/>
      <w:r w:rsidRPr="00C51DF3">
        <w:rPr>
          <w:sz w:val="24"/>
        </w:rPr>
        <w:t xml:space="preserve">, Dick </w:t>
      </w:r>
      <w:proofErr w:type="spellStart"/>
      <w:r w:rsidRPr="00C51DF3">
        <w:rPr>
          <w:sz w:val="24"/>
        </w:rPr>
        <w:t>Tibboel</w:t>
      </w:r>
      <w:proofErr w:type="spellEnd"/>
      <w:r w:rsidRPr="00C51DF3">
        <w:rPr>
          <w:sz w:val="24"/>
        </w:rPr>
        <w:t xml:space="preserve">, Marc </w:t>
      </w:r>
      <w:proofErr w:type="spellStart"/>
      <w:r w:rsidRPr="00C51DF3">
        <w:rPr>
          <w:sz w:val="24"/>
        </w:rPr>
        <w:t>Pister</w:t>
      </w:r>
      <w:proofErr w:type="spellEnd"/>
      <w:r w:rsidRPr="00C51DF3">
        <w:rPr>
          <w:sz w:val="24"/>
        </w:rPr>
        <w:t xml:space="preserve">, </w:t>
      </w:r>
      <w:proofErr w:type="spellStart"/>
      <w:r w:rsidRPr="00C51DF3">
        <w:rPr>
          <w:sz w:val="24"/>
        </w:rPr>
        <w:t>Kristel</w:t>
      </w:r>
      <w:proofErr w:type="spellEnd"/>
      <w:r w:rsidRPr="00C51DF3">
        <w:rPr>
          <w:sz w:val="24"/>
        </w:rPr>
        <w:t xml:space="preserve"> van </w:t>
      </w:r>
      <w:proofErr w:type="spellStart"/>
      <w:r w:rsidRPr="00C51DF3">
        <w:rPr>
          <w:sz w:val="24"/>
        </w:rPr>
        <w:t>Calsteren</w:t>
      </w:r>
      <w:proofErr w:type="spellEnd"/>
      <w:r w:rsidRPr="00C51DF3">
        <w:rPr>
          <w:sz w:val="24"/>
        </w:rPr>
        <w:t xml:space="preserve">, John N. van den Anker, André </w:t>
      </w:r>
      <w:proofErr w:type="spellStart"/>
      <w:r w:rsidRPr="00C51DF3">
        <w:rPr>
          <w:sz w:val="24"/>
        </w:rPr>
        <w:t>Dallmann</w:t>
      </w:r>
      <w:proofErr w:type="spellEnd"/>
    </w:p>
    <w:p w:rsidR="00C51DF3" w:rsidRPr="00C51DF3" w:rsidRDefault="00C51DF3" w:rsidP="00C51DF3">
      <w:pPr>
        <w:rPr>
          <w:sz w:val="24"/>
        </w:rPr>
      </w:pPr>
    </w:p>
    <w:p w:rsidR="00C51DF3" w:rsidRDefault="00C51DF3" w:rsidP="00C51DF3"/>
    <w:p w:rsidR="00C51DF3" w:rsidRDefault="00C51DF3" w:rsidP="00C51DF3"/>
    <w:p w:rsidR="00C51DF3" w:rsidRDefault="00C51DF3" w:rsidP="00C51DF3"/>
    <w:p w:rsidR="00C51DF3" w:rsidRDefault="00C51DF3" w:rsidP="00C51DF3"/>
    <w:p w:rsidR="00C51DF3" w:rsidRDefault="00C51DF3" w:rsidP="00C51DF3"/>
    <w:p w:rsidR="00C51DF3" w:rsidRPr="00C51DF3" w:rsidRDefault="00C51DF3" w:rsidP="00C51DF3">
      <w:pPr>
        <w:rPr>
          <w:b/>
        </w:rPr>
      </w:pPr>
      <w:r w:rsidRPr="00C51DF3">
        <w:rPr>
          <w:b/>
        </w:rPr>
        <w:t>Corresponding author:</w:t>
      </w:r>
    </w:p>
    <w:p w:rsidR="00C51DF3" w:rsidRDefault="00C51DF3" w:rsidP="00C51DF3">
      <w:r>
        <w:t>Paola Mian</w:t>
      </w:r>
    </w:p>
    <w:p w:rsidR="00C51DF3" w:rsidRDefault="00C51DF3" w:rsidP="0011460B">
      <w:pPr>
        <w:pStyle w:val="ListParagraph"/>
        <w:numPr>
          <w:ilvl w:val="0"/>
          <w:numId w:val="1"/>
        </w:numPr>
      </w:pPr>
      <w:r>
        <w:t>Intensive Care and Department of Paediatric Surgery, Erasmus MC-Sophia Children’s Hospital, Rotterdam, The Netherlands.</w:t>
      </w:r>
    </w:p>
    <w:p w:rsidR="0011460B" w:rsidRDefault="0011460B" w:rsidP="0011460B">
      <w:pPr>
        <w:pStyle w:val="ListParagraph"/>
        <w:numPr>
          <w:ilvl w:val="0"/>
          <w:numId w:val="1"/>
        </w:numPr>
      </w:pPr>
      <w:proofErr w:type="spellStart"/>
      <w:r>
        <w:t>Pediatric</w:t>
      </w:r>
      <w:proofErr w:type="spellEnd"/>
      <w:r>
        <w:t xml:space="preserve"> Pharmacology, </w:t>
      </w:r>
      <w:proofErr w:type="spellStart"/>
      <w:r>
        <w:t>Pharmacometrics</w:t>
      </w:r>
      <w:proofErr w:type="spellEnd"/>
      <w:r>
        <w:t xml:space="preserve"> Research Center and University Children’s Hospital Basel (UKBB), Basel, Switzerland</w:t>
      </w:r>
    </w:p>
    <w:p w:rsidR="0011460B" w:rsidRDefault="0011460B" w:rsidP="0011460B">
      <w:pPr>
        <w:pStyle w:val="ListParagraph"/>
        <w:numPr>
          <w:ilvl w:val="0"/>
          <w:numId w:val="1"/>
        </w:numPr>
      </w:pPr>
      <w:r>
        <w:t xml:space="preserve">Department of Clinical Pharmacy, </w:t>
      </w:r>
      <w:proofErr w:type="spellStart"/>
      <w:r>
        <w:t>Medisch</w:t>
      </w:r>
      <w:proofErr w:type="spellEnd"/>
      <w:r>
        <w:t xml:space="preserve"> Spectrum </w:t>
      </w:r>
      <w:proofErr w:type="spellStart"/>
      <w:r>
        <w:t>Twente</w:t>
      </w:r>
      <w:proofErr w:type="spellEnd"/>
      <w:r>
        <w:t xml:space="preserve">, </w:t>
      </w:r>
      <w:proofErr w:type="spellStart"/>
      <w:r>
        <w:t>Koningsplein</w:t>
      </w:r>
      <w:proofErr w:type="spellEnd"/>
      <w:r>
        <w:t xml:space="preserve"> 1, 7512 KZ </w:t>
      </w:r>
      <w:proofErr w:type="spellStart"/>
      <w:r>
        <w:t>Enschede</w:t>
      </w:r>
      <w:proofErr w:type="spellEnd"/>
      <w:r>
        <w:t>, The Netherlands</w:t>
      </w:r>
    </w:p>
    <w:p w:rsidR="00C51DF3" w:rsidRDefault="00C51DF3" w:rsidP="00C51DF3">
      <w:r>
        <w:t xml:space="preserve">Email: </w:t>
      </w:r>
      <w:hyperlink r:id="rId6" w:history="1">
        <w:r w:rsidRPr="00C97840">
          <w:rPr>
            <w:rStyle w:val="Hyperlink"/>
          </w:rPr>
          <w:t>Paola.Mian@mst.nl</w:t>
        </w:r>
      </w:hyperlink>
    </w:p>
    <w:p w:rsidR="00C51DF3" w:rsidRDefault="00C51DF3" w:rsidP="00C51DF3"/>
    <w:p w:rsidR="00C51DF3" w:rsidRDefault="00C51DF3" w:rsidP="00C51DF3"/>
    <w:p w:rsidR="00194D55" w:rsidRDefault="00194D55" w:rsidP="00C51DF3"/>
    <w:p w:rsidR="00194D55" w:rsidRDefault="00194D55" w:rsidP="00C51DF3"/>
    <w:p w:rsidR="00194D55" w:rsidRDefault="00194D55" w:rsidP="00C51DF3">
      <w:bookmarkStart w:id="0" w:name="_GoBack"/>
      <w:bookmarkEnd w:id="0"/>
    </w:p>
    <w:p w:rsidR="00194D55" w:rsidRDefault="00194D55" w:rsidP="00C51DF3"/>
    <w:p w:rsidR="00194D55" w:rsidRDefault="00194D55" w:rsidP="00C51DF3"/>
    <w:p w:rsidR="00194D55" w:rsidRPr="009E4282" w:rsidRDefault="00194D55" w:rsidP="00194D55">
      <w:pPr>
        <w:rPr>
          <w:szCs w:val="20"/>
        </w:rPr>
      </w:pPr>
      <w:r w:rsidRPr="009E4282">
        <w:rPr>
          <w:b/>
          <w:color w:val="111111"/>
          <w:spacing w:val="5"/>
          <w:szCs w:val="20"/>
          <w:lang w:val="en"/>
        </w:rPr>
        <w:t>ESM Figure_1:</w:t>
      </w:r>
      <w:r w:rsidRPr="009E4282">
        <w:rPr>
          <w:color w:val="111111"/>
          <w:spacing w:val="5"/>
          <w:szCs w:val="20"/>
          <w:lang w:val="en"/>
        </w:rPr>
        <w:t xml:space="preserve"> Predicted maternal (</w:t>
      </w:r>
      <w:r w:rsidRPr="009E4282">
        <w:rPr>
          <w:b/>
          <w:color w:val="111111"/>
          <w:spacing w:val="5"/>
          <w:szCs w:val="20"/>
          <w:lang w:val="en"/>
        </w:rPr>
        <w:t>panel A</w:t>
      </w:r>
      <w:r w:rsidRPr="009E4282">
        <w:rPr>
          <w:color w:val="111111"/>
          <w:spacing w:val="5"/>
          <w:szCs w:val="20"/>
          <w:lang w:val="en"/>
        </w:rPr>
        <w:t>) and fetal (</w:t>
      </w:r>
      <w:r w:rsidRPr="009E4282">
        <w:rPr>
          <w:b/>
          <w:color w:val="111111"/>
          <w:spacing w:val="5"/>
          <w:szCs w:val="20"/>
          <w:lang w:val="en"/>
        </w:rPr>
        <w:t>panel B</w:t>
      </w:r>
      <w:r w:rsidRPr="009E4282">
        <w:rPr>
          <w:color w:val="111111"/>
          <w:spacing w:val="5"/>
          <w:szCs w:val="20"/>
          <w:lang w:val="en"/>
        </w:rPr>
        <w:t>) acetaminophen PK-profiles in venous umbilical cord plasma following administration of 1000mg oral acetaminophen using the three different placental transfer approaches (</w:t>
      </w:r>
      <w:r w:rsidRPr="009E4282">
        <w:rPr>
          <w:rStyle w:val="italic1"/>
          <w:color w:val="111111"/>
          <w:spacing w:val="5"/>
          <w:szCs w:val="20"/>
          <w:lang w:val="en"/>
        </w:rPr>
        <w:t>ex vivo</w:t>
      </w:r>
      <w:r w:rsidRPr="009E4282">
        <w:rPr>
          <w:color w:val="111111"/>
          <w:spacing w:val="5"/>
          <w:szCs w:val="20"/>
          <w:lang w:val="en"/>
        </w:rPr>
        <w:t xml:space="preserve"> cotyledon perfusion experiments, scaling of placental transfer rate via Caco-2 cell permeability (according to Zhang et al.) and scaling of placental transfer rate via physicochemical properties (</w:t>
      </w:r>
      <w:proofErr w:type="spellStart"/>
      <w:r w:rsidRPr="009E4282">
        <w:rPr>
          <w:color w:val="111111"/>
          <w:spacing w:val="5"/>
          <w:szCs w:val="20"/>
          <w:lang w:val="en"/>
        </w:rPr>
        <w:t>Mobi</w:t>
      </w:r>
      <w:proofErr w:type="spellEnd"/>
      <w:r w:rsidRPr="009E4282">
        <w:rPr>
          <w:color w:val="111111"/>
          <w:spacing w:val="5"/>
          <w:szCs w:val="20"/>
          <w:lang w:val="en"/>
        </w:rPr>
        <w:t xml:space="preserve">® default method) while fixing </w:t>
      </w:r>
      <w:proofErr w:type="spellStart"/>
      <w:r w:rsidRPr="009E4282">
        <w:rPr>
          <w:color w:val="111111"/>
          <w:spacing w:val="5"/>
          <w:szCs w:val="20"/>
          <w:lang w:val="en"/>
        </w:rPr>
        <w:t>K</w:t>
      </w:r>
      <w:r w:rsidRPr="009E4282">
        <w:rPr>
          <w:color w:val="111111"/>
          <w:spacing w:val="5"/>
          <w:szCs w:val="20"/>
          <w:vertAlign w:val="subscript"/>
          <w:lang w:val="en"/>
        </w:rPr>
        <w:t>f,m</w:t>
      </w:r>
      <w:proofErr w:type="spellEnd"/>
      <w:r w:rsidRPr="009E4282">
        <w:rPr>
          <w:color w:val="111111"/>
          <w:spacing w:val="5"/>
          <w:szCs w:val="20"/>
          <w:lang w:val="en"/>
        </w:rPr>
        <w:t xml:space="preserve"> to 1.0 in all three approaches). Predicted maternal and fetal plasma acetaminophen PK-profiles were compared with observed umbilical cord blood concentrations for the maternal dose of 1000 mg [</w:t>
      </w:r>
      <w:r w:rsidRPr="009E4282">
        <w:rPr>
          <w:rStyle w:val="citationref1"/>
          <w:color w:val="111111"/>
          <w:spacing w:val="5"/>
          <w:szCs w:val="20"/>
          <w:lang w:val="en"/>
        </w:rPr>
        <w:t>19</w:t>
      </w:r>
      <w:r w:rsidRPr="009E4282">
        <w:rPr>
          <w:color w:val="111111"/>
          <w:spacing w:val="5"/>
          <w:szCs w:val="20"/>
          <w:lang w:val="en"/>
        </w:rPr>
        <w:t>].</w:t>
      </w:r>
    </w:p>
    <w:p w:rsidR="00194D55" w:rsidRDefault="00194D55" w:rsidP="00C51DF3"/>
    <w:p w:rsidR="00C51DF3" w:rsidRDefault="00C51DF3">
      <w:r>
        <w:br w:type="page"/>
      </w:r>
    </w:p>
    <w:p w:rsidR="00C51DF3" w:rsidRDefault="00C51DF3" w:rsidP="00C51DF3">
      <w:r>
        <w:rPr>
          <w:noProof/>
          <w:lang w:eastAsia="en-NZ"/>
        </w:rPr>
        <w:lastRenderedPageBreak/>
        <w:drawing>
          <wp:inline distT="0" distB="0" distL="0" distR="0" wp14:anchorId="316D4AC1" wp14:editId="48D9A149">
            <wp:extent cx="9696450" cy="6463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262_2020_861_MOESM1_ESM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230" cy="646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DF3" w:rsidSect="00C51D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293A"/>
    <w:multiLevelType w:val="hybridMultilevel"/>
    <w:tmpl w:val="9634CDB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F3"/>
    <w:rsid w:val="0011460B"/>
    <w:rsid w:val="00194D55"/>
    <w:rsid w:val="002D666C"/>
    <w:rsid w:val="00C51DF3"/>
    <w:rsid w:val="00C92E89"/>
    <w:rsid w:val="00FA42A6"/>
    <w:rsid w:val="00F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D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D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D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460B"/>
    <w:pPr>
      <w:ind w:left="720"/>
      <w:contextualSpacing/>
    </w:pPr>
  </w:style>
  <w:style w:type="character" w:customStyle="1" w:styleId="italic1">
    <w:name w:val="italic1"/>
    <w:basedOn w:val="DefaultParagraphFont"/>
    <w:rsid w:val="00194D55"/>
    <w:rPr>
      <w:i/>
      <w:iCs/>
    </w:rPr>
  </w:style>
  <w:style w:type="character" w:customStyle="1" w:styleId="citationref1">
    <w:name w:val="citationref1"/>
    <w:basedOn w:val="DefaultParagraphFont"/>
    <w:rsid w:val="00194D55"/>
    <w:rPr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D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D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D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460B"/>
    <w:pPr>
      <w:ind w:left="720"/>
      <w:contextualSpacing/>
    </w:pPr>
  </w:style>
  <w:style w:type="character" w:customStyle="1" w:styleId="italic1">
    <w:name w:val="italic1"/>
    <w:basedOn w:val="DefaultParagraphFont"/>
    <w:rsid w:val="00194D55"/>
    <w:rPr>
      <w:i/>
      <w:iCs/>
    </w:rPr>
  </w:style>
  <w:style w:type="character" w:customStyle="1" w:styleId="citationref1">
    <w:name w:val="citationref1"/>
    <w:basedOn w:val="DefaultParagraphFont"/>
    <w:rsid w:val="00194D55"/>
    <w:rPr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ola.Mian@mst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Amitabh Prakash</dc:creator>
  <cp:lastModifiedBy>Amitabh Prakash</cp:lastModifiedBy>
  <cp:revision>3</cp:revision>
  <dcterms:created xsi:type="dcterms:W3CDTF">2020-02-09T00:08:00Z</dcterms:created>
  <dcterms:modified xsi:type="dcterms:W3CDTF">2020-02-09T00:38:00Z</dcterms:modified>
</cp:coreProperties>
</file>