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65A5D2" w14:textId="1101DF87" w:rsidR="00507183" w:rsidRDefault="00507183" w:rsidP="00507183">
      <w:pPr>
        <w:spacing w:line="480" w:lineRule="auto"/>
        <w:jc w:val="both"/>
        <w:rPr>
          <w:rFonts w:ascii="Arial" w:hAnsi="Arial" w:cs="Arial"/>
          <w:b/>
          <w:sz w:val="20"/>
          <w:szCs w:val="20"/>
          <w:lang w:val="en-US"/>
        </w:rPr>
      </w:pPr>
      <w:r>
        <w:rPr>
          <w:rFonts w:ascii="Arial" w:hAnsi="Arial" w:cs="Arial"/>
          <w:b/>
          <w:sz w:val="20"/>
          <w:szCs w:val="20"/>
          <w:lang w:val="en-US"/>
        </w:rPr>
        <w:t>Electronic supplementary File</w:t>
      </w:r>
      <w:r w:rsidR="00B226E5">
        <w:rPr>
          <w:rFonts w:ascii="Arial" w:hAnsi="Arial" w:cs="Arial"/>
          <w:b/>
          <w:sz w:val="20"/>
          <w:szCs w:val="20"/>
          <w:lang w:val="en-US"/>
        </w:rPr>
        <w:t xml:space="preserve"> 1</w:t>
      </w:r>
    </w:p>
    <w:p w14:paraId="13EDA148" w14:textId="51145DE5" w:rsidR="00B226E5" w:rsidRPr="00B226E5" w:rsidRDefault="00B226E5" w:rsidP="00507183">
      <w:pPr>
        <w:spacing w:line="480" w:lineRule="auto"/>
        <w:jc w:val="both"/>
        <w:rPr>
          <w:rFonts w:ascii="Arial" w:hAnsi="Arial" w:cs="Arial"/>
          <w:bCs/>
          <w:sz w:val="20"/>
          <w:szCs w:val="20"/>
          <w:lang w:val="en-US"/>
        </w:rPr>
      </w:pPr>
      <w:r w:rsidRPr="00B226E5">
        <w:rPr>
          <w:rFonts w:ascii="Arial" w:hAnsi="Arial" w:cs="Arial"/>
          <w:bCs/>
          <w:sz w:val="20"/>
          <w:szCs w:val="20"/>
          <w:lang w:val="en-US"/>
        </w:rPr>
        <w:t>Main electronic supplementary file containing methodology, control streams, dose regimens, overview of the internal and external evaluation of the Zhao model and the supplementary figure.</w:t>
      </w:r>
    </w:p>
    <w:p w14:paraId="7672A4E5" w14:textId="77777777" w:rsidR="009051D7" w:rsidRPr="00894B55" w:rsidRDefault="009051D7" w:rsidP="009051D7">
      <w:pPr>
        <w:spacing w:line="360" w:lineRule="auto"/>
        <w:jc w:val="both"/>
        <w:rPr>
          <w:rFonts w:ascii="Arial" w:hAnsi="Arial" w:cs="Arial"/>
          <w:b/>
          <w:sz w:val="20"/>
          <w:szCs w:val="20"/>
          <w:lang w:val="en-US"/>
        </w:rPr>
      </w:pPr>
      <w:bookmarkStart w:id="0" w:name="_Hlk37248520"/>
      <w:r w:rsidRPr="00894B55">
        <w:rPr>
          <w:rFonts w:ascii="Arial" w:hAnsi="Arial" w:cs="Arial"/>
          <w:b/>
          <w:sz w:val="20"/>
          <w:szCs w:val="20"/>
          <w:lang w:val="en-US"/>
        </w:rPr>
        <w:t>Chloroquine for SARS-CoV-2: implications of its unique pharmacokinetic and safety properties</w:t>
      </w:r>
    </w:p>
    <w:bookmarkEnd w:id="0"/>
    <w:p w14:paraId="0D9F28FD" w14:textId="77777777" w:rsidR="00507183" w:rsidRPr="00894B55" w:rsidRDefault="00507183" w:rsidP="00507183">
      <w:pPr>
        <w:spacing w:line="480" w:lineRule="auto"/>
        <w:jc w:val="both"/>
        <w:rPr>
          <w:rFonts w:ascii="Arial" w:hAnsi="Arial" w:cs="Arial"/>
          <w:b/>
          <w:bCs/>
          <w:sz w:val="20"/>
          <w:szCs w:val="20"/>
          <w:lang w:val="en-US"/>
        </w:rPr>
      </w:pPr>
      <w:r w:rsidRPr="00894B55">
        <w:rPr>
          <w:rFonts w:ascii="Arial" w:hAnsi="Arial" w:cs="Arial"/>
          <w:b/>
          <w:bCs/>
          <w:sz w:val="20"/>
          <w:szCs w:val="20"/>
          <w:lang w:val="en-US"/>
        </w:rPr>
        <w:t>Authors</w:t>
      </w:r>
    </w:p>
    <w:p w14:paraId="2DF43845" w14:textId="77777777" w:rsidR="00507183" w:rsidRPr="00894B55" w:rsidRDefault="00507183" w:rsidP="00507183">
      <w:pPr>
        <w:spacing w:line="480" w:lineRule="auto"/>
        <w:jc w:val="both"/>
        <w:rPr>
          <w:rFonts w:ascii="Arial" w:hAnsi="Arial" w:cs="Arial"/>
          <w:sz w:val="20"/>
          <w:szCs w:val="20"/>
          <w:lang w:val="en-US"/>
        </w:rPr>
      </w:pPr>
      <w:r w:rsidRPr="00894B55">
        <w:rPr>
          <w:rFonts w:ascii="Arial" w:hAnsi="Arial" w:cs="Arial"/>
          <w:sz w:val="20"/>
          <w:szCs w:val="20"/>
          <w:lang w:val="en-US"/>
        </w:rPr>
        <w:t>Cornelis Smit (1,2), Mariska Y.M. Peeters (3), John N. van den Anker (1,4), Catherijne A.J. Knibbe (2,3)</w:t>
      </w:r>
    </w:p>
    <w:p w14:paraId="0B4D3B0E" w14:textId="77777777" w:rsidR="00507183" w:rsidRPr="00894B55" w:rsidRDefault="00507183" w:rsidP="00507183">
      <w:pPr>
        <w:spacing w:line="480" w:lineRule="auto"/>
        <w:jc w:val="both"/>
        <w:rPr>
          <w:rFonts w:ascii="Arial" w:hAnsi="Arial" w:cs="Arial"/>
          <w:sz w:val="20"/>
          <w:szCs w:val="20"/>
          <w:lang w:val="en-US"/>
        </w:rPr>
      </w:pPr>
      <w:r w:rsidRPr="00894B55">
        <w:rPr>
          <w:rFonts w:ascii="Arial" w:hAnsi="Arial" w:cs="Arial"/>
          <w:sz w:val="20"/>
          <w:szCs w:val="20"/>
          <w:lang w:val="en-US"/>
        </w:rPr>
        <w:t>1. Pediatric Pharmacology and Pharmacometrics Research Center, University of Basel Children’s Hospital, Basel, Switzerland</w:t>
      </w:r>
    </w:p>
    <w:p w14:paraId="2CDF41A2" w14:textId="77777777" w:rsidR="00507183" w:rsidRPr="00894B55" w:rsidRDefault="00507183" w:rsidP="00507183">
      <w:pPr>
        <w:spacing w:line="480" w:lineRule="auto"/>
        <w:jc w:val="both"/>
        <w:rPr>
          <w:rFonts w:ascii="Arial" w:hAnsi="Arial" w:cs="Arial"/>
          <w:sz w:val="20"/>
          <w:szCs w:val="20"/>
          <w:lang w:val="en-GB"/>
        </w:rPr>
      </w:pPr>
      <w:r w:rsidRPr="00894B55">
        <w:rPr>
          <w:rFonts w:ascii="Arial" w:hAnsi="Arial" w:cs="Arial"/>
          <w:sz w:val="20"/>
          <w:szCs w:val="20"/>
          <w:lang w:val="en-GB"/>
        </w:rPr>
        <w:t>2. Department of Systems Biomedicine and Pharmacology, Leiden Academic Centre for Drug Research, Leiden University, Leiden, The Netherlands</w:t>
      </w:r>
    </w:p>
    <w:p w14:paraId="0BE5AA83" w14:textId="77777777" w:rsidR="00507183" w:rsidRPr="00894B55" w:rsidRDefault="00507183" w:rsidP="00507183">
      <w:pPr>
        <w:spacing w:line="480" w:lineRule="auto"/>
        <w:jc w:val="both"/>
        <w:rPr>
          <w:rFonts w:ascii="Arial" w:hAnsi="Arial" w:cs="Arial"/>
          <w:sz w:val="20"/>
          <w:szCs w:val="20"/>
          <w:lang w:val="en-GB"/>
        </w:rPr>
      </w:pPr>
      <w:r w:rsidRPr="00894B55">
        <w:rPr>
          <w:rFonts w:ascii="Arial" w:hAnsi="Arial" w:cs="Arial"/>
          <w:sz w:val="20"/>
          <w:szCs w:val="20"/>
          <w:lang w:val="en-US"/>
        </w:rPr>
        <w:t>3. Department of Clinical Pharmacy, St. Antonius Hospital, Nieuwegein, The Netherlands</w:t>
      </w:r>
    </w:p>
    <w:p w14:paraId="04CB2215" w14:textId="77777777" w:rsidR="00507183" w:rsidRPr="00894B55" w:rsidRDefault="00507183" w:rsidP="00507183">
      <w:pPr>
        <w:spacing w:line="480" w:lineRule="auto"/>
        <w:jc w:val="both"/>
        <w:rPr>
          <w:rFonts w:ascii="Arial" w:hAnsi="Arial" w:cs="Arial"/>
          <w:sz w:val="20"/>
          <w:szCs w:val="20"/>
          <w:lang w:val="en-US"/>
        </w:rPr>
      </w:pPr>
      <w:r w:rsidRPr="00894B55">
        <w:rPr>
          <w:rFonts w:ascii="Arial" w:hAnsi="Arial" w:cs="Arial"/>
          <w:sz w:val="20"/>
          <w:szCs w:val="20"/>
          <w:lang w:val="en-GB"/>
        </w:rPr>
        <w:t xml:space="preserve">4. </w:t>
      </w:r>
      <w:r w:rsidRPr="00894B55">
        <w:rPr>
          <w:rFonts w:ascii="Arial" w:hAnsi="Arial" w:cs="Arial"/>
          <w:sz w:val="20"/>
          <w:szCs w:val="20"/>
          <w:lang w:val="en-US"/>
        </w:rPr>
        <w:t>Division of Clinical Pharmacology, Children’s National Hospital, Washington, DC, USA</w:t>
      </w:r>
    </w:p>
    <w:p w14:paraId="12A82842" w14:textId="77777777" w:rsidR="0035344A" w:rsidRDefault="0035344A">
      <w:pPr>
        <w:rPr>
          <w:rFonts w:cstheme="minorHAnsi"/>
          <w:b/>
          <w:bCs/>
          <w:lang w:val="en-US"/>
        </w:rPr>
      </w:pPr>
    </w:p>
    <w:p w14:paraId="5D9CD58D" w14:textId="77777777" w:rsidR="00B226E5" w:rsidRPr="00894B55" w:rsidRDefault="00B226E5" w:rsidP="00B226E5">
      <w:pPr>
        <w:spacing w:line="480" w:lineRule="auto"/>
        <w:jc w:val="both"/>
        <w:rPr>
          <w:rFonts w:ascii="Arial" w:hAnsi="Arial" w:cs="Arial"/>
          <w:b/>
          <w:bCs/>
          <w:sz w:val="20"/>
          <w:szCs w:val="20"/>
          <w:lang w:val="en-US"/>
        </w:rPr>
      </w:pPr>
      <w:r w:rsidRPr="00894B55">
        <w:rPr>
          <w:rFonts w:ascii="Arial" w:hAnsi="Arial" w:cs="Arial"/>
          <w:b/>
          <w:bCs/>
          <w:sz w:val="20"/>
          <w:szCs w:val="20"/>
          <w:lang w:val="en-US"/>
        </w:rPr>
        <w:t>Corresponding author:</w:t>
      </w:r>
    </w:p>
    <w:p w14:paraId="397D3BE9" w14:textId="77777777" w:rsidR="00B226E5" w:rsidRPr="00894B55" w:rsidRDefault="00B226E5" w:rsidP="00B226E5">
      <w:pPr>
        <w:spacing w:line="480" w:lineRule="auto"/>
        <w:jc w:val="both"/>
        <w:rPr>
          <w:rFonts w:ascii="Arial" w:hAnsi="Arial" w:cs="Arial"/>
          <w:sz w:val="20"/>
          <w:szCs w:val="20"/>
          <w:lang w:val="en-US"/>
        </w:rPr>
      </w:pPr>
      <w:r w:rsidRPr="00894B55">
        <w:rPr>
          <w:rFonts w:ascii="Arial" w:hAnsi="Arial" w:cs="Arial"/>
          <w:sz w:val="20"/>
          <w:szCs w:val="20"/>
          <w:lang w:val="en-US"/>
        </w:rPr>
        <w:t>Prof. Dr. Catherijne A.J. Knibbe, Pharm D, PhD, FCP</w:t>
      </w:r>
    </w:p>
    <w:p w14:paraId="147037FB" w14:textId="77777777" w:rsidR="00B226E5" w:rsidRPr="00894B55" w:rsidRDefault="00B226E5" w:rsidP="00B226E5">
      <w:pPr>
        <w:spacing w:line="480" w:lineRule="auto"/>
        <w:jc w:val="both"/>
        <w:rPr>
          <w:rFonts w:ascii="Arial" w:hAnsi="Arial" w:cs="Arial"/>
          <w:sz w:val="20"/>
          <w:szCs w:val="20"/>
          <w:lang w:val="en-US"/>
        </w:rPr>
      </w:pPr>
      <w:r w:rsidRPr="00894B55">
        <w:rPr>
          <w:rFonts w:ascii="Arial" w:hAnsi="Arial" w:cs="Arial"/>
          <w:sz w:val="20"/>
          <w:szCs w:val="20"/>
          <w:lang w:val="en-US"/>
        </w:rPr>
        <w:t>Department of Clinical Pharmacy, St. Antonius Hospital,</w:t>
      </w:r>
    </w:p>
    <w:p w14:paraId="302065F6" w14:textId="77777777" w:rsidR="00B226E5" w:rsidRPr="00894B55" w:rsidRDefault="00B226E5" w:rsidP="00B226E5">
      <w:pPr>
        <w:spacing w:line="480" w:lineRule="auto"/>
        <w:jc w:val="both"/>
        <w:rPr>
          <w:rFonts w:ascii="Arial" w:hAnsi="Arial" w:cs="Arial"/>
          <w:sz w:val="20"/>
          <w:szCs w:val="20"/>
          <w:lang w:val="en-US"/>
        </w:rPr>
      </w:pPr>
      <w:r w:rsidRPr="00894B55">
        <w:rPr>
          <w:rFonts w:ascii="Arial" w:hAnsi="Arial" w:cs="Arial"/>
          <w:sz w:val="20"/>
          <w:szCs w:val="20"/>
          <w:lang w:val="en-US"/>
        </w:rPr>
        <w:t>Koekoekslaan 1, 3435 CM Nieuwegein, The Netherlands</w:t>
      </w:r>
    </w:p>
    <w:p w14:paraId="65F456AC" w14:textId="77777777" w:rsidR="00B226E5" w:rsidRPr="00894B55" w:rsidRDefault="00B226E5" w:rsidP="00B226E5">
      <w:pPr>
        <w:spacing w:line="480" w:lineRule="auto"/>
        <w:jc w:val="both"/>
        <w:rPr>
          <w:rFonts w:ascii="Arial" w:hAnsi="Arial" w:cs="Arial"/>
          <w:sz w:val="20"/>
          <w:szCs w:val="20"/>
          <w:lang w:val="en-US"/>
        </w:rPr>
      </w:pPr>
      <w:r w:rsidRPr="00894B55">
        <w:rPr>
          <w:rFonts w:ascii="Arial" w:hAnsi="Arial" w:cs="Arial"/>
          <w:sz w:val="20"/>
          <w:szCs w:val="20"/>
          <w:lang w:val="en-US"/>
        </w:rPr>
        <w:t>E-mail address: c.knibbe@antoniusziekenhuis.nl</w:t>
      </w:r>
    </w:p>
    <w:p w14:paraId="69ADE930" w14:textId="77777777" w:rsidR="00B226E5" w:rsidRPr="00894B55" w:rsidRDefault="00B226E5" w:rsidP="00B226E5">
      <w:pPr>
        <w:spacing w:line="480" w:lineRule="auto"/>
        <w:jc w:val="both"/>
        <w:rPr>
          <w:rFonts w:ascii="Arial" w:hAnsi="Arial" w:cs="Arial"/>
          <w:sz w:val="20"/>
          <w:szCs w:val="20"/>
          <w:lang w:val="en-US"/>
        </w:rPr>
      </w:pPr>
      <w:r w:rsidRPr="00894B55">
        <w:rPr>
          <w:rFonts w:ascii="Arial" w:hAnsi="Arial" w:cs="Arial"/>
          <w:sz w:val="20"/>
          <w:szCs w:val="20"/>
          <w:lang w:val="en-US"/>
        </w:rPr>
        <w:t>Telephone: +3188 320 7200</w:t>
      </w:r>
    </w:p>
    <w:p w14:paraId="4FD7B512" w14:textId="77777777" w:rsidR="00B226E5" w:rsidRPr="00894B55" w:rsidRDefault="00B226E5" w:rsidP="00B226E5">
      <w:pPr>
        <w:spacing w:line="480" w:lineRule="auto"/>
        <w:jc w:val="both"/>
        <w:rPr>
          <w:rFonts w:ascii="Arial" w:hAnsi="Arial" w:cs="Arial"/>
          <w:sz w:val="20"/>
          <w:szCs w:val="20"/>
          <w:lang w:val="en-US"/>
        </w:rPr>
      </w:pPr>
      <w:r w:rsidRPr="00894B55">
        <w:rPr>
          <w:rFonts w:ascii="Arial" w:hAnsi="Arial" w:cs="Arial"/>
          <w:sz w:val="20"/>
          <w:szCs w:val="20"/>
          <w:lang w:val="en-US"/>
        </w:rPr>
        <w:t>Fax: +3188 320 7249</w:t>
      </w:r>
    </w:p>
    <w:p w14:paraId="742088D4" w14:textId="77777777" w:rsidR="00507183" w:rsidRDefault="00507183">
      <w:pPr>
        <w:rPr>
          <w:rFonts w:cstheme="minorHAnsi"/>
          <w:b/>
          <w:bCs/>
          <w:lang w:val="en-US"/>
        </w:rPr>
      </w:pPr>
      <w:r>
        <w:rPr>
          <w:rFonts w:cstheme="minorHAnsi"/>
          <w:b/>
          <w:bCs/>
          <w:lang w:val="en-US"/>
        </w:rPr>
        <w:br w:type="page"/>
      </w:r>
    </w:p>
    <w:p w14:paraId="2B136403" w14:textId="69657403" w:rsidR="0035344A" w:rsidRDefault="0035344A">
      <w:pPr>
        <w:rPr>
          <w:rFonts w:cstheme="minorHAnsi"/>
          <w:b/>
          <w:bCs/>
          <w:lang w:val="en-US"/>
        </w:rPr>
      </w:pPr>
      <w:r>
        <w:rPr>
          <w:rFonts w:cstheme="minorHAnsi"/>
          <w:b/>
          <w:bCs/>
          <w:lang w:val="en-US"/>
        </w:rPr>
        <w:lastRenderedPageBreak/>
        <w:t>Contents</w:t>
      </w:r>
    </w:p>
    <w:sdt>
      <w:sdtPr>
        <w:rPr>
          <w:rFonts w:asciiTheme="minorHAnsi" w:eastAsiaTheme="minorHAnsi" w:hAnsiTheme="minorHAnsi" w:cstheme="minorBidi"/>
          <w:color w:val="auto"/>
          <w:sz w:val="22"/>
          <w:szCs w:val="22"/>
          <w:lang w:eastAsia="en-US"/>
        </w:rPr>
        <w:id w:val="1885591490"/>
        <w:docPartObj>
          <w:docPartGallery w:val="Table of Contents"/>
          <w:docPartUnique/>
        </w:docPartObj>
      </w:sdtPr>
      <w:sdtEndPr>
        <w:rPr>
          <w:b/>
          <w:bCs/>
        </w:rPr>
      </w:sdtEndPr>
      <w:sdtContent>
        <w:p w14:paraId="0C5BE0BC" w14:textId="54F86F2B" w:rsidR="00C92718" w:rsidRDefault="00C92718">
          <w:pPr>
            <w:pStyle w:val="Kopvaninhoudsopgave"/>
          </w:pPr>
        </w:p>
        <w:p w14:paraId="3BF29229" w14:textId="4817FFE8" w:rsidR="00BD7649" w:rsidRDefault="00C92718">
          <w:pPr>
            <w:pStyle w:val="Inhopg1"/>
            <w:tabs>
              <w:tab w:val="left" w:pos="440"/>
              <w:tab w:val="right" w:leader="dot" w:pos="9062"/>
            </w:tabs>
            <w:rPr>
              <w:rFonts w:eastAsiaTheme="minorEastAsia"/>
              <w:noProof/>
              <w:lang w:eastAsia="nl-NL"/>
            </w:rPr>
          </w:pPr>
          <w:r>
            <w:fldChar w:fldCharType="begin"/>
          </w:r>
          <w:r>
            <w:instrText xml:space="preserve"> TOC \o "1-3" \h \z \u </w:instrText>
          </w:r>
          <w:r>
            <w:fldChar w:fldCharType="separate"/>
          </w:r>
          <w:hyperlink w:anchor="_Toc36555274" w:history="1">
            <w:r w:rsidR="00BD7649" w:rsidRPr="00D54378">
              <w:rPr>
                <w:rStyle w:val="Hyperlink"/>
                <w:noProof/>
                <w:lang w:val="en-US"/>
              </w:rPr>
              <w:t>1.</w:t>
            </w:r>
            <w:r w:rsidR="00BD7649">
              <w:rPr>
                <w:rFonts w:eastAsiaTheme="minorEastAsia"/>
                <w:noProof/>
                <w:lang w:eastAsia="nl-NL"/>
              </w:rPr>
              <w:tab/>
            </w:r>
            <w:r w:rsidR="00BD7649" w:rsidRPr="00D54378">
              <w:rPr>
                <w:rStyle w:val="Hyperlink"/>
                <w:noProof/>
                <w:lang w:val="en-US"/>
              </w:rPr>
              <w:t>Software used for simulations</w:t>
            </w:r>
            <w:r w:rsidR="00BD7649">
              <w:rPr>
                <w:noProof/>
                <w:webHidden/>
              </w:rPr>
              <w:tab/>
            </w:r>
            <w:r w:rsidR="00BD7649">
              <w:rPr>
                <w:noProof/>
                <w:webHidden/>
              </w:rPr>
              <w:fldChar w:fldCharType="begin"/>
            </w:r>
            <w:r w:rsidR="00BD7649">
              <w:rPr>
                <w:noProof/>
                <w:webHidden/>
              </w:rPr>
              <w:instrText xml:space="preserve"> PAGEREF _Toc36555274 \h </w:instrText>
            </w:r>
            <w:r w:rsidR="00BD7649">
              <w:rPr>
                <w:noProof/>
                <w:webHidden/>
              </w:rPr>
            </w:r>
            <w:r w:rsidR="00BD7649">
              <w:rPr>
                <w:noProof/>
                <w:webHidden/>
              </w:rPr>
              <w:fldChar w:fldCharType="separate"/>
            </w:r>
            <w:r w:rsidR="00BD7649">
              <w:rPr>
                <w:noProof/>
                <w:webHidden/>
              </w:rPr>
              <w:t>3</w:t>
            </w:r>
            <w:r w:rsidR="00BD7649">
              <w:rPr>
                <w:noProof/>
                <w:webHidden/>
              </w:rPr>
              <w:fldChar w:fldCharType="end"/>
            </w:r>
          </w:hyperlink>
        </w:p>
        <w:p w14:paraId="63DDFB65" w14:textId="71506828" w:rsidR="00BD7649" w:rsidRDefault="001417C4">
          <w:pPr>
            <w:pStyle w:val="Inhopg1"/>
            <w:tabs>
              <w:tab w:val="left" w:pos="440"/>
              <w:tab w:val="right" w:leader="dot" w:pos="9062"/>
            </w:tabs>
            <w:rPr>
              <w:rFonts w:eastAsiaTheme="minorEastAsia"/>
              <w:noProof/>
              <w:lang w:eastAsia="nl-NL"/>
            </w:rPr>
          </w:pPr>
          <w:hyperlink w:anchor="_Toc36555275" w:history="1">
            <w:r w:rsidR="00BD7649" w:rsidRPr="00D54378">
              <w:rPr>
                <w:rStyle w:val="Hyperlink"/>
                <w:noProof/>
                <w:lang w:val="en-US"/>
              </w:rPr>
              <w:t>2.</w:t>
            </w:r>
            <w:r w:rsidR="00BD7649">
              <w:rPr>
                <w:rFonts w:eastAsiaTheme="minorEastAsia"/>
                <w:noProof/>
                <w:lang w:eastAsia="nl-NL"/>
              </w:rPr>
              <w:tab/>
            </w:r>
            <w:r w:rsidR="00BD7649" w:rsidRPr="00D54378">
              <w:rPr>
                <w:rStyle w:val="Hyperlink"/>
                <w:noProof/>
                <w:lang w:val="en-US"/>
              </w:rPr>
              <w:t>Details of the adapted chloroquine Zhao 2014 PK model used for the figures in this report</w:t>
            </w:r>
            <w:r w:rsidR="00BD7649">
              <w:rPr>
                <w:noProof/>
                <w:webHidden/>
              </w:rPr>
              <w:tab/>
            </w:r>
            <w:r w:rsidR="00BD7649">
              <w:rPr>
                <w:noProof/>
                <w:webHidden/>
              </w:rPr>
              <w:fldChar w:fldCharType="begin"/>
            </w:r>
            <w:r w:rsidR="00BD7649">
              <w:rPr>
                <w:noProof/>
                <w:webHidden/>
              </w:rPr>
              <w:instrText xml:space="preserve"> PAGEREF _Toc36555275 \h </w:instrText>
            </w:r>
            <w:r w:rsidR="00BD7649">
              <w:rPr>
                <w:noProof/>
                <w:webHidden/>
              </w:rPr>
            </w:r>
            <w:r w:rsidR="00BD7649">
              <w:rPr>
                <w:noProof/>
                <w:webHidden/>
              </w:rPr>
              <w:fldChar w:fldCharType="separate"/>
            </w:r>
            <w:r w:rsidR="00BD7649">
              <w:rPr>
                <w:noProof/>
                <w:webHidden/>
              </w:rPr>
              <w:t>3</w:t>
            </w:r>
            <w:r w:rsidR="00BD7649">
              <w:rPr>
                <w:noProof/>
                <w:webHidden/>
              </w:rPr>
              <w:fldChar w:fldCharType="end"/>
            </w:r>
          </w:hyperlink>
        </w:p>
        <w:p w14:paraId="56023CFD" w14:textId="58DAF292" w:rsidR="00BD7649" w:rsidRDefault="001417C4">
          <w:pPr>
            <w:pStyle w:val="Inhopg2"/>
            <w:tabs>
              <w:tab w:val="left" w:pos="880"/>
              <w:tab w:val="right" w:leader="dot" w:pos="9062"/>
            </w:tabs>
            <w:rPr>
              <w:rFonts w:eastAsiaTheme="minorEastAsia"/>
              <w:noProof/>
              <w:lang w:eastAsia="nl-NL"/>
            </w:rPr>
          </w:pPr>
          <w:hyperlink w:anchor="_Toc36555276" w:history="1">
            <w:r w:rsidR="00BD7649" w:rsidRPr="00D54378">
              <w:rPr>
                <w:rStyle w:val="Hyperlink"/>
                <w:noProof/>
                <w:lang w:val="en-US"/>
              </w:rPr>
              <w:t>2.1</w:t>
            </w:r>
            <w:r w:rsidR="00BD7649">
              <w:rPr>
                <w:rFonts w:eastAsiaTheme="minorEastAsia"/>
                <w:noProof/>
                <w:lang w:eastAsia="nl-NL"/>
              </w:rPr>
              <w:tab/>
            </w:r>
            <w:r w:rsidR="00BD7649" w:rsidRPr="00D54378">
              <w:rPr>
                <w:rStyle w:val="Hyperlink"/>
                <w:noProof/>
                <w:lang w:val="en-US"/>
              </w:rPr>
              <w:t>Nonmem control stream for the adapted model</w:t>
            </w:r>
            <w:r w:rsidR="00BD7649">
              <w:rPr>
                <w:noProof/>
                <w:webHidden/>
              </w:rPr>
              <w:tab/>
            </w:r>
            <w:r w:rsidR="00BD7649">
              <w:rPr>
                <w:noProof/>
                <w:webHidden/>
              </w:rPr>
              <w:fldChar w:fldCharType="begin"/>
            </w:r>
            <w:r w:rsidR="00BD7649">
              <w:rPr>
                <w:noProof/>
                <w:webHidden/>
              </w:rPr>
              <w:instrText xml:space="preserve"> PAGEREF _Toc36555276 \h </w:instrText>
            </w:r>
            <w:r w:rsidR="00BD7649">
              <w:rPr>
                <w:noProof/>
                <w:webHidden/>
              </w:rPr>
            </w:r>
            <w:r w:rsidR="00BD7649">
              <w:rPr>
                <w:noProof/>
                <w:webHidden/>
              </w:rPr>
              <w:fldChar w:fldCharType="separate"/>
            </w:r>
            <w:r w:rsidR="00BD7649">
              <w:rPr>
                <w:noProof/>
                <w:webHidden/>
              </w:rPr>
              <w:t>3</w:t>
            </w:r>
            <w:r w:rsidR="00BD7649">
              <w:rPr>
                <w:noProof/>
                <w:webHidden/>
              </w:rPr>
              <w:fldChar w:fldCharType="end"/>
            </w:r>
          </w:hyperlink>
        </w:p>
        <w:p w14:paraId="2EEA93F2" w14:textId="4F319B41" w:rsidR="00BD7649" w:rsidRDefault="001417C4">
          <w:pPr>
            <w:pStyle w:val="Inhopg1"/>
            <w:tabs>
              <w:tab w:val="left" w:pos="440"/>
              <w:tab w:val="right" w:leader="dot" w:pos="9062"/>
            </w:tabs>
            <w:rPr>
              <w:rFonts w:eastAsiaTheme="minorEastAsia"/>
              <w:noProof/>
              <w:lang w:eastAsia="nl-NL"/>
            </w:rPr>
          </w:pPr>
          <w:hyperlink w:anchor="_Toc36555277" w:history="1">
            <w:r w:rsidR="00BD7649" w:rsidRPr="00D54378">
              <w:rPr>
                <w:rStyle w:val="Hyperlink"/>
                <w:noProof/>
                <w:lang w:val="en-US"/>
              </w:rPr>
              <w:t>3</w:t>
            </w:r>
            <w:r w:rsidR="00BD7649">
              <w:rPr>
                <w:rFonts w:eastAsiaTheme="minorEastAsia"/>
                <w:noProof/>
                <w:lang w:eastAsia="nl-NL"/>
              </w:rPr>
              <w:tab/>
            </w:r>
            <w:r w:rsidR="00BD7649" w:rsidRPr="00D54378">
              <w:rPr>
                <w:rStyle w:val="Hyperlink"/>
                <w:noProof/>
                <w:lang w:val="en-US"/>
              </w:rPr>
              <w:t>Dose regimens used in figures</w:t>
            </w:r>
            <w:r w:rsidR="00BD7649">
              <w:rPr>
                <w:noProof/>
                <w:webHidden/>
              </w:rPr>
              <w:tab/>
            </w:r>
            <w:r w:rsidR="00BD7649">
              <w:rPr>
                <w:noProof/>
                <w:webHidden/>
              </w:rPr>
              <w:fldChar w:fldCharType="begin"/>
            </w:r>
            <w:r w:rsidR="00BD7649">
              <w:rPr>
                <w:noProof/>
                <w:webHidden/>
              </w:rPr>
              <w:instrText xml:space="preserve"> PAGEREF _Toc36555277 \h </w:instrText>
            </w:r>
            <w:r w:rsidR="00BD7649">
              <w:rPr>
                <w:noProof/>
                <w:webHidden/>
              </w:rPr>
            </w:r>
            <w:r w:rsidR="00BD7649">
              <w:rPr>
                <w:noProof/>
                <w:webHidden/>
              </w:rPr>
              <w:fldChar w:fldCharType="separate"/>
            </w:r>
            <w:r w:rsidR="00BD7649">
              <w:rPr>
                <w:noProof/>
                <w:webHidden/>
              </w:rPr>
              <w:t>4</w:t>
            </w:r>
            <w:r w:rsidR="00BD7649">
              <w:rPr>
                <w:noProof/>
                <w:webHidden/>
              </w:rPr>
              <w:fldChar w:fldCharType="end"/>
            </w:r>
          </w:hyperlink>
        </w:p>
        <w:p w14:paraId="783A832D" w14:textId="402C2AD7" w:rsidR="00BD7649" w:rsidRDefault="001417C4">
          <w:pPr>
            <w:pStyle w:val="Inhopg1"/>
            <w:tabs>
              <w:tab w:val="left" w:pos="440"/>
              <w:tab w:val="right" w:leader="dot" w:pos="9062"/>
            </w:tabs>
            <w:rPr>
              <w:rFonts w:eastAsiaTheme="minorEastAsia"/>
              <w:noProof/>
              <w:lang w:eastAsia="nl-NL"/>
            </w:rPr>
          </w:pPr>
          <w:hyperlink w:anchor="_Toc36555278" w:history="1">
            <w:r w:rsidR="00BD7649" w:rsidRPr="00D54378">
              <w:rPr>
                <w:rStyle w:val="Hyperlink"/>
                <w:noProof/>
                <w:lang w:val="en-US"/>
              </w:rPr>
              <w:t>4</w:t>
            </w:r>
            <w:r w:rsidR="00BD7649">
              <w:rPr>
                <w:rFonts w:eastAsiaTheme="minorEastAsia"/>
                <w:noProof/>
                <w:lang w:eastAsia="nl-NL"/>
              </w:rPr>
              <w:tab/>
            </w:r>
            <w:r w:rsidR="00BD7649" w:rsidRPr="00D54378">
              <w:rPr>
                <w:rStyle w:val="Hyperlink"/>
                <w:noProof/>
                <w:lang w:val="en-US"/>
              </w:rPr>
              <w:t>Internal and External evaluation of the chloroquine model by Zhao et al</w:t>
            </w:r>
            <w:r w:rsidR="00BD7649">
              <w:rPr>
                <w:noProof/>
                <w:webHidden/>
              </w:rPr>
              <w:tab/>
            </w:r>
            <w:r w:rsidR="00BD7649">
              <w:rPr>
                <w:noProof/>
                <w:webHidden/>
              </w:rPr>
              <w:fldChar w:fldCharType="begin"/>
            </w:r>
            <w:r w:rsidR="00BD7649">
              <w:rPr>
                <w:noProof/>
                <w:webHidden/>
              </w:rPr>
              <w:instrText xml:space="preserve"> PAGEREF _Toc36555278 \h </w:instrText>
            </w:r>
            <w:r w:rsidR="00BD7649">
              <w:rPr>
                <w:noProof/>
                <w:webHidden/>
              </w:rPr>
            </w:r>
            <w:r w:rsidR="00BD7649">
              <w:rPr>
                <w:noProof/>
                <w:webHidden/>
              </w:rPr>
              <w:fldChar w:fldCharType="separate"/>
            </w:r>
            <w:r w:rsidR="00BD7649">
              <w:rPr>
                <w:noProof/>
                <w:webHidden/>
              </w:rPr>
              <w:t>5</w:t>
            </w:r>
            <w:r w:rsidR="00BD7649">
              <w:rPr>
                <w:noProof/>
                <w:webHidden/>
              </w:rPr>
              <w:fldChar w:fldCharType="end"/>
            </w:r>
          </w:hyperlink>
        </w:p>
        <w:p w14:paraId="77C7547F" w14:textId="5B51F069" w:rsidR="00BD7649" w:rsidRDefault="001417C4">
          <w:pPr>
            <w:pStyle w:val="Inhopg2"/>
            <w:tabs>
              <w:tab w:val="left" w:pos="880"/>
              <w:tab w:val="right" w:leader="dot" w:pos="9062"/>
            </w:tabs>
            <w:rPr>
              <w:rFonts w:eastAsiaTheme="minorEastAsia"/>
              <w:noProof/>
              <w:lang w:eastAsia="nl-NL"/>
            </w:rPr>
          </w:pPr>
          <w:hyperlink w:anchor="_Toc36555279" w:history="1">
            <w:r w:rsidR="00BD7649" w:rsidRPr="00D54378">
              <w:rPr>
                <w:rStyle w:val="Hyperlink"/>
                <w:noProof/>
                <w:lang w:val="en-US"/>
              </w:rPr>
              <w:t>4.1</w:t>
            </w:r>
            <w:r w:rsidR="00BD7649">
              <w:rPr>
                <w:rFonts w:eastAsiaTheme="minorEastAsia"/>
                <w:noProof/>
                <w:lang w:eastAsia="nl-NL"/>
              </w:rPr>
              <w:tab/>
            </w:r>
            <w:r w:rsidR="00BD7649" w:rsidRPr="00D54378">
              <w:rPr>
                <w:rStyle w:val="Hyperlink"/>
                <w:noProof/>
                <w:shd w:val="clear" w:color="auto" w:fill="FFFFFF"/>
                <w:lang w:val="en-US"/>
              </w:rPr>
              <w:t>Details regarding the Zhao PK model</w:t>
            </w:r>
            <w:r w:rsidR="00BD7649">
              <w:rPr>
                <w:noProof/>
                <w:webHidden/>
              </w:rPr>
              <w:tab/>
            </w:r>
            <w:r w:rsidR="00BD7649">
              <w:rPr>
                <w:noProof/>
                <w:webHidden/>
              </w:rPr>
              <w:fldChar w:fldCharType="begin"/>
            </w:r>
            <w:r w:rsidR="00BD7649">
              <w:rPr>
                <w:noProof/>
                <w:webHidden/>
              </w:rPr>
              <w:instrText xml:space="preserve"> PAGEREF _Toc36555279 \h </w:instrText>
            </w:r>
            <w:r w:rsidR="00BD7649">
              <w:rPr>
                <w:noProof/>
                <w:webHidden/>
              </w:rPr>
            </w:r>
            <w:r w:rsidR="00BD7649">
              <w:rPr>
                <w:noProof/>
                <w:webHidden/>
              </w:rPr>
              <w:fldChar w:fldCharType="separate"/>
            </w:r>
            <w:r w:rsidR="00BD7649">
              <w:rPr>
                <w:noProof/>
                <w:webHidden/>
              </w:rPr>
              <w:t>5</w:t>
            </w:r>
            <w:r w:rsidR="00BD7649">
              <w:rPr>
                <w:noProof/>
                <w:webHidden/>
              </w:rPr>
              <w:fldChar w:fldCharType="end"/>
            </w:r>
          </w:hyperlink>
        </w:p>
        <w:p w14:paraId="350195C8" w14:textId="550F9FE3" w:rsidR="00BD7649" w:rsidRDefault="001417C4">
          <w:pPr>
            <w:pStyle w:val="Inhopg2"/>
            <w:tabs>
              <w:tab w:val="left" w:pos="880"/>
              <w:tab w:val="right" w:leader="dot" w:pos="9062"/>
            </w:tabs>
            <w:rPr>
              <w:rFonts w:eastAsiaTheme="minorEastAsia"/>
              <w:noProof/>
              <w:lang w:eastAsia="nl-NL"/>
            </w:rPr>
          </w:pPr>
          <w:hyperlink w:anchor="_Toc36555280" w:history="1">
            <w:r w:rsidR="00BD7649" w:rsidRPr="00D54378">
              <w:rPr>
                <w:rStyle w:val="Hyperlink"/>
                <w:noProof/>
                <w:lang w:val="en-US"/>
              </w:rPr>
              <w:t>4.2</w:t>
            </w:r>
            <w:r w:rsidR="00BD7649">
              <w:rPr>
                <w:rFonts w:eastAsiaTheme="minorEastAsia"/>
                <w:noProof/>
                <w:lang w:eastAsia="nl-NL"/>
              </w:rPr>
              <w:tab/>
            </w:r>
            <w:r w:rsidR="00BD7649" w:rsidRPr="00D54378">
              <w:rPr>
                <w:rStyle w:val="Hyperlink"/>
                <w:noProof/>
                <w:lang w:val="en-US"/>
              </w:rPr>
              <w:t>Nonmem control stream for Zhao PK model:</w:t>
            </w:r>
            <w:r w:rsidR="00BD7649">
              <w:rPr>
                <w:noProof/>
                <w:webHidden/>
              </w:rPr>
              <w:tab/>
            </w:r>
            <w:r w:rsidR="00BD7649">
              <w:rPr>
                <w:noProof/>
                <w:webHidden/>
              </w:rPr>
              <w:fldChar w:fldCharType="begin"/>
            </w:r>
            <w:r w:rsidR="00BD7649">
              <w:rPr>
                <w:noProof/>
                <w:webHidden/>
              </w:rPr>
              <w:instrText xml:space="preserve"> PAGEREF _Toc36555280 \h </w:instrText>
            </w:r>
            <w:r w:rsidR="00BD7649">
              <w:rPr>
                <w:noProof/>
                <w:webHidden/>
              </w:rPr>
            </w:r>
            <w:r w:rsidR="00BD7649">
              <w:rPr>
                <w:noProof/>
                <w:webHidden/>
              </w:rPr>
              <w:fldChar w:fldCharType="separate"/>
            </w:r>
            <w:r w:rsidR="00BD7649">
              <w:rPr>
                <w:noProof/>
                <w:webHidden/>
              </w:rPr>
              <w:t>6</w:t>
            </w:r>
            <w:r w:rsidR="00BD7649">
              <w:rPr>
                <w:noProof/>
                <w:webHidden/>
              </w:rPr>
              <w:fldChar w:fldCharType="end"/>
            </w:r>
          </w:hyperlink>
        </w:p>
        <w:p w14:paraId="18DBE70F" w14:textId="7B2D61DE" w:rsidR="00BD7649" w:rsidRDefault="001417C4">
          <w:pPr>
            <w:pStyle w:val="Inhopg2"/>
            <w:tabs>
              <w:tab w:val="left" w:pos="880"/>
              <w:tab w:val="right" w:leader="dot" w:pos="9062"/>
            </w:tabs>
            <w:rPr>
              <w:rFonts w:eastAsiaTheme="minorEastAsia"/>
              <w:noProof/>
              <w:lang w:eastAsia="nl-NL"/>
            </w:rPr>
          </w:pPr>
          <w:hyperlink w:anchor="_Toc36555281" w:history="1">
            <w:r w:rsidR="00BD7649" w:rsidRPr="00D54378">
              <w:rPr>
                <w:rStyle w:val="Hyperlink"/>
                <w:noProof/>
                <w:lang w:val="en-US"/>
              </w:rPr>
              <w:t>4.3</w:t>
            </w:r>
            <w:r w:rsidR="00BD7649">
              <w:rPr>
                <w:rFonts w:eastAsiaTheme="minorEastAsia"/>
                <w:noProof/>
                <w:lang w:eastAsia="nl-NL"/>
              </w:rPr>
              <w:tab/>
            </w:r>
            <w:r w:rsidR="00BD7649" w:rsidRPr="00D54378">
              <w:rPr>
                <w:rStyle w:val="Hyperlink"/>
                <w:noProof/>
                <w:lang w:val="en-US"/>
              </w:rPr>
              <w:t>Overview of studies used for evaluation</w:t>
            </w:r>
            <w:r w:rsidR="00BD7649">
              <w:rPr>
                <w:noProof/>
                <w:webHidden/>
              </w:rPr>
              <w:tab/>
            </w:r>
            <w:r w:rsidR="00BD7649">
              <w:rPr>
                <w:noProof/>
                <w:webHidden/>
              </w:rPr>
              <w:fldChar w:fldCharType="begin"/>
            </w:r>
            <w:r w:rsidR="00BD7649">
              <w:rPr>
                <w:noProof/>
                <w:webHidden/>
              </w:rPr>
              <w:instrText xml:space="preserve"> PAGEREF _Toc36555281 \h </w:instrText>
            </w:r>
            <w:r w:rsidR="00BD7649">
              <w:rPr>
                <w:noProof/>
                <w:webHidden/>
              </w:rPr>
            </w:r>
            <w:r w:rsidR="00BD7649">
              <w:rPr>
                <w:noProof/>
                <w:webHidden/>
              </w:rPr>
              <w:fldChar w:fldCharType="separate"/>
            </w:r>
            <w:r w:rsidR="00BD7649">
              <w:rPr>
                <w:noProof/>
                <w:webHidden/>
              </w:rPr>
              <w:t>7</w:t>
            </w:r>
            <w:r w:rsidR="00BD7649">
              <w:rPr>
                <w:noProof/>
                <w:webHidden/>
              </w:rPr>
              <w:fldChar w:fldCharType="end"/>
            </w:r>
          </w:hyperlink>
        </w:p>
        <w:p w14:paraId="473BF647" w14:textId="3362CB68" w:rsidR="00BD7649" w:rsidRDefault="001417C4">
          <w:pPr>
            <w:pStyle w:val="Inhopg2"/>
            <w:tabs>
              <w:tab w:val="left" w:pos="880"/>
              <w:tab w:val="right" w:leader="dot" w:pos="9062"/>
            </w:tabs>
            <w:rPr>
              <w:rFonts w:eastAsiaTheme="minorEastAsia"/>
              <w:noProof/>
              <w:lang w:eastAsia="nl-NL"/>
            </w:rPr>
          </w:pPr>
          <w:hyperlink w:anchor="_Toc36555282" w:history="1">
            <w:r w:rsidR="00BD7649" w:rsidRPr="00D54378">
              <w:rPr>
                <w:rStyle w:val="Hyperlink"/>
                <w:noProof/>
                <w:lang w:val="en-US"/>
              </w:rPr>
              <w:t>4.4</w:t>
            </w:r>
            <w:r w:rsidR="00BD7649">
              <w:rPr>
                <w:rFonts w:eastAsiaTheme="minorEastAsia"/>
                <w:noProof/>
                <w:lang w:eastAsia="nl-NL"/>
              </w:rPr>
              <w:tab/>
            </w:r>
            <w:r w:rsidR="00BD7649" w:rsidRPr="00D54378">
              <w:rPr>
                <w:rStyle w:val="Hyperlink"/>
                <w:noProof/>
                <w:lang w:val="en-US"/>
              </w:rPr>
              <w:t>Internal model evaluation</w:t>
            </w:r>
            <w:r w:rsidR="00BD7649">
              <w:rPr>
                <w:noProof/>
                <w:webHidden/>
              </w:rPr>
              <w:tab/>
            </w:r>
            <w:r w:rsidR="00BD7649">
              <w:rPr>
                <w:noProof/>
                <w:webHidden/>
              </w:rPr>
              <w:fldChar w:fldCharType="begin"/>
            </w:r>
            <w:r w:rsidR="00BD7649">
              <w:rPr>
                <w:noProof/>
                <w:webHidden/>
              </w:rPr>
              <w:instrText xml:space="preserve"> PAGEREF _Toc36555282 \h </w:instrText>
            </w:r>
            <w:r w:rsidR="00BD7649">
              <w:rPr>
                <w:noProof/>
                <w:webHidden/>
              </w:rPr>
            </w:r>
            <w:r w:rsidR="00BD7649">
              <w:rPr>
                <w:noProof/>
                <w:webHidden/>
              </w:rPr>
              <w:fldChar w:fldCharType="separate"/>
            </w:r>
            <w:r w:rsidR="00BD7649">
              <w:rPr>
                <w:noProof/>
                <w:webHidden/>
              </w:rPr>
              <w:t>8</w:t>
            </w:r>
            <w:r w:rsidR="00BD7649">
              <w:rPr>
                <w:noProof/>
                <w:webHidden/>
              </w:rPr>
              <w:fldChar w:fldCharType="end"/>
            </w:r>
          </w:hyperlink>
        </w:p>
        <w:p w14:paraId="6263D4BD" w14:textId="0CFE7F67" w:rsidR="00BD7649" w:rsidRDefault="001417C4">
          <w:pPr>
            <w:pStyle w:val="Inhopg2"/>
            <w:tabs>
              <w:tab w:val="left" w:pos="880"/>
              <w:tab w:val="right" w:leader="dot" w:pos="9062"/>
            </w:tabs>
            <w:rPr>
              <w:rFonts w:eastAsiaTheme="minorEastAsia"/>
              <w:noProof/>
              <w:lang w:eastAsia="nl-NL"/>
            </w:rPr>
          </w:pPr>
          <w:hyperlink w:anchor="_Toc36555283" w:history="1">
            <w:r w:rsidR="00BD7649" w:rsidRPr="00D54378">
              <w:rPr>
                <w:rStyle w:val="Hyperlink"/>
                <w:noProof/>
                <w:lang w:val="en-US"/>
              </w:rPr>
              <w:t>4.5</w:t>
            </w:r>
            <w:r w:rsidR="00BD7649">
              <w:rPr>
                <w:rFonts w:eastAsiaTheme="minorEastAsia"/>
                <w:noProof/>
                <w:lang w:eastAsia="nl-NL"/>
              </w:rPr>
              <w:tab/>
            </w:r>
            <w:r w:rsidR="00BD7649" w:rsidRPr="00D54378">
              <w:rPr>
                <w:rStyle w:val="Hyperlink"/>
                <w:noProof/>
                <w:lang w:val="en-US"/>
              </w:rPr>
              <w:t>External model evaluation</w:t>
            </w:r>
            <w:r w:rsidR="00BD7649">
              <w:rPr>
                <w:noProof/>
                <w:webHidden/>
              </w:rPr>
              <w:tab/>
            </w:r>
            <w:r w:rsidR="00BD7649">
              <w:rPr>
                <w:noProof/>
                <w:webHidden/>
              </w:rPr>
              <w:fldChar w:fldCharType="begin"/>
            </w:r>
            <w:r w:rsidR="00BD7649">
              <w:rPr>
                <w:noProof/>
                <w:webHidden/>
              </w:rPr>
              <w:instrText xml:space="preserve"> PAGEREF _Toc36555283 \h </w:instrText>
            </w:r>
            <w:r w:rsidR="00BD7649">
              <w:rPr>
                <w:noProof/>
                <w:webHidden/>
              </w:rPr>
            </w:r>
            <w:r w:rsidR="00BD7649">
              <w:rPr>
                <w:noProof/>
                <w:webHidden/>
              </w:rPr>
              <w:fldChar w:fldCharType="separate"/>
            </w:r>
            <w:r w:rsidR="00BD7649">
              <w:rPr>
                <w:noProof/>
                <w:webHidden/>
              </w:rPr>
              <w:t>10</w:t>
            </w:r>
            <w:r w:rsidR="00BD7649">
              <w:rPr>
                <w:noProof/>
                <w:webHidden/>
              </w:rPr>
              <w:fldChar w:fldCharType="end"/>
            </w:r>
          </w:hyperlink>
        </w:p>
        <w:p w14:paraId="2AE5336C" w14:textId="7C767DB9" w:rsidR="00BD7649" w:rsidRDefault="001417C4">
          <w:pPr>
            <w:pStyle w:val="Inhopg1"/>
            <w:tabs>
              <w:tab w:val="left" w:pos="440"/>
              <w:tab w:val="right" w:leader="dot" w:pos="9062"/>
            </w:tabs>
            <w:rPr>
              <w:rFonts w:eastAsiaTheme="minorEastAsia"/>
              <w:noProof/>
              <w:lang w:eastAsia="nl-NL"/>
            </w:rPr>
          </w:pPr>
          <w:hyperlink w:anchor="_Toc36555284" w:history="1">
            <w:r w:rsidR="00BD7649" w:rsidRPr="00D54378">
              <w:rPr>
                <w:rStyle w:val="Hyperlink"/>
                <w:noProof/>
                <w:lang w:val="en-US"/>
              </w:rPr>
              <w:t>5</w:t>
            </w:r>
            <w:r w:rsidR="00BD7649">
              <w:rPr>
                <w:rFonts w:eastAsiaTheme="minorEastAsia"/>
                <w:noProof/>
                <w:lang w:eastAsia="nl-NL"/>
              </w:rPr>
              <w:tab/>
            </w:r>
            <w:r w:rsidR="00BD7649" w:rsidRPr="00D54378">
              <w:rPr>
                <w:rStyle w:val="Hyperlink"/>
                <w:noProof/>
                <w:lang w:val="en-US"/>
              </w:rPr>
              <w:t>Supplemental figure</w:t>
            </w:r>
            <w:r w:rsidR="00BD7649">
              <w:rPr>
                <w:noProof/>
                <w:webHidden/>
              </w:rPr>
              <w:tab/>
            </w:r>
            <w:r w:rsidR="00BD7649">
              <w:rPr>
                <w:noProof/>
                <w:webHidden/>
              </w:rPr>
              <w:fldChar w:fldCharType="begin"/>
            </w:r>
            <w:r w:rsidR="00BD7649">
              <w:rPr>
                <w:noProof/>
                <w:webHidden/>
              </w:rPr>
              <w:instrText xml:space="preserve"> PAGEREF _Toc36555284 \h </w:instrText>
            </w:r>
            <w:r w:rsidR="00BD7649">
              <w:rPr>
                <w:noProof/>
                <w:webHidden/>
              </w:rPr>
            </w:r>
            <w:r w:rsidR="00BD7649">
              <w:rPr>
                <w:noProof/>
                <w:webHidden/>
              </w:rPr>
              <w:fldChar w:fldCharType="separate"/>
            </w:r>
            <w:r w:rsidR="00BD7649">
              <w:rPr>
                <w:noProof/>
                <w:webHidden/>
              </w:rPr>
              <w:t>20</w:t>
            </w:r>
            <w:r w:rsidR="00BD7649">
              <w:rPr>
                <w:noProof/>
                <w:webHidden/>
              </w:rPr>
              <w:fldChar w:fldCharType="end"/>
            </w:r>
          </w:hyperlink>
        </w:p>
        <w:p w14:paraId="35F28B21" w14:textId="4B0B3E6A" w:rsidR="00BD7649" w:rsidRDefault="001417C4">
          <w:pPr>
            <w:pStyle w:val="Inhopg1"/>
            <w:tabs>
              <w:tab w:val="left" w:pos="440"/>
              <w:tab w:val="right" w:leader="dot" w:pos="9062"/>
            </w:tabs>
            <w:rPr>
              <w:rFonts w:eastAsiaTheme="minorEastAsia"/>
              <w:noProof/>
              <w:lang w:eastAsia="nl-NL"/>
            </w:rPr>
          </w:pPr>
          <w:hyperlink w:anchor="_Toc36555285" w:history="1">
            <w:r w:rsidR="00BD7649" w:rsidRPr="00D54378">
              <w:rPr>
                <w:rStyle w:val="Hyperlink"/>
                <w:noProof/>
              </w:rPr>
              <w:t>6</w:t>
            </w:r>
            <w:r w:rsidR="00BD7649">
              <w:rPr>
                <w:rFonts w:eastAsiaTheme="minorEastAsia"/>
                <w:noProof/>
                <w:lang w:eastAsia="nl-NL"/>
              </w:rPr>
              <w:tab/>
            </w:r>
            <w:r w:rsidR="00BD7649" w:rsidRPr="00D54378">
              <w:rPr>
                <w:rStyle w:val="Hyperlink"/>
                <w:noProof/>
              </w:rPr>
              <w:t>References</w:t>
            </w:r>
            <w:r w:rsidR="00BD7649">
              <w:rPr>
                <w:noProof/>
                <w:webHidden/>
              </w:rPr>
              <w:tab/>
            </w:r>
            <w:r w:rsidR="00BD7649">
              <w:rPr>
                <w:noProof/>
                <w:webHidden/>
              </w:rPr>
              <w:fldChar w:fldCharType="begin"/>
            </w:r>
            <w:r w:rsidR="00BD7649">
              <w:rPr>
                <w:noProof/>
                <w:webHidden/>
              </w:rPr>
              <w:instrText xml:space="preserve"> PAGEREF _Toc36555285 \h </w:instrText>
            </w:r>
            <w:r w:rsidR="00BD7649">
              <w:rPr>
                <w:noProof/>
                <w:webHidden/>
              </w:rPr>
            </w:r>
            <w:r w:rsidR="00BD7649">
              <w:rPr>
                <w:noProof/>
                <w:webHidden/>
              </w:rPr>
              <w:fldChar w:fldCharType="separate"/>
            </w:r>
            <w:r w:rsidR="00BD7649">
              <w:rPr>
                <w:noProof/>
                <w:webHidden/>
              </w:rPr>
              <w:t>21</w:t>
            </w:r>
            <w:r w:rsidR="00BD7649">
              <w:rPr>
                <w:noProof/>
                <w:webHidden/>
              </w:rPr>
              <w:fldChar w:fldCharType="end"/>
            </w:r>
          </w:hyperlink>
        </w:p>
        <w:p w14:paraId="3BC95474" w14:textId="34D0431C" w:rsidR="00C92718" w:rsidRDefault="00C92718">
          <w:r>
            <w:rPr>
              <w:b/>
              <w:bCs/>
            </w:rPr>
            <w:fldChar w:fldCharType="end"/>
          </w:r>
        </w:p>
      </w:sdtContent>
    </w:sdt>
    <w:p w14:paraId="49AE5F1E" w14:textId="6E50C145" w:rsidR="0035344A" w:rsidRDefault="0035344A">
      <w:pPr>
        <w:rPr>
          <w:rFonts w:cstheme="minorHAnsi"/>
          <w:b/>
          <w:bCs/>
          <w:lang w:val="en-US"/>
        </w:rPr>
      </w:pPr>
      <w:r>
        <w:rPr>
          <w:rFonts w:cstheme="minorHAnsi"/>
          <w:b/>
          <w:bCs/>
          <w:lang w:val="en-US"/>
        </w:rPr>
        <w:br w:type="page"/>
      </w:r>
    </w:p>
    <w:p w14:paraId="09497EC3" w14:textId="0DCF7C4C" w:rsidR="00483BF9" w:rsidRDefault="002B3D8C" w:rsidP="00C92718">
      <w:pPr>
        <w:pStyle w:val="Kop1"/>
        <w:numPr>
          <w:ilvl w:val="0"/>
          <w:numId w:val="17"/>
        </w:numPr>
        <w:rPr>
          <w:color w:val="auto"/>
          <w:lang w:val="en-US"/>
        </w:rPr>
      </w:pPr>
      <w:bookmarkStart w:id="1" w:name="_Toc36555274"/>
      <w:r>
        <w:rPr>
          <w:color w:val="auto"/>
          <w:lang w:val="en-US"/>
        </w:rPr>
        <w:lastRenderedPageBreak/>
        <w:t>Software used</w:t>
      </w:r>
      <w:r w:rsidR="00483BF9">
        <w:rPr>
          <w:color w:val="auto"/>
          <w:lang w:val="en-US"/>
        </w:rPr>
        <w:t xml:space="preserve"> for simulations</w:t>
      </w:r>
      <w:bookmarkEnd w:id="1"/>
    </w:p>
    <w:p w14:paraId="78255672" w14:textId="4B725198" w:rsidR="00483BF9" w:rsidRDefault="00483BF9" w:rsidP="00483BF9">
      <w:pPr>
        <w:rPr>
          <w:lang w:val="en-US"/>
        </w:rPr>
      </w:pPr>
    </w:p>
    <w:p w14:paraId="7BB1098F" w14:textId="3568D547" w:rsidR="00483BF9" w:rsidRPr="00483BF9" w:rsidRDefault="00483BF9" w:rsidP="00483BF9">
      <w:pPr>
        <w:rPr>
          <w:lang w:val="en-US"/>
        </w:rPr>
      </w:pPr>
      <w:r>
        <w:rPr>
          <w:lang w:val="en-US"/>
        </w:rPr>
        <w:t>All simulations were performed using NONMEM 7.4</w:t>
      </w:r>
      <w:r w:rsidR="00BD7649">
        <w:rPr>
          <w:lang w:val="en-US"/>
        </w:rPr>
        <w:t xml:space="preserve"> </w:t>
      </w:r>
      <w:r w:rsidR="00BD7649">
        <w:rPr>
          <w:lang w:val="en-US"/>
        </w:rPr>
        <w:fldChar w:fldCharType="begin" w:fldLock="1"/>
      </w:r>
      <w:r w:rsidR="00BD7649">
        <w:rPr>
          <w:lang w:val="en-US"/>
        </w:rPr>
        <w:instrText>ADDIN CSL_CITATION {"citationItems":[{"id":"ITEM-1","itemData":{"author":[{"dropping-particle":"","family":"Beal SL","given":"","non-dropping-particle":"","parse-names":false,"suffix":""},{"dropping-particle":"","family":"Sheiner","given":"L B","non-dropping-particle":"","parse-names":false,"suffix":""},{"dropping-particle":"","family":"Boeckmann","given":"A.","non-dropping-particle":"","parse-names":false,"suffix":""}],"id":"ITEM-1","issued":{"date-parts":[["1999"]]},"title":"NONMEM user’s guide. University of California, San Francisco, California","type":"book"},"uris":["http://www.mendeley.com/documents/?uuid=ed84d496-c615-46fe-a8ec-57388e0b6313"]}],"mendeley":{"formattedCitation":"[1]","plainTextFormattedCitation":"[1]","previouslyFormattedCitation":"[1]"},"properties":{"noteIndex":0},"schema":"https://github.com/citation-style-language/schema/raw/master/csl-citation.json"}</w:instrText>
      </w:r>
      <w:r w:rsidR="00BD7649">
        <w:rPr>
          <w:lang w:val="en-US"/>
        </w:rPr>
        <w:fldChar w:fldCharType="separate"/>
      </w:r>
      <w:r w:rsidR="00BD7649" w:rsidRPr="00BD7649">
        <w:rPr>
          <w:noProof/>
          <w:lang w:val="en-US"/>
        </w:rPr>
        <w:t>[1]</w:t>
      </w:r>
      <w:r w:rsidR="00BD7649">
        <w:rPr>
          <w:lang w:val="en-US"/>
        </w:rPr>
        <w:fldChar w:fldCharType="end"/>
      </w:r>
      <w:r>
        <w:rPr>
          <w:lang w:val="en-US"/>
        </w:rPr>
        <w:t>,</w:t>
      </w:r>
      <w:r w:rsidR="00BD7649">
        <w:rPr>
          <w:lang w:val="en-US"/>
        </w:rPr>
        <w:t xml:space="preserve"> Pirana 2.9.9 </w:t>
      </w:r>
      <w:r w:rsidR="00BD7649">
        <w:rPr>
          <w:lang w:val="en-US"/>
        </w:rPr>
        <w:fldChar w:fldCharType="begin" w:fldLock="1"/>
      </w:r>
      <w:r w:rsidR="00BD7649">
        <w:rPr>
          <w:lang w:val="en-US"/>
        </w:rPr>
        <w:instrText>ADDIN CSL_CITATION {"citationItems":[{"id":"ITEM-1","itemData":{"DOI":"10.1038/psp.2013.24","ISSN":"2163-8306","PMID":"23836189","abstract":"Several software tools are available that facilitate the use of the NONMEM software and extend its functionality. This tutorial shows how three commonly used and freely available tools, Pirana, PsN, and Xpose, form a tightly integrated workbench for modeling and simulation with NONMEM. During the tutorial, we provide some guidance on what diagnostics we consider most useful in pharmacokinetic model development and how to construct them using these tools.CPT: Pharmacometrics &amp; Systems Pharmacology (2013) 2, e50; doi:10.1038/psp.2013.24; advance online publication 26 June 2013.","author":[{"dropping-particle":"","family":"Keizer","given":"R J","non-dropping-particle":"","parse-names":false,"suffix":""},{"dropping-particle":"","family":"Karlsson","given":"M O","non-dropping-particle":"","parse-names":false,"suffix":""},{"dropping-particle":"","family":"Hooker","given":"A","non-dropping-particle":"","parse-names":false,"suffix":""}],"container-title":"CPT: Pharmacometrics &amp; Systems Pharmacology","id":"ITEM-1","issue":"6","issued":{"date-parts":[["2013","6","26"]]},"page":"e50","title":"Modeling and Simulation Workbench for NONMEM: Tutorial on Pirana, PsN, and Xpose","type":"article-journal","volume":"2"},"uris":["http://www.mendeley.com/documents/?uuid=4f28e1d3-27df-365e-b6f8-4aa1c2b2b128"]}],"mendeley":{"formattedCitation":"[2]","plainTextFormattedCitation":"[2]","previouslyFormattedCitation":"[2]"},"properties":{"noteIndex":0},"schema":"https://github.com/citation-style-language/schema/raw/master/csl-citation.json"}</w:instrText>
      </w:r>
      <w:r w:rsidR="00BD7649">
        <w:rPr>
          <w:lang w:val="en-US"/>
        </w:rPr>
        <w:fldChar w:fldCharType="separate"/>
      </w:r>
      <w:r w:rsidR="00BD7649" w:rsidRPr="00BD7649">
        <w:rPr>
          <w:noProof/>
          <w:lang w:val="en-US"/>
        </w:rPr>
        <w:t>[2]</w:t>
      </w:r>
      <w:r w:rsidR="00BD7649">
        <w:rPr>
          <w:lang w:val="en-US"/>
        </w:rPr>
        <w:fldChar w:fldCharType="end"/>
      </w:r>
      <w:r w:rsidR="00BD7649">
        <w:rPr>
          <w:lang w:val="en-US"/>
        </w:rPr>
        <w:t xml:space="preserve"> and Perl-Speaks-Nonmem version 4.9.0</w:t>
      </w:r>
      <w:r>
        <w:rPr>
          <w:lang w:val="en-US"/>
        </w:rPr>
        <w:t xml:space="preserve"> </w:t>
      </w:r>
      <w:r w:rsidR="00BD7649">
        <w:rPr>
          <w:lang w:val="en-US"/>
        </w:rPr>
        <w:fldChar w:fldCharType="begin" w:fldLock="1"/>
      </w:r>
      <w:r w:rsidR="00BD7649">
        <w:rPr>
          <w:lang w:val="en-US"/>
        </w:rPr>
        <w:instrText>ADDIN CSL_CITATION {"citationItems":[{"id":"ITEM-1","itemData":{"DOI":"10.1016/j.cmpb.2005.04.005","ISSN":"0169-2607","PMID":"16023764","abstract":"PsN-Toolkit is a collection of statistical tools for pharmacometric data analysis using the non-linear mixed effect modeling software NONMEM. The toolkit is object oriented and written in the programming language Perl using the programming library Perl-speaks-NONMEM (PsN). Five methods: the Bootstrap, the Jackknife, Log-likelihood Profiling, Case-deletion Diagnostics and Stepwise Covariate Model building are included as separate classes and may be used in user-written Perl scripts or through stand-alone command line applications. The tools are designed with the ability to cooperate and with an emphasis on common structures for workflow and result handling. Parallel execution of independent tool sections is supported on shared memory multiprocessor (SMP) computers, Mosix/openMosix clusters and distributed computing environments following the NorduGrid standard. In conclusion, PsN-Toolkit makes it easier to use the Bootstrap, the Jackknife, Log-likelihood Profiling, Case-deletion Diagnostics and Stepwise Covariate Model building in pharmacometric data analysis.","author":[{"dropping-particle":"","family":"Lindbom","given":"Lars","non-dropping-particle":"","parse-names":false,"suffix":""},{"dropping-particle":"","family":"Pihlgren","given":"Pontus","non-dropping-particle":"","parse-names":false,"suffix":""},{"dropping-particle":"","family":"Jonsson","given":"E Niclas","non-dropping-particle":"","parse-names":false,"suffix":""},{"dropping-particle":"","family":"Jonsson","given":"Niclas","non-dropping-particle":"","parse-names":false,"suffix":""}],"container-title":"Computer methods and programs in biomedicine","id":"ITEM-1","issue":"3","issued":{"date-parts":[["2005","9"]]},"page":"241-57","title":"PsN-Toolkit--a collection of computer intensive statistical methods for non-linear mixed effect modeling using NONMEM.","type":"article-journal","volume":"79"},"uris":["http://www.mendeley.com/documents/?uuid=cf16277b-a575-4692-8618-2e09ea8d6943"]}],"mendeley":{"formattedCitation":"[3]","plainTextFormattedCitation":"[3]","previouslyFormattedCitation":"[3]"},"properties":{"noteIndex":0},"schema":"https://github.com/citation-style-language/schema/raw/master/csl-citation.json"}</w:instrText>
      </w:r>
      <w:r w:rsidR="00BD7649">
        <w:rPr>
          <w:lang w:val="en-US"/>
        </w:rPr>
        <w:fldChar w:fldCharType="separate"/>
      </w:r>
      <w:r w:rsidR="00BD7649" w:rsidRPr="00BD7649">
        <w:rPr>
          <w:noProof/>
          <w:lang w:val="en-US"/>
        </w:rPr>
        <w:t>[3]</w:t>
      </w:r>
      <w:r w:rsidR="00BD7649">
        <w:rPr>
          <w:lang w:val="en-US"/>
        </w:rPr>
        <w:fldChar w:fldCharType="end"/>
      </w:r>
      <w:r w:rsidR="00BD7649">
        <w:rPr>
          <w:lang w:val="en-US"/>
        </w:rPr>
        <w:t xml:space="preserve"> </w:t>
      </w:r>
      <w:r>
        <w:rPr>
          <w:lang w:val="en-US"/>
        </w:rPr>
        <w:t>using control streams provided in this supplementary file. Datasets and plots were generated using R 3.6.1</w:t>
      </w:r>
      <w:r w:rsidR="00BD7649">
        <w:rPr>
          <w:lang w:val="en-US"/>
        </w:rPr>
        <w:t xml:space="preserve"> </w:t>
      </w:r>
      <w:r w:rsidR="00BD7649">
        <w:rPr>
          <w:lang w:val="en-US"/>
        </w:rPr>
        <w:fldChar w:fldCharType="begin" w:fldLock="1"/>
      </w:r>
      <w:r w:rsidR="00BD7649">
        <w:rPr>
          <w:lang w:val="en-US"/>
        </w:rPr>
        <w:instrText>ADDIN CSL_CITATION {"citationItems":[{"id":"ITEM-1","itemData":{"author":[{"dropping-particle":"","family":"R Core Team","given":"","non-dropping-particle":"","parse-names":false,"suffix":""}],"id":"ITEM-1","issued":{"date-parts":[["2019"]]},"title":"R: A language and environment for statistical computing.","type":"patent"},"uris":["http://www.mendeley.com/documents/?uuid=0c3c24a2-9d90-4539-8348-9415c1c55934"]}],"mendeley":{"formattedCitation":"[4]","plainTextFormattedCitation":"[4]","previouslyFormattedCitation":"[4]"},"properties":{"noteIndex":0},"schema":"https://github.com/citation-style-language/schema/raw/master/csl-citation.json"}</w:instrText>
      </w:r>
      <w:r w:rsidR="00BD7649">
        <w:rPr>
          <w:lang w:val="en-US"/>
        </w:rPr>
        <w:fldChar w:fldCharType="separate"/>
      </w:r>
      <w:r w:rsidR="00BD7649" w:rsidRPr="00BD7649">
        <w:rPr>
          <w:noProof/>
          <w:lang w:val="en-US"/>
        </w:rPr>
        <w:t>[4]</w:t>
      </w:r>
      <w:r w:rsidR="00BD7649">
        <w:rPr>
          <w:lang w:val="en-US"/>
        </w:rPr>
        <w:fldChar w:fldCharType="end"/>
      </w:r>
      <w:r>
        <w:rPr>
          <w:lang w:val="en-US"/>
        </w:rPr>
        <w:t xml:space="preserve">, Rstudio </w:t>
      </w:r>
      <w:r w:rsidRPr="00483BF9">
        <w:rPr>
          <w:lang w:val="en-US"/>
        </w:rPr>
        <w:t>1.2.1335</w:t>
      </w:r>
      <w:r w:rsidR="00BD7649">
        <w:rPr>
          <w:lang w:val="en-US"/>
        </w:rPr>
        <w:t xml:space="preserve"> </w:t>
      </w:r>
      <w:r w:rsidR="00BD7649">
        <w:rPr>
          <w:lang w:val="en-US"/>
        </w:rPr>
        <w:fldChar w:fldCharType="begin" w:fldLock="1"/>
      </w:r>
      <w:r w:rsidR="00BE1F70">
        <w:rPr>
          <w:lang w:val="en-US"/>
        </w:rPr>
        <w:instrText>ADDIN CSL_CITATION {"citationItems":[{"id":"ITEM-1","itemData":{"author":[{"dropping-particle":"","family":"RStudio Team","given":"","non-dropping-particle":"","parse-names":false,"suffix":""}],"id":"ITEM-1","issued":{"date-parts":[["2015"]]},"title":"RStudio: Integrated Development for R.","type":"patent"},"uris":["http://www.mendeley.com/documents/?uuid=821a24f1-d60f-4ebf-a5ea-7bf6678b7d96"]}],"mendeley":{"formattedCitation":"[5]","plainTextFormattedCitation":"[5]","previouslyFormattedCitation":"[5]"},"properties":{"noteIndex":0},"schema":"https://github.com/citation-style-language/schema/raw/master/csl-citation.json"}</w:instrText>
      </w:r>
      <w:r w:rsidR="00BD7649">
        <w:rPr>
          <w:lang w:val="en-US"/>
        </w:rPr>
        <w:fldChar w:fldCharType="separate"/>
      </w:r>
      <w:r w:rsidR="00BD7649" w:rsidRPr="00BD7649">
        <w:rPr>
          <w:noProof/>
          <w:lang w:val="en-US"/>
        </w:rPr>
        <w:t>[5]</w:t>
      </w:r>
      <w:r w:rsidR="00BD7649">
        <w:rPr>
          <w:lang w:val="en-US"/>
        </w:rPr>
        <w:fldChar w:fldCharType="end"/>
      </w:r>
      <w:r>
        <w:rPr>
          <w:lang w:val="en-US"/>
        </w:rPr>
        <w:t>. Codes for the dataset-generation are provided in a separate supplementary file.</w:t>
      </w:r>
    </w:p>
    <w:p w14:paraId="55DA8903" w14:textId="4162E073" w:rsidR="00C14603" w:rsidRPr="00C92718" w:rsidRDefault="00C14603" w:rsidP="00C92718">
      <w:pPr>
        <w:pStyle w:val="Kop1"/>
        <w:numPr>
          <w:ilvl w:val="0"/>
          <w:numId w:val="17"/>
        </w:numPr>
        <w:rPr>
          <w:color w:val="auto"/>
          <w:lang w:val="en-US"/>
        </w:rPr>
      </w:pPr>
      <w:bookmarkStart w:id="2" w:name="_Toc36555275"/>
      <w:r w:rsidRPr="00C92718">
        <w:rPr>
          <w:color w:val="auto"/>
          <w:lang w:val="en-US"/>
        </w:rPr>
        <w:t xml:space="preserve">Details of the adapted chloroquine </w:t>
      </w:r>
      <w:r w:rsidR="00BD06D8">
        <w:rPr>
          <w:color w:val="auto"/>
          <w:lang w:val="en-US"/>
        </w:rPr>
        <w:t xml:space="preserve">Zhao 2014 </w:t>
      </w:r>
      <w:r w:rsidRPr="00C92718">
        <w:rPr>
          <w:color w:val="auto"/>
          <w:lang w:val="en-US"/>
        </w:rPr>
        <w:t xml:space="preserve">PK model used for </w:t>
      </w:r>
      <w:r w:rsidR="00BD06D8">
        <w:rPr>
          <w:color w:val="auto"/>
          <w:lang w:val="en-US"/>
        </w:rPr>
        <w:t>the figures</w:t>
      </w:r>
      <w:r w:rsidRPr="00C92718">
        <w:rPr>
          <w:color w:val="auto"/>
          <w:lang w:val="en-US"/>
        </w:rPr>
        <w:t xml:space="preserve"> in this </w:t>
      </w:r>
      <w:r w:rsidR="00BD06D8">
        <w:rPr>
          <w:color w:val="auto"/>
          <w:lang w:val="en-US"/>
        </w:rPr>
        <w:t>report</w:t>
      </w:r>
      <w:bookmarkEnd w:id="2"/>
    </w:p>
    <w:p w14:paraId="1DC5374C" w14:textId="6153ABD4" w:rsidR="00C14603" w:rsidRPr="00121BF0" w:rsidRDefault="00C14603" w:rsidP="00C14603">
      <w:pPr>
        <w:rPr>
          <w:rFonts w:cstheme="minorHAnsi"/>
          <w:lang w:val="en-US"/>
        </w:rPr>
      </w:pPr>
      <w:r>
        <w:rPr>
          <w:rFonts w:cstheme="minorHAnsi"/>
          <w:lang w:val="en-US"/>
        </w:rPr>
        <w:t xml:space="preserve">We </w:t>
      </w:r>
      <w:r w:rsidR="00BD7649">
        <w:rPr>
          <w:rFonts w:cstheme="minorHAnsi"/>
          <w:lang w:val="en-US"/>
        </w:rPr>
        <w:t>based our NONMEM model on</w:t>
      </w:r>
      <w:r>
        <w:rPr>
          <w:rFonts w:cstheme="minorHAnsi"/>
          <w:lang w:val="en-US"/>
        </w:rPr>
        <w:t xml:space="preserve"> the model </w:t>
      </w:r>
      <w:r w:rsidR="00BD7649">
        <w:rPr>
          <w:rFonts w:cstheme="minorHAnsi"/>
          <w:lang w:val="en-US"/>
        </w:rPr>
        <w:t xml:space="preserve">published </w:t>
      </w:r>
      <w:r>
        <w:rPr>
          <w:rFonts w:cstheme="minorHAnsi"/>
          <w:lang w:val="en-US"/>
        </w:rPr>
        <w:t xml:space="preserve">by Zhao et al </w:t>
      </w:r>
      <w:r>
        <w:rPr>
          <w:rFonts w:cstheme="minorHAnsi"/>
          <w:lang w:val="en-US"/>
        </w:rPr>
        <w:fldChar w:fldCharType="begin" w:fldLock="1"/>
      </w:r>
      <w:r w:rsidR="00BE1F70">
        <w:rPr>
          <w:rFonts w:cstheme="minorHAnsi"/>
          <w:lang w:val="en-US"/>
        </w:rPr>
        <w:instrText>ADDIN CSL_CITATION {"citationItems":[{"id":"ITEM-1","itemData":{"DOI":"10.1186/1475-2875-13-36","ISSN":"14752875","abstract":"Background: Population pharmacokinetics (PK) of azithromycin (AZ) and chloroquine (CQ) following administration of fixed-dose combination tablet formulations of AZ and CQ (AZCQ) was evaluated using data from two studies: 1) in children with symptomatic uncomplicated falciparum malaria in sub-Saharan Africa; and 2) in healthy adults in the United States. Methods. Study 1 included paediatric subjects randomized to either AZCQ or artemether-lumefantrine treatment in Cohort 1 (age 5-12 years) and Cohort 2 (age 6-59 months). Dosing of AZCQ was approximately 30 mg/kg AZ and 10 mg/kg CQ once daily for 3 days (for ≥20 kg weight: AZ/CQ 300/100 mg per tablet; 5 to &lt;20 kg weight: AZ/CQ 150/50 mg per tablet). Study 2 included adults randomized to receive either two AZCQ tablets (AZ/CQ 250/155 mg per tablet) or individual commercial tablets of AZ 500 mg and CQ 300 mg. Serum AZ and plasma CQ concentrations from both studies were pooled. Population PK models were constructed using standard approaches to evaluate the concentration-time data for AZ and CQ and to identify any covariates predictive of PK behaviour. Results: A three-compartment PK model with linear clearance and absorption adequately described AZ data, while a two-compartment model with linear clearance and absorption and an absorption lag adequately described CQ data. No overall bias or substantial model misspecification was evident using diagnostic plots and visual predictive checks. Body weight as an allometric function was the only covariate in the final AZ and CQ PK models. There were significantly lower AZ (0.488 vs 0.745 [mg•h/L]/[mg/kg], p &lt; 0.00001) and CQ (0.836 vs 1.27 [mg•h/L]/[mg/kg], p &lt; 0.00001) exposures (AUC§ssub§inf§ esub§) normalized by dose (mg/kg) in children compared with the adults. Conclusions: The PK of AZ and CQ following administration of AZCQ was well described using a three- and two-compartment model, respectively. AZ and CQ exhibited linear absorption and clearance; the model for CQ included an absorption lag. Weight was predictive of exposure for both AZ and CQ. Assuming equivalent dosing (mg/kg), AZ and CQ exposure in children would be expected to be lower than that in adults, suggesting that children may require a higher dose (mg/kg) than adults to achieve the same AZ and CQ exposure. © 2014 Zhao et al.; licensee BioMed Central Ltd.","author":[{"dropping-particle":"","family":"Zhao","given":"Qinying","non-dropping-particle":"","parse-names":false,"suffix":""},{"dropping-particle":"","family":"Tensfeldt","given":"Thomas G.","non-dropping-particle":"","parse-names":false,"suffix":""},{"dropping-particle":"","family":"Chandra","given":"Richa","non-dropping-particle":"","parse-names":false,"suffix":""},{"dropping-particle":"","family":"Mould","given":"Diane R.","non-dropping-particle":"","parse-names":false,"suffix":""}],"container-title":"Malaria Journal","id":"ITEM-1","issue":"1","issued":{"date-parts":[["2014"]]},"page":"1-8","title":"Population pharmacokinetics of azithromycin and chloroquine in healthy adults and paediatric malaria subjects following oral administration of fixed-dose azithromycin and chloroquine combination tablets","type":"article-journal","volume":"13"},"uris":["http://www.mendeley.com/documents/?uuid=286aa8c0-9b2d-4c73-b6a2-6c27bcff2c7d"]}],"mendeley":{"formattedCitation":"[6]","plainTextFormattedCitation":"[6]","previouslyFormattedCitation":"[6]"},"properties":{"noteIndex":0},"schema":"https://github.com/citation-style-language/schema/raw/master/csl-citation.json"}</w:instrText>
      </w:r>
      <w:r>
        <w:rPr>
          <w:rFonts w:cstheme="minorHAnsi"/>
          <w:lang w:val="en-US"/>
        </w:rPr>
        <w:fldChar w:fldCharType="separate"/>
      </w:r>
      <w:r w:rsidR="00BD7649" w:rsidRPr="00BD7649">
        <w:rPr>
          <w:rFonts w:cstheme="minorHAnsi"/>
          <w:noProof/>
          <w:lang w:val="en-US"/>
        </w:rPr>
        <w:t>[6]</w:t>
      </w:r>
      <w:r>
        <w:rPr>
          <w:rFonts w:cstheme="minorHAnsi"/>
          <w:lang w:val="en-US"/>
        </w:rPr>
        <w:fldChar w:fldCharType="end"/>
      </w:r>
      <w:r w:rsidR="00BD7649">
        <w:rPr>
          <w:rFonts w:cstheme="minorHAnsi"/>
          <w:lang w:val="en-US"/>
        </w:rPr>
        <w:t>.</w:t>
      </w:r>
      <w:r>
        <w:rPr>
          <w:rFonts w:cstheme="minorHAnsi"/>
          <w:lang w:val="en-US"/>
        </w:rPr>
        <w:t xml:space="preserve"> </w:t>
      </w:r>
    </w:p>
    <w:p w14:paraId="31E73334" w14:textId="7D7E205B" w:rsidR="00C14603" w:rsidRDefault="00BD7649" w:rsidP="00C14603">
      <w:pPr>
        <w:rPr>
          <w:rFonts w:cstheme="minorHAnsi"/>
          <w:lang w:val="en-US"/>
        </w:rPr>
      </w:pPr>
      <w:r>
        <w:rPr>
          <w:rFonts w:cstheme="minorHAnsi"/>
          <w:lang w:val="en-US"/>
        </w:rPr>
        <w:t>T</w:t>
      </w:r>
      <w:r w:rsidR="00C14603">
        <w:rPr>
          <w:rFonts w:cstheme="minorHAnsi"/>
          <w:lang w:val="en-US"/>
        </w:rPr>
        <w:t>he following adaptions</w:t>
      </w:r>
      <w:r w:rsidR="00C92718">
        <w:rPr>
          <w:rFonts w:cstheme="minorHAnsi"/>
          <w:lang w:val="en-US"/>
        </w:rPr>
        <w:t xml:space="preserve"> (</w:t>
      </w:r>
      <w:r w:rsidR="00BD06D8">
        <w:rPr>
          <w:rFonts w:cstheme="minorHAnsi"/>
          <w:lang w:val="en-US"/>
        </w:rPr>
        <w:t>based on the findings described under</w:t>
      </w:r>
      <w:r w:rsidR="00C92718">
        <w:rPr>
          <w:rFonts w:cstheme="minorHAnsi"/>
          <w:lang w:val="en-US"/>
        </w:rPr>
        <w:t xml:space="preserve"> </w:t>
      </w:r>
      <w:r w:rsidR="00C92718" w:rsidRPr="00C92718">
        <w:rPr>
          <w:rFonts w:cstheme="minorHAnsi"/>
          <w:lang w:val="en-US"/>
        </w:rPr>
        <w:t>4.</w:t>
      </w:r>
      <w:r w:rsidR="00C92718">
        <w:rPr>
          <w:rFonts w:cstheme="minorHAnsi"/>
          <w:lang w:val="en-US"/>
        </w:rPr>
        <w:t xml:space="preserve"> </w:t>
      </w:r>
      <w:r w:rsidR="00C92718" w:rsidRPr="00C92718">
        <w:rPr>
          <w:rFonts w:cstheme="minorHAnsi"/>
          <w:lang w:val="en-US"/>
        </w:rPr>
        <w:t xml:space="preserve">Internal and External </w:t>
      </w:r>
      <w:r w:rsidR="00351823">
        <w:rPr>
          <w:rFonts w:cstheme="minorHAnsi"/>
          <w:lang w:val="en-US"/>
        </w:rPr>
        <w:t>evaluation</w:t>
      </w:r>
      <w:r w:rsidR="00C92718" w:rsidRPr="00C92718">
        <w:rPr>
          <w:rFonts w:cstheme="minorHAnsi"/>
          <w:lang w:val="en-US"/>
        </w:rPr>
        <w:t xml:space="preserve"> of the chloroquine model by Zhao et al</w:t>
      </w:r>
      <w:r w:rsidR="00C92718">
        <w:rPr>
          <w:rFonts w:cstheme="minorHAnsi"/>
          <w:lang w:val="en-US"/>
        </w:rPr>
        <w:t>)</w:t>
      </w:r>
      <w:r>
        <w:rPr>
          <w:rFonts w:cstheme="minorHAnsi"/>
          <w:lang w:val="en-US"/>
        </w:rPr>
        <w:t xml:space="preserve"> were applied</w:t>
      </w:r>
      <w:r w:rsidR="00C14603">
        <w:rPr>
          <w:rFonts w:cstheme="minorHAnsi"/>
          <w:lang w:val="en-US"/>
        </w:rPr>
        <w:t>:</w:t>
      </w:r>
    </w:p>
    <w:p w14:paraId="0DA42E81" w14:textId="77777777" w:rsidR="00C14603" w:rsidRPr="00426743" w:rsidRDefault="00C14603" w:rsidP="00C14603">
      <w:pPr>
        <w:pStyle w:val="Lijstalinea"/>
        <w:numPr>
          <w:ilvl w:val="0"/>
          <w:numId w:val="16"/>
        </w:numPr>
        <w:rPr>
          <w:rFonts w:cstheme="minorHAnsi"/>
          <w:lang w:val="en-US"/>
        </w:rPr>
      </w:pPr>
      <w:r>
        <w:rPr>
          <w:rFonts w:cstheme="minorHAnsi"/>
          <w:lang w:val="en-US"/>
        </w:rPr>
        <w:t>For patients &gt; 80 kg: for Cl body-weight based 0.75 allometric increases were assumed. For the volumes of distribution and intercompartmental clearance, values were capped at values for a 80 kg individual</w:t>
      </w:r>
    </w:p>
    <w:p w14:paraId="6E98D1D1" w14:textId="2B4261BE" w:rsidR="00C14603" w:rsidRDefault="00C14603" w:rsidP="00C14603">
      <w:pPr>
        <w:pStyle w:val="Lijstalinea"/>
        <w:numPr>
          <w:ilvl w:val="0"/>
          <w:numId w:val="16"/>
        </w:numPr>
        <w:rPr>
          <w:rFonts w:cstheme="minorHAnsi"/>
          <w:lang w:val="en-US"/>
        </w:rPr>
      </w:pPr>
      <w:r>
        <w:rPr>
          <w:rFonts w:cstheme="minorHAnsi"/>
          <w:lang w:val="en-US"/>
        </w:rPr>
        <w:t xml:space="preserve">For children aged 1-5 yrs: reduction in CL to 75% (on top of allometric scaling in the model of Zhao et al) based on comparison to data from Walker </w:t>
      </w:r>
      <w:r>
        <w:rPr>
          <w:rFonts w:cstheme="minorHAnsi"/>
          <w:lang w:val="en-US"/>
        </w:rPr>
        <w:fldChar w:fldCharType="begin" w:fldLock="1"/>
      </w:r>
      <w:r w:rsidR="00BE1F70">
        <w:rPr>
          <w:rFonts w:cstheme="minorHAnsi"/>
          <w:lang w:val="en-US"/>
        </w:rPr>
        <w:instrText>ADDIN CSL_CITATION {"citationItems":[{"id":"ITEM-1","itemData":{"DOI":"10.1111/j.1365-2125.1983.tb02244.x","ISSN":"13652125","abstract":"Twelve children with acute falciparum malaria were treated with 25 mg/kg chloroquine orally in three divided doses at 24 h intervals. Concentrations of chloroquine and its metabolite, desethylchloroquine, were measured in plasma from the beginning of treatment for up to 7 days using a high pressure liquid chromatography (h.p.l.c.) technique. Chloroquine was detectable in plasma within 30 min of giving the drug. Peak level was reached in 1‐8 h after the first dose of 10 mg/kg and the peak concentrations ranged between 65 and 263 ng/ml. Chloroquine concentration declined slowly in plasma after stopping drug administration so that the concentration at the seventh day was 37.5% of the concentration on the third day. The apparent half‐life was 3‐4 days. Desethylchloroquine was detectable in plasma within 30 min of giving chloroquine and peak levels were reached in 2‐12 h. Peak concentration after the first dose of chloroquine ranged between 9 and 62 ng/ml. Desethylchloroquine was also slowly cleared from plasma and mean concentration at the end of 7 days was 49% of the mean concentration at the end of 3 days. 1983 The British Pharmacological Society","author":[{"dropping-particle":"","family":"Walker","given":"O.","non-dropping-particle":"","parse-names":false,"suffix":""},{"dropping-particle":"","family":"Dawodu","given":"AH","non-dropping-particle":"","parse-names":false,"suffix":""},{"dropping-particle":"","family":"Adeyokunnu","given":"AA","non-dropping-particle":"","parse-names":false,"suffix":""},{"dropping-particle":"","family":"Salako","given":"LA","non-dropping-particle":"","parse-names":false,"suffix":""},{"dropping-particle":"","family":"Alvan","given":"G.","non-dropping-particle":"","parse-names":false,"suffix":""}],"container-title":"British Journal of Clinical Pharmacology","id":"ITEM-1","issue":"6","issued":{"date-parts":[["1983"]]},"page":"701-705","title":"Plasma chloroquine and desethylchloroquine concentrations in children during and after chloroquine treatment for malaria.","type":"article-journal","volume":"16"},"uris":["http://www.mendeley.com/documents/?uuid=dc547972-cf9b-44e3-9e7a-a7ac928cbeed"]}],"mendeley":{"formattedCitation":"[7]","plainTextFormattedCitation":"[7]","previouslyFormattedCitation":"[7]"},"properties":{"noteIndex":0},"schema":"https://github.com/citation-style-language/schema/raw/master/csl-citation.json"}</w:instrText>
      </w:r>
      <w:r>
        <w:rPr>
          <w:rFonts w:cstheme="minorHAnsi"/>
          <w:lang w:val="en-US"/>
        </w:rPr>
        <w:fldChar w:fldCharType="separate"/>
      </w:r>
      <w:r w:rsidR="00BD7649" w:rsidRPr="00BD7649">
        <w:rPr>
          <w:rFonts w:cstheme="minorHAnsi"/>
          <w:noProof/>
          <w:lang w:val="en-US"/>
        </w:rPr>
        <w:t>[7]</w:t>
      </w:r>
      <w:r>
        <w:rPr>
          <w:rFonts w:cstheme="minorHAnsi"/>
          <w:lang w:val="en-US"/>
        </w:rPr>
        <w:fldChar w:fldCharType="end"/>
      </w:r>
    </w:p>
    <w:p w14:paraId="77B63FA6" w14:textId="12BF5FCD" w:rsidR="00C14603" w:rsidRDefault="00C14603" w:rsidP="00C14603">
      <w:pPr>
        <w:pStyle w:val="Lijstalinea"/>
        <w:numPr>
          <w:ilvl w:val="0"/>
          <w:numId w:val="16"/>
        </w:numPr>
        <w:rPr>
          <w:rFonts w:cstheme="minorHAnsi"/>
          <w:lang w:val="en-US"/>
        </w:rPr>
      </w:pPr>
      <w:r>
        <w:rPr>
          <w:rFonts w:cstheme="minorHAnsi"/>
          <w:lang w:val="en-US"/>
        </w:rPr>
        <w:t xml:space="preserve">For children aged &lt; 1 yr: reduction in CL &lt; 1 year to 50% (on top of allometric scaling in the model of Zhao et al) based on comparison to data from Adelusi </w:t>
      </w:r>
      <w:r>
        <w:rPr>
          <w:rFonts w:cstheme="minorHAnsi"/>
          <w:lang w:val="en-US"/>
        </w:rPr>
        <w:fldChar w:fldCharType="begin" w:fldLock="1"/>
      </w:r>
      <w:r w:rsidR="00BE1F70">
        <w:rPr>
          <w:rFonts w:cstheme="minorHAnsi"/>
          <w:lang w:val="en-US"/>
        </w:rPr>
        <w:instrText>ADDIN CSL_CITATION {"citationItems":[{"id":"ITEM-1","itemData":{"DOI":"10.1111/j.1365-2125.1982.tb02016.x","ISSN":"13652125","abstract":"1 Ten children with Plasmodium falciparum malaria were treated with 25 mg/kg chloroquine over 3 days and observed for 7 days. 2 Chloroquine was determined in the red blood cells and plasma, and the red blood cell/plasma chloroquine concentration ratio was correlated with the disappearance of the parasites from the blood. It was found that this ratio decreased with the disappearance of the parasites and remained almost steady after the parasites had disappeared completely from the blood. 3 The half‐life (t1/2) and the elimination rate constant of the ‘terminal’ elimination slope (lambda beta) of the plasma log concentration‐time curve were estimated to be 135.9 +/‐ 9.92 h and 0.005 +/‐ 0.001 h‐1 (s.d.) respectively. 4 The t1/2 and lambda beta calculated from the red blood cell log concentration‐time curve were not significantly different from the corresponding values calculated from the plasma log concentration‐time curve. 1982 The British Pharmacological Society","author":[{"dropping-particle":"","family":"Adelusi","given":"SA","non-dropping-particle":"","parse-names":false,"suffix":""},{"dropping-particle":"","family":"Dawodu","given":"AH","non-dropping-particle":"","parse-names":false,"suffix":""},{"dropping-particle":"","family":"Salako","given":"LA","non-dropping-particle":"","parse-names":false,"suffix":""}],"container-title":"British Journal of Clinical Pharmacology","id":"ITEM-1","issue":"4","issued":{"date-parts":[["1982"]]},"page":"483-487","title":"Kinetics of the uptake and elimination of chloroquine in children with malaria.","type":"article-journal","volume":"14"},"uris":["http://www.mendeley.com/documents/?uuid=6131fc34-88ce-415a-9d2e-a7cbf3ebdb71"]}],"mendeley":{"formattedCitation":"[8]","plainTextFormattedCitation":"[8]","previouslyFormattedCitation":"[8]"},"properties":{"noteIndex":0},"schema":"https://github.com/citation-style-language/schema/raw/master/csl-citation.json"}</w:instrText>
      </w:r>
      <w:r>
        <w:rPr>
          <w:rFonts w:cstheme="minorHAnsi"/>
          <w:lang w:val="en-US"/>
        </w:rPr>
        <w:fldChar w:fldCharType="separate"/>
      </w:r>
      <w:r w:rsidR="00BD7649" w:rsidRPr="00BD7649">
        <w:rPr>
          <w:rFonts w:cstheme="minorHAnsi"/>
          <w:noProof/>
          <w:lang w:val="en-US"/>
        </w:rPr>
        <w:t>[8]</w:t>
      </w:r>
      <w:r>
        <w:rPr>
          <w:rFonts w:cstheme="minorHAnsi"/>
          <w:lang w:val="en-US"/>
        </w:rPr>
        <w:fldChar w:fldCharType="end"/>
      </w:r>
      <w:r w:rsidR="00C92718">
        <w:rPr>
          <w:rFonts w:cstheme="minorHAnsi"/>
          <w:lang w:val="en-US"/>
        </w:rPr>
        <w:t xml:space="preserve"> </w:t>
      </w:r>
      <w:r>
        <w:rPr>
          <w:rFonts w:cstheme="minorHAnsi"/>
          <w:lang w:val="en-US"/>
        </w:rPr>
        <w:t xml:space="preserve">and Obua </w:t>
      </w:r>
      <w:r>
        <w:rPr>
          <w:rFonts w:cstheme="minorHAnsi"/>
          <w:lang w:val="en-US"/>
        </w:rPr>
        <w:fldChar w:fldCharType="begin" w:fldLock="1"/>
      </w:r>
      <w:r w:rsidR="00BE1F70">
        <w:rPr>
          <w:rFonts w:cstheme="minorHAnsi"/>
          <w:lang w:val="en-US"/>
        </w:rPr>
        <w:instrText>ADDIN CSL_CITATION {"citationItems":[{"id":"ITEM-1","itemData":{"DOI":"10.1111/j.1365-2125.2007.03050.x","ISSN":"03065251","abstract":"AIMS: To describe the pharmacokinetics of chloroquine (CQ) and sulfadoxine (SDx), and to identify predictors of treatment response in children with malaria given the CQ + SDx and pyrimethamine (PYR) combination. METHODS: Eighty-six Ugandan children with uncomplicated falciparum malaria, 6 months to 5 years old, were randomly treated with prepacked fixed-dose CQ + SDx/PYR. The youngest children (&lt;24 months) received half strength and the older (&gt;24 months) full strength treatment. The reported day 14 failure rates were 48% and 18%, respectively. Capillary blood (100 μl) applied on to filter paper was collected on eight occasions during 28 days of follow up. Concentrations of CQ and SDx were determined. A population approach was used for the pharmacokinetic analysis. RESULTS: A two-compartment model adequately described the data for both CQ and SDx. For CQ, the typical apparent clearance (CL/F) and volume of distribution (VC/F) values were estimated to be 2.84 l h-1 and 230 l. The typical CL/F for SDx was 0.023 l h-1, while the factor relating its VC/F to normalized body weight was 1.6 l kg -1. Post hoc parameter estimates for both drugs showed lower maximum concentrations (Cmax) and concentration-time curve areas (AUC(0,336 h)) in younger children. The AUC(0,336 h) for SDx and CQ were independently significant factors for prediction of cure. Simulations suggest that giving the higher dose to the youngest children would result in higher CQ and SDx concentrations and improved outcome. CONCLUSIONS: The study results suggest that full-strength combination to all children would improve the cure rate. © 2007 The Authors.","author":[{"dropping-particle":"","family":"Obua","given":"Celestino","non-dropping-particle":"","parse-names":false,"suffix":""},{"dropping-particle":"","family":"Hellgren","given":"Urban","non-dropping-particle":"","parse-names":false,"suffix":""},{"dropping-particle":"","family":"Ntale","given":"Muhammed","non-dropping-particle":"","parse-names":false,"suffix":""},{"dropping-particle":"","family":"Gustafsson","given":"Lars L.","non-dropping-particle":"","parse-names":false,"suffix":""},{"dropping-particle":"","family":"Ogwal-Okeng","given":"Jasper W.","non-dropping-particle":"","parse-names":false,"suffix":""},{"dropping-particle":"","family":"Gordi","given":"Toufigh","non-dropping-particle":"","parse-names":false,"suffix":""},{"dropping-particle":"","family":"Jerling","given":"Markus","non-dropping-particle":"","parse-names":false,"suffix":""}],"container-title":"British Journal of Clinical Pharmacology","id":"ITEM-1","issue":"4","issued":{"date-parts":[["2008"]]},"page":"493-501","title":"Population pharmacokinetics of chloroquine and sulfadoxine and treatment response in children with malaria: Suggestions for an improved dose regimen","type":"article-journal","volume":"65"},"uris":["http://www.mendeley.com/documents/?uuid=77464ec4-29e9-41be-bf58-8592491964a2"]}],"mendeley":{"formattedCitation":"[9]","plainTextFormattedCitation":"[9]","previouslyFormattedCitation":"[9]"},"properties":{"noteIndex":0},"schema":"https://github.com/citation-style-language/schema/raw/master/csl-citation.json"}</w:instrText>
      </w:r>
      <w:r>
        <w:rPr>
          <w:rFonts w:cstheme="minorHAnsi"/>
          <w:lang w:val="en-US"/>
        </w:rPr>
        <w:fldChar w:fldCharType="separate"/>
      </w:r>
      <w:r w:rsidR="00BD7649" w:rsidRPr="00BD7649">
        <w:rPr>
          <w:rFonts w:cstheme="minorHAnsi"/>
          <w:noProof/>
          <w:lang w:val="en-US"/>
        </w:rPr>
        <w:t>[9]</w:t>
      </w:r>
      <w:r>
        <w:rPr>
          <w:rFonts w:cstheme="minorHAnsi"/>
          <w:lang w:val="en-US"/>
        </w:rPr>
        <w:fldChar w:fldCharType="end"/>
      </w:r>
    </w:p>
    <w:p w14:paraId="755D8E93" w14:textId="77777777" w:rsidR="00351823" w:rsidRDefault="00351823" w:rsidP="00C14603">
      <w:pPr>
        <w:rPr>
          <w:rFonts w:cstheme="minorHAnsi"/>
          <w:sz w:val="16"/>
          <w:szCs w:val="16"/>
          <w:lang w:val="en-US"/>
        </w:rPr>
      </w:pPr>
    </w:p>
    <w:p w14:paraId="57D63C03" w14:textId="77B8070C" w:rsidR="00C92718" w:rsidRDefault="00BD7649" w:rsidP="00483BF9">
      <w:pPr>
        <w:pStyle w:val="Kop2"/>
        <w:numPr>
          <w:ilvl w:val="1"/>
          <w:numId w:val="29"/>
        </w:numPr>
        <w:rPr>
          <w:color w:val="auto"/>
          <w:lang w:val="en-US"/>
        </w:rPr>
      </w:pPr>
      <w:bookmarkStart w:id="3" w:name="_Toc36555276"/>
      <w:r>
        <w:rPr>
          <w:color w:val="auto"/>
          <w:lang w:val="en-US"/>
        </w:rPr>
        <w:t>NONMEM</w:t>
      </w:r>
      <w:r w:rsidR="00351823" w:rsidRPr="00351823">
        <w:rPr>
          <w:color w:val="auto"/>
          <w:lang w:val="en-US"/>
        </w:rPr>
        <w:t xml:space="preserve"> control stream for the adapted model</w:t>
      </w:r>
      <w:bookmarkEnd w:id="3"/>
    </w:p>
    <w:p w14:paraId="1C961C46" w14:textId="77777777" w:rsidR="00351823" w:rsidRPr="00351823" w:rsidRDefault="00351823" w:rsidP="00351823">
      <w:pPr>
        <w:pStyle w:val="Lijstalinea"/>
        <w:ind w:left="384"/>
        <w:rPr>
          <w:lang w:val="en-US"/>
        </w:rPr>
      </w:pPr>
    </w:p>
    <w:p w14:paraId="25B4C5E8" w14:textId="66912967" w:rsidR="00C14603" w:rsidRPr="00D7097A" w:rsidRDefault="00C14603" w:rsidP="00C14603">
      <w:pPr>
        <w:rPr>
          <w:rFonts w:cstheme="minorHAnsi"/>
          <w:sz w:val="16"/>
          <w:szCs w:val="16"/>
          <w:lang w:val="en-US"/>
        </w:rPr>
      </w:pPr>
      <w:r w:rsidRPr="00D7097A">
        <w:rPr>
          <w:rFonts w:cstheme="minorHAnsi"/>
          <w:sz w:val="16"/>
          <w:szCs w:val="16"/>
          <w:lang w:val="en-US"/>
        </w:rPr>
        <w:t xml:space="preserve">$PROBLEM </w:t>
      </w:r>
      <w:r w:rsidR="00BD7649" w:rsidRPr="0003564E">
        <w:rPr>
          <w:rFonts w:cstheme="minorHAnsi"/>
          <w:sz w:val="16"/>
          <w:szCs w:val="16"/>
          <w:lang w:val="en-US"/>
        </w:rPr>
        <w:t>PK chloroquine COVID-19</w:t>
      </w:r>
      <w:r w:rsidR="00BD7649">
        <w:rPr>
          <w:rFonts w:cstheme="minorHAnsi"/>
          <w:sz w:val="16"/>
          <w:szCs w:val="16"/>
          <w:lang w:val="en-US"/>
        </w:rPr>
        <w:br/>
      </w:r>
      <w:r w:rsidRPr="00D7097A">
        <w:rPr>
          <w:rFonts w:cstheme="minorHAnsi"/>
          <w:sz w:val="16"/>
          <w:szCs w:val="16"/>
          <w:lang w:val="en-US"/>
        </w:rPr>
        <w:t>$INPUT ID</w:t>
      </w:r>
      <w:r w:rsidRPr="00D7097A">
        <w:rPr>
          <w:rFonts w:cstheme="minorHAnsi"/>
          <w:sz w:val="16"/>
          <w:szCs w:val="16"/>
          <w:lang w:val="en-US"/>
        </w:rPr>
        <w:tab/>
        <w:t>TIME</w:t>
      </w:r>
      <w:r w:rsidRPr="00D7097A">
        <w:rPr>
          <w:rFonts w:cstheme="minorHAnsi"/>
          <w:sz w:val="16"/>
          <w:szCs w:val="16"/>
          <w:lang w:val="en-US"/>
        </w:rPr>
        <w:tab/>
        <w:t>AMT</w:t>
      </w:r>
      <w:r w:rsidRPr="00D7097A">
        <w:rPr>
          <w:rFonts w:cstheme="minorHAnsi"/>
          <w:sz w:val="16"/>
          <w:szCs w:val="16"/>
          <w:lang w:val="en-US"/>
        </w:rPr>
        <w:tab/>
        <w:t>RATE</w:t>
      </w:r>
      <w:r w:rsidRPr="00D7097A">
        <w:rPr>
          <w:rFonts w:cstheme="minorHAnsi"/>
          <w:sz w:val="16"/>
          <w:szCs w:val="16"/>
          <w:lang w:val="en-US"/>
        </w:rPr>
        <w:tab/>
        <w:t>DV</w:t>
      </w:r>
      <w:r w:rsidRPr="00D7097A">
        <w:rPr>
          <w:rFonts w:cstheme="minorHAnsi"/>
          <w:sz w:val="16"/>
          <w:szCs w:val="16"/>
          <w:lang w:val="en-US"/>
        </w:rPr>
        <w:tab/>
        <w:t>MDV</w:t>
      </w:r>
      <w:r w:rsidRPr="00D7097A">
        <w:rPr>
          <w:rFonts w:cstheme="minorHAnsi"/>
          <w:sz w:val="16"/>
          <w:szCs w:val="16"/>
          <w:lang w:val="en-US"/>
        </w:rPr>
        <w:tab/>
        <w:t>EVID</w:t>
      </w:r>
      <w:r w:rsidRPr="00D7097A">
        <w:rPr>
          <w:rFonts w:cstheme="minorHAnsi"/>
          <w:sz w:val="16"/>
          <w:szCs w:val="16"/>
          <w:lang w:val="en-US"/>
        </w:rPr>
        <w:tab/>
        <w:t>AGE</w:t>
      </w:r>
      <w:r w:rsidRPr="00D7097A">
        <w:rPr>
          <w:rFonts w:cstheme="minorHAnsi"/>
          <w:sz w:val="16"/>
          <w:szCs w:val="16"/>
          <w:lang w:val="en-US"/>
        </w:rPr>
        <w:tab/>
        <w:t>WT</w:t>
      </w:r>
      <w:r w:rsidRPr="00D7097A">
        <w:rPr>
          <w:rFonts w:cstheme="minorHAnsi"/>
          <w:sz w:val="16"/>
          <w:szCs w:val="16"/>
          <w:lang w:val="en-US"/>
        </w:rPr>
        <w:tab/>
      </w:r>
      <w:r>
        <w:rPr>
          <w:rFonts w:cstheme="minorHAnsi"/>
          <w:sz w:val="16"/>
          <w:szCs w:val="16"/>
          <w:lang w:val="en-US"/>
        </w:rPr>
        <w:t>M</w:t>
      </w:r>
      <w:r w:rsidRPr="00D7097A">
        <w:rPr>
          <w:rFonts w:cstheme="minorHAnsi"/>
          <w:sz w:val="16"/>
          <w:szCs w:val="16"/>
          <w:lang w:val="en-US"/>
        </w:rPr>
        <w:t>F</w:t>
      </w:r>
      <w:r>
        <w:rPr>
          <w:rFonts w:cstheme="minorHAnsi"/>
          <w:sz w:val="16"/>
          <w:szCs w:val="16"/>
          <w:lang w:val="en-US"/>
        </w:rPr>
        <w:br/>
        <w:t>; WT  = body weight in kg</w:t>
      </w:r>
      <w:r>
        <w:rPr>
          <w:rFonts w:cstheme="minorHAnsi"/>
          <w:sz w:val="16"/>
          <w:szCs w:val="16"/>
          <w:lang w:val="en-US"/>
        </w:rPr>
        <w:br/>
        <w:t>; MF = multiplication factor for CL  (=0.75 when renal impaired)</w:t>
      </w:r>
      <w:r>
        <w:rPr>
          <w:rFonts w:cstheme="minorHAnsi"/>
          <w:sz w:val="16"/>
          <w:szCs w:val="16"/>
          <w:lang w:val="en-US"/>
        </w:rPr>
        <w:br/>
      </w:r>
      <w:r w:rsidRPr="00D7097A">
        <w:rPr>
          <w:rFonts w:cstheme="minorHAnsi"/>
          <w:sz w:val="16"/>
          <w:szCs w:val="16"/>
          <w:lang w:val="en-US"/>
        </w:rPr>
        <w:t>$DATA SIM_zhao_typical.prn</w:t>
      </w:r>
      <w:r>
        <w:rPr>
          <w:rFonts w:cstheme="minorHAnsi"/>
          <w:sz w:val="16"/>
          <w:szCs w:val="16"/>
          <w:lang w:val="en-US"/>
        </w:rPr>
        <w:br/>
      </w:r>
      <w:r w:rsidRPr="00D7097A">
        <w:rPr>
          <w:rFonts w:cstheme="minorHAnsi"/>
          <w:sz w:val="16"/>
          <w:szCs w:val="16"/>
          <w:lang w:val="en-US"/>
        </w:rPr>
        <w:t>IGNORE=@</w:t>
      </w:r>
      <w:r>
        <w:rPr>
          <w:rFonts w:cstheme="minorHAnsi"/>
          <w:sz w:val="16"/>
          <w:szCs w:val="16"/>
          <w:lang w:val="en-US"/>
        </w:rPr>
        <w:br/>
      </w:r>
      <w:r w:rsidRPr="00D7097A">
        <w:rPr>
          <w:rFonts w:cstheme="minorHAnsi"/>
          <w:sz w:val="16"/>
          <w:szCs w:val="16"/>
          <w:lang w:val="en-US"/>
        </w:rPr>
        <w:t xml:space="preserve">$SUBROUTINES ADVAN4 TRANS4 </w:t>
      </w:r>
    </w:p>
    <w:p w14:paraId="23191FD6" w14:textId="77777777" w:rsidR="00C14603" w:rsidRPr="00D7097A" w:rsidRDefault="00C14603" w:rsidP="00C14603">
      <w:pPr>
        <w:rPr>
          <w:rFonts w:cstheme="minorHAnsi"/>
          <w:sz w:val="16"/>
          <w:szCs w:val="16"/>
          <w:lang w:val="en-US"/>
        </w:rPr>
      </w:pPr>
      <w:r w:rsidRPr="00D7097A">
        <w:rPr>
          <w:rFonts w:cstheme="minorHAnsi"/>
          <w:sz w:val="16"/>
          <w:szCs w:val="16"/>
          <w:lang w:val="en-US"/>
        </w:rPr>
        <w:t>PK</w:t>
      </w:r>
      <w:r>
        <w:rPr>
          <w:rFonts w:cstheme="minorHAnsi"/>
          <w:sz w:val="16"/>
          <w:szCs w:val="16"/>
          <w:lang w:val="en-US"/>
        </w:rPr>
        <w:br/>
      </w:r>
      <w:r w:rsidRPr="00D7097A">
        <w:rPr>
          <w:rFonts w:cstheme="minorHAnsi"/>
          <w:sz w:val="16"/>
          <w:szCs w:val="16"/>
          <w:lang w:val="en-US"/>
        </w:rPr>
        <w:t>KA = THETA(1)</w:t>
      </w:r>
    </w:p>
    <w:p w14:paraId="15E72452" w14:textId="77777777" w:rsidR="00C14603" w:rsidRDefault="00C14603" w:rsidP="00C14603">
      <w:pPr>
        <w:rPr>
          <w:rFonts w:cstheme="minorHAnsi"/>
          <w:sz w:val="16"/>
          <w:szCs w:val="16"/>
          <w:lang w:val="en-US"/>
        </w:rPr>
      </w:pPr>
      <w:r w:rsidRPr="00D7097A">
        <w:rPr>
          <w:rFonts w:cstheme="minorHAnsi"/>
          <w:sz w:val="16"/>
          <w:szCs w:val="16"/>
          <w:lang w:val="en-US"/>
        </w:rPr>
        <w:t xml:space="preserve">TVCL = THETA(2) * ((WT/70)**0.75) * </w:t>
      </w:r>
      <w:r>
        <w:rPr>
          <w:rFonts w:cstheme="minorHAnsi"/>
          <w:sz w:val="16"/>
          <w:szCs w:val="16"/>
          <w:lang w:val="en-US"/>
        </w:rPr>
        <w:t>M</w:t>
      </w:r>
      <w:r w:rsidRPr="00D7097A">
        <w:rPr>
          <w:rFonts w:cstheme="minorHAnsi"/>
          <w:sz w:val="16"/>
          <w:szCs w:val="16"/>
          <w:lang w:val="en-US"/>
        </w:rPr>
        <w:t>F</w:t>
      </w:r>
      <w:r>
        <w:rPr>
          <w:rFonts w:cstheme="minorHAnsi"/>
          <w:sz w:val="16"/>
          <w:szCs w:val="16"/>
          <w:lang w:val="en-US"/>
        </w:rPr>
        <w:br/>
      </w:r>
      <w:r w:rsidRPr="00D7097A">
        <w:rPr>
          <w:rFonts w:cstheme="minorHAnsi"/>
          <w:sz w:val="16"/>
          <w:szCs w:val="16"/>
          <w:lang w:val="en-US"/>
        </w:rPr>
        <w:t>IF(AGE.L</w:t>
      </w:r>
      <w:r>
        <w:rPr>
          <w:rFonts w:cstheme="minorHAnsi"/>
          <w:sz w:val="16"/>
          <w:szCs w:val="16"/>
          <w:lang w:val="en-US"/>
        </w:rPr>
        <w:t>E</w:t>
      </w:r>
      <w:r w:rsidRPr="00D7097A">
        <w:rPr>
          <w:rFonts w:cstheme="minorHAnsi"/>
          <w:sz w:val="16"/>
          <w:szCs w:val="16"/>
          <w:lang w:val="en-US"/>
        </w:rPr>
        <w:t xml:space="preserve">.5) TVCL = THETA(2) * ((WT/70)**0.75) * </w:t>
      </w:r>
      <w:r>
        <w:rPr>
          <w:rFonts w:cstheme="minorHAnsi"/>
          <w:sz w:val="16"/>
          <w:szCs w:val="16"/>
          <w:lang w:val="en-US"/>
        </w:rPr>
        <w:t>M</w:t>
      </w:r>
      <w:r w:rsidRPr="00D7097A">
        <w:rPr>
          <w:rFonts w:cstheme="minorHAnsi"/>
          <w:sz w:val="16"/>
          <w:szCs w:val="16"/>
          <w:lang w:val="en-US"/>
        </w:rPr>
        <w:t>F * 0.75</w:t>
      </w:r>
      <w:r>
        <w:rPr>
          <w:rFonts w:cstheme="minorHAnsi"/>
          <w:sz w:val="16"/>
          <w:szCs w:val="16"/>
          <w:lang w:val="en-US"/>
        </w:rPr>
        <w:br/>
      </w:r>
      <w:r w:rsidRPr="00EA2DAD">
        <w:rPr>
          <w:rFonts w:cstheme="minorHAnsi"/>
          <w:sz w:val="16"/>
          <w:szCs w:val="16"/>
          <w:lang w:val="en-US"/>
        </w:rPr>
        <w:t>IF(AGE.L</w:t>
      </w:r>
      <w:r>
        <w:rPr>
          <w:rFonts w:cstheme="minorHAnsi"/>
          <w:sz w:val="16"/>
          <w:szCs w:val="16"/>
          <w:lang w:val="en-US"/>
        </w:rPr>
        <w:t>E</w:t>
      </w:r>
      <w:r w:rsidRPr="00EA2DAD">
        <w:rPr>
          <w:rFonts w:cstheme="minorHAnsi"/>
          <w:sz w:val="16"/>
          <w:szCs w:val="16"/>
          <w:lang w:val="en-US"/>
        </w:rPr>
        <w:t xml:space="preserve">.1) TVCL = THETA(2) * ((WT/70)**0.75) * </w:t>
      </w:r>
      <w:r>
        <w:rPr>
          <w:rFonts w:cstheme="minorHAnsi"/>
          <w:sz w:val="16"/>
          <w:szCs w:val="16"/>
          <w:lang w:val="en-US"/>
        </w:rPr>
        <w:t>M</w:t>
      </w:r>
      <w:r w:rsidRPr="00EA2DAD">
        <w:rPr>
          <w:rFonts w:cstheme="minorHAnsi"/>
          <w:sz w:val="16"/>
          <w:szCs w:val="16"/>
          <w:lang w:val="en-US"/>
        </w:rPr>
        <w:t>F * 0.5</w:t>
      </w:r>
    </w:p>
    <w:p w14:paraId="5F690D84" w14:textId="77777777" w:rsidR="00C14603" w:rsidRPr="003F2905" w:rsidRDefault="00C14603" w:rsidP="00C14603">
      <w:pPr>
        <w:rPr>
          <w:rFonts w:cstheme="minorHAnsi"/>
          <w:sz w:val="16"/>
          <w:szCs w:val="16"/>
          <w:lang w:val="en-US"/>
        </w:rPr>
      </w:pPr>
      <w:r w:rsidRPr="003F2905">
        <w:rPr>
          <w:rFonts w:cstheme="minorHAnsi"/>
          <w:sz w:val="16"/>
          <w:szCs w:val="16"/>
          <w:lang w:val="en-US"/>
        </w:rPr>
        <w:t>TVV2=THETA(3)*(80/70)  ; above 80 kg V2 = TV for 80 kg</w:t>
      </w:r>
      <w:r>
        <w:rPr>
          <w:rFonts w:cstheme="minorHAnsi"/>
          <w:sz w:val="16"/>
          <w:szCs w:val="16"/>
          <w:lang w:val="en-US"/>
        </w:rPr>
        <w:br/>
      </w:r>
      <w:r w:rsidRPr="003F2905">
        <w:rPr>
          <w:rFonts w:cstheme="minorHAnsi"/>
          <w:sz w:val="16"/>
          <w:szCs w:val="16"/>
          <w:lang w:val="en-US"/>
        </w:rPr>
        <w:t>IF(WT.LE.80) TVV2 = THETA(3) * (WT/70)</w:t>
      </w:r>
    </w:p>
    <w:p w14:paraId="5C3875D7" w14:textId="0B22601F" w:rsidR="00C14603" w:rsidRPr="003F2905" w:rsidRDefault="00C14603" w:rsidP="00C14603">
      <w:pPr>
        <w:rPr>
          <w:rFonts w:cstheme="minorHAnsi"/>
          <w:sz w:val="16"/>
          <w:szCs w:val="16"/>
          <w:lang w:val="en-US"/>
        </w:rPr>
      </w:pPr>
      <w:r w:rsidRPr="003F2905">
        <w:rPr>
          <w:rFonts w:cstheme="minorHAnsi"/>
          <w:sz w:val="16"/>
          <w:szCs w:val="16"/>
          <w:lang w:val="en-US"/>
        </w:rPr>
        <w:t>TVQ = THETA(4</w:t>
      </w:r>
      <w:r>
        <w:rPr>
          <w:rFonts w:cstheme="minorHAnsi"/>
          <w:sz w:val="16"/>
          <w:szCs w:val="16"/>
          <w:lang w:val="en-US"/>
        </w:rPr>
        <w:t>)</w:t>
      </w:r>
      <w:r w:rsidRPr="003F2905">
        <w:rPr>
          <w:rFonts w:cstheme="minorHAnsi"/>
          <w:sz w:val="16"/>
          <w:szCs w:val="16"/>
          <w:lang w:val="en-US"/>
        </w:rPr>
        <w:t>*</w:t>
      </w:r>
      <w:r>
        <w:rPr>
          <w:rFonts w:cstheme="minorHAnsi"/>
          <w:sz w:val="16"/>
          <w:szCs w:val="16"/>
          <w:lang w:val="en-US"/>
        </w:rPr>
        <w:t>(</w:t>
      </w:r>
      <w:r w:rsidRPr="003F2905">
        <w:rPr>
          <w:rFonts w:cstheme="minorHAnsi"/>
          <w:sz w:val="16"/>
          <w:szCs w:val="16"/>
          <w:lang w:val="en-US"/>
        </w:rPr>
        <w:t>(80/70)</w:t>
      </w:r>
      <w:r>
        <w:rPr>
          <w:rFonts w:cstheme="minorHAnsi"/>
          <w:sz w:val="16"/>
          <w:szCs w:val="16"/>
          <w:lang w:val="en-US"/>
        </w:rPr>
        <w:t>**0.75)</w:t>
      </w:r>
      <w:r w:rsidRPr="003F2905">
        <w:rPr>
          <w:rFonts w:cstheme="minorHAnsi"/>
          <w:sz w:val="16"/>
          <w:szCs w:val="16"/>
          <w:lang w:val="en-US"/>
        </w:rPr>
        <w:t xml:space="preserve"> ; above 80 kg Q = TV for 80 kg</w:t>
      </w:r>
      <w:r>
        <w:rPr>
          <w:rFonts w:cstheme="minorHAnsi"/>
          <w:sz w:val="16"/>
          <w:szCs w:val="16"/>
          <w:lang w:val="en-US"/>
        </w:rPr>
        <w:br/>
      </w:r>
      <w:r w:rsidRPr="003F2905">
        <w:rPr>
          <w:rFonts w:cstheme="minorHAnsi"/>
          <w:sz w:val="16"/>
          <w:szCs w:val="16"/>
          <w:lang w:val="en-US"/>
        </w:rPr>
        <w:t>IF(WT.LE.80) TVQ = THETA(4)* ((WT/70)**0.75)</w:t>
      </w:r>
    </w:p>
    <w:p w14:paraId="7D0DA0BA" w14:textId="77777777" w:rsidR="00C14603" w:rsidRDefault="00C14603" w:rsidP="00C14603">
      <w:pPr>
        <w:rPr>
          <w:rFonts w:cstheme="minorHAnsi"/>
          <w:sz w:val="16"/>
          <w:szCs w:val="16"/>
          <w:lang w:val="en-US"/>
        </w:rPr>
      </w:pPr>
      <w:r w:rsidRPr="003F2905">
        <w:rPr>
          <w:rFonts w:cstheme="minorHAnsi"/>
          <w:sz w:val="16"/>
          <w:szCs w:val="16"/>
          <w:lang w:val="en-US"/>
        </w:rPr>
        <w:t>TVV3 = THETA(5)*(80/70) ; above 80 kg V3 = TV for 80 kg</w:t>
      </w:r>
      <w:r>
        <w:rPr>
          <w:rFonts w:cstheme="minorHAnsi"/>
          <w:sz w:val="16"/>
          <w:szCs w:val="16"/>
          <w:lang w:val="en-US"/>
        </w:rPr>
        <w:br/>
      </w:r>
      <w:r w:rsidRPr="003F2905">
        <w:rPr>
          <w:rFonts w:cstheme="minorHAnsi"/>
          <w:sz w:val="16"/>
          <w:szCs w:val="16"/>
          <w:lang w:val="en-US"/>
        </w:rPr>
        <w:t>IF(WT.LE.80) TVV3 = THETA(5) * (WT/70)</w:t>
      </w:r>
    </w:p>
    <w:p w14:paraId="0EDC07CB" w14:textId="77777777" w:rsidR="00C14603" w:rsidRPr="00D7097A" w:rsidRDefault="00C14603" w:rsidP="00C14603">
      <w:pPr>
        <w:rPr>
          <w:rFonts w:cstheme="minorHAnsi"/>
          <w:sz w:val="16"/>
          <w:szCs w:val="16"/>
          <w:lang w:val="en-US"/>
        </w:rPr>
      </w:pPr>
      <w:r w:rsidRPr="00D7097A">
        <w:rPr>
          <w:rFonts w:cstheme="minorHAnsi"/>
          <w:sz w:val="16"/>
          <w:szCs w:val="16"/>
          <w:lang w:val="en-US"/>
        </w:rPr>
        <w:t>ALAG1=THETA(6)</w:t>
      </w:r>
    </w:p>
    <w:p w14:paraId="2A23B2EA" w14:textId="77777777" w:rsidR="00C14603" w:rsidRPr="00D7097A" w:rsidRDefault="00C14603" w:rsidP="00C14603">
      <w:pPr>
        <w:rPr>
          <w:rFonts w:cstheme="minorHAnsi"/>
          <w:sz w:val="16"/>
          <w:szCs w:val="16"/>
          <w:lang w:val="en-US"/>
        </w:rPr>
      </w:pPr>
      <w:r w:rsidRPr="00D7097A">
        <w:rPr>
          <w:rFonts w:cstheme="minorHAnsi"/>
          <w:sz w:val="16"/>
          <w:szCs w:val="16"/>
          <w:lang w:val="en-US"/>
        </w:rPr>
        <w:t>CL  = TVCL * EXP(ETA(1))</w:t>
      </w:r>
      <w:r>
        <w:rPr>
          <w:rFonts w:cstheme="minorHAnsi"/>
          <w:sz w:val="16"/>
          <w:szCs w:val="16"/>
          <w:lang w:val="en-US"/>
        </w:rPr>
        <w:br/>
      </w:r>
      <w:r w:rsidRPr="00D7097A">
        <w:rPr>
          <w:rFonts w:cstheme="minorHAnsi"/>
          <w:sz w:val="16"/>
          <w:szCs w:val="16"/>
          <w:lang w:val="en-US"/>
        </w:rPr>
        <w:t>V2  = TVV2 * EXP(ETA(2))</w:t>
      </w:r>
      <w:r>
        <w:rPr>
          <w:rFonts w:cstheme="minorHAnsi"/>
          <w:sz w:val="16"/>
          <w:szCs w:val="16"/>
          <w:lang w:val="en-US"/>
        </w:rPr>
        <w:br/>
      </w:r>
      <w:r w:rsidRPr="00D7097A">
        <w:rPr>
          <w:rFonts w:cstheme="minorHAnsi"/>
          <w:sz w:val="16"/>
          <w:szCs w:val="16"/>
          <w:lang w:val="en-US"/>
        </w:rPr>
        <w:t xml:space="preserve">Q   = TVQ </w:t>
      </w:r>
      <w:r>
        <w:rPr>
          <w:rFonts w:cstheme="minorHAnsi"/>
          <w:sz w:val="16"/>
          <w:szCs w:val="16"/>
          <w:lang w:val="en-US"/>
        </w:rPr>
        <w:br/>
      </w:r>
      <w:r w:rsidRPr="00D7097A">
        <w:rPr>
          <w:rFonts w:cstheme="minorHAnsi"/>
          <w:sz w:val="16"/>
          <w:szCs w:val="16"/>
          <w:lang w:val="en-US"/>
        </w:rPr>
        <w:t>V3  = TVV3</w:t>
      </w:r>
    </w:p>
    <w:p w14:paraId="36938F61" w14:textId="77777777" w:rsidR="00C14603" w:rsidRPr="00D7097A" w:rsidRDefault="00C14603" w:rsidP="00C14603">
      <w:pPr>
        <w:rPr>
          <w:rFonts w:cstheme="minorHAnsi"/>
          <w:sz w:val="16"/>
          <w:szCs w:val="16"/>
          <w:lang w:val="en-US"/>
        </w:rPr>
      </w:pPr>
      <w:r w:rsidRPr="00D7097A">
        <w:rPr>
          <w:rFonts w:cstheme="minorHAnsi"/>
          <w:sz w:val="16"/>
          <w:szCs w:val="16"/>
          <w:lang w:val="en-US"/>
        </w:rPr>
        <w:t>S2 = V2</w:t>
      </w:r>
    </w:p>
    <w:p w14:paraId="55F043F2" w14:textId="77777777" w:rsidR="00C14603" w:rsidRPr="00D7097A" w:rsidRDefault="00C14603" w:rsidP="00C14603">
      <w:pPr>
        <w:rPr>
          <w:rFonts w:cstheme="minorHAnsi"/>
          <w:sz w:val="16"/>
          <w:szCs w:val="16"/>
          <w:lang w:val="en-US"/>
        </w:rPr>
      </w:pPr>
      <w:r w:rsidRPr="00D7097A">
        <w:rPr>
          <w:rFonts w:cstheme="minorHAnsi"/>
          <w:sz w:val="16"/>
          <w:szCs w:val="16"/>
          <w:lang w:val="en-US"/>
        </w:rPr>
        <w:lastRenderedPageBreak/>
        <w:t>$ERROR</w:t>
      </w:r>
      <w:r>
        <w:rPr>
          <w:rFonts w:cstheme="minorHAnsi"/>
          <w:sz w:val="16"/>
          <w:szCs w:val="16"/>
          <w:lang w:val="en-US"/>
        </w:rPr>
        <w:br/>
      </w:r>
      <w:r w:rsidRPr="00D7097A">
        <w:rPr>
          <w:rFonts w:cstheme="minorHAnsi"/>
          <w:sz w:val="16"/>
          <w:szCs w:val="16"/>
          <w:lang w:val="en-US"/>
        </w:rPr>
        <w:t>Y=F*(1+ERR(1))</w:t>
      </w:r>
      <w:r>
        <w:rPr>
          <w:rFonts w:cstheme="minorHAnsi"/>
          <w:sz w:val="16"/>
          <w:szCs w:val="16"/>
          <w:lang w:val="en-US"/>
        </w:rPr>
        <w:br/>
      </w:r>
      <w:r w:rsidRPr="00D7097A">
        <w:rPr>
          <w:rFonts w:cstheme="minorHAnsi"/>
          <w:sz w:val="16"/>
          <w:szCs w:val="16"/>
          <w:lang w:val="en-US"/>
        </w:rPr>
        <w:t>IPRED=F</w:t>
      </w:r>
    </w:p>
    <w:p w14:paraId="7D6B6E3B" w14:textId="77777777" w:rsidR="00C14603" w:rsidRPr="00D7097A" w:rsidRDefault="00C14603" w:rsidP="00C14603">
      <w:pPr>
        <w:rPr>
          <w:rFonts w:cstheme="minorHAnsi"/>
          <w:sz w:val="16"/>
          <w:szCs w:val="16"/>
          <w:lang w:val="en-US"/>
        </w:rPr>
      </w:pPr>
      <w:r w:rsidRPr="00D7097A">
        <w:rPr>
          <w:rFonts w:cstheme="minorHAnsi"/>
          <w:sz w:val="16"/>
          <w:szCs w:val="16"/>
          <w:lang w:val="en-US"/>
        </w:rPr>
        <w:t>$THETA</w:t>
      </w:r>
      <w:r w:rsidRPr="00D7097A">
        <w:rPr>
          <w:rFonts w:cstheme="minorHAnsi"/>
          <w:sz w:val="16"/>
          <w:szCs w:val="16"/>
          <w:lang w:val="en-US"/>
        </w:rPr>
        <w:br/>
        <w:t>6.12   ; KA (1/h)</w:t>
      </w:r>
      <w:r w:rsidRPr="00D7097A">
        <w:rPr>
          <w:rFonts w:cstheme="minorHAnsi"/>
          <w:sz w:val="16"/>
          <w:szCs w:val="16"/>
          <w:lang w:val="en-US"/>
        </w:rPr>
        <w:br/>
        <w:t>(59.1)   ;CL (L/h)</w:t>
      </w:r>
      <w:r w:rsidRPr="00D7097A">
        <w:rPr>
          <w:rFonts w:cstheme="minorHAnsi"/>
          <w:sz w:val="16"/>
          <w:szCs w:val="16"/>
          <w:lang w:val="en-US"/>
        </w:rPr>
        <w:br/>
        <w:t>(2870)   ;V2 (L)</w:t>
      </w:r>
      <w:r w:rsidRPr="00D7097A">
        <w:rPr>
          <w:rFonts w:cstheme="minorHAnsi"/>
          <w:sz w:val="16"/>
          <w:szCs w:val="16"/>
          <w:lang w:val="en-US"/>
        </w:rPr>
        <w:br/>
        <w:t>(61.4)  ;Q (L/h)</w:t>
      </w:r>
      <w:r w:rsidRPr="00D7097A">
        <w:rPr>
          <w:rFonts w:cstheme="minorHAnsi"/>
          <w:sz w:val="16"/>
          <w:szCs w:val="16"/>
          <w:lang w:val="en-US"/>
        </w:rPr>
        <w:br/>
        <w:t>(1890)   ;V3 (L)</w:t>
      </w:r>
      <w:r>
        <w:rPr>
          <w:rFonts w:cstheme="minorHAnsi"/>
          <w:sz w:val="16"/>
          <w:szCs w:val="16"/>
          <w:lang w:val="en-US"/>
        </w:rPr>
        <w:br/>
      </w:r>
      <w:r w:rsidRPr="00D7097A">
        <w:rPr>
          <w:rFonts w:cstheme="minorHAnsi"/>
          <w:sz w:val="16"/>
          <w:szCs w:val="16"/>
          <w:lang w:val="en-US"/>
        </w:rPr>
        <w:t>0.387   ;ALAG (h)</w:t>
      </w:r>
    </w:p>
    <w:p w14:paraId="1D70CD0A" w14:textId="77777777" w:rsidR="00C14603" w:rsidRPr="00D7097A" w:rsidRDefault="00C14603" w:rsidP="00C14603">
      <w:pPr>
        <w:rPr>
          <w:rFonts w:cstheme="minorHAnsi"/>
          <w:sz w:val="16"/>
          <w:szCs w:val="16"/>
          <w:lang w:val="en-US"/>
        </w:rPr>
      </w:pPr>
      <w:r w:rsidRPr="00D7097A">
        <w:rPr>
          <w:rFonts w:cstheme="minorHAnsi"/>
          <w:sz w:val="16"/>
          <w:szCs w:val="16"/>
          <w:lang w:val="en-US"/>
        </w:rPr>
        <w:t>$OMEGA</w:t>
      </w:r>
      <w:r>
        <w:rPr>
          <w:rFonts w:cstheme="minorHAnsi"/>
          <w:sz w:val="16"/>
          <w:szCs w:val="16"/>
          <w:lang w:val="en-US"/>
        </w:rPr>
        <w:br/>
      </w:r>
      <w:r w:rsidRPr="00D7097A">
        <w:rPr>
          <w:rFonts w:cstheme="minorHAnsi"/>
          <w:sz w:val="16"/>
          <w:szCs w:val="16"/>
          <w:lang w:val="en-US"/>
        </w:rPr>
        <w:t>0 FIX  ; CL ETA 1</w:t>
      </w:r>
      <w:r>
        <w:rPr>
          <w:rFonts w:cstheme="minorHAnsi"/>
          <w:sz w:val="16"/>
          <w:szCs w:val="16"/>
          <w:lang w:val="en-US"/>
        </w:rPr>
        <w:br/>
      </w:r>
      <w:r w:rsidRPr="00D7097A">
        <w:rPr>
          <w:rFonts w:cstheme="minorHAnsi"/>
          <w:sz w:val="16"/>
          <w:szCs w:val="16"/>
          <w:lang w:val="en-US"/>
        </w:rPr>
        <w:t>0 FIX  ; V2 ETA 2</w:t>
      </w:r>
    </w:p>
    <w:p w14:paraId="0B76B900" w14:textId="77777777" w:rsidR="00C14603" w:rsidRDefault="00C14603" w:rsidP="00C14603">
      <w:pPr>
        <w:rPr>
          <w:rFonts w:cstheme="minorHAnsi"/>
          <w:sz w:val="16"/>
          <w:szCs w:val="16"/>
          <w:lang w:val="en-US"/>
        </w:rPr>
      </w:pPr>
      <w:r w:rsidRPr="00D7097A">
        <w:rPr>
          <w:rFonts w:cstheme="minorHAnsi"/>
          <w:sz w:val="16"/>
          <w:szCs w:val="16"/>
          <w:lang w:val="en-US"/>
        </w:rPr>
        <w:t>$SIGMA</w:t>
      </w:r>
      <w:r>
        <w:rPr>
          <w:rFonts w:cstheme="minorHAnsi"/>
          <w:sz w:val="16"/>
          <w:szCs w:val="16"/>
          <w:lang w:val="en-US"/>
        </w:rPr>
        <w:br/>
      </w:r>
      <w:r w:rsidRPr="00D7097A">
        <w:rPr>
          <w:rFonts w:cstheme="minorHAnsi"/>
          <w:sz w:val="16"/>
          <w:szCs w:val="16"/>
          <w:lang w:val="en-US"/>
        </w:rPr>
        <w:t>0 FIX ;Proportional error PK</w:t>
      </w:r>
    </w:p>
    <w:p w14:paraId="4F82DD29" w14:textId="635ADDCA" w:rsidR="00C14603" w:rsidRPr="00C14603" w:rsidRDefault="00C14603" w:rsidP="00C14603">
      <w:pPr>
        <w:rPr>
          <w:rFonts w:asciiTheme="majorHAnsi" w:eastAsiaTheme="majorEastAsia" w:hAnsiTheme="majorHAnsi" w:cstheme="majorBidi"/>
          <w:sz w:val="32"/>
          <w:szCs w:val="32"/>
          <w:lang w:val="en-US"/>
        </w:rPr>
      </w:pPr>
    </w:p>
    <w:p w14:paraId="7F711917" w14:textId="050766BC" w:rsidR="00C14603" w:rsidRDefault="00C14603" w:rsidP="00483BF9">
      <w:pPr>
        <w:pStyle w:val="Kop1"/>
        <w:numPr>
          <w:ilvl w:val="0"/>
          <w:numId w:val="29"/>
        </w:numPr>
        <w:rPr>
          <w:color w:val="auto"/>
          <w:lang w:val="en-US"/>
        </w:rPr>
      </w:pPr>
      <w:bookmarkStart w:id="4" w:name="_Toc36555277"/>
      <w:r w:rsidRPr="00C92718">
        <w:rPr>
          <w:color w:val="auto"/>
          <w:lang w:val="en-US"/>
        </w:rPr>
        <w:t>Dose regimens</w:t>
      </w:r>
      <w:r w:rsidR="00351823">
        <w:rPr>
          <w:color w:val="auto"/>
          <w:lang w:val="en-US"/>
        </w:rPr>
        <w:t xml:space="preserve"> used in </w:t>
      </w:r>
      <w:r w:rsidR="003F516A">
        <w:rPr>
          <w:color w:val="auto"/>
          <w:lang w:val="en-US"/>
        </w:rPr>
        <w:t>figures</w:t>
      </w:r>
      <w:bookmarkEnd w:id="4"/>
    </w:p>
    <w:p w14:paraId="785654A1" w14:textId="77777777" w:rsidR="00351823" w:rsidRPr="00351823" w:rsidRDefault="00351823" w:rsidP="00351823">
      <w:pPr>
        <w:rPr>
          <w:lang w:val="en-US"/>
        </w:rPr>
      </w:pPr>
    </w:p>
    <w:p w14:paraId="15D9BDD5" w14:textId="739D952F" w:rsidR="00C14603" w:rsidRPr="00C14603" w:rsidRDefault="00C14603" w:rsidP="00C14603">
      <w:pPr>
        <w:rPr>
          <w:rFonts w:asciiTheme="majorHAnsi" w:eastAsiaTheme="majorEastAsia" w:hAnsiTheme="majorHAnsi" w:cstheme="majorBidi"/>
          <w:sz w:val="32"/>
          <w:szCs w:val="32"/>
          <w:lang w:val="en-US"/>
        </w:rPr>
      </w:pPr>
      <w:r w:rsidRPr="00C14603">
        <w:rPr>
          <w:i/>
          <w:iCs/>
          <w:lang w:val="en-US"/>
        </w:rPr>
        <w:t>ADULTS:</w:t>
      </w:r>
    </w:p>
    <w:tbl>
      <w:tblPr>
        <w:tblStyle w:val="Tabelraster"/>
        <w:tblpPr w:leftFromText="141" w:rightFromText="141" w:vertAnchor="text" w:horzAnchor="margin" w:tblpXSpec="center" w:tblpY="325"/>
        <w:tblW w:w="10332" w:type="dxa"/>
        <w:tblLayout w:type="fixed"/>
        <w:tblLook w:val="04A0" w:firstRow="1" w:lastRow="0" w:firstColumn="1" w:lastColumn="0" w:noHBand="0" w:noVBand="1"/>
      </w:tblPr>
      <w:tblGrid>
        <w:gridCol w:w="280"/>
        <w:gridCol w:w="992"/>
        <w:gridCol w:w="709"/>
        <w:gridCol w:w="595"/>
        <w:gridCol w:w="598"/>
        <w:gridCol w:w="594"/>
        <w:gridCol w:w="597"/>
        <w:gridCol w:w="595"/>
        <w:gridCol w:w="596"/>
        <w:gridCol w:w="595"/>
        <w:gridCol w:w="596"/>
        <w:gridCol w:w="594"/>
        <w:gridCol w:w="597"/>
        <w:gridCol w:w="595"/>
        <w:gridCol w:w="596"/>
        <w:gridCol w:w="595"/>
        <w:gridCol w:w="595"/>
        <w:gridCol w:w="13"/>
      </w:tblGrid>
      <w:tr w:rsidR="00C14603" w:rsidRPr="00356C60" w14:paraId="084CC607" w14:textId="77777777" w:rsidTr="00C14603">
        <w:trPr>
          <w:trHeight w:val="320"/>
        </w:trPr>
        <w:tc>
          <w:tcPr>
            <w:tcW w:w="280" w:type="dxa"/>
          </w:tcPr>
          <w:p w14:paraId="5D5452F1" w14:textId="77777777" w:rsidR="00C14603" w:rsidRPr="00C14603" w:rsidRDefault="00C14603" w:rsidP="00C14603">
            <w:pPr>
              <w:rPr>
                <w:b/>
                <w:bCs/>
                <w:sz w:val="18"/>
                <w:szCs w:val="18"/>
                <w:lang w:val="en-US"/>
              </w:rPr>
            </w:pPr>
          </w:p>
        </w:tc>
        <w:tc>
          <w:tcPr>
            <w:tcW w:w="992" w:type="dxa"/>
          </w:tcPr>
          <w:p w14:paraId="06FEDB18" w14:textId="77777777" w:rsidR="00C14603" w:rsidRPr="00C14603" w:rsidRDefault="00C14603" w:rsidP="00C14603">
            <w:pPr>
              <w:rPr>
                <w:b/>
                <w:bCs/>
                <w:sz w:val="18"/>
                <w:szCs w:val="18"/>
                <w:lang w:val="en-US"/>
              </w:rPr>
            </w:pPr>
            <w:r w:rsidRPr="00C14603">
              <w:rPr>
                <w:b/>
                <w:bCs/>
                <w:sz w:val="18"/>
                <w:szCs w:val="18"/>
                <w:lang w:val="en-US"/>
              </w:rPr>
              <w:t>Source</w:t>
            </w:r>
          </w:p>
        </w:tc>
        <w:tc>
          <w:tcPr>
            <w:tcW w:w="709" w:type="dxa"/>
            <w:tcBorders>
              <w:right w:val="single" w:sz="12" w:space="0" w:color="auto"/>
            </w:tcBorders>
          </w:tcPr>
          <w:p w14:paraId="7A27DEA3" w14:textId="77777777" w:rsidR="00C14603" w:rsidRPr="00C14603" w:rsidRDefault="00C14603" w:rsidP="00C14603">
            <w:pPr>
              <w:rPr>
                <w:b/>
                <w:bCs/>
                <w:sz w:val="18"/>
                <w:szCs w:val="18"/>
                <w:lang w:val="en-US"/>
              </w:rPr>
            </w:pPr>
            <w:r w:rsidRPr="00C14603">
              <w:rPr>
                <w:b/>
                <w:bCs/>
                <w:sz w:val="18"/>
                <w:szCs w:val="18"/>
                <w:lang w:val="en-US"/>
              </w:rPr>
              <w:t>Unit</w:t>
            </w:r>
          </w:p>
        </w:tc>
        <w:tc>
          <w:tcPr>
            <w:tcW w:w="2384" w:type="dxa"/>
            <w:gridSpan w:val="4"/>
            <w:tcBorders>
              <w:left w:val="single" w:sz="12" w:space="0" w:color="auto"/>
            </w:tcBorders>
          </w:tcPr>
          <w:p w14:paraId="669518E3" w14:textId="77777777" w:rsidR="00C14603" w:rsidRPr="00C14603" w:rsidRDefault="00C14603" w:rsidP="00C14603">
            <w:pPr>
              <w:rPr>
                <w:b/>
                <w:bCs/>
                <w:sz w:val="18"/>
                <w:szCs w:val="18"/>
                <w:lang w:val="en-US"/>
              </w:rPr>
            </w:pPr>
            <w:r w:rsidRPr="00C14603">
              <w:rPr>
                <w:b/>
                <w:bCs/>
                <w:sz w:val="18"/>
                <w:szCs w:val="18"/>
                <w:lang w:val="en-US"/>
              </w:rPr>
              <w:t>Day 1</w:t>
            </w:r>
          </w:p>
        </w:tc>
        <w:tc>
          <w:tcPr>
            <w:tcW w:w="1191" w:type="dxa"/>
            <w:gridSpan w:val="2"/>
          </w:tcPr>
          <w:p w14:paraId="00E8981B" w14:textId="77777777" w:rsidR="00C14603" w:rsidRPr="00C14603" w:rsidRDefault="00C14603" w:rsidP="00C14603">
            <w:pPr>
              <w:rPr>
                <w:b/>
                <w:bCs/>
                <w:sz w:val="18"/>
                <w:szCs w:val="18"/>
                <w:lang w:val="en-US"/>
              </w:rPr>
            </w:pPr>
            <w:r w:rsidRPr="00C14603">
              <w:rPr>
                <w:b/>
                <w:bCs/>
                <w:sz w:val="18"/>
                <w:szCs w:val="18"/>
                <w:lang w:val="en-US"/>
              </w:rPr>
              <w:t>Day 2</w:t>
            </w:r>
          </w:p>
        </w:tc>
        <w:tc>
          <w:tcPr>
            <w:tcW w:w="1191" w:type="dxa"/>
            <w:gridSpan w:val="2"/>
          </w:tcPr>
          <w:p w14:paraId="761FFCE7" w14:textId="77777777" w:rsidR="00C14603" w:rsidRPr="00C14603" w:rsidRDefault="00C14603" w:rsidP="00C14603">
            <w:pPr>
              <w:rPr>
                <w:b/>
                <w:bCs/>
                <w:sz w:val="18"/>
                <w:szCs w:val="18"/>
                <w:lang w:val="en-US"/>
              </w:rPr>
            </w:pPr>
            <w:r w:rsidRPr="00C14603">
              <w:rPr>
                <w:b/>
                <w:bCs/>
                <w:sz w:val="18"/>
                <w:szCs w:val="18"/>
                <w:lang w:val="en-US"/>
              </w:rPr>
              <w:t>Day 3</w:t>
            </w:r>
          </w:p>
        </w:tc>
        <w:tc>
          <w:tcPr>
            <w:tcW w:w="1191" w:type="dxa"/>
            <w:gridSpan w:val="2"/>
          </w:tcPr>
          <w:p w14:paraId="4436137E" w14:textId="77777777" w:rsidR="00C14603" w:rsidRPr="00C14603" w:rsidRDefault="00C14603" w:rsidP="00C14603">
            <w:pPr>
              <w:rPr>
                <w:b/>
                <w:bCs/>
                <w:sz w:val="18"/>
                <w:szCs w:val="18"/>
                <w:lang w:val="en-US"/>
              </w:rPr>
            </w:pPr>
            <w:r w:rsidRPr="00C14603">
              <w:rPr>
                <w:b/>
                <w:bCs/>
                <w:sz w:val="18"/>
                <w:szCs w:val="18"/>
                <w:lang w:val="en-US"/>
              </w:rPr>
              <w:t>Day 4</w:t>
            </w:r>
          </w:p>
        </w:tc>
        <w:tc>
          <w:tcPr>
            <w:tcW w:w="1191" w:type="dxa"/>
            <w:gridSpan w:val="2"/>
            <w:tcBorders>
              <w:right w:val="single" w:sz="12" w:space="0" w:color="auto"/>
            </w:tcBorders>
          </w:tcPr>
          <w:p w14:paraId="6996AB9A" w14:textId="77777777" w:rsidR="00C14603" w:rsidRPr="00C14603" w:rsidRDefault="00C14603" w:rsidP="00C14603">
            <w:pPr>
              <w:rPr>
                <w:b/>
                <w:bCs/>
                <w:sz w:val="18"/>
                <w:szCs w:val="18"/>
                <w:lang w:val="en-US"/>
              </w:rPr>
            </w:pPr>
            <w:r w:rsidRPr="00C14603">
              <w:rPr>
                <w:b/>
                <w:bCs/>
                <w:sz w:val="18"/>
                <w:szCs w:val="18"/>
                <w:lang w:val="en-US"/>
              </w:rPr>
              <w:t>Day 5</w:t>
            </w:r>
          </w:p>
        </w:tc>
        <w:tc>
          <w:tcPr>
            <w:tcW w:w="1203" w:type="dxa"/>
            <w:gridSpan w:val="3"/>
            <w:tcBorders>
              <w:left w:val="single" w:sz="12" w:space="0" w:color="auto"/>
            </w:tcBorders>
          </w:tcPr>
          <w:p w14:paraId="54422330" w14:textId="77777777" w:rsidR="00C14603" w:rsidRPr="00C14603" w:rsidRDefault="00C14603" w:rsidP="00C14603">
            <w:pPr>
              <w:rPr>
                <w:b/>
                <w:bCs/>
                <w:sz w:val="18"/>
                <w:szCs w:val="18"/>
                <w:lang w:val="en-US"/>
              </w:rPr>
            </w:pPr>
            <w:r w:rsidRPr="00C14603">
              <w:rPr>
                <w:b/>
                <w:bCs/>
                <w:sz w:val="18"/>
                <w:szCs w:val="18"/>
                <w:lang w:val="en-US"/>
              </w:rPr>
              <w:t>Total for 70 kg adult</w:t>
            </w:r>
          </w:p>
        </w:tc>
      </w:tr>
      <w:tr w:rsidR="00C14603" w:rsidRPr="00356C60" w14:paraId="742448C3" w14:textId="77777777" w:rsidTr="00C14603">
        <w:trPr>
          <w:gridAfter w:val="1"/>
          <w:wAfter w:w="13" w:type="dxa"/>
          <w:trHeight w:val="320"/>
        </w:trPr>
        <w:tc>
          <w:tcPr>
            <w:tcW w:w="280" w:type="dxa"/>
          </w:tcPr>
          <w:p w14:paraId="0455A901" w14:textId="77777777" w:rsidR="00C14603" w:rsidRPr="00C14603" w:rsidRDefault="00C14603" w:rsidP="00C14603">
            <w:pPr>
              <w:rPr>
                <w:sz w:val="18"/>
                <w:szCs w:val="18"/>
                <w:lang w:val="en-US"/>
              </w:rPr>
            </w:pPr>
          </w:p>
        </w:tc>
        <w:tc>
          <w:tcPr>
            <w:tcW w:w="992" w:type="dxa"/>
          </w:tcPr>
          <w:p w14:paraId="65413027" w14:textId="77777777" w:rsidR="00C14603" w:rsidRPr="00C14603" w:rsidRDefault="00C14603" w:rsidP="00C14603">
            <w:pPr>
              <w:rPr>
                <w:sz w:val="18"/>
                <w:szCs w:val="18"/>
                <w:lang w:val="en-US"/>
              </w:rPr>
            </w:pPr>
          </w:p>
        </w:tc>
        <w:tc>
          <w:tcPr>
            <w:tcW w:w="709" w:type="dxa"/>
            <w:tcBorders>
              <w:right w:val="single" w:sz="12" w:space="0" w:color="auto"/>
            </w:tcBorders>
          </w:tcPr>
          <w:p w14:paraId="10E12921" w14:textId="77777777" w:rsidR="00C14603" w:rsidRPr="00C14603" w:rsidRDefault="00C14603" w:rsidP="00C14603">
            <w:pPr>
              <w:rPr>
                <w:sz w:val="18"/>
                <w:szCs w:val="18"/>
                <w:lang w:val="en-US"/>
              </w:rPr>
            </w:pPr>
          </w:p>
        </w:tc>
        <w:tc>
          <w:tcPr>
            <w:tcW w:w="595" w:type="dxa"/>
            <w:tcBorders>
              <w:left w:val="single" w:sz="12" w:space="0" w:color="auto"/>
            </w:tcBorders>
          </w:tcPr>
          <w:p w14:paraId="28F38C1D" w14:textId="77777777" w:rsidR="00C14603" w:rsidRPr="00C14603" w:rsidRDefault="00C14603" w:rsidP="00C14603">
            <w:pPr>
              <w:rPr>
                <w:sz w:val="18"/>
                <w:szCs w:val="18"/>
                <w:lang w:val="en-US"/>
              </w:rPr>
            </w:pPr>
            <w:r w:rsidRPr="00C14603">
              <w:rPr>
                <w:sz w:val="18"/>
                <w:szCs w:val="18"/>
                <w:lang w:val="en-US"/>
              </w:rPr>
              <w:t>0</w:t>
            </w:r>
          </w:p>
        </w:tc>
        <w:tc>
          <w:tcPr>
            <w:tcW w:w="598" w:type="dxa"/>
          </w:tcPr>
          <w:p w14:paraId="2253060F" w14:textId="77777777" w:rsidR="00C14603" w:rsidRPr="00C14603" w:rsidRDefault="00C14603" w:rsidP="00C14603">
            <w:pPr>
              <w:rPr>
                <w:sz w:val="18"/>
                <w:szCs w:val="18"/>
                <w:lang w:val="en-US"/>
              </w:rPr>
            </w:pPr>
            <w:r w:rsidRPr="00C14603">
              <w:rPr>
                <w:sz w:val="18"/>
                <w:szCs w:val="18"/>
                <w:lang w:val="en-US"/>
              </w:rPr>
              <w:t>6</w:t>
            </w:r>
          </w:p>
        </w:tc>
        <w:tc>
          <w:tcPr>
            <w:tcW w:w="594" w:type="dxa"/>
          </w:tcPr>
          <w:p w14:paraId="661C38E6" w14:textId="77777777" w:rsidR="00C14603" w:rsidRPr="00C14603" w:rsidRDefault="00C14603" w:rsidP="00C14603">
            <w:pPr>
              <w:rPr>
                <w:sz w:val="18"/>
                <w:szCs w:val="18"/>
                <w:lang w:val="en-US"/>
              </w:rPr>
            </w:pPr>
            <w:r w:rsidRPr="00C14603">
              <w:rPr>
                <w:sz w:val="18"/>
                <w:szCs w:val="18"/>
                <w:lang w:val="en-US"/>
              </w:rPr>
              <w:t>12</w:t>
            </w:r>
          </w:p>
        </w:tc>
        <w:tc>
          <w:tcPr>
            <w:tcW w:w="597" w:type="dxa"/>
          </w:tcPr>
          <w:p w14:paraId="63BFCC62" w14:textId="77777777" w:rsidR="00C14603" w:rsidRPr="00C14603" w:rsidRDefault="00C14603" w:rsidP="00C14603">
            <w:pPr>
              <w:rPr>
                <w:sz w:val="18"/>
                <w:szCs w:val="18"/>
                <w:lang w:val="en-US"/>
              </w:rPr>
            </w:pPr>
            <w:r w:rsidRPr="00C14603">
              <w:rPr>
                <w:sz w:val="18"/>
                <w:szCs w:val="18"/>
                <w:lang w:val="en-US"/>
              </w:rPr>
              <w:t>18</w:t>
            </w:r>
          </w:p>
        </w:tc>
        <w:tc>
          <w:tcPr>
            <w:tcW w:w="595" w:type="dxa"/>
          </w:tcPr>
          <w:p w14:paraId="5010BCF8" w14:textId="77777777" w:rsidR="00C14603" w:rsidRPr="00C14603" w:rsidRDefault="00C14603" w:rsidP="00C14603">
            <w:pPr>
              <w:rPr>
                <w:sz w:val="18"/>
                <w:szCs w:val="18"/>
                <w:lang w:val="en-US"/>
              </w:rPr>
            </w:pPr>
            <w:r w:rsidRPr="00C14603">
              <w:rPr>
                <w:sz w:val="18"/>
                <w:szCs w:val="18"/>
                <w:lang w:val="en-US"/>
              </w:rPr>
              <w:t>24</w:t>
            </w:r>
          </w:p>
        </w:tc>
        <w:tc>
          <w:tcPr>
            <w:tcW w:w="596" w:type="dxa"/>
          </w:tcPr>
          <w:p w14:paraId="2D2E491E" w14:textId="77777777" w:rsidR="00C14603" w:rsidRPr="00C14603" w:rsidRDefault="00C14603" w:rsidP="00C14603">
            <w:pPr>
              <w:rPr>
                <w:sz w:val="18"/>
                <w:szCs w:val="18"/>
                <w:lang w:val="en-US"/>
              </w:rPr>
            </w:pPr>
            <w:r w:rsidRPr="00C14603">
              <w:rPr>
                <w:sz w:val="18"/>
                <w:szCs w:val="18"/>
                <w:lang w:val="en-US"/>
              </w:rPr>
              <w:t>36</w:t>
            </w:r>
          </w:p>
        </w:tc>
        <w:tc>
          <w:tcPr>
            <w:tcW w:w="595" w:type="dxa"/>
          </w:tcPr>
          <w:p w14:paraId="63B7C143" w14:textId="77777777" w:rsidR="00C14603" w:rsidRPr="00C14603" w:rsidRDefault="00C14603" w:rsidP="00C14603">
            <w:pPr>
              <w:rPr>
                <w:sz w:val="18"/>
                <w:szCs w:val="18"/>
                <w:lang w:val="en-US"/>
              </w:rPr>
            </w:pPr>
            <w:r w:rsidRPr="00C14603">
              <w:rPr>
                <w:sz w:val="18"/>
                <w:szCs w:val="18"/>
                <w:lang w:val="en-US"/>
              </w:rPr>
              <w:t>48</w:t>
            </w:r>
          </w:p>
        </w:tc>
        <w:tc>
          <w:tcPr>
            <w:tcW w:w="596" w:type="dxa"/>
          </w:tcPr>
          <w:p w14:paraId="1B7E1E7A" w14:textId="77777777" w:rsidR="00C14603" w:rsidRPr="00C14603" w:rsidRDefault="00C14603" w:rsidP="00C14603">
            <w:pPr>
              <w:rPr>
                <w:sz w:val="18"/>
                <w:szCs w:val="18"/>
                <w:lang w:val="en-US"/>
              </w:rPr>
            </w:pPr>
            <w:r w:rsidRPr="00C14603">
              <w:rPr>
                <w:sz w:val="18"/>
                <w:szCs w:val="18"/>
                <w:lang w:val="en-US"/>
              </w:rPr>
              <w:t>60</w:t>
            </w:r>
          </w:p>
        </w:tc>
        <w:tc>
          <w:tcPr>
            <w:tcW w:w="594" w:type="dxa"/>
          </w:tcPr>
          <w:p w14:paraId="506400D1" w14:textId="77777777" w:rsidR="00C14603" w:rsidRPr="00C14603" w:rsidRDefault="00C14603" w:rsidP="00C14603">
            <w:pPr>
              <w:rPr>
                <w:sz w:val="18"/>
                <w:szCs w:val="18"/>
                <w:lang w:val="en-US"/>
              </w:rPr>
            </w:pPr>
            <w:r w:rsidRPr="00C14603">
              <w:rPr>
                <w:sz w:val="18"/>
                <w:szCs w:val="18"/>
                <w:lang w:val="en-US"/>
              </w:rPr>
              <w:t>72</w:t>
            </w:r>
          </w:p>
        </w:tc>
        <w:tc>
          <w:tcPr>
            <w:tcW w:w="597" w:type="dxa"/>
          </w:tcPr>
          <w:p w14:paraId="27802B3E" w14:textId="77777777" w:rsidR="00C14603" w:rsidRPr="00C14603" w:rsidRDefault="00C14603" w:rsidP="00C14603">
            <w:pPr>
              <w:rPr>
                <w:sz w:val="18"/>
                <w:szCs w:val="18"/>
                <w:lang w:val="en-US"/>
              </w:rPr>
            </w:pPr>
            <w:r w:rsidRPr="00C14603">
              <w:rPr>
                <w:sz w:val="18"/>
                <w:szCs w:val="18"/>
                <w:lang w:val="en-US"/>
              </w:rPr>
              <w:t>84</w:t>
            </w:r>
          </w:p>
        </w:tc>
        <w:tc>
          <w:tcPr>
            <w:tcW w:w="595" w:type="dxa"/>
          </w:tcPr>
          <w:p w14:paraId="7B07B0C7" w14:textId="77777777" w:rsidR="00C14603" w:rsidRPr="00C14603" w:rsidRDefault="00C14603" w:rsidP="00C14603">
            <w:pPr>
              <w:rPr>
                <w:sz w:val="18"/>
                <w:szCs w:val="18"/>
                <w:lang w:val="en-US"/>
              </w:rPr>
            </w:pPr>
            <w:r w:rsidRPr="00C14603">
              <w:rPr>
                <w:sz w:val="18"/>
                <w:szCs w:val="18"/>
                <w:lang w:val="en-US"/>
              </w:rPr>
              <w:t>96</w:t>
            </w:r>
          </w:p>
        </w:tc>
        <w:tc>
          <w:tcPr>
            <w:tcW w:w="596" w:type="dxa"/>
            <w:tcBorders>
              <w:right w:val="single" w:sz="12" w:space="0" w:color="auto"/>
            </w:tcBorders>
          </w:tcPr>
          <w:p w14:paraId="7115B887" w14:textId="77777777" w:rsidR="00C14603" w:rsidRPr="00C14603" w:rsidRDefault="00C14603" w:rsidP="00C14603">
            <w:pPr>
              <w:rPr>
                <w:sz w:val="18"/>
                <w:szCs w:val="18"/>
                <w:lang w:val="en-US"/>
              </w:rPr>
            </w:pPr>
            <w:r w:rsidRPr="00C14603">
              <w:rPr>
                <w:sz w:val="18"/>
                <w:szCs w:val="18"/>
                <w:lang w:val="en-US"/>
              </w:rPr>
              <w:t>108</w:t>
            </w:r>
          </w:p>
        </w:tc>
        <w:tc>
          <w:tcPr>
            <w:tcW w:w="595" w:type="dxa"/>
            <w:tcBorders>
              <w:left w:val="single" w:sz="12" w:space="0" w:color="auto"/>
            </w:tcBorders>
          </w:tcPr>
          <w:p w14:paraId="69550528" w14:textId="77777777" w:rsidR="00C14603" w:rsidRPr="00C14603" w:rsidRDefault="00C14603" w:rsidP="00C14603">
            <w:pPr>
              <w:rPr>
                <w:sz w:val="18"/>
                <w:szCs w:val="18"/>
                <w:lang w:val="en-US"/>
              </w:rPr>
            </w:pPr>
            <w:r w:rsidRPr="00C14603">
              <w:rPr>
                <w:sz w:val="18"/>
                <w:szCs w:val="18"/>
                <w:lang w:val="en-US"/>
              </w:rPr>
              <w:t>mg</w:t>
            </w:r>
          </w:p>
        </w:tc>
        <w:tc>
          <w:tcPr>
            <w:tcW w:w="595" w:type="dxa"/>
          </w:tcPr>
          <w:p w14:paraId="7DB3C1F1" w14:textId="77777777" w:rsidR="00C14603" w:rsidRPr="00C14603" w:rsidRDefault="00C14603" w:rsidP="00C14603">
            <w:pPr>
              <w:rPr>
                <w:sz w:val="18"/>
                <w:szCs w:val="18"/>
                <w:lang w:val="en-US"/>
              </w:rPr>
            </w:pPr>
            <w:r w:rsidRPr="00C14603">
              <w:rPr>
                <w:sz w:val="18"/>
                <w:szCs w:val="18"/>
                <w:lang w:val="en-US"/>
              </w:rPr>
              <w:t>mg/kg</w:t>
            </w:r>
          </w:p>
        </w:tc>
      </w:tr>
      <w:tr w:rsidR="00C14603" w:rsidRPr="000D64AF" w14:paraId="55209924" w14:textId="77777777" w:rsidTr="00C14603">
        <w:trPr>
          <w:gridAfter w:val="1"/>
          <w:wAfter w:w="13" w:type="dxa"/>
          <w:trHeight w:val="320"/>
        </w:trPr>
        <w:tc>
          <w:tcPr>
            <w:tcW w:w="280" w:type="dxa"/>
          </w:tcPr>
          <w:p w14:paraId="2F0857C1" w14:textId="77777777" w:rsidR="00C14603" w:rsidRPr="00C14603" w:rsidRDefault="00C14603" w:rsidP="00C14603">
            <w:pPr>
              <w:rPr>
                <w:sz w:val="18"/>
                <w:szCs w:val="18"/>
                <w:lang w:val="en-US"/>
              </w:rPr>
            </w:pPr>
            <w:r w:rsidRPr="00C14603">
              <w:rPr>
                <w:sz w:val="18"/>
                <w:szCs w:val="18"/>
                <w:lang w:val="en-US"/>
              </w:rPr>
              <w:t>1</w:t>
            </w:r>
          </w:p>
        </w:tc>
        <w:tc>
          <w:tcPr>
            <w:tcW w:w="992" w:type="dxa"/>
          </w:tcPr>
          <w:p w14:paraId="6E1B44C7" w14:textId="393BEF01" w:rsidR="00C14603" w:rsidRPr="000D64AF" w:rsidRDefault="00C14603" w:rsidP="00C14603">
            <w:pPr>
              <w:rPr>
                <w:sz w:val="18"/>
                <w:szCs w:val="18"/>
              </w:rPr>
            </w:pPr>
            <w:r w:rsidRPr="00C14603">
              <w:rPr>
                <w:sz w:val="18"/>
                <w:szCs w:val="18"/>
                <w:lang w:val="en-US"/>
              </w:rPr>
              <w:t>SWAB</w:t>
            </w:r>
            <w:r w:rsidRPr="00C14603">
              <w:rPr>
                <w:sz w:val="18"/>
                <w:szCs w:val="18"/>
                <w:vertAlign w:val="superscript"/>
                <w:lang w:val="en-US"/>
              </w:rPr>
              <w:t xml:space="preserve"> </w:t>
            </w:r>
            <w:r>
              <w:rPr>
                <w:sz w:val="18"/>
                <w:szCs w:val="18"/>
                <w:vertAlign w:val="superscript"/>
              </w:rPr>
              <w:fldChar w:fldCharType="begin" w:fldLock="1"/>
            </w:r>
            <w:r w:rsidR="00BE1F70">
              <w:rPr>
                <w:sz w:val="18"/>
                <w:szCs w:val="18"/>
                <w:vertAlign w:val="superscript"/>
                <w:lang w:val="en-US"/>
              </w:rPr>
              <w:instrText>ADDIN CSL_CITATION {"citationItems":[{"id":"ITEM-1","itemData":{"URL":"https://swab.nl/nl/covid-19","accessed":{"date-parts":[["2020","3","24"]]},"author":[{"dropping-particle":"","family":"Stichting Werkgroep Antibiotica Beleid (SWAB)","given":"","non-dropping-particle":"","parse-names":false,"suffix":""}],"id":"ITEM-1","issued":{"date-parts":[["0"]]},"title":"Medicamenteuze behandelopties bij patiënten met COVID-19 (infecties met SARS-CoV-2)","type":"webpage"},"uris":["http://www.mendeley.com/documents/?uuid=524541bf-c6e8-4362-ba04-153d9d327097"]}],"mendeley":{"formattedCitation":"[10]","plainTextFormattedCitation":"[10]","previouslyFormattedCitation":"[10]"},"properties":{"noteIndex":0},"schema":"https://github.com/citation-style-language/schema/raw/master/csl-citation.json"}</w:instrText>
            </w:r>
            <w:r>
              <w:rPr>
                <w:sz w:val="18"/>
                <w:szCs w:val="18"/>
                <w:vertAlign w:val="superscript"/>
              </w:rPr>
              <w:fldChar w:fldCharType="separate"/>
            </w:r>
            <w:r w:rsidR="00BD7649" w:rsidRPr="00BD7649">
              <w:rPr>
                <w:noProof/>
                <w:sz w:val="18"/>
                <w:szCs w:val="18"/>
              </w:rPr>
              <w:t>[10]</w:t>
            </w:r>
            <w:r>
              <w:rPr>
                <w:sz w:val="18"/>
                <w:szCs w:val="18"/>
                <w:vertAlign w:val="superscript"/>
              </w:rPr>
              <w:fldChar w:fldCharType="end"/>
            </w:r>
          </w:p>
        </w:tc>
        <w:tc>
          <w:tcPr>
            <w:tcW w:w="709" w:type="dxa"/>
            <w:tcBorders>
              <w:right w:val="single" w:sz="12" w:space="0" w:color="auto"/>
            </w:tcBorders>
          </w:tcPr>
          <w:p w14:paraId="272A72F1" w14:textId="77777777" w:rsidR="00C14603" w:rsidRPr="000D64AF" w:rsidRDefault="00C14603" w:rsidP="00C14603">
            <w:pPr>
              <w:rPr>
                <w:sz w:val="18"/>
                <w:szCs w:val="18"/>
              </w:rPr>
            </w:pPr>
            <w:r>
              <w:rPr>
                <w:sz w:val="18"/>
                <w:szCs w:val="18"/>
              </w:rPr>
              <w:t>mg</w:t>
            </w:r>
          </w:p>
        </w:tc>
        <w:tc>
          <w:tcPr>
            <w:tcW w:w="595" w:type="dxa"/>
            <w:tcBorders>
              <w:left w:val="single" w:sz="12" w:space="0" w:color="auto"/>
            </w:tcBorders>
          </w:tcPr>
          <w:p w14:paraId="228849B7" w14:textId="77777777" w:rsidR="00C14603" w:rsidRPr="000D64AF" w:rsidRDefault="00C14603" w:rsidP="00C14603">
            <w:pPr>
              <w:rPr>
                <w:sz w:val="18"/>
                <w:szCs w:val="18"/>
              </w:rPr>
            </w:pPr>
            <w:r w:rsidRPr="000D64AF">
              <w:rPr>
                <w:sz w:val="18"/>
                <w:szCs w:val="18"/>
              </w:rPr>
              <w:t xml:space="preserve">600 </w:t>
            </w:r>
          </w:p>
        </w:tc>
        <w:tc>
          <w:tcPr>
            <w:tcW w:w="598" w:type="dxa"/>
          </w:tcPr>
          <w:p w14:paraId="6180B3DD" w14:textId="77777777" w:rsidR="00C14603" w:rsidRPr="000D64AF" w:rsidRDefault="00C14603" w:rsidP="00C14603">
            <w:pPr>
              <w:rPr>
                <w:sz w:val="18"/>
                <w:szCs w:val="18"/>
              </w:rPr>
            </w:pPr>
          </w:p>
        </w:tc>
        <w:tc>
          <w:tcPr>
            <w:tcW w:w="594" w:type="dxa"/>
          </w:tcPr>
          <w:p w14:paraId="218122F1" w14:textId="77777777" w:rsidR="00C14603" w:rsidRPr="000D64AF" w:rsidRDefault="00C14603" w:rsidP="00C14603">
            <w:pPr>
              <w:rPr>
                <w:sz w:val="18"/>
                <w:szCs w:val="18"/>
              </w:rPr>
            </w:pPr>
            <w:r w:rsidRPr="000D64AF">
              <w:rPr>
                <w:sz w:val="18"/>
                <w:szCs w:val="18"/>
              </w:rPr>
              <w:t xml:space="preserve">300 </w:t>
            </w:r>
          </w:p>
        </w:tc>
        <w:tc>
          <w:tcPr>
            <w:tcW w:w="597" w:type="dxa"/>
          </w:tcPr>
          <w:p w14:paraId="7226427A" w14:textId="77777777" w:rsidR="00C14603" w:rsidRPr="000D64AF" w:rsidRDefault="00C14603" w:rsidP="00C14603">
            <w:pPr>
              <w:rPr>
                <w:sz w:val="18"/>
                <w:szCs w:val="18"/>
              </w:rPr>
            </w:pPr>
          </w:p>
        </w:tc>
        <w:tc>
          <w:tcPr>
            <w:tcW w:w="595" w:type="dxa"/>
          </w:tcPr>
          <w:p w14:paraId="40D134BC" w14:textId="77777777" w:rsidR="00C14603" w:rsidRPr="000D64AF" w:rsidRDefault="00C14603" w:rsidP="00C14603">
            <w:pPr>
              <w:rPr>
                <w:sz w:val="18"/>
                <w:szCs w:val="18"/>
              </w:rPr>
            </w:pPr>
            <w:r w:rsidRPr="000D64AF">
              <w:rPr>
                <w:sz w:val="18"/>
                <w:szCs w:val="18"/>
              </w:rPr>
              <w:t>300</w:t>
            </w:r>
          </w:p>
        </w:tc>
        <w:tc>
          <w:tcPr>
            <w:tcW w:w="596" w:type="dxa"/>
          </w:tcPr>
          <w:p w14:paraId="34E0F839" w14:textId="77777777" w:rsidR="00C14603" w:rsidRPr="000D64AF" w:rsidRDefault="00C14603" w:rsidP="00C14603">
            <w:pPr>
              <w:rPr>
                <w:sz w:val="18"/>
                <w:szCs w:val="18"/>
              </w:rPr>
            </w:pPr>
            <w:r w:rsidRPr="000D64AF">
              <w:rPr>
                <w:sz w:val="18"/>
                <w:szCs w:val="18"/>
              </w:rPr>
              <w:t>300</w:t>
            </w:r>
          </w:p>
        </w:tc>
        <w:tc>
          <w:tcPr>
            <w:tcW w:w="595" w:type="dxa"/>
          </w:tcPr>
          <w:p w14:paraId="359F7A13" w14:textId="77777777" w:rsidR="00C14603" w:rsidRPr="000D64AF" w:rsidRDefault="00C14603" w:rsidP="00C14603">
            <w:pPr>
              <w:rPr>
                <w:sz w:val="18"/>
                <w:szCs w:val="18"/>
              </w:rPr>
            </w:pPr>
            <w:r w:rsidRPr="000D64AF">
              <w:rPr>
                <w:sz w:val="18"/>
                <w:szCs w:val="18"/>
              </w:rPr>
              <w:t>300</w:t>
            </w:r>
          </w:p>
        </w:tc>
        <w:tc>
          <w:tcPr>
            <w:tcW w:w="596" w:type="dxa"/>
          </w:tcPr>
          <w:p w14:paraId="421AFCCD" w14:textId="77777777" w:rsidR="00C14603" w:rsidRPr="000D64AF" w:rsidRDefault="00C14603" w:rsidP="00C14603">
            <w:pPr>
              <w:rPr>
                <w:sz w:val="18"/>
                <w:szCs w:val="18"/>
              </w:rPr>
            </w:pPr>
            <w:r w:rsidRPr="000D64AF">
              <w:rPr>
                <w:sz w:val="18"/>
                <w:szCs w:val="18"/>
              </w:rPr>
              <w:t>300</w:t>
            </w:r>
          </w:p>
        </w:tc>
        <w:tc>
          <w:tcPr>
            <w:tcW w:w="594" w:type="dxa"/>
          </w:tcPr>
          <w:p w14:paraId="20610C68" w14:textId="77777777" w:rsidR="00C14603" w:rsidRPr="000D64AF" w:rsidRDefault="00C14603" w:rsidP="00C14603">
            <w:pPr>
              <w:rPr>
                <w:sz w:val="18"/>
                <w:szCs w:val="18"/>
              </w:rPr>
            </w:pPr>
            <w:r w:rsidRPr="000D64AF">
              <w:rPr>
                <w:sz w:val="18"/>
                <w:szCs w:val="18"/>
              </w:rPr>
              <w:t>300</w:t>
            </w:r>
          </w:p>
        </w:tc>
        <w:tc>
          <w:tcPr>
            <w:tcW w:w="597" w:type="dxa"/>
          </w:tcPr>
          <w:p w14:paraId="4625B3A5" w14:textId="77777777" w:rsidR="00C14603" w:rsidRPr="000D64AF" w:rsidRDefault="00C14603" w:rsidP="00C14603">
            <w:pPr>
              <w:rPr>
                <w:sz w:val="18"/>
                <w:szCs w:val="18"/>
              </w:rPr>
            </w:pPr>
            <w:r w:rsidRPr="000D64AF">
              <w:rPr>
                <w:sz w:val="18"/>
                <w:szCs w:val="18"/>
              </w:rPr>
              <w:t>300</w:t>
            </w:r>
          </w:p>
        </w:tc>
        <w:tc>
          <w:tcPr>
            <w:tcW w:w="595" w:type="dxa"/>
          </w:tcPr>
          <w:p w14:paraId="2F698DD2" w14:textId="77777777" w:rsidR="00C14603" w:rsidRPr="000D64AF" w:rsidRDefault="00C14603" w:rsidP="00C14603">
            <w:pPr>
              <w:rPr>
                <w:sz w:val="18"/>
                <w:szCs w:val="18"/>
              </w:rPr>
            </w:pPr>
            <w:r w:rsidRPr="000D64AF">
              <w:rPr>
                <w:sz w:val="18"/>
                <w:szCs w:val="18"/>
              </w:rPr>
              <w:t>300</w:t>
            </w:r>
          </w:p>
        </w:tc>
        <w:tc>
          <w:tcPr>
            <w:tcW w:w="596" w:type="dxa"/>
            <w:tcBorders>
              <w:right w:val="single" w:sz="12" w:space="0" w:color="auto"/>
            </w:tcBorders>
          </w:tcPr>
          <w:p w14:paraId="7F7272B3" w14:textId="77777777" w:rsidR="00C14603" w:rsidRPr="000D64AF" w:rsidRDefault="00C14603" w:rsidP="00C14603">
            <w:pPr>
              <w:rPr>
                <w:sz w:val="18"/>
                <w:szCs w:val="18"/>
              </w:rPr>
            </w:pPr>
            <w:r w:rsidRPr="000D64AF">
              <w:rPr>
                <w:sz w:val="18"/>
                <w:szCs w:val="18"/>
              </w:rPr>
              <w:t>300</w:t>
            </w:r>
          </w:p>
        </w:tc>
        <w:tc>
          <w:tcPr>
            <w:tcW w:w="595" w:type="dxa"/>
            <w:tcBorders>
              <w:left w:val="single" w:sz="12" w:space="0" w:color="auto"/>
            </w:tcBorders>
          </w:tcPr>
          <w:p w14:paraId="64A72CD2" w14:textId="77777777" w:rsidR="00C14603" w:rsidRPr="000D64AF" w:rsidRDefault="00C14603" w:rsidP="00C14603">
            <w:pPr>
              <w:rPr>
                <w:sz w:val="18"/>
                <w:szCs w:val="18"/>
              </w:rPr>
            </w:pPr>
            <w:r>
              <w:rPr>
                <w:sz w:val="18"/>
                <w:szCs w:val="18"/>
              </w:rPr>
              <w:t>3300</w:t>
            </w:r>
          </w:p>
        </w:tc>
        <w:tc>
          <w:tcPr>
            <w:tcW w:w="595" w:type="dxa"/>
          </w:tcPr>
          <w:p w14:paraId="7C6F4E6D" w14:textId="77777777" w:rsidR="00C14603" w:rsidRPr="000D64AF" w:rsidRDefault="00C14603" w:rsidP="00C14603">
            <w:pPr>
              <w:rPr>
                <w:sz w:val="18"/>
                <w:szCs w:val="18"/>
              </w:rPr>
            </w:pPr>
            <w:r>
              <w:rPr>
                <w:sz w:val="18"/>
                <w:szCs w:val="18"/>
              </w:rPr>
              <w:t xml:space="preserve">47 </w:t>
            </w:r>
          </w:p>
        </w:tc>
      </w:tr>
      <w:tr w:rsidR="00C14603" w:rsidRPr="000D64AF" w14:paraId="0FAA450D" w14:textId="77777777" w:rsidTr="00C14603">
        <w:trPr>
          <w:gridAfter w:val="1"/>
          <w:wAfter w:w="13" w:type="dxa"/>
          <w:trHeight w:val="320"/>
        </w:trPr>
        <w:tc>
          <w:tcPr>
            <w:tcW w:w="280" w:type="dxa"/>
          </w:tcPr>
          <w:p w14:paraId="5E9FE97F" w14:textId="77777777" w:rsidR="00C14603" w:rsidRPr="000D64AF" w:rsidRDefault="00C14603" w:rsidP="00C14603">
            <w:pPr>
              <w:rPr>
                <w:sz w:val="18"/>
                <w:szCs w:val="18"/>
              </w:rPr>
            </w:pPr>
            <w:r>
              <w:rPr>
                <w:sz w:val="18"/>
                <w:szCs w:val="18"/>
              </w:rPr>
              <w:t>2</w:t>
            </w:r>
          </w:p>
        </w:tc>
        <w:tc>
          <w:tcPr>
            <w:tcW w:w="992" w:type="dxa"/>
          </w:tcPr>
          <w:p w14:paraId="37CD8ACC" w14:textId="061CA571" w:rsidR="00C14603" w:rsidRPr="000D64AF" w:rsidRDefault="00C14603" w:rsidP="00C14603">
            <w:pPr>
              <w:rPr>
                <w:sz w:val="18"/>
                <w:szCs w:val="18"/>
              </w:rPr>
            </w:pPr>
            <w:r>
              <w:rPr>
                <w:sz w:val="18"/>
                <w:szCs w:val="18"/>
              </w:rPr>
              <w:t>Pussard</w:t>
            </w:r>
            <w:r>
              <w:rPr>
                <w:sz w:val="18"/>
                <w:szCs w:val="18"/>
                <w:vertAlign w:val="superscript"/>
              </w:rPr>
              <w:t xml:space="preserve"> </w:t>
            </w:r>
            <w:r>
              <w:rPr>
                <w:sz w:val="18"/>
                <w:szCs w:val="18"/>
                <w:vertAlign w:val="superscript"/>
              </w:rPr>
              <w:fldChar w:fldCharType="begin" w:fldLock="1"/>
            </w:r>
            <w:r w:rsidR="00BE1F70">
              <w:rPr>
                <w:sz w:val="18"/>
                <w:szCs w:val="18"/>
                <w:vertAlign w:val="superscript"/>
              </w:rPr>
              <w:instrText>ADDIN CSL_CITATION {"citationItems":[{"id":"ITEM-1","itemData":{"DOI":"10.1128/AAC.35.3.406","ISSN":"00664804","abstract":"The efficacy of a loading dose of 20 mg of chloroquine per kg of body weight per os given at intervals during the first day was evaluated in 27 patients in Madagascar with Plasmodium falciparum malaria. The conventional regimen of 25 mg/kg over 3 days (schedule 1) was thus compared with a regimen of 30 mg/kg over 2 days (schedule 2; one dose of 10 mg/kg followed by two doses of 5 mg/kg at 6-h intervals on the first day and two doses of 5 mg/kg at 12-h intervals on the second day) in terms of their clinical and parasitological efficacies, tolerance, and drug concentration-time curves. At 24 h schedule 2 gave higher chloroquine levels in blood, which induced a more rapid decrease in parasitemia. The time required for a 50% decrease in the initial parasitemia was shorter in patients on schedule 2 (14.3 ± 1.6 h) than it was in patients on schedule 1 (35.5 ± 5.4 h; P&lt;0.01). Moreover, negative blood smears were obtained more rapidly with schedule 2 (50.8 ± 3.7 h) than with schedule 1 (72 ± 8.7 h). As predicted by the drug concentration-time curve, no high, potentially toxic peak drug concentration appeared and no adverse effects were observed with the loading dose regimen (schedule 2). These findings support the idea that a loading dose of 20 mg/kg given at intervals during the first 12 h is well tolerated and can be used to obtain a more rapid decrease in parasitemia and to shorten the treatment time of uncomplicated chloroquine-susceptible falciparum malaria in the field.","author":[{"dropping-particle":"","family":"Pussard","given":"E.","non-dropping-particle":"","parse-names":false,"suffix":""},{"dropping-particle":"","family":"Lepers","given":"J. P.","non-dropping-particle":"","parse-names":false,"suffix":""},{"dropping-particle":"","family":"Clavier","given":"F.","non-dropping-particle":"","parse-names":false,"suffix":""},{"dropping-particle":"","family":"Raharimalala","given":"L.","non-dropping-particle":"","parse-names":false,"suffix":""},{"dropping-particle":"","family":"Bras","given":"J.","non-dropping-particle":"Le","parse-names":false,"suffix":""},{"dropping-particle":"","family":"Frisk-Holmberg","given":"M.","non-dropping-particle":"","parse-names":false,"suffix":""},{"dropping-particle":"","family":"Bergqvist","given":"Y.","non-dropping-particle":"","parse-names":false,"suffix":""},{"dropping-particle":"","family":"Verdier","given":"F.","non-dropping-particle":"","parse-names":false,"suffix":""}],"container-title":"Antimicrobial Agents and Chemotherapy","id":"ITEM-1","issue":"3","issued":{"date-parts":[["1991"]]},"page":"406-409","title":"Efficacy of a loading dose of oral chloroquine in a 36-hour treatment schedule for uncomplicated Plasmodium falciparum malaria","type":"article-journal","volume":"35"},"uris":["http://www.mendeley.com/documents/?uuid=c80f6a26-cf16-423b-b188-bb691ff1398c"]}],"mendeley":{"formattedCitation":"[11]","plainTextFormattedCitation":"[11]","previouslyFormattedCitation":"[11]"},"properties":{"noteIndex":0},"schema":"https://github.com/citation-style-language/schema/raw/master/csl-citation.json"}</w:instrText>
            </w:r>
            <w:r>
              <w:rPr>
                <w:sz w:val="18"/>
                <w:szCs w:val="18"/>
                <w:vertAlign w:val="superscript"/>
              </w:rPr>
              <w:fldChar w:fldCharType="separate"/>
            </w:r>
            <w:r w:rsidR="00BD7649" w:rsidRPr="00BD7649">
              <w:rPr>
                <w:noProof/>
                <w:sz w:val="18"/>
                <w:szCs w:val="18"/>
              </w:rPr>
              <w:t>[11]</w:t>
            </w:r>
            <w:r>
              <w:rPr>
                <w:sz w:val="18"/>
                <w:szCs w:val="18"/>
                <w:vertAlign w:val="superscript"/>
              </w:rPr>
              <w:fldChar w:fldCharType="end"/>
            </w:r>
          </w:p>
        </w:tc>
        <w:tc>
          <w:tcPr>
            <w:tcW w:w="709" w:type="dxa"/>
            <w:tcBorders>
              <w:right w:val="single" w:sz="12" w:space="0" w:color="auto"/>
            </w:tcBorders>
          </w:tcPr>
          <w:p w14:paraId="63528FE5" w14:textId="77777777" w:rsidR="00C14603" w:rsidRDefault="00C14603" w:rsidP="00C14603">
            <w:pPr>
              <w:rPr>
                <w:sz w:val="18"/>
                <w:szCs w:val="18"/>
              </w:rPr>
            </w:pPr>
            <w:r>
              <w:rPr>
                <w:sz w:val="18"/>
                <w:szCs w:val="18"/>
              </w:rPr>
              <w:t>mg/kg</w:t>
            </w:r>
          </w:p>
        </w:tc>
        <w:tc>
          <w:tcPr>
            <w:tcW w:w="595" w:type="dxa"/>
            <w:tcBorders>
              <w:left w:val="single" w:sz="12" w:space="0" w:color="auto"/>
            </w:tcBorders>
          </w:tcPr>
          <w:p w14:paraId="71673196" w14:textId="77777777" w:rsidR="00C14603" w:rsidRPr="000D64AF" w:rsidRDefault="00C14603" w:rsidP="00C14603">
            <w:pPr>
              <w:rPr>
                <w:sz w:val="18"/>
                <w:szCs w:val="18"/>
              </w:rPr>
            </w:pPr>
            <w:r>
              <w:rPr>
                <w:sz w:val="18"/>
                <w:szCs w:val="18"/>
              </w:rPr>
              <w:t>10*</w:t>
            </w:r>
          </w:p>
        </w:tc>
        <w:tc>
          <w:tcPr>
            <w:tcW w:w="598" w:type="dxa"/>
          </w:tcPr>
          <w:p w14:paraId="1EE628D4" w14:textId="77777777" w:rsidR="00C14603" w:rsidRPr="000D64AF" w:rsidRDefault="00C14603" w:rsidP="00C14603">
            <w:pPr>
              <w:rPr>
                <w:sz w:val="18"/>
                <w:szCs w:val="18"/>
              </w:rPr>
            </w:pPr>
            <w:r>
              <w:rPr>
                <w:sz w:val="18"/>
                <w:szCs w:val="18"/>
              </w:rPr>
              <w:t>5*</w:t>
            </w:r>
          </w:p>
        </w:tc>
        <w:tc>
          <w:tcPr>
            <w:tcW w:w="594" w:type="dxa"/>
          </w:tcPr>
          <w:p w14:paraId="7EB8FEB1" w14:textId="77777777" w:rsidR="00C14603" w:rsidRPr="000D64AF" w:rsidRDefault="00C14603" w:rsidP="00C14603">
            <w:pPr>
              <w:rPr>
                <w:sz w:val="18"/>
                <w:szCs w:val="18"/>
              </w:rPr>
            </w:pPr>
            <w:r>
              <w:rPr>
                <w:sz w:val="18"/>
                <w:szCs w:val="18"/>
              </w:rPr>
              <w:t>5*</w:t>
            </w:r>
          </w:p>
        </w:tc>
        <w:tc>
          <w:tcPr>
            <w:tcW w:w="597" w:type="dxa"/>
          </w:tcPr>
          <w:p w14:paraId="1A0FB68D" w14:textId="77777777" w:rsidR="00C14603" w:rsidRPr="000D64AF" w:rsidRDefault="00C14603" w:rsidP="00C14603">
            <w:pPr>
              <w:rPr>
                <w:sz w:val="18"/>
                <w:szCs w:val="18"/>
              </w:rPr>
            </w:pPr>
          </w:p>
        </w:tc>
        <w:tc>
          <w:tcPr>
            <w:tcW w:w="595" w:type="dxa"/>
          </w:tcPr>
          <w:p w14:paraId="67DB0893" w14:textId="77777777" w:rsidR="00C14603" w:rsidRPr="000D64AF" w:rsidRDefault="00C14603" w:rsidP="00C14603">
            <w:pPr>
              <w:rPr>
                <w:sz w:val="18"/>
                <w:szCs w:val="18"/>
              </w:rPr>
            </w:pPr>
            <w:r>
              <w:rPr>
                <w:sz w:val="18"/>
                <w:szCs w:val="18"/>
              </w:rPr>
              <w:t>5*</w:t>
            </w:r>
          </w:p>
        </w:tc>
        <w:tc>
          <w:tcPr>
            <w:tcW w:w="596" w:type="dxa"/>
          </w:tcPr>
          <w:p w14:paraId="58E4E8EF" w14:textId="77777777" w:rsidR="00C14603" w:rsidRPr="000D64AF" w:rsidRDefault="00C14603" w:rsidP="00C14603">
            <w:pPr>
              <w:rPr>
                <w:sz w:val="18"/>
                <w:szCs w:val="18"/>
              </w:rPr>
            </w:pPr>
            <w:r>
              <w:rPr>
                <w:sz w:val="18"/>
                <w:szCs w:val="18"/>
              </w:rPr>
              <w:t>5*</w:t>
            </w:r>
          </w:p>
        </w:tc>
        <w:tc>
          <w:tcPr>
            <w:tcW w:w="595" w:type="dxa"/>
          </w:tcPr>
          <w:p w14:paraId="60C90A7D" w14:textId="77777777" w:rsidR="00C14603" w:rsidRPr="000D64AF" w:rsidRDefault="00C14603" w:rsidP="00C14603">
            <w:pPr>
              <w:rPr>
                <w:sz w:val="18"/>
                <w:szCs w:val="18"/>
              </w:rPr>
            </w:pPr>
          </w:p>
        </w:tc>
        <w:tc>
          <w:tcPr>
            <w:tcW w:w="596" w:type="dxa"/>
          </w:tcPr>
          <w:p w14:paraId="1BA44C4E" w14:textId="77777777" w:rsidR="00C14603" w:rsidRPr="000D64AF" w:rsidRDefault="00C14603" w:rsidP="00C14603">
            <w:pPr>
              <w:rPr>
                <w:sz w:val="18"/>
                <w:szCs w:val="18"/>
              </w:rPr>
            </w:pPr>
          </w:p>
        </w:tc>
        <w:tc>
          <w:tcPr>
            <w:tcW w:w="594" w:type="dxa"/>
          </w:tcPr>
          <w:p w14:paraId="09101F96" w14:textId="77777777" w:rsidR="00C14603" w:rsidRPr="000D64AF" w:rsidRDefault="00C14603" w:rsidP="00C14603">
            <w:pPr>
              <w:rPr>
                <w:sz w:val="18"/>
                <w:szCs w:val="18"/>
              </w:rPr>
            </w:pPr>
          </w:p>
        </w:tc>
        <w:tc>
          <w:tcPr>
            <w:tcW w:w="597" w:type="dxa"/>
          </w:tcPr>
          <w:p w14:paraId="4A986966" w14:textId="77777777" w:rsidR="00C14603" w:rsidRPr="000D64AF" w:rsidRDefault="00C14603" w:rsidP="00C14603">
            <w:pPr>
              <w:rPr>
                <w:sz w:val="18"/>
                <w:szCs w:val="18"/>
              </w:rPr>
            </w:pPr>
          </w:p>
        </w:tc>
        <w:tc>
          <w:tcPr>
            <w:tcW w:w="595" w:type="dxa"/>
          </w:tcPr>
          <w:p w14:paraId="541058D4" w14:textId="77777777" w:rsidR="00C14603" w:rsidRPr="000D64AF" w:rsidRDefault="00C14603" w:rsidP="00C14603">
            <w:pPr>
              <w:rPr>
                <w:sz w:val="18"/>
                <w:szCs w:val="18"/>
              </w:rPr>
            </w:pPr>
          </w:p>
        </w:tc>
        <w:tc>
          <w:tcPr>
            <w:tcW w:w="596" w:type="dxa"/>
            <w:tcBorders>
              <w:right w:val="single" w:sz="12" w:space="0" w:color="auto"/>
            </w:tcBorders>
          </w:tcPr>
          <w:p w14:paraId="122C90A4" w14:textId="77777777" w:rsidR="00C14603" w:rsidRPr="000D64AF" w:rsidRDefault="00C14603" w:rsidP="00C14603">
            <w:pPr>
              <w:rPr>
                <w:sz w:val="18"/>
                <w:szCs w:val="18"/>
              </w:rPr>
            </w:pPr>
          </w:p>
        </w:tc>
        <w:tc>
          <w:tcPr>
            <w:tcW w:w="595" w:type="dxa"/>
            <w:tcBorders>
              <w:left w:val="single" w:sz="12" w:space="0" w:color="auto"/>
            </w:tcBorders>
          </w:tcPr>
          <w:p w14:paraId="52B58BF7" w14:textId="77777777" w:rsidR="00C14603" w:rsidRDefault="00C14603" w:rsidP="00C14603">
            <w:pPr>
              <w:rPr>
                <w:sz w:val="18"/>
                <w:szCs w:val="18"/>
              </w:rPr>
            </w:pPr>
            <w:r>
              <w:rPr>
                <w:sz w:val="18"/>
                <w:szCs w:val="18"/>
              </w:rPr>
              <w:t>2100</w:t>
            </w:r>
          </w:p>
        </w:tc>
        <w:tc>
          <w:tcPr>
            <w:tcW w:w="595" w:type="dxa"/>
          </w:tcPr>
          <w:p w14:paraId="19C758E7" w14:textId="77777777" w:rsidR="00C14603" w:rsidRDefault="00C14603" w:rsidP="00C14603">
            <w:pPr>
              <w:rPr>
                <w:sz w:val="18"/>
                <w:szCs w:val="18"/>
              </w:rPr>
            </w:pPr>
            <w:r>
              <w:rPr>
                <w:sz w:val="18"/>
                <w:szCs w:val="18"/>
              </w:rPr>
              <w:t>30</w:t>
            </w:r>
          </w:p>
        </w:tc>
      </w:tr>
    </w:tbl>
    <w:p w14:paraId="1227C0DE" w14:textId="77777777" w:rsidR="00C14603" w:rsidRPr="00C14603" w:rsidRDefault="00C14603" w:rsidP="00C14603">
      <w:pPr>
        <w:pStyle w:val="Lijstalinea"/>
        <w:rPr>
          <w:lang w:val="en-US"/>
        </w:rPr>
      </w:pPr>
    </w:p>
    <w:p w14:paraId="1A1EC085" w14:textId="77777777" w:rsidR="00C14603" w:rsidRPr="00C14603" w:rsidRDefault="00C14603" w:rsidP="00C14603">
      <w:pPr>
        <w:pStyle w:val="Lijstalinea"/>
        <w:rPr>
          <w:lang w:val="en-US"/>
        </w:rPr>
      </w:pPr>
      <w:r w:rsidRPr="00C14603">
        <w:rPr>
          <w:lang w:val="en-US"/>
        </w:rPr>
        <w:t>* Dose was capped to 80 kg individual when TBW &gt; 80 kg.</w:t>
      </w:r>
    </w:p>
    <w:p w14:paraId="28CC66D0" w14:textId="77777777" w:rsidR="00C14603" w:rsidRPr="00C14603" w:rsidRDefault="00C14603" w:rsidP="00C14603">
      <w:pPr>
        <w:rPr>
          <w:i/>
          <w:iCs/>
          <w:lang w:val="en-US"/>
        </w:rPr>
      </w:pPr>
      <w:r w:rsidRPr="00C14603">
        <w:rPr>
          <w:i/>
          <w:iCs/>
          <w:lang w:val="en-US"/>
        </w:rPr>
        <w:t>CHILDREN:</w:t>
      </w:r>
    </w:p>
    <w:tbl>
      <w:tblPr>
        <w:tblStyle w:val="Tabelraster"/>
        <w:tblpPr w:leftFromText="141" w:rightFromText="141" w:vertAnchor="text" w:horzAnchor="margin" w:tblpXSpec="center" w:tblpY="325"/>
        <w:tblW w:w="10332" w:type="dxa"/>
        <w:tblLayout w:type="fixed"/>
        <w:tblLook w:val="04A0" w:firstRow="1" w:lastRow="0" w:firstColumn="1" w:lastColumn="0" w:noHBand="0" w:noVBand="1"/>
      </w:tblPr>
      <w:tblGrid>
        <w:gridCol w:w="280"/>
        <w:gridCol w:w="992"/>
        <w:gridCol w:w="709"/>
        <w:gridCol w:w="595"/>
        <w:gridCol w:w="598"/>
        <w:gridCol w:w="594"/>
        <w:gridCol w:w="597"/>
        <w:gridCol w:w="595"/>
        <w:gridCol w:w="596"/>
        <w:gridCol w:w="595"/>
        <w:gridCol w:w="596"/>
        <w:gridCol w:w="594"/>
        <w:gridCol w:w="597"/>
        <w:gridCol w:w="595"/>
        <w:gridCol w:w="596"/>
        <w:gridCol w:w="595"/>
        <w:gridCol w:w="595"/>
        <w:gridCol w:w="13"/>
      </w:tblGrid>
      <w:tr w:rsidR="00C14603" w:rsidRPr="000D64AF" w14:paraId="0B6B4AC2" w14:textId="77777777" w:rsidTr="00C14603">
        <w:trPr>
          <w:trHeight w:val="320"/>
        </w:trPr>
        <w:tc>
          <w:tcPr>
            <w:tcW w:w="280" w:type="dxa"/>
          </w:tcPr>
          <w:p w14:paraId="449111C1" w14:textId="77777777" w:rsidR="00C14603" w:rsidRPr="000D64AF" w:rsidRDefault="00C14603" w:rsidP="00C14603">
            <w:pPr>
              <w:rPr>
                <w:b/>
                <w:bCs/>
                <w:sz w:val="18"/>
                <w:szCs w:val="18"/>
              </w:rPr>
            </w:pPr>
          </w:p>
        </w:tc>
        <w:tc>
          <w:tcPr>
            <w:tcW w:w="992" w:type="dxa"/>
          </w:tcPr>
          <w:p w14:paraId="0C62EAF0" w14:textId="77777777" w:rsidR="00C14603" w:rsidRPr="000D64AF" w:rsidRDefault="00C14603" w:rsidP="00C14603">
            <w:pPr>
              <w:rPr>
                <w:b/>
                <w:bCs/>
                <w:sz w:val="18"/>
                <w:szCs w:val="18"/>
              </w:rPr>
            </w:pPr>
            <w:r w:rsidRPr="000D64AF">
              <w:rPr>
                <w:b/>
                <w:bCs/>
                <w:sz w:val="18"/>
                <w:szCs w:val="18"/>
              </w:rPr>
              <w:t>Source</w:t>
            </w:r>
          </w:p>
        </w:tc>
        <w:tc>
          <w:tcPr>
            <w:tcW w:w="709" w:type="dxa"/>
            <w:tcBorders>
              <w:right w:val="single" w:sz="12" w:space="0" w:color="auto"/>
            </w:tcBorders>
          </w:tcPr>
          <w:p w14:paraId="49DBBA26" w14:textId="77777777" w:rsidR="00C14603" w:rsidRPr="00E43E83" w:rsidRDefault="00C14603" w:rsidP="00C14603">
            <w:pPr>
              <w:rPr>
                <w:b/>
                <w:bCs/>
                <w:sz w:val="18"/>
                <w:szCs w:val="18"/>
              </w:rPr>
            </w:pPr>
            <w:r w:rsidRPr="00E43E83">
              <w:rPr>
                <w:b/>
                <w:bCs/>
                <w:sz w:val="18"/>
                <w:szCs w:val="18"/>
              </w:rPr>
              <w:t>Unit</w:t>
            </w:r>
          </w:p>
        </w:tc>
        <w:tc>
          <w:tcPr>
            <w:tcW w:w="2384" w:type="dxa"/>
            <w:gridSpan w:val="4"/>
            <w:tcBorders>
              <w:left w:val="single" w:sz="12" w:space="0" w:color="auto"/>
            </w:tcBorders>
          </w:tcPr>
          <w:p w14:paraId="0D813028" w14:textId="77777777" w:rsidR="00C14603" w:rsidRPr="00E43E83" w:rsidRDefault="00C14603" w:rsidP="00C14603">
            <w:pPr>
              <w:rPr>
                <w:b/>
                <w:bCs/>
                <w:sz w:val="18"/>
                <w:szCs w:val="18"/>
              </w:rPr>
            </w:pPr>
            <w:r w:rsidRPr="00E43E83">
              <w:rPr>
                <w:b/>
                <w:bCs/>
                <w:sz w:val="18"/>
                <w:szCs w:val="18"/>
              </w:rPr>
              <w:t>Day 1</w:t>
            </w:r>
          </w:p>
        </w:tc>
        <w:tc>
          <w:tcPr>
            <w:tcW w:w="1191" w:type="dxa"/>
            <w:gridSpan w:val="2"/>
          </w:tcPr>
          <w:p w14:paraId="302114AC" w14:textId="77777777" w:rsidR="00C14603" w:rsidRPr="00E43E83" w:rsidRDefault="00C14603" w:rsidP="00C14603">
            <w:pPr>
              <w:rPr>
                <w:b/>
                <w:bCs/>
                <w:sz w:val="18"/>
                <w:szCs w:val="18"/>
              </w:rPr>
            </w:pPr>
            <w:r w:rsidRPr="00E43E83">
              <w:rPr>
                <w:b/>
                <w:bCs/>
                <w:sz w:val="18"/>
                <w:szCs w:val="18"/>
              </w:rPr>
              <w:t xml:space="preserve">Day </w:t>
            </w:r>
            <w:r>
              <w:rPr>
                <w:b/>
                <w:bCs/>
                <w:sz w:val="18"/>
                <w:szCs w:val="18"/>
              </w:rPr>
              <w:t>2</w:t>
            </w:r>
          </w:p>
        </w:tc>
        <w:tc>
          <w:tcPr>
            <w:tcW w:w="1191" w:type="dxa"/>
            <w:gridSpan w:val="2"/>
          </w:tcPr>
          <w:p w14:paraId="0022CF6C" w14:textId="77777777" w:rsidR="00C14603" w:rsidRPr="00E43E83" w:rsidRDefault="00C14603" w:rsidP="00C14603">
            <w:pPr>
              <w:rPr>
                <w:b/>
                <w:bCs/>
                <w:sz w:val="18"/>
                <w:szCs w:val="18"/>
              </w:rPr>
            </w:pPr>
            <w:r w:rsidRPr="00E43E83">
              <w:rPr>
                <w:b/>
                <w:bCs/>
                <w:sz w:val="18"/>
                <w:szCs w:val="18"/>
              </w:rPr>
              <w:t xml:space="preserve">Day </w:t>
            </w:r>
            <w:r>
              <w:rPr>
                <w:b/>
                <w:bCs/>
                <w:sz w:val="18"/>
                <w:szCs w:val="18"/>
              </w:rPr>
              <w:t>3</w:t>
            </w:r>
          </w:p>
        </w:tc>
        <w:tc>
          <w:tcPr>
            <w:tcW w:w="1191" w:type="dxa"/>
            <w:gridSpan w:val="2"/>
          </w:tcPr>
          <w:p w14:paraId="527C19E8" w14:textId="77777777" w:rsidR="00C14603" w:rsidRPr="00E43E83" w:rsidRDefault="00C14603" w:rsidP="00C14603">
            <w:pPr>
              <w:rPr>
                <w:b/>
                <w:bCs/>
                <w:sz w:val="18"/>
                <w:szCs w:val="18"/>
              </w:rPr>
            </w:pPr>
            <w:r w:rsidRPr="00E43E83">
              <w:rPr>
                <w:b/>
                <w:bCs/>
                <w:sz w:val="18"/>
                <w:szCs w:val="18"/>
              </w:rPr>
              <w:t xml:space="preserve">Day </w:t>
            </w:r>
            <w:r>
              <w:rPr>
                <w:b/>
                <w:bCs/>
                <w:sz w:val="18"/>
                <w:szCs w:val="18"/>
              </w:rPr>
              <w:t>4</w:t>
            </w:r>
          </w:p>
        </w:tc>
        <w:tc>
          <w:tcPr>
            <w:tcW w:w="1191" w:type="dxa"/>
            <w:gridSpan w:val="2"/>
            <w:tcBorders>
              <w:right w:val="single" w:sz="12" w:space="0" w:color="auto"/>
            </w:tcBorders>
          </w:tcPr>
          <w:p w14:paraId="7DFAB18B" w14:textId="77777777" w:rsidR="00C14603" w:rsidRPr="00E43E83" w:rsidRDefault="00C14603" w:rsidP="00C14603">
            <w:pPr>
              <w:rPr>
                <w:b/>
                <w:bCs/>
                <w:sz w:val="18"/>
                <w:szCs w:val="18"/>
              </w:rPr>
            </w:pPr>
            <w:r>
              <w:rPr>
                <w:b/>
                <w:bCs/>
                <w:sz w:val="18"/>
                <w:szCs w:val="18"/>
              </w:rPr>
              <w:t>Day 5</w:t>
            </w:r>
          </w:p>
        </w:tc>
        <w:tc>
          <w:tcPr>
            <w:tcW w:w="1203" w:type="dxa"/>
            <w:gridSpan w:val="3"/>
            <w:tcBorders>
              <w:left w:val="single" w:sz="12" w:space="0" w:color="auto"/>
            </w:tcBorders>
          </w:tcPr>
          <w:p w14:paraId="157A2F0A" w14:textId="77777777" w:rsidR="00C14603" w:rsidRPr="00E43E83" w:rsidRDefault="00C14603" w:rsidP="00C14603">
            <w:pPr>
              <w:rPr>
                <w:b/>
                <w:bCs/>
                <w:sz w:val="18"/>
                <w:szCs w:val="18"/>
              </w:rPr>
            </w:pPr>
            <w:r w:rsidRPr="00E43E83">
              <w:rPr>
                <w:b/>
                <w:bCs/>
                <w:sz w:val="18"/>
                <w:szCs w:val="18"/>
              </w:rPr>
              <w:t xml:space="preserve">Total for </w:t>
            </w:r>
            <w:r>
              <w:rPr>
                <w:b/>
                <w:bCs/>
                <w:sz w:val="18"/>
                <w:szCs w:val="18"/>
              </w:rPr>
              <w:t>1</w:t>
            </w:r>
            <w:r w:rsidRPr="00E43E83">
              <w:rPr>
                <w:b/>
                <w:bCs/>
                <w:sz w:val="18"/>
                <w:szCs w:val="18"/>
              </w:rPr>
              <w:t xml:space="preserve">0 kg </w:t>
            </w:r>
            <w:r>
              <w:rPr>
                <w:b/>
                <w:bCs/>
                <w:sz w:val="18"/>
                <w:szCs w:val="18"/>
              </w:rPr>
              <w:t>child</w:t>
            </w:r>
          </w:p>
        </w:tc>
      </w:tr>
      <w:tr w:rsidR="00C14603" w:rsidRPr="000D64AF" w14:paraId="332634E4" w14:textId="77777777" w:rsidTr="00C14603">
        <w:trPr>
          <w:gridAfter w:val="1"/>
          <w:wAfter w:w="13" w:type="dxa"/>
          <w:trHeight w:val="320"/>
        </w:trPr>
        <w:tc>
          <w:tcPr>
            <w:tcW w:w="280" w:type="dxa"/>
          </w:tcPr>
          <w:p w14:paraId="2E1FA9D4" w14:textId="77777777" w:rsidR="00C14603" w:rsidRPr="000D64AF" w:rsidRDefault="00C14603" w:rsidP="00C14603">
            <w:pPr>
              <w:rPr>
                <w:sz w:val="18"/>
                <w:szCs w:val="18"/>
              </w:rPr>
            </w:pPr>
          </w:p>
        </w:tc>
        <w:tc>
          <w:tcPr>
            <w:tcW w:w="992" w:type="dxa"/>
          </w:tcPr>
          <w:p w14:paraId="0FC2EA15" w14:textId="77777777" w:rsidR="00C14603" w:rsidRPr="000D64AF" w:rsidRDefault="00C14603" w:rsidP="00C14603">
            <w:pPr>
              <w:rPr>
                <w:sz w:val="18"/>
                <w:szCs w:val="18"/>
              </w:rPr>
            </w:pPr>
          </w:p>
        </w:tc>
        <w:tc>
          <w:tcPr>
            <w:tcW w:w="709" w:type="dxa"/>
            <w:tcBorders>
              <w:right w:val="single" w:sz="12" w:space="0" w:color="auto"/>
            </w:tcBorders>
          </w:tcPr>
          <w:p w14:paraId="439AE6B8" w14:textId="77777777" w:rsidR="00C14603" w:rsidRPr="000D64AF" w:rsidRDefault="00C14603" w:rsidP="00C14603">
            <w:pPr>
              <w:rPr>
                <w:sz w:val="18"/>
                <w:szCs w:val="18"/>
              </w:rPr>
            </w:pPr>
          </w:p>
        </w:tc>
        <w:tc>
          <w:tcPr>
            <w:tcW w:w="595" w:type="dxa"/>
            <w:tcBorders>
              <w:left w:val="single" w:sz="12" w:space="0" w:color="auto"/>
            </w:tcBorders>
          </w:tcPr>
          <w:p w14:paraId="2891F870" w14:textId="77777777" w:rsidR="00C14603" w:rsidRPr="000D64AF" w:rsidRDefault="00C14603" w:rsidP="00C14603">
            <w:pPr>
              <w:rPr>
                <w:sz w:val="18"/>
                <w:szCs w:val="18"/>
              </w:rPr>
            </w:pPr>
            <w:r w:rsidRPr="000D64AF">
              <w:rPr>
                <w:sz w:val="18"/>
                <w:szCs w:val="18"/>
              </w:rPr>
              <w:t>0</w:t>
            </w:r>
          </w:p>
        </w:tc>
        <w:tc>
          <w:tcPr>
            <w:tcW w:w="598" w:type="dxa"/>
          </w:tcPr>
          <w:p w14:paraId="02F4A121" w14:textId="77777777" w:rsidR="00C14603" w:rsidRPr="000D64AF" w:rsidRDefault="00C14603" w:rsidP="00C14603">
            <w:pPr>
              <w:rPr>
                <w:sz w:val="18"/>
                <w:szCs w:val="18"/>
              </w:rPr>
            </w:pPr>
            <w:r w:rsidRPr="000D64AF">
              <w:rPr>
                <w:sz w:val="18"/>
                <w:szCs w:val="18"/>
              </w:rPr>
              <w:t>6</w:t>
            </w:r>
          </w:p>
        </w:tc>
        <w:tc>
          <w:tcPr>
            <w:tcW w:w="594" w:type="dxa"/>
          </w:tcPr>
          <w:p w14:paraId="7DD62A8E" w14:textId="77777777" w:rsidR="00C14603" w:rsidRPr="000D64AF" w:rsidRDefault="00C14603" w:rsidP="00C14603">
            <w:pPr>
              <w:rPr>
                <w:sz w:val="18"/>
                <w:szCs w:val="18"/>
              </w:rPr>
            </w:pPr>
            <w:r w:rsidRPr="000D64AF">
              <w:rPr>
                <w:sz w:val="18"/>
                <w:szCs w:val="18"/>
              </w:rPr>
              <w:t>12</w:t>
            </w:r>
          </w:p>
        </w:tc>
        <w:tc>
          <w:tcPr>
            <w:tcW w:w="597" w:type="dxa"/>
          </w:tcPr>
          <w:p w14:paraId="1C2B72F1" w14:textId="77777777" w:rsidR="00C14603" w:rsidRPr="000D64AF" w:rsidRDefault="00C14603" w:rsidP="00C14603">
            <w:pPr>
              <w:rPr>
                <w:sz w:val="18"/>
                <w:szCs w:val="18"/>
              </w:rPr>
            </w:pPr>
            <w:r w:rsidRPr="000D64AF">
              <w:rPr>
                <w:sz w:val="18"/>
                <w:szCs w:val="18"/>
              </w:rPr>
              <w:t>18</w:t>
            </w:r>
          </w:p>
        </w:tc>
        <w:tc>
          <w:tcPr>
            <w:tcW w:w="595" w:type="dxa"/>
          </w:tcPr>
          <w:p w14:paraId="49E53A94" w14:textId="77777777" w:rsidR="00C14603" w:rsidRPr="000D64AF" w:rsidRDefault="00C14603" w:rsidP="00C14603">
            <w:pPr>
              <w:rPr>
                <w:sz w:val="18"/>
                <w:szCs w:val="18"/>
              </w:rPr>
            </w:pPr>
            <w:r w:rsidRPr="000D64AF">
              <w:rPr>
                <w:sz w:val="18"/>
                <w:szCs w:val="18"/>
              </w:rPr>
              <w:t>24</w:t>
            </w:r>
          </w:p>
        </w:tc>
        <w:tc>
          <w:tcPr>
            <w:tcW w:w="596" w:type="dxa"/>
          </w:tcPr>
          <w:p w14:paraId="7A050DFD" w14:textId="77777777" w:rsidR="00C14603" w:rsidRPr="000D64AF" w:rsidRDefault="00C14603" w:rsidP="00C14603">
            <w:pPr>
              <w:rPr>
                <w:sz w:val="18"/>
                <w:szCs w:val="18"/>
              </w:rPr>
            </w:pPr>
            <w:r w:rsidRPr="000D64AF">
              <w:rPr>
                <w:sz w:val="18"/>
                <w:szCs w:val="18"/>
              </w:rPr>
              <w:t>36</w:t>
            </w:r>
          </w:p>
        </w:tc>
        <w:tc>
          <w:tcPr>
            <w:tcW w:w="595" w:type="dxa"/>
          </w:tcPr>
          <w:p w14:paraId="2EF69507" w14:textId="77777777" w:rsidR="00C14603" w:rsidRPr="000D64AF" w:rsidRDefault="00C14603" w:rsidP="00C14603">
            <w:pPr>
              <w:rPr>
                <w:sz w:val="18"/>
                <w:szCs w:val="18"/>
              </w:rPr>
            </w:pPr>
            <w:r w:rsidRPr="000D64AF">
              <w:rPr>
                <w:sz w:val="18"/>
                <w:szCs w:val="18"/>
              </w:rPr>
              <w:t>48</w:t>
            </w:r>
          </w:p>
        </w:tc>
        <w:tc>
          <w:tcPr>
            <w:tcW w:w="596" w:type="dxa"/>
          </w:tcPr>
          <w:p w14:paraId="44BFF998" w14:textId="77777777" w:rsidR="00C14603" w:rsidRPr="000D64AF" w:rsidRDefault="00C14603" w:rsidP="00C14603">
            <w:pPr>
              <w:rPr>
                <w:sz w:val="18"/>
                <w:szCs w:val="18"/>
              </w:rPr>
            </w:pPr>
            <w:r w:rsidRPr="000D64AF">
              <w:rPr>
                <w:sz w:val="18"/>
                <w:szCs w:val="18"/>
              </w:rPr>
              <w:t>60</w:t>
            </w:r>
          </w:p>
        </w:tc>
        <w:tc>
          <w:tcPr>
            <w:tcW w:w="594" w:type="dxa"/>
          </w:tcPr>
          <w:p w14:paraId="13D72413" w14:textId="77777777" w:rsidR="00C14603" w:rsidRPr="000D64AF" w:rsidRDefault="00C14603" w:rsidP="00C14603">
            <w:pPr>
              <w:rPr>
                <w:sz w:val="18"/>
                <w:szCs w:val="18"/>
              </w:rPr>
            </w:pPr>
            <w:r w:rsidRPr="000D64AF">
              <w:rPr>
                <w:sz w:val="18"/>
                <w:szCs w:val="18"/>
              </w:rPr>
              <w:t>72</w:t>
            </w:r>
          </w:p>
        </w:tc>
        <w:tc>
          <w:tcPr>
            <w:tcW w:w="597" w:type="dxa"/>
          </w:tcPr>
          <w:p w14:paraId="3F8F96F0" w14:textId="77777777" w:rsidR="00C14603" w:rsidRPr="000D64AF" w:rsidRDefault="00C14603" w:rsidP="00C14603">
            <w:pPr>
              <w:rPr>
                <w:sz w:val="18"/>
                <w:szCs w:val="18"/>
              </w:rPr>
            </w:pPr>
            <w:r w:rsidRPr="000D64AF">
              <w:rPr>
                <w:sz w:val="18"/>
                <w:szCs w:val="18"/>
              </w:rPr>
              <w:t>84</w:t>
            </w:r>
          </w:p>
        </w:tc>
        <w:tc>
          <w:tcPr>
            <w:tcW w:w="595" w:type="dxa"/>
          </w:tcPr>
          <w:p w14:paraId="029E4B36" w14:textId="77777777" w:rsidR="00C14603" w:rsidRPr="000D64AF" w:rsidRDefault="00C14603" w:rsidP="00C14603">
            <w:pPr>
              <w:rPr>
                <w:sz w:val="18"/>
                <w:szCs w:val="18"/>
              </w:rPr>
            </w:pPr>
            <w:r w:rsidRPr="000D64AF">
              <w:rPr>
                <w:sz w:val="18"/>
                <w:szCs w:val="18"/>
              </w:rPr>
              <w:t>96</w:t>
            </w:r>
          </w:p>
        </w:tc>
        <w:tc>
          <w:tcPr>
            <w:tcW w:w="596" w:type="dxa"/>
            <w:tcBorders>
              <w:right w:val="single" w:sz="12" w:space="0" w:color="auto"/>
            </w:tcBorders>
          </w:tcPr>
          <w:p w14:paraId="0DB7F7D0" w14:textId="77777777" w:rsidR="00C14603" w:rsidRPr="000D64AF" w:rsidRDefault="00C14603" w:rsidP="00C14603">
            <w:pPr>
              <w:rPr>
                <w:sz w:val="18"/>
                <w:szCs w:val="18"/>
              </w:rPr>
            </w:pPr>
            <w:r w:rsidRPr="000D64AF">
              <w:rPr>
                <w:sz w:val="18"/>
                <w:szCs w:val="18"/>
              </w:rPr>
              <w:t>108</w:t>
            </w:r>
          </w:p>
        </w:tc>
        <w:tc>
          <w:tcPr>
            <w:tcW w:w="595" w:type="dxa"/>
            <w:tcBorders>
              <w:left w:val="single" w:sz="12" w:space="0" w:color="auto"/>
            </w:tcBorders>
          </w:tcPr>
          <w:p w14:paraId="65AAABF2" w14:textId="77777777" w:rsidR="00C14603" w:rsidRPr="000D64AF" w:rsidRDefault="00C14603" w:rsidP="00C14603">
            <w:pPr>
              <w:rPr>
                <w:sz w:val="18"/>
                <w:szCs w:val="18"/>
              </w:rPr>
            </w:pPr>
            <w:r>
              <w:rPr>
                <w:sz w:val="18"/>
                <w:szCs w:val="18"/>
              </w:rPr>
              <w:t>mg</w:t>
            </w:r>
          </w:p>
        </w:tc>
        <w:tc>
          <w:tcPr>
            <w:tcW w:w="595" w:type="dxa"/>
          </w:tcPr>
          <w:p w14:paraId="5F935B66" w14:textId="77777777" w:rsidR="00C14603" w:rsidRPr="000D64AF" w:rsidRDefault="00C14603" w:rsidP="00C14603">
            <w:pPr>
              <w:rPr>
                <w:sz w:val="18"/>
                <w:szCs w:val="18"/>
              </w:rPr>
            </w:pPr>
            <w:r>
              <w:rPr>
                <w:sz w:val="18"/>
                <w:szCs w:val="18"/>
              </w:rPr>
              <w:t>mg/kg</w:t>
            </w:r>
          </w:p>
        </w:tc>
      </w:tr>
      <w:tr w:rsidR="00C14603" w:rsidRPr="000D64AF" w14:paraId="39AC5A91" w14:textId="77777777" w:rsidTr="00C14603">
        <w:trPr>
          <w:gridAfter w:val="1"/>
          <w:wAfter w:w="13" w:type="dxa"/>
          <w:trHeight w:val="320"/>
        </w:trPr>
        <w:tc>
          <w:tcPr>
            <w:tcW w:w="280" w:type="dxa"/>
          </w:tcPr>
          <w:p w14:paraId="5BC7EAB0" w14:textId="77777777" w:rsidR="00C14603" w:rsidRPr="000D64AF" w:rsidRDefault="00C14603" w:rsidP="00C14603">
            <w:pPr>
              <w:rPr>
                <w:sz w:val="18"/>
                <w:szCs w:val="18"/>
              </w:rPr>
            </w:pPr>
            <w:r w:rsidRPr="000D64AF">
              <w:rPr>
                <w:sz w:val="18"/>
                <w:szCs w:val="18"/>
              </w:rPr>
              <w:t>1</w:t>
            </w:r>
          </w:p>
        </w:tc>
        <w:tc>
          <w:tcPr>
            <w:tcW w:w="992" w:type="dxa"/>
          </w:tcPr>
          <w:p w14:paraId="1F83564E" w14:textId="64D54F3F" w:rsidR="00C14603" w:rsidRPr="000D64AF" w:rsidRDefault="00C14603" w:rsidP="00C14603">
            <w:pPr>
              <w:rPr>
                <w:sz w:val="18"/>
                <w:szCs w:val="18"/>
              </w:rPr>
            </w:pPr>
            <w:r w:rsidRPr="000D64AF">
              <w:rPr>
                <w:sz w:val="18"/>
                <w:szCs w:val="18"/>
              </w:rPr>
              <w:t>SWAB</w:t>
            </w:r>
            <w:r>
              <w:rPr>
                <w:sz w:val="18"/>
                <w:szCs w:val="18"/>
                <w:vertAlign w:val="superscript"/>
              </w:rPr>
              <w:t xml:space="preserve"> </w:t>
            </w:r>
            <w:r>
              <w:rPr>
                <w:sz w:val="18"/>
                <w:szCs w:val="18"/>
                <w:vertAlign w:val="superscript"/>
              </w:rPr>
              <w:fldChar w:fldCharType="begin" w:fldLock="1"/>
            </w:r>
            <w:r w:rsidR="00BE1F70">
              <w:rPr>
                <w:sz w:val="18"/>
                <w:szCs w:val="18"/>
                <w:vertAlign w:val="superscript"/>
              </w:rPr>
              <w:instrText>ADDIN CSL_CITATION {"citationItems":[{"id":"ITEM-1","itemData":{"URL":"https://swab.nl/nl/covid-19","accessed":{"date-parts":[["2020","3","24"]]},"author":[{"dropping-particle":"","family":"Stichting Werkgroep Antibiotica Beleid (SWAB)","given":"","non-dropping-particle":"","parse-names":false,"suffix":""}],"id":"ITEM-1","issued":{"date-parts":[["0"]]},"title":"Medicamenteuze behandelopties bij patiënten met COVID-19 (infecties met SARS-CoV-2)","type":"webpage"},"uris":["http://www.mendeley.com/documents/?uuid=524541bf-c6e8-4362-ba04-153d9d327097"]}],"mendeley":{"formattedCitation":"[10]","plainTextFormattedCitation":"[10]","previouslyFormattedCitation":"[10]"},"properties":{"noteIndex":0},"schema":"https://github.com/citation-style-language/schema/raw/master/csl-citation.json"}</w:instrText>
            </w:r>
            <w:r>
              <w:rPr>
                <w:sz w:val="18"/>
                <w:szCs w:val="18"/>
                <w:vertAlign w:val="superscript"/>
              </w:rPr>
              <w:fldChar w:fldCharType="separate"/>
            </w:r>
            <w:r w:rsidR="00BD7649" w:rsidRPr="00BD7649">
              <w:rPr>
                <w:noProof/>
                <w:sz w:val="18"/>
                <w:szCs w:val="18"/>
              </w:rPr>
              <w:t>[10]</w:t>
            </w:r>
            <w:r>
              <w:rPr>
                <w:sz w:val="18"/>
                <w:szCs w:val="18"/>
                <w:vertAlign w:val="superscript"/>
              </w:rPr>
              <w:fldChar w:fldCharType="end"/>
            </w:r>
          </w:p>
        </w:tc>
        <w:tc>
          <w:tcPr>
            <w:tcW w:w="709" w:type="dxa"/>
            <w:tcBorders>
              <w:right w:val="single" w:sz="12" w:space="0" w:color="auto"/>
            </w:tcBorders>
          </w:tcPr>
          <w:p w14:paraId="0C92A530" w14:textId="77777777" w:rsidR="00C14603" w:rsidRPr="000D64AF" w:rsidRDefault="00C14603" w:rsidP="00C14603">
            <w:pPr>
              <w:rPr>
                <w:sz w:val="18"/>
                <w:szCs w:val="18"/>
              </w:rPr>
            </w:pPr>
            <w:r>
              <w:rPr>
                <w:sz w:val="18"/>
                <w:szCs w:val="18"/>
              </w:rPr>
              <w:t>mg/kg</w:t>
            </w:r>
          </w:p>
        </w:tc>
        <w:tc>
          <w:tcPr>
            <w:tcW w:w="595" w:type="dxa"/>
            <w:tcBorders>
              <w:left w:val="single" w:sz="12" w:space="0" w:color="auto"/>
            </w:tcBorders>
          </w:tcPr>
          <w:p w14:paraId="70D7D469" w14:textId="77777777" w:rsidR="00C14603" w:rsidRPr="000D64AF" w:rsidRDefault="00C14603" w:rsidP="00C14603">
            <w:pPr>
              <w:rPr>
                <w:sz w:val="18"/>
                <w:szCs w:val="18"/>
              </w:rPr>
            </w:pPr>
            <w:r>
              <w:rPr>
                <w:sz w:val="18"/>
                <w:szCs w:val="18"/>
              </w:rPr>
              <w:t>10</w:t>
            </w:r>
          </w:p>
        </w:tc>
        <w:tc>
          <w:tcPr>
            <w:tcW w:w="598" w:type="dxa"/>
          </w:tcPr>
          <w:p w14:paraId="22FCC645" w14:textId="77777777" w:rsidR="00C14603" w:rsidRPr="000D64AF" w:rsidRDefault="00C14603" w:rsidP="00C14603">
            <w:pPr>
              <w:rPr>
                <w:sz w:val="18"/>
                <w:szCs w:val="18"/>
              </w:rPr>
            </w:pPr>
          </w:p>
        </w:tc>
        <w:tc>
          <w:tcPr>
            <w:tcW w:w="594" w:type="dxa"/>
          </w:tcPr>
          <w:p w14:paraId="564EFDF0" w14:textId="77777777" w:rsidR="00C14603" w:rsidRPr="000D64AF" w:rsidRDefault="00C14603" w:rsidP="00C14603">
            <w:pPr>
              <w:rPr>
                <w:sz w:val="18"/>
                <w:szCs w:val="18"/>
              </w:rPr>
            </w:pPr>
            <w:r>
              <w:rPr>
                <w:sz w:val="18"/>
                <w:szCs w:val="18"/>
              </w:rPr>
              <w:t>5</w:t>
            </w:r>
            <w:r w:rsidRPr="000D64AF">
              <w:rPr>
                <w:sz w:val="18"/>
                <w:szCs w:val="18"/>
              </w:rPr>
              <w:t xml:space="preserve"> </w:t>
            </w:r>
          </w:p>
        </w:tc>
        <w:tc>
          <w:tcPr>
            <w:tcW w:w="597" w:type="dxa"/>
          </w:tcPr>
          <w:p w14:paraId="2F70B4DC" w14:textId="77777777" w:rsidR="00C14603" w:rsidRPr="000D64AF" w:rsidRDefault="00C14603" w:rsidP="00C14603">
            <w:pPr>
              <w:rPr>
                <w:sz w:val="18"/>
                <w:szCs w:val="18"/>
              </w:rPr>
            </w:pPr>
          </w:p>
        </w:tc>
        <w:tc>
          <w:tcPr>
            <w:tcW w:w="595" w:type="dxa"/>
          </w:tcPr>
          <w:p w14:paraId="11D71924" w14:textId="77777777" w:rsidR="00C14603" w:rsidRPr="000D64AF" w:rsidRDefault="00C14603" w:rsidP="00C14603">
            <w:pPr>
              <w:rPr>
                <w:sz w:val="18"/>
                <w:szCs w:val="18"/>
              </w:rPr>
            </w:pPr>
            <w:r>
              <w:rPr>
                <w:sz w:val="18"/>
                <w:szCs w:val="18"/>
              </w:rPr>
              <w:t>5</w:t>
            </w:r>
          </w:p>
        </w:tc>
        <w:tc>
          <w:tcPr>
            <w:tcW w:w="596" w:type="dxa"/>
          </w:tcPr>
          <w:p w14:paraId="03EC3CEB" w14:textId="77777777" w:rsidR="00C14603" w:rsidRPr="000D64AF" w:rsidRDefault="00C14603" w:rsidP="00C14603">
            <w:pPr>
              <w:rPr>
                <w:sz w:val="18"/>
                <w:szCs w:val="18"/>
              </w:rPr>
            </w:pPr>
            <w:r>
              <w:rPr>
                <w:sz w:val="18"/>
                <w:szCs w:val="18"/>
              </w:rPr>
              <w:t>5</w:t>
            </w:r>
          </w:p>
        </w:tc>
        <w:tc>
          <w:tcPr>
            <w:tcW w:w="595" w:type="dxa"/>
          </w:tcPr>
          <w:p w14:paraId="18E9B7C0" w14:textId="77777777" w:rsidR="00C14603" w:rsidRPr="000D64AF" w:rsidRDefault="00C14603" w:rsidP="00C14603">
            <w:pPr>
              <w:rPr>
                <w:sz w:val="18"/>
                <w:szCs w:val="18"/>
              </w:rPr>
            </w:pPr>
            <w:r>
              <w:rPr>
                <w:sz w:val="18"/>
                <w:szCs w:val="18"/>
              </w:rPr>
              <w:t>5</w:t>
            </w:r>
          </w:p>
        </w:tc>
        <w:tc>
          <w:tcPr>
            <w:tcW w:w="596" w:type="dxa"/>
          </w:tcPr>
          <w:p w14:paraId="593AF2F3" w14:textId="77777777" w:rsidR="00C14603" w:rsidRPr="000D64AF" w:rsidRDefault="00C14603" w:rsidP="00C14603">
            <w:pPr>
              <w:rPr>
                <w:sz w:val="18"/>
                <w:szCs w:val="18"/>
              </w:rPr>
            </w:pPr>
            <w:r>
              <w:rPr>
                <w:sz w:val="18"/>
                <w:szCs w:val="18"/>
              </w:rPr>
              <w:t>5</w:t>
            </w:r>
          </w:p>
        </w:tc>
        <w:tc>
          <w:tcPr>
            <w:tcW w:w="594" w:type="dxa"/>
          </w:tcPr>
          <w:p w14:paraId="458748F1" w14:textId="77777777" w:rsidR="00C14603" w:rsidRPr="000D64AF" w:rsidRDefault="00C14603" w:rsidP="00C14603">
            <w:pPr>
              <w:rPr>
                <w:sz w:val="18"/>
                <w:szCs w:val="18"/>
              </w:rPr>
            </w:pPr>
            <w:r>
              <w:rPr>
                <w:sz w:val="18"/>
                <w:szCs w:val="18"/>
              </w:rPr>
              <w:t>5</w:t>
            </w:r>
          </w:p>
        </w:tc>
        <w:tc>
          <w:tcPr>
            <w:tcW w:w="597" w:type="dxa"/>
          </w:tcPr>
          <w:p w14:paraId="72061845" w14:textId="77777777" w:rsidR="00C14603" w:rsidRPr="000D64AF" w:rsidRDefault="00C14603" w:rsidP="00C14603">
            <w:pPr>
              <w:rPr>
                <w:sz w:val="18"/>
                <w:szCs w:val="18"/>
              </w:rPr>
            </w:pPr>
            <w:r>
              <w:rPr>
                <w:sz w:val="18"/>
                <w:szCs w:val="18"/>
              </w:rPr>
              <w:t>5</w:t>
            </w:r>
          </w:p>
        </w:tc>
        <w:tc>
          <w:tcPr>
            <w:tcW w:w="595" w:type="dxa"/>
          </w:tcPr>
          <w:p w14:paraId="6EDDFD49" w14:textId="77777777" w:rsidR="00C14603" w:rsidRPr="000D64AF" w:rsidRDefault="00C14603" w:rsidP="00C14603">
            <w:pPr>
              <w:rPr>
                <w:sz w:val="18"/>
                <w:szCs w:val="18"/>
              </w:rPr>
            </w:pPr>
            <w:r>
              <w:rPr>
                <w:sz w:val="18"/>
                <w:szCs w:val="18"/>
              </w:rPr>
              <w:t>5</w:t>
            </w:r>
          </w:p>
        </w:tc>
        <w:tc>
          <w:tcPr>
            <w:tcW w:w="596" w:type="dxa"/>
            <w:tcBorders>
              <w:right w:val="single" w:sz="12" w:space="0" w:color="auto"/>
            </w:tcBorders>
          </w:tcPr>
          <w:p w14:paraId="554ABADA" w14:textId="77777777" w:rsidR="00C14603" w:rsidRPr="000D64AF" w:rsidRDefault="00C14603" w:rsidP="00C14603">
            <w:pPr>
              <w:rPr>
                <w:sz w:val="18"/>
                <w:szCs w:val="18"/>
              </w:rPr>
            </w:pPr>
            <w:r>
              <w:rPr>
                <w:sz w:val="18"/>
                <w:szCs w:val="18"/>
              </w:rPr>
              <w:t>5</w:t>
            </w:r>
          </w:p>
        </w:tc>
        <w:tc>
          <w:tcPr>
            <w:tcW w:w="595" w:type="dxa"/>
            <w:tcBorders>
              <w:left w:val="single" w:sz="12" w:space="0" w:color="auto"/>
            </w:tcBorders>
          </w:tcPr>
          <w:p w14:paraId="2EEF153D" w14:textId="77777777" w:rsidR="00C14603" w:rsidRPr="000D64AF" w:rsidRDefault="00C14603" w:rsidP="00C14603">
            <w:pPr>
              <w:rPr>
                <w:sz w:val="18"/>
                <w:szCs w:val="18"/>
              </w:rPr>
            </w:pPr>
            <w:r>
              <w:rPr>
                <w:sz w:val="18"/>
                <w:szCs w:val="18"/>
              </w:rPr>
              <w:t>550</w:t>
            </w:r>
          </w:p>
        </w:tc>
        <w:tc>
          <w:tcPr>
            <w:tcW w:w="595" w:type="dxa"/>
          </w:tcPr>
          <w:p w14:paraId="250E890C" w14:textId="77777777" w:rsidR="00C14603" w:rsidRPr="000D64AF" w:rsidRDefault="00C14603" w:rsidP="00C14603">
            <w:pPr>
              <w:rPr>
                <w:sz w:val="18"/>
                <w:szCs w:val="18"/>
              </w:rPr>
            </w:pPr>
            <w:r>
              <w:rPr>
                <w:sz w:val="18"/>
                <w:szCs w:val="18"/>
              </w:rPr>
              <w:t>55</w:t>
            </w:r>
          </w:p>
        </w:tc>
      </w:tr>
      <w:tr w:rsidR="00C14603" w:rsidRPr="00356C60" w14:paraId="2AC837EA" w14:textId="77777777" w:rsidTr="00C14603">
        <w:trPr>
          <w:gridAfter w:val="1"/>
          <w:wAfter w:w="13" w:type="dxa"/>
          <w:trHeight w:val="320"/>
        </w:trPr>
        <w:tc>
          <w:tcPr>
            <w:tcW w:w="280" w:type="dxa"/>
          </w:tcPr>
          <w:p w14:paraId="241B31E9" w14:textId="77777777" w:rsidR="00C14603" w:rsidRPr="000D64AF" w:rsidRDefault="00C14603" w:rsidP="00C14603">
            <w:pPr>
              <w:rPr>
                <w:sz w:val="18"/>
                <w:szCs w:val="18"/>
              </w:rPr>
            </w:pPr>
            <w:r>
              <w:rPr>
                <w:sz w:val="18"/>
                <w:szCs w:val="18"/>
              </w:rPr>
              <w:t>2</w:t>
            </w:r>
          </w:p>
        </w:tc>
        <w:tc>
          <w:tcPr>
            <w:tcW w:w="992" w:type="dxa"/>
          </w:tcPr>
          <w:p w14:paraId="42568B31" w14:textId="04874739" w:rsidR="00C14603" w:rsidRPr="00C92718" w:rsidRDefault="00C14603" w:rsidP="00C14603">
            <w:pPr>
              <w:rPr>
                <w:sz w:val="18"/>
                <w:szCs w:val="18"/>
                <w:lang w:val="en-US"/>
              </w:rPr>
            </w:pPr>
            <w:r>
              <w:rPr>
                <w:sz w:val="18"/>
                <w:szCs w:val="18"/>
              </w:rPr>
              <w:t>Ursing</w:t>
            </w:r>
            <w:r>
              <w:rPr>
                <w:sz w:val="18"/>
                <w:szCs w:val="18"/>
                <w:vertAlign w:val="superscript"/>
              </w:rPr>
              <w:t xml:space="preserve"> </w:t>
            </w:r>
            <w:r>
              <w:rPr>
                <w:sz w:val="18"/>
                <w:szCs w:val="18"/>
                <w:vertAlign w:val="superscript"/>
              </w:rPr>
              <w:fldChar w:fldCharType="begin" w:fldLock="1"/>
            </w:r>
            <w:r w:rsidR="00BE1F70">
              <w:rPr>
                <w:sz w:val="18"/>
                <w:szCs w:val="18"/>
                <w:vertAlign w:val="superscript"/>
              </w:rPr>
              <w:instrText>ADDIN CSL_CITATION {"citationItems":[{"id":"ITEM-1","itemData":{"DOI":"10.1128/AAC.01846-19","ISSN":"10986596","abstract":"Higher chloroquine doses can effectively treat up to 93 to 96% of malaria infections caused by Plasmodium falciparum carrying the resistance-conferring chloroquine resistance transporter (pfcrt) 76T allele. The tolerability of 50 (double the standard dose) and 70 mg/kg total chloroquine doses were assessed in this study. Fifteen 4- to 8-year-old children with uncomplicated malaria were given 10 mg/kg of chloroquine twice daily for 2 days and 5 mg/kg twice daily on the third day. Fifteen additional children were given 5 mg/kg twice daily for 2 more days. Chloroquine concentrations, blood pressure, electrocardiograms (ECGs), parasite density, and adverse events were assessed until day 28. Both dosages were well tolerated, and symptoms resolved by day 3 in parallel with increasing chloroquine concentrations. The median corrected QT (QTc) interval was 12 to 26 ms higher at expected peak concentrations than at day 0 (P &lt; 0.001). Pfcrt 76T was associated with delayed parasite clearance. Day 28 clinical and parasitological responses against P. falciparum with pfcrt 76T were 57% (4/7) and 67% (4/6) after treatment with 50 and 70 mg/kg, respectively. Dosages were well tolerated, and no severe cardiac adverse events occurred. The QTc interval increase was similar to that found in adults taking 25 mg/kg of chloroquine.","author":[{"dropping-particle":"","family":"Ursing","given":"Johan","non-dropping-particle":"","parse-names":false,"suffix":""},{"dropping-partic</w:instrText>
            </w:r>
            <w:r w:rsidR="00BE1F70" w:rsidRPr="00BE1F70">
              <w:rPr>
                <w:sz w:val="18"/>
                <w:szCs w:val="18"/>
                <w:vertAlign w:val="superscript"/>
                <w:lang w:val="en-US"/>
              </w:rPr>
              <w:instrText>le":"","family":"Rombo","given":"Lars","non-dropping-particle":"","parse-names":false,"suffix":""},{"dropping-particle":"","family":"Eksborg","given":"Staffan","non-dropping-particle":"","parse-names":false,"suffix":""},{"dropping-particle":"","family":"Larson","given":"Lena","non-dropping-particle":"","parse-names":false,"suffix":""},{"dropping-particle":"","family":"Bruvoll","given":"Anita","non-dropping-particle":"","parse-names":false,"suffix":""},{"dropping-particle":"","family":"Tarning","given":"Joel","non-dropping-particle":"","parse-names":false,"suffix":""},{"dropping-particle":"","family":"Rodrigues","given":"Amabelia","non-dropping-particle":"","parse-names":false,"suffix":""},{"dropping-particle":"","family":"Kofoed","given":"Poul Erik","non-dropping-particle":"","parse-names":false,"suffix":""}],"container-title":"Antimicrobial Agents and Chemotherapy","id":"ITEM-1","issue":"3","issued":{"date-parts":[["2020"]]},"page":"1-12","title":"High-dose chloroquine for uncomplicated plasmodium falciparum malaria is well tolerated and causes similar QT interval prolongation as standard-dose chloroquine in children","type":"article-journal","volume":"64"},"uris":["http://www.mendeley.com/documents/?uuid=de5c46c6-27cb-4ac0-b788-54885b9c377f"]}],"mendeley":{"formattedCitation":"[12]","plainTextFormattedCitation":"[12]","previouslyFormattedCitation":"[12]"},"properties":{"noteIndex":0},"schema":"https://github.com/citation-style-language/schema/raw/master/csl-citation.json"}</w:instrText>
            </w:r>
            <w:r>
              <w:rPr>
                <w:sz w:val="18"/>
                <w:szCs w:val="18"/>
                <w:vertAlign w:val="superscript"/>
              </w:rPr>
              <w:fldChar w:fldCharType="separate"/>
            </w:r>
            <w:r w:rsidR="00BD7649" w:rsidRPr="00BD7649">
              <w:rPr>
                <w:noProof/>
                <w:sz w:val="18"/>
                <w:szCs w:val="18"/>
                <w:lang w:val="en-US"/>
              </w:rPr>
              <w:t>[12]</w:t>
            </w:r>
            <w:r>
              <w:rPr>
                <w:sz w:val="18"/>
                <w:szCs w:val="18"/>
                <w:vertAlign w:val="superscript"/>
              </w:rPr>
              <w:fldChar w:fldCharType="end"/>
            </w:r>
          </w:p>
        </w:tc>
        <w:tc>
          <w:tcPr>
            <w:tcW w:w="709" w:type="dxa"/>
            <w:tcBorders>
              <w:right w:val="single" w:sz="12" w:space="0" w:color="auto"/>
            </w:tcBorders>
          </w:tcPr>
          <w:p w14:paraId="0D269E96" w14:textId="77777777" w:rsidR="00C14603" w:rsidRPr="00C92718" w:rsidRDefault="00C14603" w:rsidP="00C14603">
            <w:pPr>
              <w:rPr>
                <w:sz w:val="18"/>
                <w:szCs w:val="18"/>
                <w:lang w:val="en-US"/>
              </w:rPr>
            </w:pPr>
            <w:r w:rsidRPr="00C92718">
              <w:rPr>
                <w:sz w:val="18"/>
                <w:szCs w:val="18"/>
                <w:lang w:val="en-US"/>
              </w:rPr>
              <w:t>mg/kg</w:t>
            </w:r>
          </w:p>
        </w:tc>
        <w:tc>
          <w:tcPr>
            <w:tcW w:w="595" w:type="dxa"/>
            <w:tcBorders>
              <w:left w:val="single" w:sz="12" w:space="0" w:color="auto"/>
            </w:tcBorders>
          </w:tcPr>
          <w:p w14:paraId="1D9E946C" w14:textId="77777777" w:rsidR="00C14603" w:rsidRPr="00C92718" w:rsidRDefault="00C14603" w:rsidP="00C14603">
            <w:pPr>
              <w:rPr>
                <w:sz w:val="18"/>
                <w:szCs w:val="18"/>
                <w:lang w:val="en-US"/>
              </w:rPr>
            </w:pPr>
            <w:r w:rsidRPr="00C92718">
              <w:rPr>
                <w:sz w:val="18"/>
                <w:szCs w:val="18"/>
                <w:lang w:val="en-US"/>
              </w:rPr>
              <w:t>10</w:t>
            </w:r>
          </w:p>
        </w:tc>
        <w:tc>
          <w:tcPr>
            <w:tcW w:w="598" w:type="dxa"/>
          </w:tcPr>
          <w:p w14:paraId="67B0A1FD" w14:textId="77777777" w:rsidR="00C14603" w:rsidRPr="00C92718" w:rsidRDefault="00C14603" w:rsidP="00C14603">
            <w:pPr>
              <w:rPr>
                <w:sz w:val="18"/>
                <w:szCs w:val="18"/>
                <w:lang w:val="en-US"/>
              </w:rPr>
            </w:pPr>
          </w:p>
        </w:tc>
        <w:tc>
          <w:tcPr>
            <w:tcW w:w="594" w:type="dxa"/>
          </w:tcPr>
          <w:p w14:paraId="7E434DEF" w14:textId="77777777" w:rsidR="00C14603" w:rsidRPr="00C92718" w:rsidRDefault="00C14603" w:rsidP="00C14603">
            <w:pPr>
              <w:rPr>
                <w:sz w:val="18"/>
                <w:szCs w:val="18"/>
                <w:lang w:val="en-US"/>
              </w:rPr>
            </w:pPr>
            <w:r w:rsidRPr="00C92718">
              <w:rPr>
                <w:sz w:val="18"/>
                <w:szCs w:val="18"/>
                <w:lang w:val="en-US"/>
              </w:rPr>
              <w:t>10</w:t>
            </w:r>
          </w:p>
        </w:tc>
        <w:tc>
          <w:tcPr>
            <w:tcW w:w="597" w:type="dxa"/>
          </w:tcPr>
          <w:p w14:paraId="7711C0A8" w14:textId="77777777" w:rsidR="00C14603" w:rsidRPr="00C92718" w:rsidRDefault="00C14603" w:rsidP="00C14603">
            <w:pPr>
              <w:rPr>
                <w:sz w:val="18"/>
                <w:szCs w:val="18"/>
                <w:lang w:val="en-US"/>
              </w:rPr>
            </w:pPr>
          </w:p>
        </w:tc>
        <w:tc>
          <w:tcPr>
            <w:tcW w:w="595" w:type="dxa"/>
          </w:tcPr>
          <w:p w14:paraId="7F18F087" w14:textId="77777777" w:rsidR="00C14603" w:rsidRPr="00C92718" w:rsidRDefault="00C14603" w:rsidP="00C14603">
            <w:pPr>
              <w:rPr>
                <w:sz w:val="18"/>
                <w:szCs w:val="18"/>
                <w:lang w:val="en-US"/>
              </w:rPr>
            </w:pPr>
            <w:r w:rsidRPr="00C92718">
              <w:rPr>
                <w:sz w:val="18"/>
                <w:szCs w:val="18"/>
                <w:lang w:val="en-US"/>
              </w:rPr>
              <w:t>10</w:t>
            </w:r>
          </w:p>
        </w:tc>
        <w:tc>
          <w:tcPr>
            <w:tcW w:w="596" w:type="dxa"/>
          </w:tcPr>
          <w:p w14:paraId="7AD062DA" w14:textId="77777777" w:rsidR="00C14603" w:rsidRPr="00C92718" w:rsidRDefault="00C14603" w:rsidP="00C14603">
            <w:pPr>
              <w:rPr>
                <w:sz w:val="18"/>
                <w:szCs w:val="18"/>
                <w:lang w:val="en-US"/>
              </w:rPr>
            </w:pPr>
            <w:r w:rsidRPr="00C92718">
              <w:rPr>
                <w:sz w:val="18"/>
                <w:szCs w:val="18"/>
                <w:lang w:val="en-US"/>
              </w:rPr>
              <w:t>10</w:t>
            </w:r>
          </w:p>
        </w:tc>
        <w:tc>
          <w:tcPr>
            <w:tcW w:w="595" w:type="dxa"/>
          </w:tcPr>
          <w:p w14:paraId="276D301F" w14:textId="77777777" w:rsidR="00C14603" w:rsidRPr="00C92718" w:rsidRDefault="00C14603" w:rsidP="00C14603">
            <w:pPr>
              <w:rPr>
                <w:sz w:val="18"/>
                <w:szCs w:val="18"/>
                <w:lang w:val="en-US"/>
              </w:rPr>
            </w:pPr>
            <w:r w:rsidRPr="00C92718">
              <w:rPr>
                <w:sz w:val="18"/>
                <w:szCs w:val="18"/>
                <w:lang w:val="en-US"/>
              </w:rPr>
              <w:t>5</w:t>
            </w:r>
          </w:p>
        </w:tc>
        <w:tc>
          <w:tcPr>
            <w:tcW w:w="596" w:type="dxa"/>
          </w:tcPr>
          <w:p w14:paraId="22DBD088" w14:textId="77777777" w:rsidR="00C14603" w:rsidRPr="00C92718" w:rsidRDefault="00C14603" w:rsidP="00C14603">
            <w:pPr>
              <w:rPr>
                <w:sz w:val="18"/>
                <w:szCs w:val="18"/>
                <w:lang w:val="en-US"/>
              </w:rPr>
            </w:pPr>
            <w:r w:rsidRPr="00C92718">
              <w:rPr>
                <w:sz w:val="18"/>
                <w:szCs w:val="18"/>
                <w:lang w:val="en-US"/>
              </w:rPr>
              <w:t>5</w:t>
            </w:r>
          </w:p>
        </w:tc>
        <w:tc>
          <w:tcPr>
            <w:tcW w:w="594" w:type="dxa"/>
          </w:tcPr>
          <w:p w14:paraId="65DBBEE1" w14:textId="77777777" w:rsidR="00C14603" w:rsidRPr="00C92718" w:rsidRDefault="00C14603" w:rsidP="00C14603">
            <w:pPr>
              <w:rPr>
                <w:sz w:val="18"/>
                <w:szCs w:val="18"/>
                <w:lang w:val="en-US"/>
              </w:rPr>
            </w:pPr>
            <w:r w:rsidRPr="00C92718">
              <w:rPr>
                <w:sz w:val="18"/>
                <w:szCs w:val="18"/>
                <w:lang w:val="en-US"/>
              </w:rPr>
              <w:t>5</w:t>
            </w:r>
          </w:p>
        </w:tc>
        <w:tc>
          <w:tcPr>
            <w:tcW w:w="597" w:type="dxa"/>
          </w:tcPr>
          <w:p w14:paraId="3A36B6E6" w14:textId="77777777" w:rsidR="00C14603" w:rsidRPr="00C92718" w:rsidRDefault="00C14603" w:rsidP="00C14603">
            <w:pPr>
              <w:rPr>
                <w:sz w:val="18"/>
                <w:szCs w:val="18"/>
                <w:lang w:val="en-US"/>
              </w:rPr>
            </w:pPr>
            <w:r w:rsidRPr="00C92718">
              <w:rPr>
                <w:sz w:val="18"/>
                <w:szCs w:val="18"/>
                <w:lang w:val="en-US"/>
              </w:rPr>
              <w:t>5</w:t>
            </w:r>
          </w:p>
        </w:tc>
        <w:tc>
          <w:tcPr>
            <w:tcW w:w="595" w:type="dxa"/>
          </w:tcPr>
          <w:p w14:paraId="60136461" w14:textId="77777777" w:rsidR="00C14603" w:rsidRPr="00C92718" w:rsidRDefault="00C14603" w:rsidP="00C14603">
            <w:pPr>
              <w:rPr>
                <w:sz w:val="18"/>
                <w:szCs w:val="18"/>
                <w:lang w:val="en-US"/>
              </w:rPr>
            </w:pPr>
            <w:r w:rsidRPr="00C92718">
              <w:rPr>
                <w:sz w:val="18"/>
                <w:szCs w:val="18"/>
                <w:lang w:val="en-US"/>
              </w:rPr>
              <w:t>5</w:t>
            </w:r>
          </w:p>
        </w:tc>
        <w:tc>
          <w:tcPr>
            <w:tcW w:w="596" w:type="dxa"/>
            <w:tcBorders>
              <w:right w:val="single" w:sz="12" w:space="0" w:color="auto"/>
            </w:tcBorders>
          </w:tcPr>
          <w:p w14:paraId="62FEBA5F" w14:textId="77777777" w:rsidR="00C14603" w:rsidRPr="00C92718" w:rsidRDefault="00C14603" w:rsidP="00C14603">
            <w:pPr>
              <w:rPr>
                <w:sz w:val="18"/>
                <w:szCs w:val="18"/>
                <w:lang w:val="en-US"/>
              </w:rPr>
            </w:pPr>
            <w:r w:rsidRPr="00C92718">
              <w:rPr>
                <w:sz w:val="18"/>
                <w:szCs w:val="18"/>
                <w:lang w:val="en-US"/>
              </w:rPr>
              <w:t>5</w:t>
            </w:r>
          </w:p>
        </w:tc>
        <w:tc>
          <w:tcPr>
            <w:tcW w:w="595" w:type="dxa"/>
            <w:tcBorders>
              <w:left w:val="single" w:sz="12" w:space="0" w:color="auto"/>
            </w:tcBorders>
          </w:tcPr>
          <w:p w14:paraId="6140C63F" w14:textId="77777777" w:rsidR="00C14603" w:rsidRPr="00C92718" w:rsidRDefault="00C14603" w:rsidP="00C14603">
            <w:pPr>
              <w:rPr>
                <w:sz w:val="18"/>
                <w:szCs w:val="18"/>
                <w:lang w:val="en-US"/>
              </w:rPr>
            </w:pPr>
            <w:r w:rsidRPr="00C92718">
              <w:rPr>
                <w:sz w:val="18"/>
                <w:szCs w:val="18"/>
                <w:lang w:val="en-US"/>
              </w:rPr>
              <w:t>700</w:t>
            </w:r>
          </w:p>
        </w:tc>
        <w:tc>
          <w:tcPr>
            <w:tcW w:w="595" w:type="dxa"/>
          </w:tcPr>
          <w:p w14:paraId="0D0242C5" w14:textId="77777777" w:rsidR="00C14603" w:rsidRPr="00C92718" w:rsidRDefault="00C14603" w:rsidP="00C14603">
            <w:pPr>
              <w:rPr>
                <w:sz w:val="18"/>
                <w:szCs w:val="18"/>
                <w:lang w:val="en-US"/>
              </w:rPr>
            </w:pPr>
            <w:r w:rsidRPr="00C92718">
              <w:rPr>
                <w:sz w:val="18"/>
                <w:szCs w:val="18"/>
                <w:lang w:val="en-US"/>
              </w:rPr>
              <w:t>70</w:t>
            </w:r>
          </w:p>
        </w:tc>
      </w:tr>
    </w:tbl>
    <w:p w14:paraId="5E15D643" w14:textId="77777777" w:rsidR="00C14603" w:rsidRPr="00C14603" w:rsidRDefault="00C14603" w:rsidP="00C14603">
      <w:pPr>
        <w:pStyle w:val="Lijstalinea"/>
        <w:rPr>
          <w:lang w:val="en-US"/>
        </w:rPr>
      </w:pPr>
    </w:p>
    <w:p w14:paraId="25B2608B" w14:textId="77777777" w:rsidR="00C14603" w:rsidRPr="00C14603" w:rsidRDefault="00C14603" w:rsidP="00C14603">
      <w:pPr>
        <w:rPr>
          <w:rFonts w:asciiTheme="majorHAnsi" w:eastAsiaTheme="majorEastAsia" w:hAnsiTheme="majorHAnsi" w:cstheme="majorBidi"/>
          <w:sz w:val="32"/>
          <w:szCs w:val="32"/>
          <w:lang w:val="en-US"/>
        </w:rPr>
      </w:pPr>
    </w:p>
    <w:p w14:paraId="552494E8" w14:textId="77777777" w:rsidR="00C14603" w:rsidRDefault="00C14603">
      <w:pPr>
        <w:rPr>
          <w:rFonts w:asciiTheme="majorHAnsi" w:eastAsiaTheme="majorEastAsia" w:hAnsiTheme="majorHAnsi" w:cstheme="majorBidi"/>
          <w:sz w:val="32"/>
          <w:szCs w:val="32"/>
          <w:lang w:val="en-US"/>
        </w:rPr>
      </w:pPr>
      <w:r>
        <w:rPr>
          <w:rFonts w:asciiTheme="majorHAnsi" w:eastAsiaTheme="majorEastAsia" w:hAnsiTheme="majorHAnsi" w:cstheme="majorBidi"/>
          <w:sz w:val="32"/>
          <w:szCs w:val="32"/>
          <w:lang w:val="en-US"/>
        </w:rPr>
        <w:br w:type="page"/>
      </w:r>
    </w:p>
    <w:p w14:paraId="2873C7D2" w14:textId="642C7D71" w:rsidR="00090CD3" w:rsidRDefault="00C14603" w:rsidP="00483BF9">
      <w:pPr>
        <w:pStyle w:val="Kop1"/>
        <w:numPr>
          <w:ilvl w:val="0"/>
          <w:numId w:val="29"/>
        </w:numPr>
        <w:rPr>
          <w:color w:val="auto"/>
          <w:lang w:val="en-US"/>
        </w:rPr>
      </w:pPr>
      <w:bookmarkStart w:id="5" w:name="_Toc36555278"/>
      <w:r>
        <w:rPr>
          <w:color w:val="auto"/>
          <w:lang w:val="en-US"/>
        </w:rPr>
        <w:lastRenderedPageBreak/>
        <w:t xml:space="preserve">Internal and External </w:t>
      </w:r>
      <w:r w:rsidR="00351823">
        <w:rPr>
          <w:color w:val="auto"/>
          <w:lang w:val="en-US"/>
        </w:rPr>
        <w:t>evaluation</w:t>
      </w:r>
      <w:r>
        <w:rPr>
          <w:color w:val="auto"/>
          <w:lang w:val="en-US"/>
        </w:rPr>
        <w:t xml:space="preserve"> of the chloroquine model by Zhao et al</w:t>
      </w:r>
      <w:bookmarkEnd w:id="5"/>
    </w:p>
    <w:p w14:paraId="7AF8754D" w14:textId="77777777" w:rsidR="003F516A" w:rsidRDefault="003F516A" w:rsidP="003F516A">
      <w:pPr>
        <w:pStyle w:val="Kop2"/>
        <w:rPr>
          <w:color w:val="auto"/>
          <w:shd w:val="clear" w:color="auto" w:fill="FFFFFF"/>
          <w:lang w:val="en-US"/>
        </w:rPr>
      </w:pPr>
    </w:p>
    <w:p w14:paraId="00D05C32" w14:textId="42DD1798" w:rsidR="00351823" w:rsidRDefault="00351823" w:rsidP="00483BF9">
      <w:pPr>
        <w:pStyle w:val="Kop2"/>
        <w:numPr>
          <w:ilvl w:val="1"/>
          <w:numId w:val="29"/>
        </w:numPr>
        <w:rPr>
          <w:color w:val="auto"/>
          <w:shd w:val="clear" w:color="auto" w:fill="FFFFFF"/>
          <w:lang w:val="en-US"/>
        </w:rPr>
      </w:pPr>
      <w:bookmarkStart w:id="6" w:name="_Toc36555279"/>
      <w:r w:rsidRPr="00351823">
        <w:rPr>
          <w:color w:val="auto"/>
          <w:shd w:val="clear" w:color="auto" w:fill="FFFFFF"/>
          <w:lang w:val="en-US"/>
        </w:rPr>
        <w:t>Details regarding the Zhao PK model</w:t>
      </w:r>
      <w:bookmarkEnd w:id="6"/>
    </w:p>
    <w:p w14:paraId="47C8A9D0" w14:textId="77777777" w:rsidR="003F516A" w:rsidRDefault="003F516A">
      <w:pPr>
        <w:rPr>
          <w:rFonts w:cstheme="minorHAnsi"/>
          <w:b/>
          <w:bCs/>
          <w:color w:val="212121"/>
          <w:shd w:val="clear" w:color="auto" w:fill="FFFFFF"/>
          <w:lang w:val="en-US"/>
        </w:rPr>
      </w:pPr>
    </w:p>
    <w:p w14:paraId="06C1CE6D" w14:textId="18EFEFA1" w:rsidR="00830AC7" w:rsidRPr="00D2614D" w:rsidRDefault="00830AC7">
      <w:pPr>
        <w:rPr>
          <w:rFonts w:cstheme="minorHAnsi"/>
          <w:b/>
          <w:bCs/>
          <w:color w:val="212121"/>
          <w:shd w:val="clear" w:color="auto" w:fill="FFFFFF"/>
          <w:lang w:val="en-US"/>
        </w:rPr>
      </w:pPr>
      <w:r w:rsidRPr="00D2614D">
        <w:rPr>
          <w:rFonts w:cstheme="minorHAnsi"/>
          <w:b/>
          <w:bCs/>
          <w:color w:val="212121"/>
          <w:shd w:val="clear" w:color="auto" w:fill="FFFFFF"/>
          <w:lang w:val="en-US"/>
        </w:rPr>
        <w:t xml:space="preserve">Source of the </w:t>
      </w:r>
      <w:r w:rsidR="00D2614D">
        <w:rPr>
          <w:rFonts w:cstheme="minorHAnsi"/>
          <w:b/>
          <w:bCs/>
          <w:color w:val="212121"/>
          <w:shd w:val="clear" w:color="auto" w:fill="FFFFFF"/>
          <w:lang w:val="en-US"/>
        </w:rPr>
        <w:t xml:space="preserve">used PK </w:t>
      </w:r>
      <w:r w:rsidRPr="00D2614D">
        <w:rPr>
          <w:rFonts w:cstheme="minorHAnsi"/>
          <w:b/>
          <w:bCs/>
          <w:color w:val="212121"/>
          <w:shd w:val="clear" w:color="auto" w:fill="FFFFFF"/>
          <w:lang w:val="en-US"/>
        </w:rPr>
        <w:t>model:</w:t>
      </w:r>
    </w:p>
    <w:p w14:paraId="3EE8892F" w14:textId="4806BF34" w:rsidR="00090CD3" w:rsidRDefault="00090CD3">
      <w:pPr>
        <w:rPr>
          <w:rFonts w:cstheme="minorHAnsi"/>
          <w:color w:val="212121"/>
          <w:shd w:val="clear" w:color="auto" w:fill="FFFFFF"/>
          <w:lang w:val="en-US"/>
        </w:rPr>
      </w:pPr>
      <w:r w:rsidRPr="00121BF0">
        <w:rPr>
          <w:rFonts w:cstheme="minorHAnsi"/>
          <w:color w:val="212121"/>
          <w:shd w:val="clear" w:color="auto" w:fill="FFFFFF"/>
          <w:lang w:val="en-US"/>
        </w:rPr>
        <w:t>Zhao Q, Tensfeldt TG, Chandra R, Mould DR. Population pharmacokinetics of azithromycin and chloroquine in healthy adults and paediatric malaria subjects following oral administration of fixed-dose azithromycin and chloroquine combination tablets. </w:t>
      </w:r>
      <w:r w:rsidRPr="00D2614D">
        <w:rPr>
          <w:rFonts w:cstheme="minorHAnsi"/>
          <w:i/>
          <w:iCs/>
          <w:color w:val="212121"/>
          <w:shd w:val="clear" w:color="auto" w:fill="FFFFFF"/>
          <w:lang w:val="en-US"/>
        </w:rPr>
        <w:t>Malar J</w:t>
      </w:r>
      <w:r w:rsidRPr="00D2614D">
        <w:rPr>
          <w:rFonts w:cstheme="minorHAnsi"/>
          <w:color w:val="212121"/>
          <w:shd w:val="clear" w:color="auto" w:fill="FFFFFF"/>
          <w:lang w:val="en-US"/>
        </w:rPr>
        <w:t>. 2014;13:36. Published 2014 Jan 29. doi:10.1186/1475-2875-13-36</w:t>
      </w:r>
    </w:p>
    <w:p w14:paraId="2B0B32D2" w14:textId="77777777" w:rsidR="00D2614D" w:rsidRPr="0035344A" w:rsidRDefault="00D2614D" w:rsidP="00D2614D">
      <w:pPr>
        <w:rPr>
          <w:rFonts w:cstheme="minorHAnsi"/>
          <w:b/>
          <w:bCs/>
          <w:lang w:val="en-US"/>
        </w:rPr>
      </w:pPr>
      <w:r w:rsidRPr="0035344A">
        <w:rPr>
          <w:rFonts w:cstheme="minorHAnsi"/>
          <w:b/>
          <w:bCs/>
          <w:lang w:val="en-US"/>
        </w:rPr>
        <w:t>Patient and dose characteristics in this study:</w:t>
      </w:r>
    </w:p>
    <w:p w14:paraId="0AF366BF" w14:textId="5F19BD21" w:rsidR="00D2614D" w:rsidRPr="00D2614D" w:rsidRDefault="00D2614D" w:rsidP="00D2614D">
      <w:pPr>
        <w:rPr>
          <w:rFonts w:cstheme="minorHAnsi"/>
          <w:i/>
          <w:iCs/>
          <w:lang w:val="en-US"/>
        </w:rPr>
      </w:pPr>
      <w:r w:rsidRPr="00D2614D">
        <w:rPr>
          <w:rFonts w:cstheme="minorHAnsi"/>
          <w:i/>
          <w:iCs/>
          <w:lang w:val="en-US"/>
        </w:rPr>
        <w:t xml:space="preserve">0 – 12y:  10 mg/kg 1dd </w:t>
      </w:r>
      <w:r w:rsidR="00A631A1">
        <w:rPr>
          <w:rFonts w:cstheme="minorHAnsi"/>
          <w:i/>
          <w:iCs/>
          <w:lang w:val="en-US"/>
        </w:rPr>
        <w:t xml:space="preserve">during </w:t>
      </w:r>
      <w:r w:rsidRPr="00D2614D">
        <w:rPr>
          <w:rFonts w:cstheme="minorHAnsi"/>
          <w:i/>
          <w:iCs/>
          <w:lang w:val="en-US"/>
        </w:rPr>
        <w:t>3 days</w:t>
      </w:r>
    </w:p>
    <w:p w14:paraId="6EF47566" w14:textId="5C3A1206" w:rsidR="00246D8A" w:rsidRPr="00121BF0" w:rsidRDefault="00246D8A" w:rsidP="00246D8A">
      <w:pPr>
        <w:rPr>
          <w:rFonts w:cstheme="minorHAnsi"/>
          <w:lang w:val="en-US"/>
        </w:rPr>
      </w:pPr>
      <w:r w:rsidRPr="00121BF0">
        <w:rPr>
          <w:rFonts w:cstheme="minorHAnsi"/>
          <w:lang w:val="en-US"/>
        </w:rPr>
        <w:t xml:space="preserve">&gt; 18y: Single dose </w:t>
      </w:r>
      <w:r>
        <w:rPr>
          <w:rFonts w:cstheme="minorHAnsi"/>
          <w:lang w:val="en-US"/>
        </w:rPr>
        <w:t>310</w:t>
      </w:r>
      <w:r w:rsidRPr="00121BF0">
        <w:rPr>
          <w:rFonts w:cstheme="minorHAnsi"/>
          <w:lang w:val="en-US"/>
        </w:rPr>
        <w:t xml:space="preserve"> mg or 300 mg randomized.</w:t>
      </w:r>
      <w:r>
        <w:rPr>
          <w:rFonts w:cstheme="minorHAnsi"/>
          <w:lang w:val="en-US"/>
        </w:rPr>
        <w:t xml:space="preserve"> 310 mg (2 x 155 mg) was bioequivalent to 300 mg CQ. </w:t>
      </w:r>
    </w:p>
    <w:p w14:paraId="45E20555" w14:textId="033873C5" w:rsidR="00D2614D" w:rsidRPr="00D2614D" w:rsidRDefault="00D2614D" w:rsidP="00D2614D">
      <w:pPr>
        <w:rPr>
          <w:rFonts w:cstheme="minorHAnsi"/>
          <w:i/>
          <w:iCs/>
          <w:lang w:val="en-US"/>
        </w:rPr>
      </w:pPr>
      <w:r w:rsidRPr="00D2614D">
        <w:rPr>
          <w:rFonts w:cstheme="minorHAnsi"/>
          <w:i/>
          <w:iCs/>
          <w:lang w:val="en-US"/>
        </w:rPr>
        <w:t>No patient characteristics were published in the manuscript.</w:t>
      </w:r>
    </w:p>
    <w:p w14:paraId="5A50B380" w14:textId="36BB12FD" w:rsidR="00D2614D" w:rsidRDefault="00D2614D">
      <w:pPr>
        <w:rPr>
          <w:rFonts w:cstheme="minorHAnsi"/>
          <w:b/>
          <w:bCs/>
          <w:lang w:val="en-US"/>
        </w:rPr>
      </w:pPr>
      <w:r>
        <w:rPr>
          <w:rFonts w:cstheme="minorHAnsi"/>
          <w:b/>
          <w:bCs/>
          <w:lang w:val="en-US"/>
        </w:rPr>
        <w:t>PK parameters:</w:t>
      </w:r>
    </w:p>
    <w:p w14:paraId="41D44D00" w14:textId="4D950066" w:rsidR="00D2614D" w:rsidRPr="00D2614D" w:rsidRDefault="00D2614D">
      <w:pPr>
        <w:rPr>
          <w:rFonts w:cstheme="minorHAnsi"/>
          <w:b/>
          <w:bCs/>
          <w:lang w:val="en-US"/>
        </w:rPr>
      </w:pPr>
      <w:r w:rsidRPr="00D2614D">
        <w:rPr>
          <w:rFonts w:cstheme="minorHAnsi"/>
          <w:b/>
          <w:bCs/>
          <w:noProof/>
          <w:lang w:eastAsia="nl-NL"/>
        </w:rPr>
        <w:drawing>
          <wp:inline distT="0" distB="0" distL="0" distR="0" wp14:anchorId="683D260A" wp14:editId="30CB4427">
            <wp:extent cx="5760720" cy="3094990"/>
            <wp:effectExtent l="0" t="0" r="0" b="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3094990"/>
                    </a:xfrm>
                    <a:prstGeom prst="rect">
                      <a:avLst/>
                    </a:prstGeom>
                  </pic:spPr>
                </pic:pic>
              </a:graphicData>
            </a:graphic>
          </wp:inline>
        </w:drawing>
      </w:r>
    </w:p>
    <w:p w14:paraId="5AA9F79E" w14:textId="77777777" w:rsidR="0035344A" w:rsidRDefault="0035344A">
      <w:pPr>
        <w:rPr>
          <w:rFonts w:cstheme="minorHAnsi"/>
          <w:b/>
          <w:bCs/>
          <w:lang w:val="en-US"/>
        </w:rPr>
      </w:pPr>
      <w:r>
        <w:rPr>
          <w:rFonts w:cstheme="minorHAnsi"/>
          <w:b/>
          <w:bCs/>
          <w:lang w:val="en-US"/>
        </w:rPr>
        <w:br w:type="page"/>
      </w:r>
    </w:p>
    <w:p w14:paraId="2B3B194C" w14:textId="0730AA21" w:rsidR="00351823" w:rsidRPr="00351823" w:rsidRDefault="00BD7649" w:rsidP="00483BF9">
      <w:pPr>
        <w:pStyle w:val="Kop2"/>
        <w:numPr>
          <w:ilvl w:val="1"/>
          <w:numId w:val="29"/>
        </w:numPr>
        <w:rPr>
          <w:color w:val="auto"/>
          <w:lang w:val="en-US"/>
        </w:rPr>
      </w:pPr>
      <w:bookmarkStart w:id="7" w:name="_Toc36555280"/>
      <w:r>
        <w:rPr>
          <w:color w:val="auto"/>
          <w:lang w:val="en-US"/>
        </w:rPr>
        <w:lastRenderedPageBreak/>
        <w:t>NONMEM</w:t>
      </w:r>
      <w:r w:rsidR="00D2614D" w:rsidRPr="00351823">
        <w:rPr>
          <w:color w:val="auto"/>
          <w:lang w:val="en-US"/>
        </w:rPr>
        <w:t xml:space="preserve"> control stream for Zhao PK model:</w:t>
      </w:r>
      <w:bookmarkEnd w:id="7"/>
    </w:p>
    <w:p w14:paraId="645D2071" w14:textId="77777777" w:rsidR="00351823" w:rsidRPr="00351823" w:rsidRDefault="00351823" w:rsidP="00351823">
      <w:pPr>
        <w:ind w:left="360"/>
        <w:rPr>
          <w:lang w:val="en-US"/>
        </w:rPr>
      </w:pPr>
    </w:p>
    <w:p w14:paraId="5FF3379F" w14:textId="0494747E" w:rsidR="00D2614D" w:rsidRPr="0003564E" w:rsidRDefault="00D2614D" w:rsidP="00D2614D">
      <w:pPr>
        <w:spacing w:line="240" w:lineRule="auto"/>
        <w:rPr>
          <w:rFonts w:cstheme="minorHAnsi"/>
          <w:sz w:val="16"/>
          <w:szCs w:val="16"/>
          <w:lang w:val="en-US"/>
        </w:rPr>
      </w:pPr>
      <w:r w:rsidRPr="0003564E">
        <w:rPr>
          <w:rFonts w:cstheme="minorHAnsi"/>
          <w:sz w:val="16"/>
          <w:szCs w:val="16"/>
          <w:lang w:val="en-US"/>
        </w:rPr>
        <w:t>$PROBLEM PK chloroquine COVID-19</w:t>
      </w:r>
      <w:r w:rsidR="0003564E">
        <w:rPr>
          <w:rFonts w:cstheme="minorHAnsi"/>
          <w:sz w:val="16"/>
          <w:szCs w:val="16"/>
          <w:lang w:val="en-US"/>
        </w:rPr>
        <w:br/>
      </w:r>
      <w:r w:rsidR="000B3A0C" w:rsidRPr="0003564E">
        <w:rPr>
          <w:rFonts w:cstheme="minorHAnsi"/>
          <w:sz w:val="16"/>
          <w:szCs w:val="16"/>
          <w:lang w:val="en-US"/>
        </w:rPr>
        <w:t>$INPUT ID</w:t>
      </w:r>
      <w:r w:rsidR="000B3A0C" w:rsidRPr="0003564E">
        <w:rPr>
          <w:rFonts w:cstheme="minorHAnsi"/>
          <w:sz w:val="16"/>
          <w:szCs w:val="16"/>
          <w:lang w:val="en-US"/>
        </w:rPr>
        <w:tab/>
        <w:t>TIME</w:t>
      </w:r>
      <w:r w:rsidR="000B3A0C" w:rsidRPr="0003564E">
        <w:rPr>
          <w:rFonts w:cstheme="minorHAnsi"/>
          <w:sz w:val="16"/>
          <w:szCs w:val="16"/>
          <w:lang w:val="en-US"/>
        </w:rPr>
        <w:tab/>
        <w:t>AMT</w:t>
      </w:r>
      <w:r w:rsidR="000B3A0C" w:rsidRPr="0003564E">
        <w:rPr>
          <w:rFonts w:cstheme="minorHAnsi"/>
          <w:sz w:val="16"/>
          <w:szCs w:val="16"/>
          <w:lang w:val="en-US"/>
        </w:rPr>
        <w:tab/>
        <w:t>RATE</w:t>
      </w:r>
      <w:r w:rsidR="000B3A0C" w:rsidRPr="0003564E">
        <w:rPr>
          <w:rFonts w:cstheme="minorHAnsi"/>
          <w:sz w:val="16"/>
          <w:szCs w:val="16"/>
          <w:lang w:val="en-US"/>
        </w:rPr>
        <w:tab/>
        <w:t>DV</w:t>
      </w:r>
      <w:r w:rsidR="000B3A0C" w:rsidRPr="0003564E">
        <w:rPr>
          <w:rFonts w:cstheme="minorHAnsi"/>
          <w:sz w:val="16"/>
          <w:szCs w:val="16"/>
          <w:lang w:val="en-US"/>
        </w:rPr>
        <w:tab/>
        <w:t>MDV</w:t>
      </w:r>
      <w:r w:rsidR="000B3A0C" w:rsidRPr="0003564E">
        <w:rPr>
          <w:rFonts w:cstheme="minorHAnsi"/>
          <w:sz w:val="16"/>
          <w:szCs w:val="16"/>
          <w:lang w:val="en-US"/>
        </w:rPr>
        <w:tab/>
        <w:t>EVID</w:t>
      </w:r>
      <w:r w:rsidR="000B3A0C" w:rsidRPr="0003564E">
        <w:rPr>
          <w:rFonts w:cstheme="minorHAnsi"/>
          <w:sz w:val="16"/>
          <w:szCs w:val="16"/>
          <w:lang w:val="en-US"/>
        </w:rPr>
        <w:tab/>
        <w:t>AGE</w:t>
      </w:r>
      <w:r w:rsidR="000B3A0C" w:rsidRPr="0003564E">
        <w:rPr>
          <w:rFonts w:cstheme="minorHAnsi"/>
          <w:sz w:val="16"/>
          <w:szCs w:val="16"/>
          <w:lang w:val="en-US"/>
        </w:rPr>
        <w:tab/>
        <w:t>WT</w:t>
      </w:r>
      <w:r w:rsidR="000B3A0C" w:rsidRPr="0003564E">
        <w:rPr>
          <w:rFonts w:cstheme="minorHAnsi"/>
          <w:sz w:val="16"/>
          <w:szCs w:val="16"/>
          <w:lang w:val="en-US"/>
        </w:rPr>
        <w:tab/>
        <w:t>MF</w:t>
      </w:r>
      <w:r w:rsidR="000B3A0C" w:rsidRPr="0003564E">
        <w:rPr>
          <w:rFonts w:cstheme="minorHAnsi"/>
          <w:sz w:val="16"/>
          <w:szCs w:val="16"/>
          <w:lang w:val="en-US"/>
        </w:rPr>
        <w:br/>
        <w:t>; WT  = body weight in kg</w:t>
      </w:r>
      <w:r w:rsidR="000B3A0C" w:rsidRPr="0003564E">
        <w:rPr>
          <w:rFonts w:cstheme="minorHAnsi"/>
          <w:sz w:val="16"/>
          <w:szCs w:val="16"/>
          <w:lang w:val="en-US"/>
        </w:rPr>
        <w:br/>
        <w:t xml:space="preserve">; MF = multiplication factor for CL  </w:t>
      </w:r>
      <w:r w:rsidR="000B3A0C" w:rsidRPr="0003564E">
        <w:rPr>
          <w:rFonts w:cstheme="minorHAnsi"/>
          <w:sz w:val="16"/>
          <w:szCs w:val="16"/>
          <w:lang w:val="en-US"/>
        </w:rPr>
        <w:br/>
      </w:r>
      <w:r w:rsidRPr="0003564E">
        <w:rPr>
          <w:rFonts w:cstheme="minorHAnsi"/>
          <w:sz w:val="16"/>
          <w:szCs w:val="16"/>
          <w:lang w:val="en-US"/>
        </w:rPr>
        <w:t>$DATA SIM_zhao_typical.prn</w:t>
      </w:r>
      <w:r w:rsidR="0003564E">
        <w:rPr>
          <w:rFonts w:cstheme="minorHAnsi"/>
          <w:sz w:val="16"/>
          <w:szCs w:val="16"/>
          <w:lang w:val="en-US"/>
        </w:rPr>
        <w:br/>
      </w:r>
      <w:r w:rsidRPr="0003564E">
        <w:rPr>
          <w:rFonts w:cstheme="minorHAnsi"/>
          <w:sz w:val="16"/>
          <w:szCs w:val="16"/>
          <w:lang w:val="en-US"/>
        </w:rPr>
        <w:t>IGNORE=@</w:t>
      </w:r>
      <w:r w:rsidR="0003564E">
        <w:rPr>
          <w:rFonts w:cstheme="minorHAnsi"/>
          <w:sz w:val="16"/>
          <w:szCs w:val="16"/>
          <w:lang w:val="en-US"/>
        </w:rPr>
        <w:br/>
      </w:r>
      <w:r w:rsidRPr="0003564E">
        <w:rPr>
          <w:rFonts w:cstheme="minorHAnsi"/>
          <w:sz w:val="16"/>
          <w:szCs w:val="16"/>
          <w:lang w:val="en-US"/>
        </w:rPr>
        <w:t>$SUBROUTINES ADVAN4 TRANS4</w:t>
      </w:r>
    </w:p>
    <w:p w14:paraId="10A9C468" w14:textId="77777777" w:rsidR="00D2614D" w:rsidRPr="0003564E" w:rsidRDefault="00D2614D" w:rsidP="00D2614D">
      <w:pPr>
        <w:spacing w:line="240" w:lineRule="auto"/>
        <w:rPr>
          <w:rFonts w:cstheme="minorHAnsi"/>
          <w:sz w:val="16"/>
          <w:szCs w:val="16"/>
          <w:lang w:val="en-US"/>
        </w:rPr>
      </w:pPr>
      <w:r w:rsidRPr="0003564E">
        <w:rPr>
          <w:rFonts w:cstheme="minorHAnsi"/>
          <w:sz w:val="16"/>
          <w:szCs w:val="16"/>
          <w:lang w:val="en-US"/>
        </w:rPr>
        <w:t>$PK</w:t>
      </w:r>
    </w:p>
    <w:p w14:paraId="6B7C9200" w14:textId="7C723BC1" w:rsidR="00D2614D" w:rsidRPr="0003564E" w:rsidRDefault="00D2614D" w:rsidP="00D2614D">
      <w:pPr>
        <w:spacing w:line="240" w:lineRule="auto"/>
        <w:rPr>
          <w:rFonts w:cstheme="minorHAnsi"/>
          <w:sz w:val="16"/>
          <w:szCs w:val="16"/>
          <w:lang w:val="en-US"/>
        </w:rPr>
      </w:pPr>
      <w:r w:rsidRPr="0003564E">
        <w:rPr>
          <w:rFonts w:cstheme="minorHAnsi"/>
          <w:sz w:val="16"/>
          <w:szCs w:val="16"/>
          <w:lang w:val="en-US"/>
        </w:rPr>
        <w:t xml:space="preserve">KA = THETA(1) </w:t>
      </w:r>
      <w:r w:rsidR="0003564E">
        <w:rPr>
          <w:rFonts w:cstheme="minorHAnsi"/>
          <w:sz w:val="16"/>
          <w:szCs w:val="16"/>
          <w:lang w:val="en-US"/>
        </w:rPr>
        <w:br/>
      </w:r>
      <w:r w:rsidRPr="0003564E">
        <w:rPr>
          <w:rFonts w:cstheme="minorHAnsi"/>
          <w:sz w:val="16"/>
          <w:szCs w:val="16"/>
          <w:lang w:val="en-US"/>
        </w:rPr>
        <w:t xml:space="preserve">TVCL = THETA(2) * ((WT/70)**0.75) * </w:t>
      </w:r>
      <w:r w:rsidR="000B3A0C" w:rsidRPr="0003564E">
        <w:rPr>
          <w:rFonts w:cstheme="minorHAnsi"/>
          <w:sz w:val="16"/>
          <w:szCs w:val="16"/>
          <w:lang w:val="en-US"/>
        </w:rPr>
        <w:t>M</w:t>
      </w:r>
      <w:r w:rsidRPr="0003564E">
        <w:rPr>
          <w:rFonts w:cstheme="minorHAnsi"/>
          <w:sz w:val="16"/>
          <w:szCs w:val="16"/>
          <w:lang w:val="en-US"/>
        </w:rPr>
        <w:t>F</w:t>
      </w:r>
      <w:r w:rsidR="00174A43">
        <w:rPr>
          <w:rFonts w:cstheme="minorHAnsi"/>
          <w:sz w:val="16"/>
          <w:szCs w:val="16"/>
          <w:lang w:val="en-US"/>
        </w:rPr>
        <w:t xml:space="preserve">     ; MF can be used to reduce CL manually (default MF = 1)</w:t>
      </w:r>
      <w:r w:rsidR="0003564E">
        <w:rPr>
          <w:rFonts w:cstheme="minorHAnsi"/>
          <w:sz w:val="16"/>
          <w:szCs w:val="16"/>
          <w:lang w:val="en-US"/>
        </w:rPr>
        <w:br/>
      </w:r>
      <w:r w:rsidRPr="0003564E">
        <w:rPr>
          <w:rFonts w:cstheme="minorHAnsi"/>
          <w:sz w:val="16"/>
          <w:szCs w:val="16"/>
          <w:lang w:val="en-US"/>
        </w:rPr>
        <w:t>TVV2 = THETA(3) * (WT/70)</w:t>
      </w:r>
      <w:r w:rsidR="0003564E">
        <w:rPr>
          <w:rFonts w:cstheme="minorHAnsi"/>
          <w:sz w:val="16"/>
          <w:szCs w:val="16"/>
          <w:lang w:val="en-US"/>
        </w:rPr>
        <w:br/>
      </w:r>
      <w:r w:rsidRPr="0003564E">
        <w:rPr>
          <w:rFonts w:cstheme="minorHAnsi"/>
          <w:sz w:val="16"/>
          <w:szCs w:val="16"/>
          <w:lang w:val="en-US"/>
        </w:rPr>
        <w:t>TVQ = THETA(4)* ((WT/70)**0.75)</w:t>
      </w:r>
      <w:r w:rsidR="0003564E">
        <w:rPr>
          <w:rFonts w:cstheme="minorHAnsi"/>
          <w:sz w:val="16"/>
          <w:szCs w:val="16"/>
          <w:lang w:val="en-US"/>
        </w:rPr>
        <w:br/>
      </w:r>
      <w:r w:rsidRPr="0003564E">
        <w:rPr>
          <w:rFonts w:cstheme="minorHAnsi"/>
          <w:sz w:val="16"/>
          <w:szCs w:val="16"/>
          <w:lang w:val="en-US"/>
        </w:rPr>
        <w:t>TVV3 = THETA(5) * (WT/70)</w:t>
      </w:r>
      <w:r w:rsidR="0003564E">
        <w:rPr>
          <w:rFonts w:cstheme="minorHAnsi"/>
          <w:sz w:val="16"/>
          <w:szCs w:val="16"/>
          <w:lang w:val="en-US"/>
        </w:rPr>
        <w:br/>
      </w:r>
      <w:r w:rsidRPr="0003564E">
        <w:rPr>
          <w:rFonts w:cstheme="minorHAnsi"/>
          <w:sz w:val="16"/>
          <w:szCs w:val="16"/>
          <w:lang w:val="en-US"/>
        </w:rPr>
        <w:t>ALAG1=THETA(6)</w:t>
      </w:r>
    </w:p>
    <w:p w14:paraId="63BF4FB7" w14:textId="55D1CD73" w:rsidR="00D2614D" w:rsidRPr="0003564E" w:rsidRDefault="00D2614D" w:rsidP="00D2614D">
      <w:pPr>
        <w:spacing w:line="240" w:lineRule="auto"/>
        <w:rPr>
          <w:rFonts w:cstheme="minorHAnsi"/>
          <w:sz w:val="16"/>
          <w:szCs w:val="16"/>
          <w:lang w:val="en-US"/>
        </w:rPr>
      </w:pPr>
      <w:r w:rsidRPr="0003564E">
        <w:rPr>
          <w:rFonts w:cstheme="minorHAnsi"/>
          <w:sz w:val="16"/>
          <w:szCs w:val="16"/>
          <w:lang w:val="en-US"/>
        </w:rPr>
        <w:t>CL   = TVCL * EXP(ETA(1))</w:t>
      </w:r>
      <w:r w:rsidR="0003564E">
        <w:rPr>
          <w:rFonts w:cstheme="minorHAnsi"/>
          <w:sz w:val="16"/>
          <w:szCs w:val="16"/>
          <w:lang w:val="en-US"/>
        </w:rPr>
        <w:br/>
      </w:r>
      <w:r w:rsidRPr="0003564E">
        <w:rPr>
          <w:rFonts w:cstheme="minorHAnsi"/>
          <w:sz w:val="16"/>
          <w:szCs w:val="16"/>
          <w:lang w:val="en-US"/>
        </w:rPr>
        <w:t>V2  = TVV2 * EXP(ETA(2))</w:t>
      </w:r>
      <w:r w:rsidR="0003564E">
        <w:rPr>
          <w:rFonts w:cstheme="minorHAnsi"/>
          <w:sz w:val="16"/>
          <w:szCs w:val="16"/>
          <w:lang w:val="en-US"/>
        </w:rPr>
        <w:br/>
      </w:r>
      <w:r w:rsidRPr="0003564E">
        <w:rPr>
          <w:rFonts w:cstheme="minorHAnsi"/>
          <w:sz w:val="16"/>
          <w:szCs w:val="16"/>
          <w:lang w:val="en-US"/>
        </w:rPr>
        <w:t xml:space="preserve">Q   = TVQ </w:t>
      </w:r>
      <w:r w:rsidR="0003564E">
        <w:rPr>
          <w:rFonts w:cstheme="minorHAnsi"/>
          <w:sz w:val="16"/>
          <w:szCs w:val="16"/>
          <w:lang w:val="en-US"/>
        </w:rPr>
        <w:br/>
      </w:r>
      <w:r w:rsidRPr="0003564E">
        <w:rPr>
          <w:rFonts w:cstheme="minorHAnsi"/>
          <w:sz w:val="16"/>
          <w:szCs w:val="16"/>
          <w:lang w:val="en-US"/>
        </w:rPr>
        <w:t>V3  = TVV3</w:t>
      </w:r>
    </w:p>
    <w:p w14:paraId="574F71D3" w14:textId="77777777" w:rsidR="00D2614D" w:rsidRPr="0003564E" w:rsidRDefault="00D2614D" w:rsidP="00D2614D">
      <w:pPr>
        <w:spacing w:line="240" w:lineRule="auto"/>
        <w:rPr>
          <w:rFonts w:cstheme="minorHAnsi"/>
          <w:sz w:val="16"/>
          <w:szCs w:val="16"/>
          <w:lang w:val="en-US"/>
        </w:rPr>
      </w:pPr>
      <w:r w:rsidRPr="0003564E">
        <w:rPr>
          <w:rFonts w:cstheme="minorHAnsi"/>
          <w:sz w:val="16"/>
          <w:szCs w:val="16"/>
          <w:lang w:val="en-US"/>
        </w:rPr>
        <w:t>S2 = V2</w:t>
      </w:r>
    </w:p>
    <w:p w14:paraId="2EE4E776" w14:textId="77777777" w:rsidR="00D2614D" w:rsidRPr="0003564E" w:rsidRDefault="00D2614D" w:rsidP="00D2614D">
      <w:pPr>
        <w:spacing w:line="240" w:lineRule="auto"/>
        <w:rPr>
          <w:rFonts w:cstheme="minorHAnsi"/>
          <w:sz w:val="16"/>
          <w:szCs w:val="16"/>
          <w:lang w:val="en-US"/>
        </w:rPr>
      </w:pPr>
      <w:r w:rsidRPr="0003564E">
        <w:rPr>
          <w:rFonts w:cstheme="minorHAnsi"/>
          <w:sz w:val="16"/>
          <w:szCs w:val="16"/>
          <w:lang w:val="en-US"/>
        </w:rPr>
        <w:t>$ERROR</w:t>
      </w:r>
    </w:p>
    <w:p w14:paraId="249FF05A" w14:textId="24884BDD" w:rsidR="00D2614D" w:rsidRPr="0003564E" w:rsidRDefault="00D2614D" w:rsidP="00D2614D">
      <w:pPr>
        <w:spacing w:line="240" w:lineRule="auto"/>
        <w:rPr>
          <w:rFonts w:cstheme="minorHAnsi"/>
          <w:sz w:val="16"/>
          <w:szCs w:val="16"/>
          <w:lang w:val="en-US"/>
        </w:rPr>
      </w:pPr>
      <w:r w:rsidRPr="0003564E">
        <w:rPr>
          <w:rFonts w:cstheme="minorHAnsi"/>
          <w:sz w:val="16"/>
          <w:szCs w:val="16"/>
          <w:lang w:val="en-US"/>
        </w:rPr>
        <w:t>Y=F*(1+ERR(1))</w:t>
      </w:r>
      <w:r w:rsidR="0003564E">
        <w:rPr>
          <w:rFonts w:cstheme="minorHAnsi"/>
          <w:sz w:val="16"/>
          <w:szCs w:val="16"/>
          <w:lang w:val="en-US"/>
        </w:rPr>
        <w:br/>
      </w:r>
      <w:r w:rsidRPr="0003564E">
        <w:rPr>
          <w:rFonts w:cstheme="minorHAnsi"/>
          <w:sz w:val="16"/>
          <w:szCs w:val="16"/>
          <w:lang w:val="en-US"/>
        </w:rPr>
        <w:t>IPRED=F</w:t>
      </w:r>
    </w:p>
    <w:p w14:paraId="416DF0A0" w14:textId="77777777" w:rsidR="00D2614D" w:rsidRPr="0003564E" w:rsidRDefault="00D2614D" w:rsidP="00D2614D">
      <w:pPr>
        <w:spacing w:line="240" w:lineRule="auto"/>
        <w:rPr>
          <w:rFonts w:cstheme="minorHAnsi"/>
          <w:sz w:val="16"/>
          <w:szCs w:val="16"/>
          <w:lang w:val="en-US"/>
        </w:rPr>
      </w:pPr>
      <w:r w:rsidRPr="0003564E">
        <w:rPr>
          <w:rFonts w:cstheme="minorHAnsi"/>
          <w:sz w:val="16"/>
          <w:szCs w:val="16"/>
          <w:lang w:val="en-US"/>
        </w:rPr>
        <w:t>$THETA</w:t>
      </w:r>
    </w:p>
    <w:p w14:paraId="030D67FA" w14:textId="1662F239" w:rsidR="00D2614D" w:rsidRPr="00372ED3" w:rsidRDefault="00D2614D" w:rsidP="00D2614D">
      <w:pPr>
        <w:spacing w:line="240" w:lineRule="auto"/>
        <w:rPr>
          <w:rFonts w:cstheme="minorHAnsi"/>
          <w:sz w:val="16"/>
          <w:szCs w:val="16"/>
          <w:lang w:val="en-US"/>
        </w:rPr>
      </w:pPr>
      <w:r w:rsidRPr="0003564E">
        <w:rPr>
          <w:rFonts w:cstheme="minorHAnsi"/>
          <w:sz w:val="16"/>
          <w:szCs w:val="16"/>
          <w:lang w:val="en-US"/>
        </w:rPr>
        <w:t>6.12   ; KA (1/h)</w:t>
      </w:r>
      <w:r w:rsidR="0003564E">
        <w:rPr>
          <w:rFonts w:cstheme="minorHAnsi"/>
          <w:sz w:val="16"/>
          <w:szCs w:val="16"/>
          <w:lang w:val="en-US"/>
        </w:rPr>
        <w:br/>
      </w:r>
      <w:r w:rsidRPr="0003564E">
        <w:rPr>
          <w:rFonts w:cstheme="minorHAnsi"/>
          <w:sz w:val="16"/>
          <w:szCs w:val="16"/>
          <w:lang w:val="en-US"/>
        </w:rPr>
        <w:t>(59.1)   ;CL (L/h)</w:t>
      </w:r>
      <w:r w:rsidR="0003564E">
        <w:rPr>
          <w:rFonts w:cstheme="minorHAnsi"/>
          <w:sz w:val="16"/>
          <w:szCs w:val="16"/>
          <w:lang w:val="en-US"/>
        </w:rPr>
        <w:br/>
      </w:r>
      <w:r w:rsidRPr="0003564E">
        <w:rPr>
          <w:rFonts w:cstheme="minorHAnsi"/>
          <w:sz w:val="16"/>
          <w:szCs w:val="16"/>
          <w:lang w:val="en-US"/>
        </w:rPr>
        <w:t>(2870)   ;V2 (L)</w:t>
      </w:r>
      <w:r w:rsidR="0003564E">
        <w:rPr>
          <w:rFonts w:cstheme="minorHAnsi"/>
          <w:sz w:val="16"/>
          <w:szCs w:val="16"/>
          <w:lang w:val="en-US"/>
        </w:rPr>
        <w:br/>
      </w:r>
      <w:r w:rsidRPr="0003564E">
        <w:rPr>
          <w:rFonts w:cstheme="minorHAnsi"/>
          <w:sz w:val="16"/>
          <w:szCs w:val="16"/>
          <w:lang w:val="en-US"/>
        </w:rPr>
        <w:t>(61.4)  ;Q (L/h)</w:t>
      </w:r>
      <w:r w:rsidR="0003564E">
        <w:rPr>
          <w:rFonts w:cstheme="minorHAnsi"/>
          <w:sz w:val="16"/>
          <w:szCs w:val="16"/>
          <w:lang w:val="en-US"/>
        </w:rPr>
        <w:br/>
      </w:r>
      <w:r w:rsidRPr="0003564E">
        <w:rPr>
          <w:rFonts w:cstheme="minorHAnsi"/>
          <w:sz w:val="16"/>
          <w:szCs w:val="16"/>
          <w:lang w:val="en-US"/>
        </w:rPr>
        <w:t>(1890)   ;V3 (L)</w:t>
      </w:r>
      <w:r w:rsidR="0003564E">
        <w:rPr>
          <w:rFonts w:cstheme="minorHAnsi"/>
          <w:sz w:val="16"/>
          <w:szCs w:val="16"/>
          <w:lang w:val="en-US"/>
        </w:rPr>
        <w:br/>
      </w:r>
      <w:r w:rsidRPr="00372ED3">
        <w:rPr>
          <w:rFonts w:cstheme="minorHAnsi"/>
          <w:sz w:val="16"/>
          <w:szCs w:val="16"/>
          <w:lang w:val="en-US"/>
        </w:rPr>
        <w:t>0.387   ;ALAG (h)</w:t>
      </w:r>
    </w:p>
    <w:p w14:paraId="345AA6D5" w14:textId="77777777" w:rsidR="00D2614D" w:rsidRPr="00372ED3" w:rsidRDefault="00D2614D" w:rsidP="00D2614D">
      <w:pPr>
        <w:spacing w:line="240" w:lineRule="auto"/>
        <w:rPr>
          <w:rFonts w:cstheme="minorHAnsi"/>
          <w:sz w:val="16"/>
          <w:szCs w:val="16"/>
          <w:lang w:val="en-US"/>
        </w:rPr>
      </w:pPr>
    </w:p>
    <w:p w14:paraId="14BEF806" w14:textId="77777777" w:rsidR="00D2614D" w:rsidRPr="00372ED3" w:rsidRDefault="00D2614D" w:rsidP="00D2614D">
      <w:pPr>
        <w:spacing w:line="240" w:lineRule="auto"/>
        <w:rPr>
          <w:rFonts w:cstheme="minorHAnsi"/>
          <w:sz w:val="16"/>
          <w:szCs w:val="16"/>
          <w:lang w:val="en-US"/>
        </w:rPr>
      </w:pPr>
      <w:r w:rsidRPr="00372ED3">
        <w:rPr>
          <w:rFonts w:cstheme="minorHAnsi"/>
          <w:sz w:val="16"/>
          <w:szCs w:val="16"/>
          <w:lang w:val="en-US"/>
        </w:rPr>
        <w:t>$OMEGA</w:t>
      </w:r>
    </w:p>
    <w:p w14:paraId="456D4DD4" w14:textId="4764E43B" w:rsidR="00D2614D" w:rsidRPr="0003564E" w:rsidRDefault="00D2614D" w:rsidP="00D2614D">
      <w:pPr>
        <w:spacing w:line="240" w:lineRule="auto"/>
        <w:rPr>
          <w:rFonts w:cstheme="minorHAnsi"/>
          <w:sz w:val="16"/>
          <w:szCs w:val="16"/>
          <w:lang w:val="en-US"/>
        </w:rPr>
      </w:pPr>
      <w:r w:rsidRPr="00372ED3">
        <w:rPr>
          <w:rFonts w:cstheme="minorHAnsi"/>
          <w:sz w:val="16"/>
          <w:szCs w:val="16"/>
          <w:lang w:val="en-US"/>
        </w:rPr>
        <w:t>0 FIX  ; CL ETA 1</w:t>
      </w:r>
      <w:r w:rsidR="0003564E">
        <w:rPr>
          <w:rFonts w:cstheme="minorHAnsi"/>
          <w:sz w:val="16"/>
          <w:szCs w:val="16"/>
          <w:lang w:val="en-US"/>
        </w:rPr>
        <w:br/>
      </w:r>
      <w:r w:rsidRPr="0003564E">
        <w:rPr>
          <w:rFonts w:cstheme="minorHAnsi"/>
          <w:sz w:val="16"/>
          <w:szCs w:val="16"/>
          <w:lang w:val="en-US"/>
        </w:rPr>
        <w:t>0 FIX  ; V2 ETA 2</w:t>
      </w:r>
    </w:p>
    <w:p w14:paraId="6495B0FB" w14:textId="77777777" w:rsidR="00D2614D" w:rsidRPr="0003564E" w:rsidRDefault="00D2614D" w:rsidP="00D2614D">
      <w:pPr>
        <w:spacing w:line="240" w:lineRule="auto"/>
        <w:rPr>
          <w:rFonts w:cstheme="minorHAnsi"/>
          <w:sz w:val="16"/>
          <w:szCs w:val="16"/>
          <w:lang w:val="en-US"/>
        </w:rPr>
      </w:pPr>
      <w:r w:rsidRPr="0003564E">
        <w:rPr>
          <w:rFonts w:cstheme="minorHAnsi"/>
          <w:sz w:val="16"/>
          <w:szCs w:val="16"/>
          <w:lang w:val="en-US"/>
        </w:rPr>
        <w:t>$SIGMA</w:t>
      </w:r>
    </w:p>
    <w:p w14:paraId="5A5014AE" w14:textId="3A70380F" w:rsidR="00D2614D" w:rsidRPr="003F516A" w:rsidRDefault="00D2614D" w:rsidP="003F516A">
      <w:pPr>
        <w:pStyle w:val="Lijstalinea"/>
        <w:numPr>
          <w:ilvl w:val="0"/>
          <w:numId w:val="26"/>
        </w:numPr>
        <w:spacing w:line="240" w:lineRule="auto"/>
        <w:rPr>
          <w:rFonts w:cstheme="minorHAnsi"/>
          <w:sz w:val="16"/>
          <w:szCs w:val="16"/>
          <w:lang w:val="en-US"/>
        </w:rPr>
      </w:pPr>
      <w:r w:rsidRPr="003F516A">
        <w:rPr>
          <w:rFonts w:cstheme="minorHAnsi"/>
          <w:sz w:val="16"/>
          <w:szCs w:val="16"/>
          <w:lang w:val="en-US"/>
        </w:rPr>
        <w:t>FIX ;Proportional error PK</w:t>
      </w:r>
    </w:p>
    <w:p w14:paraId="70FBD2E7" w14:textId="01026915" w:rsidR="00D2614D" w:rsidRDefault="00D2614D" w:rsidP="00D2614D">
      <w:pPr>
        <w:spacing w:line="240" w:lineRule="auto"/>
        <w:rPr>
          <w:rFonts w:cstheme="minorHAnsi"/>
          <w:sz w:val="20"/>
          <w:szCs w:val="20"/>
          <w:lang w:val="en-US"/>
        </w:rPr>
      </w:pPr>
    </w:p>
    <w:p w14:paraId="67FB3E79" w14:textId="77777777" w:rsidR="00D2614D" w:rsidRDefault="00D2614D">
      <w:pPr>
        <w:rPr>
          <w:rFonts w:cstheme="minorHAnsi"/>
          <w:b/>
          <w:bCs/>
          <w:sz w:val="20"/>
          <w:szCs w:val="20"/>
          <w:lang w:val="en-US"/>
        </w:rPr>
      </w:pPr>
      <w:r>
        <w:rPr>
          <w:rFonts w:cstheme="minorHAnsi"/>
          <w:b/>
          <w:bCs/>
          <w:sz w:val="20"/>
          <w:szCs w:val="20"/>
          <w:lang w:val="en-US"/>
        </w:rPr>
        <w:br w:type="page"/>
      </w:r>
    </w:p>
    <w:p w14:paraId="6B645E5F" w14:textId="77777777" w:rsidR="00351823" w:rsidRDefault="00351823" w:rsidP="0088127A">
      <w:pPr>
        <w:pStyle w:val="Kop2"/>
        <w:rPr>
          <w:color w:val="auto"/>
          <w:lang w:val="en-US"/>
        </w:rPr>
      </w:pPr>
    </w:p>
    <w:p w14:paraId="5812937C" w14:textId="5B8F0C86" w:rsidR="006C59F2" w:rsidRDefault="00351823" w:rsidP="00483BF9">
      <w:pPr>
        <w:pStyle w:val="Kop2"/>
        <w:numPr>
          <w:ilvl w:val="1"/>
          <w:numId w:val="29"/>
        </w:numPr>
        <w:rPr>
          <w:color w:val="auto"/>
          <w:lang w:val="en-US"/>
        </w:rPr>
      </w:pPr>
      <w:bookmarkStart w:id="8" w:name="_Toc36555281"/>
      <w:r w:rsidRPr="00351823">
        <w:rPr>
          <w:color w:val="auto"/>
          <w:lang w:val="en-US"/>
        </w:rPr>
        <w:t>O</w:t>
      </w:r>
      <w:r w:rsidR="006C59F2" w:rsidRPr="00351823">
        <w:rPr>
          <w:color w:val="auto"/>
          <w:lang w:val="en-US"/>
        </w:rPr>
        <w:t>verview of studies</w:t>
      </w:r>
      <w:r w:rsidR="00D672ED" w:rsidRPr="00351823">
        <w:rPr>
          <w:color w:val="auto"/>
          <w:lang w:val="en-US"/>
        </w:rPr>
        <w:t xml:space="preserve"> used for evaluation</w:t>
      </w:r>
      <w:bookmarkEnd w:id="8"/>
    </w:p>
    <w:p w14:paraId="4710DDF0" w14:textId="6D1F1AA0" w:rsidR="00D672ED" w:rsidRDefault="00D672ED" w:rsidP="00D2614D">
      <w:pPr>
        <w:spacing w:line="240" w:lineRule="auto"/>
        <w:rPr>
          <w:rFonts w:cstheme="minorHAnsi"/>
          <w:b/>
          <w:bCs/>
          <w:sz w:val="20"/>
          <w:szCs w:val="20"/>
          <w:lang w:val="en-US"/>
        </w:rPr>
      </w:pPr>
    </w:p>
    <w:tbl>
      <w:tblPr>
        <w:tblStyle w:val="Tabelraster"/>
        <w:tblW w:w="0" w:type="auto"/>
        <w:tblLook w:val="04A0" w:firstRow="1" w:lastRow="0" w:firstColumn="1" w:lastColumn="0" w:noHBand="0" w:noVBand="1"/>
      </w:tblPr>
      <w:tblGrid>
        <w:gridCol w:w="1167"/>
        <w:gridCol w:w="2323"/>
        <w:gridCol w:w="3746"/>
        <w:gridCol w:w="1176"/>
        <w:gridCol w:w="650"/>
      </w:tblGrid>
      <w:tr w:rsidR="0035344A" w:rsidRPr="001A5F24" w14:paraId="6AC71F1C" w14:textId="6B2FB8C4" w:rsidTr="00FC4F4B">
        <w:tc>
          <w:tcPr>
            <w:tcW w:w="1167" w:type="dxa"/>
          </w:tcPr>
          <w:p w14:paraId="600D8F24" w14:textId="216B51F9" w:rsidR="0035344A" w:rsidRPr="001A5F24" w:rsidRDefault="0035344A" w:rsidP="00D2614D">
            <w:pPr>
              <w:rPr>
                <w:rFonts w:cstheme="minorHAnsi"/>
                <w:b/>
                <w:bCs/>
                <w:sz w:val="18"/>
                <w:szCs w:val="18"/>
                <w:lang w:val="en-US"/>
              </w:rPr>
            </w:pPr>
            <w:r w:rsidRPr="001A5F24">
              <w:rPr>
                <w:rFonts w:cstheme="minorHAnsi"/>
                <w:b/>
                <w:bCs/>
                <w:sz w:val="18"/>
                <w:szCs w:val="18"/>
                <w:lang w:val="en-US"/>
              </w:rPr>
              <w:t>Author</w:t>
            </w:r>
          </w:p>
        </w:tc>
        <w:tc>
          <w:tcPr>
            <w:tcW w:w="2323" w:type="dxa"/>
          </w:tcPr>
          <w:p w14:paraId="033938F7" w14:textId="2FCD285D" w:rsidR="0035344A" w:rsidRPr="001A5F24" w:rsidRDefault="0035344A" w:rsidP="00D2614D">
            <w:pPr>
              <w:rPr>
                <w:rFonts w:cstheme="minorHAnsi"/>
                <w:b/>
                <w:bCs/>
                <w:sz w:val="18"/>
                <w:szCs w:val="18"/>
                <w:lang w:val="en-US"/>
              </w:rPr>
            </w:pPr>
            <w:r w:rsidRPr="001A5F24">
              <w:rPr>
                <w:rFonts w:cstheme="minorHAnsi"/>
                <w:b/>
                <w:bCs/>
                <w:sz w:val="18"/>
                <w:szCs w:val="18"/>
                <w:lang w:val="en-US"/>
              </w:rPr>
              <w:t>Population</w:t>
            </w:r>
          </w:p>
        </w:tc>
        <w:tc>
          <w:tcPr>
            <w:tcW w:w="3746" w:type="dxa"/>
          </w:tcPr>
          <w:p w14:paraId="454B09E3" w14:textId="599102C4" w:rsidR="0035344A" w:rsidRPr="001A5F24" w:rsidRDefault="0035344A" w:rsidP="00D2614D">
            <w:pPr>
              <w:rPr>
                <w:rFonts w:cstheme="minorHAnsi"/>
                <w:b/>
                <w:bCs/>
                <w:sz w:val="18"/>
                <w:szCs w:val="18"/>
                <w:lang w:val="en-US"/>
              </w:rPr>
            </w:pPr>
            <w:r w:rsidRPr="001A5F24">
              <w:rPr>
                <w:rFonts w:cstheme="minorHAnsi"/>
                <w:b/>
                <w:bCs/>
                <w:sz w:val="18"/>
                <w:szCs w:val="18"/>
                <w:lang w:val="en-US"/>
              </w:rPr>
              <w:t>Dose schedule</w:t>
            </w:r>
          </w:p>
        </w:tc>
        <w:tc>
          <w:tcPr>
            <w:tcW w:w="1176" w:type="dxa"/>
          </w:tcPr>
          <w:p w14:paraId="5589414F" w14:textId="55B3331D" w:rsidR="0035344A" w:rsidRDefault="0035344A" w:rsidP="00D2614D">
            <w:pPr>
              <w:rPr>
                <w:rFonts w:cstheme="minorHAnsi"/>
                <w:b/>
                <w:bCs/>
                <w:sz w:val="18"/>
                <w:szCs w:val="18"/>
                <w:lang w:val="en-US"/>
              </w:rPr>
            </w:pPr>
            <w:r>
              <w:rPr>
                <w:rFonts w:cstheme="minorHAnsi"/>
                <w:b/>
                <w:bCs/>
                <w:sz w:val="18"/>
                <w:szCs w:val="18"/>
                <w:lang w:val="en-US"/>
              </w:rPr>
              <w:t>Matrix</w:t>
            </w:r>
          </w:p>
        </w:tc>
        <w:tc>
          <w:tcPr>
            <w:tcW w:w="650" w:type="dxa"/>
          </w:tcPr>
          <w:p w14:paraId="20D02127" w14:textId="6806521E" w:rsidR="0035344A" w:rsidRPr="001A5F24" w:rsidRDefault="0035344A" w:rsidP="00D2614D">
            <w:pPr>
              <w:rPr>
                <w:rFonts w:cstheme="minorHAnsi"/>
                <w:b/>
                <w:bCs/>
                <w:sz w:val="18"/>
                <w:szCs w:val="18"/>
                <w:lang w:val="en-US"/>
              </w:rPr>
            </w:pPr>
            <w:r>
              <w:rPr>
                <w:rFonts w:cstheme="minorHAnsi"/>
                <w:b/>
                <w:bCs/>
                <w:sz w:val="18"/>
                <w:szCs w:val="18"/>
                <w:lang w:val="en-US"/>
              </w:rPr>
              <w:t>Ref</w:t>
            </w:r>
          </w:p>
        </w:tc>
      </w:tr>
      <w:tr w:rsidR="003E5779" w:rsidRPr="001A5F24" w14:paraId="711474E1" w14:textId="77777777" w:rsidTr="00FC4F4B">
        <w:tc>
          <w:tcPr>
            <w:tcW w:w="1167" w:type="dxa"/>
          </w:tcPr>
          <w:p w14:paraId="3248A38D" w14:textId="77777777" w:rsidR="003E5779" w:rsidRPr="001A5F24" w:rsidRDefault="003E5779" w:rsidP="00D2614D">
            <w:pPr>
              <w:rPr>
                <w:rFonts w:cstheme="minorHAnsi"/>
                <w:b/>
                <w:bCs/>
                <w:sz w:val="18"/>
                <w:szCs w:val="18"/>
                <w:lang w:val="en-US"/>
              </w:rPr>
            </w:pPr>
          </w:p>
        </w:tc>
        <w:tc>
          <w:tcPr>
            <w:tcW w:w="2323" w:type="dxa"/>
          </w:tcPr>
          <w:p w14:paraId="27B72D6B" w14:textId="77777777" w:rsidR="003E5779" w:rsidRPr="001A5F24" w:rsidRDefault="003E5779" w:rsidP="00D2614D">
            <w:pPr>
              <w:rPr>
                <w:rFonts w:cstheme="minorHAnsi"/>
                <w:b/>
                <w:bCs/>
                <w:sz w:val="18"/>
                <w:szCs w:val="18"/>
                <w:lang w:val="en-US"/>
              </w:rPr>
            </w:pPr>
          </w:p>
        </w:tc>
        <w:tc>
          <w:tcPr>
            <w:tcW w:w="3746" w:type="dxa"/>
          </w:tcPr>
          <w:p w14:paraId="39562981" w14:textId="77777777" w:rsidR="003E5779" w:rsidRPr="001A5F24" w:rsidRDefault="003E5779" w:rsidP="00D2614D">
            <w:pPr>
              <w:rPr>
                <w:rFonts w:cstheme="minorHAnsi"/>
                <w:b/>
                <w:bCs/>
                <w:sz w:val="18"/>
                <w:szCs w:val="18"/>
                <w:lang w:val="en-US"/>
              </w:rPr>
            </w:pPr>
          </w:p>
        </w:tc>
        <w:tc>
          <w:tcPr>
            <w:tcW w:w="1176" w:type="dxa"/>
          </w:tcPr>
          <w:p w14:paraId="39830637" w14:textId="77777777" w:rsidR="003E5779" w:rsidRDefault="003E5779" w:rsidP="00D2614D">
            <w:pPr>
              <w:rPr>
                <w:rFonts w:cstheme="minorHAnsi"/>
                <w:b/>
                <w:bCs/>
                <w:sz w:val="18"/>
                <w:szCs w:val="18"/>
                <w:lang w:val="en-US"/>
              </w:rPr>
            </w:pPr>
          </w:p>
        </w:tc>
        <w:tc>
          <w:tcPr>
            <w:tcW w:w="650" w:type="dxa"/>
          </w:tcPr>
          <w:p w14:paraId="72924957" w14:textId="77777777" w:rsidR="003E5779" w:rsidRDefault="003E5779" w:rsidP="00D2614D">
            <w:pPr>
              <w:rPr>
                <w:rFonts w:cstheme="minorHAnsi"/>
                <w:b/>
                <w:bCs/>
                <w:sz w:val="18"/>
                <w:szCs w:val="18"/>
                <w:lang w:val="en-US"/>
              </w:rPr>
            </w:pPr>
          </w:p>
        </w:tc>
      </w:tr>
      <w:tr w:rsidR="003E5779" w:rsidRPr="001A5F24" w14:paraId="17A9CBF5" w14:textId="77777777" w:rsidTr="00E40494">
        <w:tc>
          <w:tcPr>
            <w:tcW w:w="9062" w:type="dxa"/>
            <w:gridSpan w:val="5"/>
          </w:tcPr>
          <w:p w14:paraId="4E57C192" w14:textId="35C84BC3" w:rsidR="003E5779" w:rsidRDefault="003E5779" w:rsidP="00D2614D">
            <w:pPr>
              <w:rPr>
                <w:rFonts w:cstheme="minorHAnsi"/>
                <w:b/>
                <w:bCs/>
                <w:sz w:val="18"/>
                <w:szCs w:val="18"/>
                <w:lang w:val="en-US"/>
              </w:rPr>
            </w:pPr>
            <w:r>
              <w:rPr>
                <w:rFonts w:cstheme="minorHAnsi"/>
                <w:b/>
                <w:bCs/>
                <w:sz w:val="18"/>
                <w:szCs w:val="18"/>
                <w:lang w:val="en-US"/>
              </w:rPr>
              <w:t>STUDIES IN PLASMA</w:t>
            </w:r>
          </w:p>
        </w:tc>
      </w:tr>
      <w:tr w:rsidR="0035344A" w:rsidRPr="00356C60" w14:paraId="3C7ADECD" w14:textId="6B94A903" w:rsidTr="00FC4F4B">
        <w:tc>
          <w:tcPr>
            <w:tcW w:w="1167" w:type="dxa"/>
          </w:tcPr>
          <w:p w14:paraId="74015740" w14:textId="17F1366E" w:rsidR="0035344A" w:rsidRPr="004534C4" w:rsidRDefault="0035344A" w:rsidP="004534C4">
            <w:pPr>
              <w:rPr>
                <w:rFonts w:cstheme="minorHAnsi"/>
                <w:b/>
                <w:bCs/>
                <w:sz w:val="18"/>
                <w:szCs w:val="18"/>
                <w:lang w:val="en-US"/>
              </w:rPr>
            </w:pPr>
            <w:r w:rsidRPr="004534C4">
              <w:rPr>
                <w:rFonts w:cstheme="minorHAnsi"/>
                <w:b/>
                <w:bCs/>
                <w:sz w:val="18"/>
                <w:szCs w:val="18"/>
                <w:lang w:val="en-US"/>
              </w:rPr>
              <w:t>Zhao 2014</w:t>
            </w:r>
          </w:p>
        </w:tc>
        <w:tc>
          <w:tcPr>
            <w:tcW w:w="2323" w:type="dxa"/>
          </w:tcPr>
          <w:p w14:paraId="727D299C" w14:textId="066BE0F1" w:rsidR="0035344A" w:rsidRPr="001A5F24" w:rsidRDefault="0035344A" w:rsidP="00D672ED">
            <w:pPr>
              <w:rPr>
                <w:rFonts w:cstheme="minorHAnsi"/>
                <w:sz w:val="18"/>
                <w:szCs w:val="18"/>
                <w:lang w:val="en-US"/>
              </w:rPr>
            </w:pPr>
            <w:r w:rsidRPr="001A5F24">
              <w:rPr>
                <w:rFonts w:cstheme="minorHAnsi"/>
                <w:sz w:val="18"/>
                <w:szCs w:val="18"/>
                <w:lang w:val="en-US"/>
              </w:rPr>
              <w:t>Children 0 – 12 y malaria patients in sub-Saharan Africa</w:t>
            </w:r>
          </w:p>
        </w:tc>
        <w:tc>
          <w:tcPr>
            <w:tcW w:w="3746" w:type="dxa"/>
          </w:tcPr>
          <w:p w14:paraId="46B22D26" w14:textId="749D2D5C" w:rsidR="0035344A" w:rsidRPr="001A5F24" w:rsidRDefault="0035344A" w:rsidP="00D2614D">
            <w:pPr>
              <w:rPr>
                <w:rFonts w:cstheme="minorHAnsi"/>
                <w:sz w:val="18"/>
                <w:szCs w:val="18"/>
                <w:lang w:val="en-US"/>
              </w:rPr>
            </w:pPr>
            <w:r w:rsidRPr="001A5F24">
              <w:rPr>
                <w:rFonts w:cstheme="minorHAnsi"/>
                <w:sz w:val="18"/>
                <w:szCs w:val="18"/>
                <w:lang w:val="en-US"/>
              </w:rPr>
              <w:t>10 mg/kg 1dd 3 days</w:t>
            </w:r>
          </w:p>
        </w:tc>
        <w:tc>
          <w:tcPr>
            <w:tcW w:w="1176" w:type="dxa"/>
          </w:tcPr>
          <w:p w14:paraId="19621FA9" w14:textId="23A9BAB7" w:rsidR="0035344A" w:rsidRDefault="0035344A" w:rsidP="00D2614D">
            <w:pPr>
              <w:rPr>
                <w:rFonts w:cstheme="minorHAnsi"/>
                <w:sz w:val="18"/>
                <w:szCs w:val="18"/>
                <w:lang w:val="en-US"/>
              </w:rPr>
            </w:pPr>
            <w:r>
              <w:rPr>
                <w:rFonts w:cstheme="minorHAnsi"/>
                <w:sz w:val="18"/>
                <w:szCs w:val="18"/>
                <w:lang w:val="en-US"/>
              </w:rPr>
              <w:t>Plasma</w:t>
            </w:r>
          </w:p>
        </w:tc>
        <w:tc>
          <w:tcPr>
            <w:tcW w:w="650" w:type="dxa"/>
          </w:tcPr>
          <w:p w14:paraId="4124BBBF" w14:textId="4350E4F0" w:rsidR="0035344A" w:rsidRPr="001A5F24" w:rsidRDefault="0035344A" w:rsidP="00D2614D">
            <w:pPr>
              <w:rPr>
                <w:rFonts w:cstheme="minorHAnsi"/>
                <w:sz w:val="18"/>
                <w:szCs w:val="18"/>
                <w:lang w:val="en-US"/>
              </w:rPr>
            </w:pPr>
            <w:r>
              <w:rPr>
                <w:rFonts w:cstheme="minorHAnsi"/>
                <w:sz w:val="18"/>
                <w:szCs w:val="18"/>
                <w:lang w:val="en-US"/>
              </w:rPr>
              <w:fldChar w:fldCharType="begin" w:fldLock="1"/>
            </w:r>
            <w:r w:rsidR="00BE1F70">
              <w:rPr>
                <w:rFonts w:cstheme="minorHAnsi"/>
                <w:sz w:val="18"/>
                <w:szCs w:val="18"/>
                <w:lang w:val="en-US"/>
              </w:rPr>
              <w:instrText>ADDIN CSL_CITATION {"citationItems":[{"id":"ITEM-1","itemData":{"DOI":"10.1186/1475-2875-13-36","ISSN":"14752875","abstract":"Background: Population pharmacokinetics (PK) of azithromycin (AZ) and chloroquine (CQ) following administration of fixed-dose combination tablet formulations of AZ and CQ (AZCQ) was evaluated using data from two studies: 1) in children with symptomatic uncomplicated falciparum malaria in sub-Saharan Africa; and 2) in healthy adults in the United States. Methods. Study 1 included paediatric subjects randomized to either AZCQ or artemether-lumefantrine treatment in Cohort 1 (age 5-12 years) and Cohort 2 (age 6-59 months). Dosing of AZCQ was approximately 30 mg/kg AZ and 10 mg/kg CQ once daily for 3 days (for ≥20 kg weight: AZ/CQ 300/100 mg per tablet; 5 to &lt;20 kg weight: AZ/CQ 150/50 mg per tablet). Study 2 included adults randomized to receive either two AZCQ tablets (AZ/CQ 250/155 mg per tablet) or individual commercial tablets of AZ 500 mg and CQ 300 mg. Serum AZ and plasma CQ concentrations from both studies were pooled. Population PK models were constructed using standard approaches to evaluate the concentration-time data for AZ and CQ and to identify any covariates predictive of PK behaviour. Results: A three-compartment PK model with linear clearance and absorption adequately described AZ data, while a two-compartment model with linear clearance and absorption and an absorption lag adequately described CQ data. No overall bias or substantial model misspecification was evident using diagnostic plots and visual predictive checks. Body weight as an allometric function was the only covariate in the final AZ and CQ PK models. There were significantly lower AZ (0.488 vs 0.745 [mg•h/L]/[mg/kg], p &lt; 0.00001) and CQ (0.836 vs 1.27 [mg•h/L]/[mg/kg], p &lt; 0.00001) exposures (AUC§ssub§inf§ esub§) normalized by dose (mg/kg) in children compared with the adults. Conclusions: The PK of AZ and CQ following administration of AZCQ was well described using a three- and two-compartment model, respectively. AZ and CQ exhibited linear absorption and clearance; the model for CQ included an absorption lag. Weight was predictive of exposure for both AZ and CQ. Assuming equivalent dosing (mg/kg), AZ and CQ exposure in children would be expected to be lower than that in adults, suggesting that children may require a higher dose (mg/kg) than adults to achieve the same AZ and CQ exposure. © 2014 Zhao et al.; licensee BioMed Central Ltd.","author":[{"dropping-particle":"","family":"Zhao","given":"Qinying","non-dropping-particle":"","parse-names":false,"suffix":""},{"dropping-particle":"","family":"Tensfeldt","given":"Thomas G.","non-dropping-particle":"","parse-names":false,"suffix":""},{"dropping-particle":"","family":"Chandra","given":"Richa","non-dropping-particle":"","parse-names":false,"suffix":""},{"dropping-particle":"","family":"Mould","given":"Diane R.","non-dropping-particle":"","parse-names":false,"suffix":""}],"container-title":"Malaria Journal","id":"ITEM-1","issue":"1","issued":{"date-parts":[["2014"]]},"page":"1-8","title":"Population pharmacokinetics of azithromycin and chloroquine in healthy adults and paediatric malaria subjects following oral administration of fixed-dose azithromycin and chloroquine combination tablets","type":"article-journal","volume":"13"},"uris":["http://www.mendeley.com/documents/?uuid=286aa8c0-9b2d-4c73-b6a2-6c27bcff2c7d"]}],"mendeley":{"formattedCitation":"[6]","plainTextFormattedCitation":"[6]","previouslyFormattedCitation":"[6]"},"properties":{"noteIndex":0},"schema":"https://github.com/citation-style-language/schema/raw/master/csl-citation.json"}</w:instrText>
            </w:r>
            <w:r>
              <w:rPr>
                <w:rFonts w:cstheme="minorHAnsi"/>
                <w:sz w:val="18"/>
                <w:szCs w:val="18"/>
                <w:lang w:val="en-US"/>
              </w:rPr>
              <w:fldChar w:fldCharType="separate"/>
            </w:r>
            <w:r w:rsidR="00BD7649" w:rsidRPr="00BD7649">
              <w:rPr>
                <w:rFonts w:cstheme="minorHAnsi"/>
                <w:noProof/>
                <w:sz w:val="18"/>
                <w:szCs w:val="18"/>
                <w:lang w:val="en-US"/>
              </w:rPr>
              <w:t>[6]</w:t>
            </w:r>
            <w:r>
              <w:rPr>
                <w:rFonts w:cstheme="minorHAnsi"/>
                <w:sz w:val="18"/>
                <w:szCs w:val="18"/>
                <w:lang w:val="en-US"/>
              </w:rPr>
              <w:fldChar w:fldCharType="end"/>
            </w:r>
          </w:p>
        </w:tc>
      </w:tr>
      <w:tr w:rsidR="0035344A" w:rsidRPr="00356C60" w14:paraId="4CC5BD9F" w14:textId="39435857" w:rsidTr="00FC4F4B">
        <w:tc>
          <w:tcPr>
            <w:tcW w:w="1167" w:type="dxa"/>
          </w:tcPr>
          <w:p w14:paraId="50C229B3" w14:textId="7D5124F3" w:rsidR="0035344A" w:rsidRPr="004534C4" w:rsidRDefault="0035344A" w:rsidP="004534C4">
            <w:pPr>
              <w:rPr>
                <w:rFonts w:cstheme="minorHAnsi"/>
                <w:b/>
                <w:bCs/>
                <w:sz w:val="18"/>
                <w:szCs w:val="18"/>
                <w:lang w:val="en-US"/>
              </w:rPr>
            </w:pPr>
            <w:r w:rsidRPr="004534C4">
              <w:rPr>
                <w:rFonts w:cstheme="minorHAnsi"/>
                <w:b/>
                <w:bCs/>
                <w:sz w:val="18"/>
                <w:szCs w:val="18"/>
                <w:lang w:val="en-US"/>
              </w:rPr>
              <w:t>Zhao 2014</w:t>
            </w:r>
          </w:p>
        </w:tc>
        <w:tc>
          <w:tcPr>
            <w:tcW w:w="2323" w:type="dxa"/>
          </w:tcPr>
          <w:p w14:paraId="43C69FF4" w14:textId="416A1191" w:rsidR="0035344A" w:rsidRPr="001A5F24" w:rsidRDefault="0035344A" w:rsidP="00D2614D">
            <w:pPr>
              <w:rPr>
                <w:rFonts w:cstheme="minorHAnsi"/>
                <w:sz w:val="18"/>
                <w:szCs w:val="18"/>
                <w:lang w:val="en-US"/>
              </w:rPr>
            </w:pPr>
            <w:r w:rsidRPr="001A5F24">
              <w:rPr>
                <w:rFonts w:cstheme="minorHAnsi"/>
                <w:sz w:val="18"/>
                <w:szCs w:val="18"/>
                <w:lang w:val="en-US"/>
              </w:rPr>
              <w:t>Adult healthy volunteers in USA</w:t>
            </w:r>
          </w:p>
        </w:tc>
        <w:tc>
          <w:tcPr>
            <w:tcW w:w="3746" w:type="dxa"/>
          </w:tcPr>
          <w:p w14:paraId="35F32B02" w14:textId="09A85ED3" w:rsidR="0035344A" w:rsidRPr="001A5F24" w:rsidRDefault="0035344A" w:rsidP="00D2614D">
            <w:pPr>
              <w:rPr>
                <w:rFonts w:cstheme="minorHAnsi"/>
                <w:sz w:val="18"/>
                <w:szCs w:val="18"/>
                <w:lang w:val="en-US"/>
              </w:rPr>
            </w:pPr>
            <w:r w:rsidRPr="001A5F24">
              <w:rPr>
                <w:rFonts w:cstheme="minorHAnsi"/>
                <w:sz w:val="18"/>
                <w:szCs w:val="18"/>
                <w:lang w:val="en-US"/>
              </w:rPr>
              <w:t>Single dose 300 mg</w:t>
            </w:r>
          </w:p>
        </w:tc>
        <w:tc>
          <w:tcPr>
            <w:tcW w:w="1176" w:type="dxa"/>
          </w:tcPr>
          <w:p w14:paraId="20BAF48D" w14:textId="26FAB8CD" w:rsidR="0035344A" w:rsidRDefault="0035344A" w:rsidP="00D2614D">
            <w:pPr>
              <w:rPr>
                <w:rFonts w:cstheme="minorHAnsi"/>
                <w:sz w:val="18"/>
                <w:szCs w:val="18"/>
                <w:lang w:val="en-US"/>
              </w:rPr>
            </w:pPr>
            <w:r>
              <w:rPr>
                <w:rFonts w:cstheme="minorHAnsi"/>
                <w:sz w:val="18"/>
                <w:szCs w:val="18"/>
                <w:lang w:val="en-US"/>
              </w:rPr>
              <w:t>Plasma</w:t>
            </w:r>
          </w:p>
        </w:tc>
        <w:tc>
          <w:tcPr>
            <w:tcW w:w="650" w:type="dxa"/>
          </w:tcPr>
          <w:p w14:paraId="67A0E628" w14:textId="50CF5D78" w:rsidR="0035344A" w:rsidRPr="001A5F24" w:rsidRDefault="0035344A" w:rsidP="00D2614D">
            <w:pPr>
              <w:rPr>
                <w:rFonts w:cstheme="minorHAnsi"/>
                <w:sz w:val="18"/>
                <w:szCs w:val="18"/>
                <w:lang w:val="en-US"/>
              </w:rPr>
            </w:pPr>
            <w:r>
              <w:rPr>
                <w:rFonts w:cstheme="minorHAnsi"/>
                <w:sz w:val="18"/>
                <w:szCs w:val="18"/>
                <w:lang w:val="en-US"/>
              </w:rPr>
              <w:fldChar w:fldCharType="begin" w:fldLock="1"/>
            </w:r>
            <w:r w:rsidR="00BE1F70">
              <w:rPr>
                <w:rFonts w:cstheme="minorHAnsi"/>
                <w:sz w:val="18"/>
                <w:szCs w:val="18"/>
                <w:lang w:val="en-US"/>
              </w:rPr>
              <w:instrText>ADDIN CSL_CITATION {"citationItems":[{"id":"ITEM-1","itemData":{"DOI":"10.1186/1475-2875-13-36","ISSN":"14752875","abstract":"Background: Population pharmacokinetics (PK) of azithromycin (AZ) and chloroquine (CQ) following administration of fixed-dose combination tablet formulations of AZ and CQ (AZCQ) was evaluated using data from two studies: 1) in children with symptomatic uncomplicated falciparum malaria in sub-Saharan Africa; and 2) in healthy adults in the United States. Methods. Study 1 included paediatric subjects randomized to either AZCQ or artemether-lumefantrine treatment in Cohort 1 (age 5-12 years) and Cohort 2 (age 6-59 months). Dosing of AZCQ was approximately 30 mg/kg AZ and 10 mg/kg CQ once daily for 3 days (for ≥20 kg weight: AZ/CQ 300/100 mg per tablet; 5 to &lt;20 kg weight: AZ/CQ 150/50 mg per tablet). Study 2 included adults randomized to receive either two AZCQ tablets (AZ/CQ 250/155 mg per tablet) or individual commercial tablets of AZ 500 mg and CQ 300 mg. Serum AZ and plasma CQ concentrations from both studies were pooled. Population PK models were constructed using standard approaches to evaluate the concentration-time data for AZ and CQ and to identify any covariates predictive of PK behaviour. Results: A three-compartment PK model with linear clearance and absorption adequately described AZ data, while a two-compartment model with linear clearance and absorption and an absorption lag adequately described CQ data. No overall bias or substantial model misspecification was evident using diagnostic plots and visual predictive checks. Body weight as an allometric function was the only covariate in the final AZ and CQ PK models. There were significantly lower AZ (0.488 vs 0.745 [mg•h/L]/[mg/kg], p &lt; 0.00001) and CQ (0.836 vs 1.27 [mg•h/L]/[mg/kg], p &lt; 0.00001) exposures (AUC§ssub§inf§ esub§) normalized by dose (mg/kg) in children compared with the adults. Conclusions: The PK of AZ and CQ following administration of AZCQ was well described using a three- and two-compartment model, respectively. AZ and CQ exhibited linear absorption and clearance; the model for CQ included an absorption lag. Weight was predictive of exposure for both AZ and CQ. Assuming equivalent dosing (mg/kg), AZ and CQ exposure in children would be expected to be lower than that in adults, suggesting that children may require a higher dose (mg/kg) than adults to achieve the same AZ and CQ exposure. © 2014 Zhao et al.; licensee BioMed Central Ltd.","author":[{"dropping-particle":"","family":"Zhao","given":"Qinying","non-dropping-particle":"","parse-names":false,"suffix":""},{"dropping-particle":"","family":"Tensfeldt","given":"Thomas G.","non-dropping-particle":"","parse-names":false,"suffix":""},{"dropping-particle":"","family":"Chandra","given":"Richa","non-dropping-particle":"","parse-names":false,"suffix":""},{"dropping-particle":"","family":"Mould","given":"Diane R.","non-dropping-particle":"","parse-names":false,"suffix":""}],"container-title":"Malaria Journal","id":"ITEM-1","issue":"1","issued":{"date-parts":[["2014"]]},"page":"1-8","title":"Population pharmacokinetics of azithromycin and chloroquine in healthy adults and paediatric malaria subjects following oral administration of fixed-dose azithromycin and chloroquine combination tablets","type":"article-journal","volume":"13"},"uris":["http://www.mendeley.com/documents/?uuid=286aa8c0-9b2d-4c73-b6a2-6c27bcff2c7d"]}],"mendeley":{"formattedCitation":"[6]","plainTextFormattedCitation":"[6]","previouslyFormattedCitation":"[6]"},"properties":{"noteIndex":0},"schema":"https://github.com/citation-style-language/schema/raw/master/csl-citation.json"}</w:instrText>
            </w:r>
            <w:r>
              <w:rPr>
                <w:rFonts w:cstheme="minorHAnsi"/>
                <w:sz w:val="18"/>
                <w:szCs w:val="18"/>
                <w:lang w:val="en-US"/>
              </w:rPr>
              <w:fldChar w:fldCharType="separate"/>
            </w:r>
            <w:r w:rsidR="00BD7649" w:rsidRPr="00BD7649">
              <w:rPr>
                <w:rFonts w:cstheme="minorHAnsi"/>
                <w:noProof/>
                <w:sz w:val="18"/>
                <w:szCs w:val="18"/>
                <w:lang w:val="en-US"/>
              </w:rPr>
              <w:t>[6]</w:t>
            </w:r>
            <w:r>
              <w:rPr>
                <w:rFonts w:cstheme="minorHAnsi"/>
                <w:sz w:val="18"/>
                <w:szCs w:val="18"/>
                <w:lang w:val="en-US"/>
              </w:rPr>
              <w:fldChar w:fldCharType="end"/>
            </w:r>
          </w:p>
        </w:tc>
      </w:tr>
      <w:tr w:rsidR="0035344A" w:rsidRPr="00356C60" w14:paraId="344EC3F7" w14:textId="22AA8398" w:rsidTr="00FC4F4B">
        <w:tc>
          <w:tcPr>
            <w:tcW w:w="1167" w:type="dxa"/>
          </w:tcPr>
          <w:p w14:paraId="59086B0E" w14:textId="587A9CFF" w:rsidR="0035344A" w:rsidRPr="004534C4" w:rsidRDefault="00FC4F4B" w:rsidP="004534C4">
            <w:pPr>
              <w:rPr>
                <w:rFonts w:cstheme="minorHAnsi"/>
                <w:b/>
                <w:bCs/>
                <w:sz w:val="18"/>
                <w:szCs w:val="18"/>
                <w:lang w:val="en-US"/>
              </w:rPr>
            </w:pPr>
            <w:r>
              <w:rPr>
                <w:rFonts w:cstheme="minorHAnsi"/>
                <w:b/>
                <w:bCs/>
                <w:sz w:val="18"/>
                <w:szCs w:val="18"/>
                <w:lang w:val="en-US"/>
              </w:rPr>
              <w:t>Edward 1983</w:t>
            </w:r>
          </w:p>
        </w:tc>
        <w:tc>
          <w:tcPr>
            <w:tcW w:w="2323" w:type="dxa"/>
          </w:tcPr>
          <w:p w14:paraId="32FFE050" w14:textId="02124609" w:rsidR="0035344A" w:rsidRPr="001A5F24" w:rsidRDefault="00FC4F4B" w:rsidP="00D2614D">
            <w:pPr>
              <w:rPr>
                <w:rFonts w:cstheme="minorHAnsi"/>
                <w:sz w:val="18"/>
                <w:szCs w:val="18"/>
                <w:lang w:val="en-US"/>
              </w:rPr>
            </w:pPr>
            <w:r>
              <w:rPr>
                <w:rFonts w:cstheme="minorHAnsi"/>
                <w:sz w:val="18"/>
                <w:szCs w:val="18"/>
                <w:lang w:val="en-US"/>
              </w:rPr>
              <w:t>Adult malaria patients (Thailand)</w:t>
            </w:r>
          </w:p>
        </w:tc>
        <w:tc>
          <w:tcPr>
            <w:tcW w:w="3746" w:type="dxa"/>
          </w:tcPr>
          <w:p w14:paraId="1D4D29F1" w14:textId="7957C686" w:rsidR="0035344A" w:rsidRPr="001A5F24" w:rsidRDefault="00FC4F4B" w:rsidP="00D2614D">
            <w:pPr>
              <w:rPr>
                <w:rFonts w:cstheme="minorHAnsi"/>
                <w:sz w:val="18"/>
                <w:szCs w:val="18"/>
                <w:lang w:val="en-US"/>
              </w:rPr>
            </w:pPr>
            <w:r>
              <w:rPr>
                <w:rFonts w:cstheme="minorHAnsi"/>
                <w:sz w:val="18"/>
                <w:szCs w:val="18"/>
                <w:lang w:val="en-US"/>
              </w:rPr>
              <w:t>Single IV dose 15 mg/kg</w:t>
            </w:r>
          </w:p>
        </w:tc>
        <w:tc>
          <w:tcPr>
            <w:tcW w:w="1176" w:type="dxa"/>
          </w:tcPr>
          <w:p w14:paraId="43B43BB9" w14:textId="575040B9" w:rsidR="0035344A" w:rsidRDefault="00FC4F4B" w:rsidP="00D2614D">
            <w:pPr>
              <w:rPr>
                <w:rFonts w:cstheme="minorHAnsi"/>
                <w:sz w:val="18"/>
                <w:szCs w:val="18"/>
                <w:lang w:val="en-US"/>
              </w:rPr>
            </w:pPr>
            <w:r>
              <w:rPr>
                <w:rFonts w:cstheme="minorHAnsi"/>
                <w:sz w:val="18"/>
                <w:szCs w:val="18"/>
                <w:lang w:val="en-US"/>
              </w:rPr>
              <w:t>Plasma</w:t>
            </w:r>
          </w:p>
        </w:tc>
        <w:tc>
          <w:tcPr>
            <w:tcW w:w="650" w:type="dxa"/>
          </w:tcPr>
          <w:p w14:paraId="028729C0" w14:textId="71F1E5B4" w:rsidR="0035344A" w:rsidRPr="001A5F24" w:rsidRDefault="00FC4F4B" w:rsidP="00D2614D">
            <w:pPr>
              <w:rPr>
                <w:rFonts w:cstheme="minorHAnsi"/>
                <w:sz w:val="18"/>
                <w:szCs w:val="18"/>
                <w:lang w:val="en-US"/>
              </w:rPr>
            </w:pPr>
            <w:r>
              <w:rPr>
                <w:rFonts w:cstheme="minorHAnsi"/>
                <w:sz w:val="18"/>
                <w:szCs w:val="18"/>
                <w:lang w:val="en-US"/>
              </w:rPr>
              <w:fldChar w:fldCharType="begin" w:fldLock="1"/>
            </w:r>
            <w:r w:rsidR="0037168B">
              <w:rPr>
                <w:rFonts w:cstheme="minorHAnsi"/>
                <w:sz w:val="18"/>
                <w:szCs w:val="18"/>
                <w:lang w:val="en-US"/>
              </w:rPr>
              <w:instrText>ADDIN CSL_CITATION {"citationItems":[{"id":"ITEM-1","itemData":{"DOI":"10.1111/j.1365-2125.1988.tb03332.x","ISSN":"0306-5251","PMID":"3289601","abstract":"1. Chloroquine diphosphate (15 mg base kg-1) was given by constant rate intravenous infusion to two groups of Thai subjects. Eleven were patients with malaria (10 with Plasmodium vivax and one case with Plasmodium malariae) and 10 were healthy normal volunteers. 2. Plasma and packed red-cell concentrations of chloroquine, electrocardiographic intervals, arterial blood pressure and pulse were measured at frequent intervals. 3. Peak plasma concentrations at the end of the infusion ranged from 979 to 2,900 ng ml-1 in the malaria patients. In the group of healthy subjects the range was 550-2,200 ng ml-1. Values for terminal elimination rate constant, (lambda z) plasma clearance (CL), initial volume of distribution (V1) and volume of distribution at steady state (Vss) were calculated. For the healthy subjects, mean estimates of these parameters were lambda z = 0.062 +/- 0.030 day-1, CL = 597 +/- 238 ml min-1, V1 = 0.66 +/- 0.71 l kg-1 and Vss = 132 +/- 50 l.kg-1 For the group of malaria patients, the corresponding values were lambda z = 0.055 +/- 0.032 day-1, CL = 535 +/- 246 ml min-1, V1 = 0.74 +/- 0.75 l kg-1 and Vss = 136 +/- 64 l kg-1 There was no statistically significant difference in the estimates for any parameter between groups (P less than or equal to 0.05). 4. Chloroquine concentrations in packed red blood cells consistently exceeded those in plasma and showed no consistent change with time throughout the period of study in either group. The median value for the red cell to plasma ratio was between 3 and 4 in each group.(ABSTRACT TRUNCATED AT 250 WORDS)","author":[{"dropping-particle":"","family":"Edwards","given":"G.","non-dropping-particle":"","parse-names":false,"suffix":""},{"dropping-particle":"","family":"Looareesuwan","given":"S.","non-dropping-particle":"","parse-names":false,"suffix":""},{"dropping-particle":"","family":"Davies","given":"A J","non-dropping-particle":"","parse-names":false,"suffix":""},{"dropping-particle":"","family":"Wattanagoon","given":"Y.","non-dropping-particle":"","parse-names":false,"suffix":""},{"dropping-particle":"","family":"Phillips","given":"R E","non-dropping-particle":"","parse-names":false,"suffix":""},{"dropping-particle":"","family":"Warrell","given":"D A","non-dropping-particle":"","parse-names":false,"suffix":""}],"container-title":"British journal of clinical pharmacology","id":"ITEM-1","issue":"4","issued":{"date-parts":[["1988","4"]]},"page":"477-85","title":"Pharmacokinetics of chloroquine in Thais: plasma and red-cell concentrations following an intravenous infusion to healthy subjects and patients with Plasmodium vivax malaria.","type":"article-journal","volume":"25"},"uris":["http://www.mendeley.com/documents/?uuid=b9c23a68-5e46-4654-b86d-7d0ac44d60f4"]}],"mendeley":{"formattedCitation":"[13]","plainTextFormattedCitation":"[13]","previouslyFormattedCitation":"[13]"},"properties":{"noteIndex":0},"schema":"https://github.com/citation-style-language/schema/raw/master/csl-citation.json"}</w:instrText>
            </w:r>
            <w:r>
              <w:rPr>
                <w:rFonts w:cstheme="minorHAnsi"/>
                <w:sz w:val="18"/>
                <w:szCs w:val="18"/>
                <w:lang w:val="en-US"/>
              </w:rPr>
              <w:fldChar w:fldCharType="separate"/>
            </w:r>
            <w:r w:rsidRPr="00FC4F4B">
              <w:rPr>
                <w:rFonts w:cstheme="minorHAnsi"/>
                <w:noProof/>
                <w:sz w:val="18"/>
                <w:szCs w:val="18"/>
                <w:lang w:val="en-US"/>
              </w:rPr>
              <w:t>[13]</w:t>
            </w:r>
            <w:r>
              <w:rPr>
                <w:rFonts w:cstheme="minorHAnsi"/>
                <w:sz w:val="18"/>
                <w:szCs w:val="18"/>
                <w:lang w:val="en-US"/>
              </w:rPr>
              <w:fldChar w:fldCharType="end"/>
            </w:r>
          </w:p>
        </w:tc>
      </w:tr>
      <w:tr w:rsidR="0035344A" w:rsidRPr="00356C60" w14:paraId="79DE25A1" w14:textId="165961D3" w:rsidTr="00FC4F4B">
        <w:tc>
          <w:tcPr>
            <w:tcW w:w="1167" w:type="dxa"/>
          </w:tcPr>
          <w:p w14:paraId="02861DEA" w14:textId="4848E180" w:rsidR="0035344A" w:rsidRPr="004534C4" w:rsidRDefault="0035344A" w:rsidP="004534C4">
            <w:pPr>
              <w:rPr>
                <w:rFonts w:cstheme="minorHAnsi"/>
                <w:b/>
                <w:bCs/>
                <w:sz w:val="18"/>
                <w:szCs w:val="18"/>
                <w:lang w:val="en-US"/>
              </w:rPr>
            </w:pPr>
            <w:r w:rsidRPr="004534C4">
              <w:rPr>
                <w:rFonts w:cstheme="minorHAnsi"/>
                <w:b/>
                <w:bCs/>
                <w:sz w:val="18"/>
                <w:szCs w:val="18"/>
                <w:lang w:val="en-US"/>
              </w:rPr>
              <w:t>Höglund 2014</w:t>
            </w:r>
          </w:p>
        </w:tc>
        <w:tc>
          <w:tcPr>
            <w:tcW w:w="2323" w:type="dxa"/>
          </w:tcPr>
          <w:p w14:paraId="6E3654C0" w14:textId="52CA6A1D" w:rsidR="0035344A" w:rsidRPr="001A5F24" w:rsidRDefault="0035344A" w:rsidP="00D2614D">
            <w:pPr>
              <w:rPr>
                <w:rFonts w:cstheme="minorHAnsi"/>
                <w:sz w:val="18"/>
                <w:szCs w:val="18"/>
                <w:lang w:val="en-US"/>
              </w:rPr>
            </w:pPr>
            <w:r w:rsidRPr="001A5F24">
              <w:rPr>
                <w:rFonts w:cstheme="minorHAnsi"/>
                <w:sz w:val="18"/>
                <w:szCs w:val="18"/>
                <w:lang w:val="en-US"/>
              </w:rPr>
              <w:t>Adult malaria patient Thailand/Myanmar</w:t>
            </w:r>
          </w:p>
        </w:tc>
        <w:tc>
          <w:tcPr>
            <w:tcW w:w="3746" w:type="dxa"/>
          </w:tcPr>
          <w:p w14:paraId="355E332D" w14:textId="2DB03054" w:rsidR="0035344A" w:rsidRPr="001A5F24" w:rsidRDefault="0035344A" w:rsidP="00335513">
            <w:pPr>
              <w:autoSpaceDE w:val="0"/>
              <w:autoSpaceDN w:val="0"/>
              <w:adjustRightInd w:val="0"/>
              <w:rPr>
                <w:rFonts w:cstheme="minorHAnsi"/>
                <w:sz w:val="18"/>
                <w:szCs w:val="18"/>
                <w:lang w:val="en-US"/>
              </w:rPr>
            </w:pPr>
            <w:r w:rsidRPr="001A5F24">
              <w:rPr>
                <w:rFonts w:cstheme="minorHAnsi"/>
                <w:sz w:val="18"/>
                <w:szCs w:val="18"/>
                <w:lang w:val="en-US"/>
              </w:rPr>
              <w:t>25 mg/kg over 3 days: 10 mg/kg at t=0, 5 mg/kg at t= 12, 24, 48h.</w:t>
            </w:r>
          </w:p>
        </w:tc>
        <w:tc>
          <w:tcPr>
            <w:tcW w:w="1176" w:type="dxa"/>
          </w:tcPr>
          <w:p w14:paraId="395C52CD" w14:textId="6A98B75C" w:rsidR="0035344A" w:rsidRDefault="0035344A" w:rsidP="00335513">
            <w:pPr>
              <w:autoSpaceDE w:val="0"/>
              <w:autoSpaceDN w:val="0"/>
              <w:adjustRightInd w:val="0"/>
              <w:rPr>
                <w:rFonts w:cstheme="minorHAnsi"/>
                <w:sz w:val="18"/>
                <w:szCs w:val="18"/>
                <w:lang w:val="en-US"/>
              </w:rPr>
            </w:pPr>
            <w:r>
              <w:rPr>
                <w:rFonts w:cstheme="minorHAnsi"/>
                <w:sz w:val="18"/>
                <w:szCs w:val="18"/>
                <w:lang w:val="en-US"/>
              </w:rPr>
              <w:t>Plasma</w:t>
            </w:r>
          </w:p>
        </w:tc>
        <w:tc>
          <w:tcPr>
            <w:tcW w:w="650" w:type="dxa"/>
          </w:tcPr>
          <w:p w14:paraId="7E0AA289" w14:textId="0EFD7185" w:rsidR="0035344A" w:rsidRPr="001A5F24" w:rsidRDefault="0035344A" w:rsidP="00335513">
            <w:pPr>
              <w:autoSpaceDE w:val="0"/>
              <w:autoSpaceDN w:val="0"/>
              <w:adjustRightInd w:val="0"/>
              <w:rPr>
                <w:rFonts w:cstheme="minorHAnsi"/>
                <w:sz w:val="18"/>
                <w:szCs w:val="18"/>
                <w:lang w:val="en-US"/>
              </w:rPr>
            </w:pPr>
            <w:r>
              <w:rPr>
                <w:rFonts w:cstheme="minorHAnsi"/>
                <w:sz w:val="18"/>
                <w:szCs w:val="18"/>
                <w:lang w:val="en-US"/>
              </w:rPr>
              <w:fldChar w:fldCharType="begin" w:fldLock="1"/>
            </w:r>
            <w:r w:rsidR="0037168B">
              <w:rPr>
                <w:rFonts w:cstheme="minorHAnsi"/>
                <w:sz w:val="18"/>
                <w:szCs w:val="18"/>
                <w:lang w:val="en-US"/>
              </w:rPr>
              <w:instrText>ADDIN CSL_CITATION {"citationItems":[{"id":"ITEM-1","itemData":{"DOI":"10.1186/s12936-016-1181-1","ISSN":"14752875","abstract":"Background: A three-day course of chloroquine remains a standard treatment of Plasmodium vivax infection in Thailand with satisfactory clinical efficacy and tolerability although a continuous decline in in vitro parasite sensitivity has been reported. Information on the pharmacokinetics of chloroquine and its active metabolite desethylchloroquine are required for optimization of treatment to attain therapeutic exposure and thus prevent drug resistance development. Methods: The study was conducted at Mae Tao Clinic for migrant worker, Tak province, Thailand. Blood samples were collected from a total of 75 (8 Thais and 67 Burmeses; 36 males and 39 females; aged 17-52 years) patients with mono-infection with P. Vivax malaria [median (95 % CI) admission parasitaemia 4898 (1206-29,480)/μL] following treatment with a three-day course of chloroquine (25 mg/kg body weight chloroquine phosphate over 3 days). Whole blood concentrations of chloroquine and desethylchloroquine were measured using high performance liquid chromatography with UV detection. Concentration-time profiles of both compounds were analysed using a population-based pharmacokinetic approach. Results: All patients showed satisfactory response to standard treatment with a three-day course of chloroquine with 100 % cure rate within the follow-up period of 42 days. Neither recurrence of P. Vivax parasitaemia nor appearance of P. falciparum occurred. A total of 1045 observations from 75 participants were included in the pharmacokinetic analysis. Chloroquine disposition was most adequately described by the two-compartment model with one transit compartment absorption model into the central compartment and a first-order transformation of chloroquine into desethylchloroquine with an additional peripheral compartment added to desethylchloroquine. First-order elimination from the central compartment of chloroquine and desethylchloroquine was assumed. The model exhibited a strong predictive ability and the pharmacokinetic parameters were estimated with adequate precision. Conclusion: The developed population-based pharmacokinetic model could be applied for future prediction of optimal dosage regimen of chloroquine in patients with P. Vivax infection.","author":[{"dropping-particle":"","family":"Höglund","given":"Richard","non-dropping-particle":"","parse-names":false,"suffix":""},{"dropping-particle":"","family":"Moussavi","given":"Younis","non-dropping-particle":"","parse-names":false,"suffix":""},{"dropping-particle":"","family":"Ruengweerayut","given":"Ronnatrai","non-dropping-particle":"","parse-names":false,"suffix":""},{"dropping-particle":"","family":"Cheomung","given":"Anurak","non-dropping-particle":"","parse-names":false,"suffix":""},{"dropping-particle":"","family":"Äbelö","given":"Angela","non-dropping-particle":"","parse-names":false,"suffix":""},{"dropping-particle":"","family":"Na-Bangchang","given":"Kesara","non-dropping-particle":"","parse-names":false,"suffix":""}],"container-title":"Malaria Journal","id":"ITEM-1","issue":"1","issued":{"date-parts":[["2016"]]},"page":"1-9","publisher":"BioMed Central","title":"Population pharmacokinetics of a three-day chloroquine treatment in patients with Plasmodium vivax infection on the Thai-Myanmar border","type":"article-journal","volume":"15"},"uris":["http://www.mendeley.com/documents/?uuid=7851cd4a-55f1-4912-a1cf-b4fe27ca5ab1"]}],"mendeley":{"formattedCitation":"[14]","plainTextFormattedCitation":"[14]","previouslyFormattedCitation":"[14]"},"properties":{"noteIndex":0},"schema":"https://github.com/citation-style-language/schema/raw/master/csl-citation.json"}</w:instrText>
            </w:r>
            <w:r>
              <w:rPr>
                <w:rFonts w:cstheme="minorHAnsi"/>
                <w:sz w:val="18"/>
                <w:szCs w:val="18"/>
                <w:lang w:val="en-US"/>
              </w:rPr>
              <w:fldChar w:fldCharType="separate"/>
            </w:r>
            <w:r w:rsidR="00FC4F4B" w:rsidRPr="00FC4F4B">
              <w:rPr>
                <w:rFonts w:cstheme="minorHAnsi"/>
                <w:noProof/>
                <w:sz w:val="18"/>
                <w:szCs w:val="18"/>
                <w:lang w:val="en-US"/>
              </w:rPr>
              <w:t>[14]</w:t>
            </w:r>
            <w:r>
              <w:rPr>
                <w:rFonts w:cstheme="minorHAnsi"/>
                <w:sz w:val="18"/>
                <w:szCs w:val="18"/>
                <w:lang w:val="en-US"/>
              </w:rPr>
              <w:fldChar w:fldCharType="end"/>
            </w:r>
          </w:p>
        </w:tc>
      </w:tr>
      <w:tr w:rsidR="00FC4F4B" w:rsidRPr="00110471" w14:paraId="53A10662" w14:textId="77777777" w:rsidTr="00FC4F4B">
        <w:tc>
          <w:tcPr>
            <w:tcW w:w="1167" w:type="dxa"/>
          </w:tcPr>
          <w:p w14:paraId="6AB51748" w14:textId="176A821D" w:rsidR="00FC4F4B" w:rsidRPr="004534C4" w:rsidRDefault="00FC4F4B" w:rsidP="00FC4F4B">
            <w:pPr>
              <w:rPr>
                <w:rFonts w:cstheme="minorHAnsi"/>
                <w:b/>
                <w:bCs/>
                <w:sz w:val="18"/>
                <w:szCs w:val="18"/>
                <w:lang w:val="en-US"/>
              </w:rPr>
            </w:pPr>
            <w:r w:rsidRPr="004534C4">
              <w:rPr>
                <w:rFonts w:cstheme="minorHAnsi"/>
                <w:b/>
                <w:bCs/>
                <w:sz w:val="18"/>
                <w:szCs w:val="18"/>
                <w:lang w:val="en-US"/>
              </w:rPr>
              <w:t>Walker 1983</w:t>
            </w:r>
          </w:p>
        </w:tc>
        <w:tc>
          <w:tcPr>
            <w:tcW w:w="2323" w:type="dxa"/>
          </w:tcPr>
          <w:p w14:paraId="404B1B52" w14:textId="6C0E4F3A" w:rsidR="00FC4F4B" w:rsidRPr="001A5F24" w:rsidRDefault="00FC4F4B" w:rsidP="00FC4F4B">
            <w:pPr>
              <w:rPr>
                <w:rFonts w:cstheme="minorHAnsi"/>
                <w:sz w:val="18"/>
                <w:szCs w:val="18"/>
                <w:lang w:val="en-US"/>
              </w:rPr>
            </w:pPr>
            <w:r w:rsidRPr="001A5F24">
              <w:rPr>
                <w:rFonts w:cstheme="minorHAnsi"/>
                <w:sz w:val="18"/>
                <w:szCs w:val="18"/>
                <w:lang w:val="en-US"/>
              </w:rPr>
              <w:t>Children 12m – 6y malaria patients in Africa</w:t>
            </w:r>
          </w:p>
        </w:tc>
        <w:tc>
          <w:tcPr>
            <w:tcW w:w="3746" w:type="dxa"/>
          </w:tcPr>
          <w:p w14:paraId="7C024E5A" w14:textId="77777777" w:rsidR="00FC4F4B" w:rsidRPr="001A5F24" w:rsidRDefault="00FC4F4B" w:rsidP="00FC4F4B">
            <w:pPr>
              <w:rPr>
                <w:rFonts w:cstheme="minorHAnsi"/>
                <w:sz w:val="18"/>
                <w:szCs w:val="18"/>
                <w:lang w:val="en-US"/>
              </w:rPr>
            </w:pPr>
            <w:r w:rsidRPr="001A5F24">
              <w:rPr>
                <w:rFonts w:cstheme="minorHAnsi"/>
                <w:sz w:val="18"/>
                <w:szCs w:val="18"/>
                <w:lang w:val="en-US"/>
              </w:rPr>
              <w:t>10 mg/kg, day 2: 10 mg/kg, day 3: 5 mg/kg (total 25 mg/kg)</w:t>
            </w:r>
          </w:p>
          <w:p w14:paraId="1C63E8E4" w14:textId="77777777" w:rsidR="00FC4F4B" w:rsidRPr="001A5F24" w:rsidRDefault="00FC4F4B" w:rsidP="00FC4F4B">
            <w:pPr>
              <w:autoSpaceDE w:val="0"/>
              <w:autoSpaceDN w:val="0"/>
              <w:adjustRightInd w:val="0"/>
              <w:rPr>
                <w:rFonts w:cstheme="minorHAnsi"/>
                <w:sz w:val="18"/>
                <w:szCs w:val="18"/>
                <w:lang w:val="en-US"/>
              </w:rPr>
            </w:pPr>
          </w:p>
        </w:tc>
        <w:tc>
          <w:tcPr>
            <w:tcW w:w="1176" w:type="dxa"/>
          </w:tcPr>
          <w:p w14:paraId="3FEA2CF9" w14:textId="7F84D90A" w:rsidR="00FC4F4B" w:rsidRDefault="00FC4F4B" w:rsidP="00FC4F4B">
            <w:pPr>
              <w:autoSpaceDE w:val="0"/>
              <w:autoSpaceDN w:val="0"/>
              <w:adjustRightInd w:val="0"/>
              <w:rPr>
                <w:rFonts w:cstheme="minorHAnsi"/>
                <w:sz w:val="18"/>
                <w:szCs w:val="18"/>
                <w:lang w:val="en-US"/>
              </w:rPr>
            </w:pPr>
            <w:r>
              <w:rPr>
                <w:rFonts w:cstheme="minorHAnsi"/>
                <w:sz w:val="18"/>
                <w:szCs w:val="18"/>
                <w:lang w:val="en-US"/>
              </w:rPr>
              <w:t>Plasma</w:t>
            </w:r>
          </w:p>
        </w:tc>
        <w:tc>
          <w:tcPr>
            <w:tcW w:w="650" w:type="dxa"/>
          </w:tcPr>
          <w:p w14:paraId="15CC2480" w14:textId="268748B3" w:rsidR="00FC4F4B" w:rsidRDefault="00FC4F4B" w:rsidP="00FC4F4B">
            <w:pPr>
              <w:autoSpaceDE w:val="0"/>
              <w:autoSpaceDN w:val="0"/>
              <w:adjustRightInd w:val="0"/>
              <w:rPr>
                <w:rFonts w:cstheme="minorHAnsi"/>
                <w:sz w:val="18"/>
                <w:szCs w:val="18"/>
                <w:lang w:val="en-US"/>
              </w:rPr>
            </w:pPr>
            <w:r>
              <w:rPr>
                <w:rFonts w:cstheme="minorHAnsi"/>
                <w:sz w:val="18"/>
                <w:szCs w:val="18"/>
                <w:lang w:val="en-US"/>
              </w:rPr>
              <w:fldChar w:fldCharType="begin" w:fldLock="1"/>
            </w:r>
            <w:r>
              <w:rPr>
                <w:rFonts w:cstheme="minorHAnsi"/>
                <w:sz w:val="18"/>
                <w:szCs w:val="18"/>
                <w:lang w:val="en-US"/>
              </w:rPr>
              <w:instrText>ADDIN CSL_CITATION {"citationItems":[{"id":"ITEM-1","itemData":{"DOI":"10.1111/j.1365-2125.1983.tb02244.x","ISSN":"13652125","abstract":"Twelve children with acute falciparum malaria were treated with 25 mg/kg chloroquine orally in three divided doses at 24 h intervals. Concentrations of chloroquine and its metabolite, desethylchloroquine, were measured in plasma from the beginning of treatment for up to 7 days using a high pressure liquid chromatography (h.p.l.c.) technique. Chloroquine was detectable in plasma within 30 min of giving the drug. Peak level was reached in 1‐8 h after the first dose of 10 mg/kg and the peak concentrations ranged between 65 and 263 ng/ml. Chloroquine concentration declined slowly in plasma after stopping drug administration so that the concentration at the seventh day was 37.5% of the concentration on the third day. The apparent half‐life was 3‐4 days. Desethylchloroquine was detectable in plasma within 30 min of giving chloroquine and peak levels were reached in 2‐12 h. Peak concentration after the first dose of chloroquine ranged between 9 and 62 ng/ml. Desethylchloroquine was also slowly cleared from plasma and mean concentration at the end of 7 days was 49% of the mean concentration at the end of 3 days. 1983 The British Pharmacological Society","author":[{"dropping-particle":"","family":"Walker","given":"O.","non-dropping-particle":"","parse-names":false,"suffix":""},{"dropping-particle":"","family":"Dawodu","given":"AH","non-dropping-particle":"","parse-names":false,"suffix":""},{"dropping-particle":"","family":"Adeyokunnu","given":"AA","non-dropping-particle":"","parse-names":false,"suffix":""},{"dropping-particle":"","family":"Salako","given":"LA","non-dropping-particle":"","parse-names":false,"suffix":""},{"dropping-particle":"","family":"Alvan","given":"G.","non-dropping-particle":"","parse-names":false,"suffix":""}],"container-title":"British Journal of Clinical Pharmacology","id":"ITEM-1","issue":"6","issued":{"date-parts":[["1983"]]},"page":"701-705","title":"Plasma chloroquine and desethylchloroquine concentrations in children during and after chloroquine treatment for malaria.","type":"article-journal","volume":"16"},"uris":["http://www.mendeley.com/documents/?uuid=dc547972-cf9b-44e3-9e7a-a7ac928cbeed"]}],"mendeley":{"formattedCitation":"[7]","plainTextFormattedCitation":"[7]","previouslyFormattedCitation":"[7]"},"properties":{"noteIndex":0},"schema":"https://github.com/citation-style-language/schema/raw/master/csl-citation.json"}</w:instrText>
            </w:r>
            <w:r>
              <w:rPr>
                <w:rFonts w:cstheme="minorHAnsi"/>
                <w:sz w:val="18"/>
                <w:szCs w:val="18"/>
                <w:lang w:val="en-US"/>
              </w:rPr>
              <w:fldChar w:fldCharType="separate"/>
            </w:r>
            <w:r w:rsidRPr="00BD7649">
              <w:rPr>
                <w:rFonts w:cstheme="minorHAnsi"/>
                <w:noProof/>
                <w:sz w:val="18"/>
                <w:szCs w:val="18"/>
                <w:lang w:val="en-US"/>
              </w:rPr>
              <w:t>[7]</w:t>
            </w:r>
            <w:r>
              <w:rPr>
                <w:rFonts w:cstheme="minorHAnsi"/>
                <w:sz w:val="18"/>
                <w:szCs w:val="18"/>
                <w:lang w:val="en-US"/>
              </w:rPr>
              <w:fldChar w:fldCharType="end"/>
            </w:r>
          </w:p>
        </w:tc>
      </w:tr>
      <w:tr w:rsidR="003E5779" w:rsidRPr="00110471" w14:paraId="04848F31" w14:textId="77777777" w:rsidTr="00FC4F4B">
        <w:tc>
          <w:tcPr>
            <w:tcW w:w="1167" w:type="dxa"/>
          </w:tcPr>
          <w:p w14:paraId="507C2A49" w14:textId="495C5402" w:rsidR="003E5779" w:rsidRPr="004534C4" w:rsidRDefault="003E5779" w:rsidP="003E5779">
            <w:pPr>
              <w:rPr>
                <w:rFonts w:cstheme="minorHAnsi"/>
                <w:b/>
                <w:bCs/>
                <w:sz w:val="18"/>
                <w:szCs w:val="18"/>
                <w:lang w:val="en-US"/>
              </w:rPr>
            </w:pPr>
            <w:r w:rsidRPr="004534C4">
              <w:rPr>
                <w:rFonts w:cstheme="minorHAnsi"/>
                <w:b/>
                <w:bCs/>
                <w:sz w:val="18"/>
                <w:szCs w:val="18"/>
                <w:lang w:val="en-US"/>
              </w:rPr>
              <w:t>Salako 1984</w:t>
            </w:r>
          </w:p>
        </w:tc>
        <w:tc>
          <w:tcPr>
            <w:tcW w:w="2323" w:type="dxa"/>
          </w:tcPr>
          <w:p w14:paraId="466F1BDE" w14:textId="760FB457" w:rsidR="003E5779" w:rsidRPr="001A5F24" w:rsidRDefault="003E5779" w:rsidP="003E5779">
            <w:pPr>
              <w:rPr>
                <w:rFonts w:cstheme="minorHAnsi"/>
                <w:sz w:val="18"/>
                <w:szCs w:val="18"/>
                <w:lang w:val="en-US"/>
              </w:rPr>
            </w:pPr>
            <w:r w:rsidRPr="003706C9">
              <w:rPr>
                <w:rFonts w:cstheme="minorHAnsi"/>
                <w:sz w:val="18"/>
                <w:szCs w:val="18"/>
                <w:lang w:val="en-US"/>
              </w:rPr>
              <w:t>Adult volunteers with renal insufficiency</w:t>
            </w:r>
          </w:p>
        </w:tc>
        <w:tc>
          <w:tcPr>
            <w:tcW w:w="3746" w:type="dxa"/>
          </w:tcPr>
          <w:p w14:paraId="53866D6F" w14:textId="77777777" w:rsidR="003E5779" w:rsidRPr="003706C9" w:rsidRDefault="003E5779" w:rsidP="003E5779">
            <w:pPr>
              <w:rPr>
                <w:rFonts w:cstheme="minorHAnsi"/>
                <w:sz w:val="18"/>
                <w:szCs w:val="18"/>
                <w:lang w:val="en-US"/>
              </w:rPr>
            </w:pPr>
            <w:r w:rsidRPr="003706C9">
              <w:rPr>
                <w:rFonts w:cstheme="minorHAnsi"/>
                <w:sz w:val="18"/>
                <w:szCs w:val="18"/>
                <w:lang w:val="en-US"/>
              </w:rPr>
              <w:t>600 mg day single dose</w:t>
            </w:r>
          </w:p>
          <w:p w14:paraId="2F8CFC53" w14:textId="77777777" w:rsidR="003E5779" w:rsidRPr="001A5F24" w:rsidRDefault="003E5779" w:rsidP="003E5779">
            <w:pPr>
              <w:rPr>
                <w:rFonts w:cstheme="minorHAnsi"/>
                <w:sz w:val="18"/>
                <w:szCs w:val="18"/>
                <w:lang w:val="en-US"/>
              </w:rPr>
            </w:pPr>
          </w:p>
        </w:tc>
        <w:tc>
          <w:tcPr>
            <w:tcW w:w="1176" w:type="dxa"/>
          </w:tcPr>
          <w:p w14:paraId="4EB8CC7A" w14:textId="672110AA" w:rsidR="003E5779" w:rsidRDefault="003E5779" w:rsidP="003E5779">
            <w:pPr>
              <w:autoSpaceDE w:val="0"/>
              <w:autoSpaceDN w:val="0"/>
              <w:adjustRightInd w:val="0"/>
              <w:rPr>
                <w:rFonts w:cstheme="minorHAnsi"/>
                <w:sz w:val="18"/>
                <w:szCs w:val="18"/>
                <w:lang w:val="en-US"/>
              </w:rPr>
            </w:pPr>
            <w:r>
              <w:rPr>
                <w:rFonts w:cstheme="minorHAnsi"/>
                <w:sz w:val="18"/>
                <w:szCs w:val="18"/>
                <w:lang w:val="en-US"/>
              </w:rPr>
              <w:t>Plasma</w:t>
            </w:r>
          </w:p>
        </w:tc>
        <w:tc>
          <w:tcPr>
            <w:tcW w:w="650" w:type="dxa"/>
          </w:tcPr>
          <w:p w14:paraId="2289335F" w14:textId="273EF1EF" w:rsidR="003E5779" w:rsidRDefault="003E5779" w:rsidP="003E5779">
            <w:pPr>
              <w:autoSpaceDE w:val="0"/>
              <w:autoSpaceDN w:val="0"/>
              <w:adjustRightInd w:val="0"/>
              <w:rPr>
                <w:rFonts w:cstheme="minorHAnsi"/>
                <w:sz w:val="18"/>
                <w:szCs w:val="18"/>
                <w:lang w:val="en-US"/>
              </w:rPr>
            </w:pPr>
            <w:r>
              <w:rPr>
                <w:rFonts w:cstheme="minorHAnsi"/>
                <w:sz w:val="18"/>
                <w:szCs w:val="18"/>
                <w:lang w:val="en-US"/>
              </w:rPr>
              <w:fldChar w:fldCharType="begin" w:fldLock="1"/>
            </w:r>
            <w:r w:rsidR="0037168B">
              <w:rPr>
                <w:rFonts w:cstheme="minorHAnsi"/>
                <w:sz w:val="18"/>
                <w:szCs w:val="18"/>
                <w:lang w:val="en-US"/>
              </w:rPr>
              <w:instrText>ADDIN CSL_CITATION {"citationItems":[{"id":"ITEM-1","itemData":{"ISBN":"4951176289","ISSN":"0309-3913","PMID":"6099980","abstract":"The pharmacokinetics of chloroquine and its desethyl metabolite were studied in six patients with chronic renal failure and compared with a control group of twelve patients with normal renal function. Chloroquine was given as a single oral dose of 600 mg and blood levels monitored for 144 h. Plasma chloroquine concentrations were determined using an HPLC method. The plasma half-life of chloroquine was significantly higher in renal patients than in controls. This finding suggests that extra caution should be exercised when prescribing chloroquine for prolonged use in patients with renal insufficiency.","author":[{"dropping-particle":"","family":"Salako","given":"L A","non-dropping-particle":"","parse-names":false,"suffix":""},{"dropping-particle":"","family":"Walker","given":"O","non-dropping-particle":"","parse-names":false,"suffix":""},{"dropping-particle":"","family":"Iyun","given":"A O","non-dropping-particle":"","parse-names":false,"suffix":""}],"container-title":"African journal of medicine and medical sciences","id":"ITEM-1","issue":"3-4","issued":{"date-parts":[["2005"]]},"page":"177-82","title":"Pharmacokinetics of chloroquine in renal insufficiency.","type":"article-journal","volume":"13"},"uris":["http://www.mendeley.com/documents/?uuid=1f671b00-7936-42d7-88b8-e8ce4cb4ea91"]}],"mendeley":{"formattedCitation":"[15]","plainTextFormattedCitation":"[15]","previouslyFormattedCitation":"[15]"},"properties":{"noteIndex":0},"schema":"https://github.com/citation-style-language/schema/raw/master/csl-citation.json"}</w:instrText>
            </w:r>
            <w:r>
              <w:rPr>
                <w:rFonts w:cstheme="minorHAnsi"/>
                <w:sz w:val="18"/>
                <w:szCs w:val="18"/>
                <w:lang w:val="en-US"/>
              </w:rPr>
              <w:fldChar w:fldCharType="separate"/>
            </w:r>
            <w:r w:rsidRPr="00FC4F4B">
              <w:rPr>
                <w:rFonts w:cstheme="minorHAnsi"/>
                <w:noProof/>
                <w:sz w:val="18"/>
                <w:szCs w:val="18"/>
                <w:lang w:val="en-US"/>
              </w:rPr>
              <w:t>[15]</w:t>
            </w:r>
            <w:r>
              <w:rPr>
                <w:rFonts w:cstheme="minorHAnsi"/>
                <w:sz w:val="18"/>
                <w:szCs w:val="18"/>
                <w:lang w:val="en-US"/>
              </w:rPr>
              <w:fldChar w:fldCharType="end"/>
            </w:r>
          </w:p>
        </w:tc>
      </w:tr>
      <w:tr w:rsidR="003E5779" w:rsidRPr="00110471" w14:paraId="08507622" w14:textId="77777777" w:rsidTr="00FC4F4B">
        <w:tc>
          <w:tcPr>
            <w:tcW w:w="1167" w:type="dxa"/>
          </w:tcPr>
          <w:p w14:paraId="3D09E086" w14:textId="09424185" w:rsidR="003E5779" w:rsidRPr="004534C4" w:rsidRDefault="003E5779" w:rsidP="003E5779">
            <w:pPr>
              <w:rPr>
                <w:rFonts w:cstheme="minorHAnsi"/>
                <w:b/>
                <w:bCs/>
                <w:sz w:val="18"/>
                <w:szCs w:val="18"/>
                <w:lang w:val="en-US"/>
              </w:rPr>
            </w:pPr>
            <w:r w:rsidRPr="004534C4">
              <w:rPr>
                <w:rFonts w:cstheme="minorHAnsi"/>
                <w:b/>
                <w:bCs/>
                <w:sz w:val="18"/>
                <w:szCs w:val="18"/>
                <w:lang w:val="en-US"/>
              </w:rPr>
              <w:t>Adelusi 1982</w:t>
            </w:r>
          </w:p>
        </w:tc>
        <w:tc>
          <w:tcPr>
            <w:tcW w:w="2323" w:type="dxa"/>
          </w:tcPr>
          <w:p w14:paraId="3EF7489A" w14:textId="4DD84396" w:rsidR="003E5779" w:rsidRPr="003706C9" w:rsidRDefault="003E5779" w:rsidP="003E5779">
            <w:pPr>
              <w:rPr>
                <w:rFonts w:cstheme="minorHAnsi"/>
                <w:sz w:val="18"/>
                <w:szCs w:val="18"/>
                <w:lang w:val="en-US"/>
              </w:rPr>
            </w:pPr>
            <w:r w:rsidRPr="003706C9">
              <w:rPr>
                <w:rFonts w:cstheme="minorHAnsi"/>
                <w:sz w:val="18"/>
                <w:szCs w:val="18"/>
                <w:lang w:val="en-US"/>
              </w:rPr>
              <w:t>Children 6m – 6y</w:t>
            </w:r>
            <w:r>
              <w:rPr>
                <w:rFonts w:cstheme="minorHAnsi"/>
                <w:sz w:val="18"/>
                <w:szCs w:val="18"/>
                <w:lang w:val="en-US"/>
              </w:rPr>
              <w:t xml:space="preserve"> with</w:t>
            </w:r>
            <w:r w:rsidRPr="003706C9">
              <w:rPr>
                <w:rFonts w:cstheme="minorHAnsi"/>
                <w:sz w:val="18"/>
                <w:szCs w:val="18"/>
                <w:lang w:val="en-US"/>
              </w:rPr>
              <w:t xml:space="preserve"> malaria (Nigeria).</w:t>
            </w:r>
          </w:p>
        </w:tc>
        <w:tc>
          <w:tcPr>
            <w:tcW w:w="3746" w:type="dxa"/>
          </w:tcPr>
          <w:p w14:paraId="7CA5BB23" w14:textId="77777777" w:rsidR="003E5779" w:rsidRPr="003706C9" w:rsidRDefault="003E5779" w:rsidP="003E5779">
            <w:pPr>
              <w:rPr>
                <w:rFonts w:cstheme="minorHAnsi"/>
                <w:sz w:val="18"/>
                <w:szCs w:val="18"/>
                <w:lang w:val="en-US"/>
              </w:rPr>
            </w:pPr>
            <w:r w:rsidRPr="003706C9">
              <w:rPr>
                <w:rFonts w:cstheme="minorHAnsi"/>
                <w:sz w:val="18"/>
                <w:szCs w:val="18"/>
                <w:lang w:val="en-US"/>
              </w:rPr>
              <w:t>10 mg/kg on the first and second days and 5 mg/kg on the third day.</w:t>
            </w:r>
          </w:p>
          <w:p w14:paraId="7D093242" w14:textId="77777777" w:rsidR="003E5779" w:rsidRPr="003706C9" w:rsidRDefault="003E5779" w:rsidP="003E5779">
            <w:pPr>
              <w:rPr>
                <w:rFonts w:cstheme="minorHAnsi"/>
                <w:sz w:val="18"/>
                <w:szCs w:val="18"/>
                <w:lang w:val="en-US"/>
              </w:rPr>
            </w:pPr>
            <w:r w:rsidRPr="003706C9">
              <w:rPr>
                <w:rFonts w:cstheme="minorHAnsi"/>
                <w:sz w:val="18"/>
                <w:szCs w:val="18"/>
                <w:lang w:val="en-US"/>
              </w:rPr>
              <w:t>Patient characteristics: Children 6 m – 6years with malaria (Nigeria). Mean weight or age not reported. Therefore we simulate 2 children: 6 kg and 12 kg.</w:t>
            </w:r>
          </w:p>
          <w:p w14:paraId="2FA90035" w14:textId="77777777" w:rsidR="003E5779" w:rsidRPr="003706C9" w:rsidRDefault="003E5779" w:rsidP="003E5779">
            <w:pPr>
              <w:rPr>
                <w:rFonts w:cstheme="minorHAnsi"/>
                <w:sz w:val="18"/>
                <w:szCs w:val="18"/>
                <w:lang w:val="en-US"/>
              </w:rPr>
            </w:pPr>
          </w:p>
        </w:tc>
        <w:tc>
          <w:tcPr>
            <w:tcW w:w="1176" w:type="dxa"/>
          </w:tcPr>
          <w:p w14:paraId="0179B6F1" w14:textId="64DA1A9D" w:rsidR="003E5779" w:rsidRDefault="003E5779" w:rsidP="003E5779">
            <w:pPr>
              <w:autoSpaceDE w:val="0"/>
              <w:autoSpaceDN w:val="0"/>
              <w:adjustRightInd w:val="0"/>
              <w:rPr>
                <w:rFonts w:cstheme="minorHAnsi"/>
                <w:sz w:val="18"/>
                <w:szCs w:val="18"/>
                <w:lang w:val="en-US"/>
              </w:rPr>
            </w:pPr>
            <w:r>
              <w:rPr>
                <w:rFonts w:cstheme="minorHAnsi"/>
                <w:sz w:val="18"/>
                <w:szCs w:val="18"/>
                <w:lang w:val="en-US"/>
              </w:rPr>
              <w:t>Plasma</w:t>
            </w:r>
          </w:p>
        </w:tc>
        <w:tc>
          <w:tcPr>
            <w:tcW w:w="650" w:type="dxa"/>
          </w:tcPr>
          <w:p w14:paraId="356BEC2E" w14:textId="1E3BF6FE" w:rsidR="003E5779" w:rsidRDefault="003E5779" w:rsidP="003E5779">
            <w:pPr>
              <w:autoSpaceDE w:val="0"/>
              <w:autoSpaceDN w:val="0"/>
              <w:adjustRightInd w:val="0"/>
              <w:rPr>
                <w:rFonts w:cstheme="minorHAnsi"/>
                <w:sz w:val="18"/>
                <w:szCs w:val="18"/>
                <w:lang w:val="en-US"/>
              </w:rPr>
            </w:pPr>
            <w:r>
              <w:rPr>
                <w:rFonts w:cstheme="minorHAnsi"/>
                <w:sz w:val="18"/>
                <w:szCs w:val="18"/>
                <w:lang w:val="en-US"/>
              </w:rPr>
              <w:fldChar w:fldCharType="begin" w:fldLock="1"/>
            </w:r>
            <w:r>
              <w:rPr>
                <w:rFonts w:cstheme="minorHAnsi"/>
                <w:sz w:val="18"/>
                <w:szCs w:val="18"/>
                <w:lang w:val="en-US"/>
              </w:rPr>
              <w:instrText>ADDIN CSL_CITATION {"citationItems":[{"id":"ITEM-1","itemData":{"DOI":"10.1111/j.1365-2125.1982.tb02016.x","ISSN":"13652125","abstract":"1 Ten children with Plasmodium falciparum malaria were treated with 25 mg/kg chloroquine over 3 days and observed for 7 days. 2 Chloroquine was determined in the red blood cells and plasma, and the red blood cell/plasma chloroquine concentration ratio was correlated with the disappearance of the parasites from the blood. It was found that this ratio decreased with the disappearance of the parasites and remained almost steady after the parasites had disappeared completely from the blood. 3 The half‐life (t1/2) and the elimination rate constant of the ‘terminal’ elimination slope (lambda beta) of the plasma log concentration‐time curve were estimated to be 135.9 +/‐ 9.92 h and 0.005 +/‐ 0.001 h‐1 (s.d.) respectively. 4 The t1/2 and lambda beta calculated from the red blood cell log concentration‐time curve were not significantly different from the corresponding values calculated from the plasma log concentration‐time curve. 1982 The British Pharmacological Society","author":[{"dropping-particle":"","family":"Adelusi","given":"SA","non-dropping-particle":"","parse-names":false,"suffix":""},{"dropping-particle":"","family":"Dawodu","given":"AH","non-dropping-particle":"","parse-names":false,"suffix":""},{"dropping-particle":"","family":"Salako","given":"LA","non-dropping-particle":"","parse-names":false,"suffix":""}],"container-title":"British Journal of Clinical Pharmacology","id":"ITEM-1","issue":"4","issued":{"date-parts":[["1982"]]},"page":"483-487","title":"Kinetics of the uptake and elimination of chloroquine in children with malaria.","type":"article-journal","volume":"14"},"uris":["http://www.mendeley.com/documents/?uuid=6131fc34-88ce-415a-9d2e-a7cbf3ebdb71"]}],"mendeley":{"formattedCitation":"[8]","plainTextFormattedCitation":"[8]","previouslyFormattedCitation":"[8]"},"properties":{"noteIndex":0},"schema":"https://github.com/citation-style-language/schema/raw/master/csl-citation.json"}</w:instrText>
            </w:r>
            <w:r>
              <w:rPr>
                <w:rFonts w:cstheme="minorHAnsi"/>
                <w:sz w:val="18"/>
                <w:szCs w:val="18"/>
                <w:lang w:val="en-US"/>
              </w:rPr>
              <w:fldChar w:fldCharType="separate"/>
            </w:r>
            <w:r w:rsidRPr="00BD7649">
              <w:rPr>
                <w:rFonts w:cstheme="minorHAnsi"/>
                <w:noProof/>
                <w:sz w:val="18"/>
                <w:szCs w:val="18"/>
                <w:lang w:val="en-US"/>
              </w:rPr>
              <w:t>[8]</w:t>
            </w:r>
            <w:r>
              <w:rPr>
                <w:rFonts w:cstheme="minorHAnsi"/>
                <w:sz w:val="18"/>
                <w:szCs w:val="18"/>
                <w:lang w:val="en-US"/>
              </w:rPr>
              <w:fldChar w:fldCharType="end"/>
            </w:r>
          </w:p>
        </w:tc>
      </w:tr>
      <w:tr w:rsidR="003E5779" w:rsidRPr="00110471" w14:paraId="003FEAC7" w14:textId="77777777" w:rsidTr="00FC4F4B">
        <w:tc>
          <w:tcPr>
            <w:tcW w:w="1167" w:type="dxa"/>
          </w:tcPr>
          <w:p w14:paraId="608AD945" w14:textId="77777777" w:rsidR="003E5779" w:rsidRPr="004534C4" w:rsidRDefault="003E5779" w:rsidP="003E5779">
            <w:pPr>
              <w:rPr>
                <w:rFonts w:cstheme="minorHAnsi"/>
                <w:b/>
                <w:bCs/>
                <w:sz w:val="18"/>
                <w:szCs w:val="18"/>
                <w:lang w:val="en-US"/>
              </w:rPr>
            </w:pPr>
          </w:p>
        </w:tc>
        <w:tc>
          <w:tcPr>
            <w:tcW w:w="2323" w:type="dxa"/>
          </w:tcPr>
          <w:p w14:paraId="49BE03CF" w14:textId="77777777" w:rsidR="003E5779" w:rsidRPr="003706C9" w:rsidRDefault="003E5779" w:rsidP="003E5779">
            <w:pPr>
              <w:rPr>
                <w:rFonts w:cstheme="minorHAnsi"/>
                <w:sz w:val="18"/>
                <w:szCs w:val="18"/>
                <w:lang w:val="en-US"/>
              </w:rPr>
            </w:pPr>
          </w:p>
        </w:tc>
        <w:tc>
          <w:tcPr>
            <w:tcW w:w="3746" w:type="dxa"/>
          </w:tcPr>
          <w:p w14:paraId="19A4EA94" w14:textId="77777777" w:rsidR="003E5779" w:rsidRPr="003706C9" w:rsidRDefault="003E5779" w:rsidP="003E5779">
            <w:pPr>
              <w:rPr>
                <w:rFonts w:cstheme="minorHAnsi"/>
                <w:sz w:val="18"/>
                <w:szCs w:val="18"/>
                <w:lang w:val="en-US"/>
              </w:rPr>
            </w:pPr>
          </w:p>
        </w:tc>
        <w:tc>
          <w:tcPr>
            <w:tcW w:w="1176" w:type="dxa"/>
          </w:tcPr>
          <w:p w14:paraId="66C7E317" w14:textId="77777777" w:rsidR="003E5779" w:rsidRDefault="003E5779" w:rsidP="003E5779">
            <w:pPr>
              <w:autoSpaceDE w:val="0"/>
              <w:autoSpaceDN w:val="0"/>
              <w:adjustRightInd w:val="0"/>
              <w:rPr>
                <w:rFonts w:cstheme="minorHAnsi"/>
                <w:sz w:val="18"/>
                <w:szCs w:val="18"/>
                <w:lang w:val="en-US"/>
              </w:rPr>
            </w:pPr>
          </w:p>
        </w:tc>
        <w:tc>
          <w:tcPr>
            <w:tcW w:w="650" w:type="dxa"/>
          </w:tcPr>
          <w:p w14:paraId="1D5FD375" w14:textId="77777777" w:rsidR="003E5779" w:rsidRDefault="003E5779" w:rsidP="003E5779">
            <w:pPr>
              <w:autoSpaceDE w:val="0"/>
              <w:autoSpaceDN w:val="0"/>
              <w:adjustRightInd w:val="0"/>
              <w:rPr>
                <w:rFonts w:cstheme="minorHAnsi"/>
                <w:sz w:val="18"/>
                <w:szCs w:val="18"/>
                <w:lang w:val="en-US"/>
              </w:rPr>
            </w:pPr>
          </w:p>
        </w:tc>
      </w:tr>
      <w:tr w:rsidR="003E5779" w:rsidRPr="00110471" w14:paraId="496B0175" w14:textId="77777777" w:rsidTr="00E40494">
        <w:tc>
          <w:tcPr>
            <w:tcW w:w="9062" w:type="dxa"/>
            <w:gridSpan w:val="5"/>
          </w:tcPr>
          <w:p w14:paraId="40A65DD8" w14:textId="445DBA39" w:rsidR="003E5779" w:rsidRDefault="003E5779" w:rsidP="003E5779">
            <w:pPr>
              <w:autoSpaceDE w:val="0"/>
              <w:autoSpaceDN w:val="0"/>
              <w:adjustRightInd w:val="0"/>
              <w:rPr>
                <w:rFonts w:cstheme="minorHAnsi"/>
                <w:sz w:val="18"/>
                <w:szCs w:val="18"/>
                <w:lang w:val="en-US"/>
              </w:rPr>
            </w:pPr>
            <w:r>
              <w:rPr>
                <w:rFonts w:cstheme="minorHAnsi"/>
                <w:b/>
                <w:bCs/>
                <w:sz w:val="18"/>
                <w:szCs w:val="18"/>
                <w:lang w:val="en-US"/>
              </w:rPr>
              <w:t>STUDIES IN OTHER MATRICES</w:t>
            </w:r>
          </w:p>
        </w:tc>
      </w:tr>
      <w:tr w:rsidR="003E5779" w:rsidRPr="00356C60" w14:paraId="19EAD7B0" w14:textId="77777777" w:rsidTr="00FC4F4B">
        <w:tc>
          <w:tcPr>
            <w:tcW w:w="1167" w:type="dxa"/>
          </w:tcPr>
          <w:p w14:paraId="5DF155ED" w14:textId="403068D5" w:rsidR="003E5779" w:rsidRPr="004534C4" w:rsidRDefault="003E5779" w:rsidP="003E5779">
            <w:pPr>
              <w:rPr>
                <w:rFonts w:cstheme="minorHAnsi"/>
                <w:b/>
                <w:bCs/>
                <w:sz w:val="18"/>
                <w:szCs w:val="18"/>
                <w:lang w:val="en-US"/>
              </w:rPr>
            </w:pPr>
            <w:r w:rsidRPr="004534C4">
              <w:rPr>
                <w:rFonts w:cstheme="minorHAnsi"/>
                <w:b/>
                <w:bCs/>
                <w:sz w:val="18"/>
                <w:szCs w:val="18"/>
                <w:lang w:val="en-US"/>
              </w:rPr>
              <w:t>Daher 2019</w:t>
            </w:r>
          </w:p>
        </w:tc>
        <w:tc>
          <w:tcPr>
            <w:tcW w:w="2323" w:type="dxa"/>
          </w:tcPr>
          <w:p w14:paraId="0E7A4C5A" w14:textId="1C329144" w:rsidR="003E5779" w:rsidRPr="003706C9" w:rsidRDefault="003E5779" w:rsidP="003E5779">
            <w:pPr>
              <w:rPr>
                <w:rFonts w:cstheme="minorHAnsi"/>
                <w:sz w:val="18"/>
                <w:szCs w:val="18"/>
                <w:lang w:val="en-US"/>
              </w:rPr>
            </w:pPr>
            <w:r w:rsidRPr="001A5F24">
              <w:rPr>
                <w:rFonts w:cstheme="minorHAnsi"/>
                <w:sz w:val="18"/>
                <w:szCs w:val="18"/>
                <w:lang w:val="en-US"/>
              </w:rPr>
              <w:t>Adult malaria patients in Brazil</w:t>
            </w:r>
          </w:p>
        </w:tc>
        <w:tc>
          <w:tcPr>
            <w:tcW w:w="3746" w:type="dxa"/>
          </w:tcPr>
          <w:p w14:paraId="04CFD7B7" w14:textId="5AFBA808" w:rsidR="003E5779" w:rsidRPr="003706C9" w:rsidRDefault="003E5779" w:rsidP="003E5779">
            <w:pPr>
              <w:rPr>
                <w:rFonts w:cstheme="minorHAnsi"/>
                <w:sz w:val="18"/>
                <w:szCs w:val="18"/>
                <w:lang w:val="en-US"/>
              </w:rPr>
            </w:pPr>
            <w:r w:rsidRPr="001A5F24">
              <w:rPr>
                <w:rFonts w:cstheme="minorHAnsi"/>
                <w:sz w:val="18"/>
                <w:szCs w:val="18"/>
                <w:lang w:val="en-US"/>
              </w:rPr>
              <w:t>600 mg day 1, 450 mg days 2 and 3.</w:t>
            </w:r>
          </w:p>
        </w:tc>
        <w:tc>
          <w:tcPr>
            <w:tcW w:w="1176" w:type="dxa"/>
          </w:tcPr>
          <w:p w14:paraId="349331BE" w14:textId="036A1BF1" w:rsidR="003E5779" w:rsidRDefault="003E5779" w:rsidP="003E5779">
            <w:pPr>
              <w:autoSpaceDE w:val="0"/>
              <w:autoSpaceDN w:val="0"/>
              <w:adjustRightInd w:val="0"/>
              <w:rPr>
                <w:rFonts w:cstheme="minorHAnsi"/>
                <w:sz w:val="18"/>
                <w:szCs w:val="18"/>
                <w:lang w:val="en-US"/>
              </w:rPr>
            </w:pPr>
            <w:r>
              <w:rPr>
                <w:rFonts w:cstheme="minorHAnsi"/>
                <w:sz w:val="18"/>
                <w:szCs w:val="18"/>
                <w:lang w:val="en-US"/>
              </w:rPr>
              <w:t>Whole blood</w:t>
            </w:r>
          </w:p>
        </w:tc>
        <w:tc>
          <w:tcPr>
            <w:tcW w:w="650" w:type="dxa"/>
          </w:tcPr>
          <w:p w14:paraId="0DE80A96" w14:textId="534F7674" w:rsidR="003E5779" w:rsidRDefault="003E5779" w:rsidP="003E5779">
            <w:pPr>
              <w:autoSpaceDE w:val="0"/>
              <w:autoSpaceDN w:val="0"/>
              <w:adjustRightInd w:val="0"/>
              <w:rPr>
                <w:rFonts w:cstheme="minorHAnsi"/>
                <w:sz w:val="18"/>
                <w:szCs w:val="18"/>
                <w:lang w:val="en-US"/>
              </w:rPr>
            </w:pPr>
            <w:r>
              <w:rPr>
                <w:rFonts w:cstheme="minorHAnsi"/>
                <w:sz w:val="18"/>
                <w:szCs w:val="18"/>
                <w:lang w:val="en-US"/>
              </w:rPr>
              <w:fldChar w:fldCharType="begin" w:fldLock="1"/>
            </w:r>
            <w:r w:rsidR="0037168B">
              <w:rPr>
                <w:rFonts w:cstheme="minorHAnsi"/>
                <w:sz w:val="18"/>
                <w:szCs w:val="18"/>
                <w:lang w:val="en-US"/>
              </w:rPr>
              <w:instrText>ADDIN CSL_CITATION {"citationItems":[{"id":"ITEM-1","itemData":{"DOI":"10.1186/s12936-019-2950-4","ISSN":"14752875","abstract":"Background: Activation of hypnozoites of vivax malaria causes multiple clinical relapses, which contribute to the Plasmodium vivax burden and continuing transmission. Artemisinin-based combination therapy (ACT) is effective against blood-stage P. vivax but requires co-Administration with primaquine to achieve radical cure. The therapeutic efficacy of primaquine depends on the generation of a therapeutically active metabolite via cytochrome P450 2D6 (CYP2D6). Impaired CYP2D6 metabolism has been associated with primaquine treatment failure. This study investigated the association between impaired CYP2D6 genotypes, drug-exposure to the long-Acting ACT component (schizonticidal drugs) and tolerance and efficacy. Methods: Adult patients with acute vivax malaria were enrolled in a recently completed trial and treated with artesunate-mefloquine, chloroquine or artemether-lumefantrine. All received concomitant primaquine (0.5 mg/kg/day for 7-9 days). The association between efficacy and safety and drug exposure was explored using area-under-The-curve (AUC) and half-life (t1/2) estimates obtained by non-compartmental analysis of the long half-life drugs. Parasite recurrences by day 63 were categorized as related relapses or re-infections/unrelated hypnozoite activation by genotyping three microsatellite loci and two polymorphic loci of merozoite surface antigen-1. The CYP2D6 genotype was identified with Taqman assays by real-Time PCR to 9 polymorphisms (8 SNPs and one deletion). Impaired CYP2D6 activity was inferred using the Activity Score System. Results: Most recurrences in the ASMQ (67%), CQ (80%) and AL (85%) groups were considered related relapses. Eight of nine (88.9%) of the patients with impaired CYP2D6 activity relapsed with related parasite compared to 18/25 (72%) with normal activity (RR = 1.23, 0.88; 1.72, p = 0.40). There were no associations between the measured PK parameters and recurrence. Patients with longer chloroquine half-lives had more pruritus (RR = 1.09, 1.03; 1.14, p = 0.001). Higher CQ AUCs were associated with reduced falls in haemoglobin by day 14 (Coef-0.02,-0.005;-0.03, p = 0.01). All regimens were well tolerated. Conclusion: Genotyping of P. vivax showed that activation of related (homologous) hypnozoites was the most frequent cause of recurrence. The high proportion of the impaired CYP2D6 activity among patients with recurrent infections suggests that slow primaquine metabolism might influence related relapse rates in Brazil amon…","author":[{"dropping-particle":"","family":"Daher","given":"André","non-dropping-particle":"","parse-names":false,"suffix":""},{"dropping-particle":"","family":"Aljayyoussi","given":"Ghait","non-dropping-particle":"","parse-names":false,"suffix":""},{"dropping-particle":"","family":"Pereira","given":"Dhelio","non-dropping-particle":"","parse-names":false,"suffix":""},{"dropping-particle":"","family":"Lacerda","given":"Marcus V.G.","non-dropping-particle":"","parse-names":false,"suffix":""},{"dropping-particle":"","family":"Alexandre","given":"Márcia A.A.","non-dropping-particle":"","parse-names":false,"suffix":""},{"dropping-particle":"","family":"Nascimento","given":"Cristiana T.","non-dropping-particle":"","parse-names":false,"suffix":""},{"dropping-particle":"","family":"Alves","given":"Júlio Castro","non-dropping-particle":"","parse-names":false,"suffix":""},{"dropping-particle":"","family":"Fonseca","given":"Laís Bastos","non-dropping-particle":"Da","parse-names":false,"suffix":""},{"dropping-particle":"","family":"Silva","given":"Diego Medeiros Dias","non-dropping-particle":"Da","parse-names":false,"suffix":""},{"dropping-particle":"","family":"Pinto","given":"Douglas Pereira","non-dropping-particle":"","parse-names":false,"suffix":""},{"dropping-particle":"","family":"Rodrigues","given":"Danielle Fonseca","non-dropping-particle":"","parse-names":false,"suffix":""},{"dropping-particle":"","family":"Silvino","given":"Ana Carolina Rios","non-dropping-particle":"","parse-names":false,"suffix":""},{"dropping-particle":"","family":"Sousa","given":"Taís Nóbrega","non-dropping-particle":"De","parse-names":false,"suffix":""},{"dropping-particle":"","family":"Brito","given":"Cristiana Ferreira Alves","non-dropping-particle":"De","parse-names":false,"suffix":""},{"dropping-particle":"","family":"Kuile","given":"Feiko O.","non-dropping-particle":"Ter","parse-names":false,"suffix":""},{"dropping-particle":"","family":"Lalloo","given":"David G.","non-dropping-particle":"","parse-names":false,"suffix":""}],"container-title":"Malaria Journal","id":"ITEM-1","issue":"1","issued":{"date-parts":[["2019"]]},"page":"1-9","title":"Pharmacokinetics/pharmacodynamics of chloroquine and artemisinin-based combination therapy with primaquine","type":"article-journal","volume":"18"},"uris":["http://www.mendeley.com/documents/?uuid=16d32aca-c0a6-4ed7-a3ab-a35540a1c6cb"]}],"mendeley":{"formattedCitation":"[16]","plainTextFormattedCitation":"[16]","previouslyFormattedCitation":"[16]"},"properties":{"noteIndex":0},"schema":"https://github.com/citation-style-language/schema/raw/master/csl-citation.json"}</w:instrText>
            </w:r>
            <w:r>
              <w:rPr>
                <w:rFonts w:cstheme="minorHAnsi"/>
                <w:sz w:val="18"/>
                <w:szCs w:val="18"/>
                <w:lang w:val="en-US"/>
              </w:rPr>
              <w:fldChar w:fldCharType="separate"/>
            </w:r>
            <w:r w:rsidRPr="00FC4F4B">
              <w:rPr>
                <w:rFonts w:cstheme="minorHAnsi"/>
                <w:noProof/>
                <w:sz w:val="18"/>
                <w:szCs w:val="18"/>
                <w:lang w:val="en-US"/>
              </w:rPr>
              <w:t>[16]</w:t>
            </w:r>
            <w:r>
              <w:rPr>
                <w:rFonts w:cstheme="minorHAnsi"/>
                <w:sz w:val="18"/>
                <w:szCs w:val="18"/>
                <w:lang w:val="en-US"/>
              </w:rPr>
              <w:fldChar w:fldCharType="end"/>
            </w:r>
          </w:p>
        </w:tc>
      </w:tr>
      <w:tr w:rsidR="003E5779" w:rsidRPr="00356C60" w14:paraId="7DAF7F1A" w14:textId="790A4C2A" w:rsidTr="00FC4F4B">
        <w:tc>
          <w:tcPr>
            <w:tcW w:w="1167" w:type="dxa"/>
          </w:tcPr>
          <w:p w14:paraId="62E39088" w14:textId="5A950040" w:rsidR="003E5779" w:rsidRPr="004534C4" w:rsidRDefault="003E5779" w:rsidP="003E5779">
            <w:pPr>
              <w:rPr>
                <w:rFonts w:cstheme="minorHAnsi"/>
                <w:b/>
                <w:bCs/>
                <w:sz w:val="18"/>
                <w:szCs w:val="18"/>
                <w:lang w:val="en-US"/>
              </w:rPr>
            </w:pPr>
            <w:r w:rsidRPr="004534C4">
              <w:rPr>
                <w:rFonts w:cstheme="minorHAnsi"/>
                <w:b/>
                <w:bCs/>
                <w:sz w:val="18"/>
                <w:szCs w:val="18"/>
                <w:lang w:val="en-US"/>
              </w:rPr>
              <w:t>Ursing 2020</w:t>
            </w:r>
          </w:p>
        </w:tc>
        <w:tc>
          <w:tcPr>
            <w:tcW w:w="2323" w:type="dxa"/>
          </w:tcPr>
          <w:p w14:paraId="4F2C8AB8" w14:textId="68ECB151" w:rsidR="003E5779" w:rsidRPr="001A5F24" w:rsidRDefault="003E5779" w:rsidP="003E5779">
            <w:pPr>
              <w:rPr>
                <w:rFonts w:cstheme="minorHAnsi"/>
                <w:sz w:val="18"/>
                <w:szCs w:val="18"/>
                <w:lang w:val="en-US"/>
              </w:rPr>
            </w:pPr>
            <w:r w:rsidRPr="001A5F24">
              <w:rPr>
                <w:rFonts w:cstheme="minorHAnsi"/>
                <w:sz w:val="18"/>
                <w:szCs w:val="18"/>
                <w:lang w:val="en-US"/>
              </w:rPr>
              <w:t>Children 5 -8 y malaria patients sub-Saharan Africa</w:t>
            </w:r>
          </w:p>
        </w:tc>
        <w:tc>
          <w:tcPr>
            <w:tcW w:w="3746" w:type="dxa"/>
          </w:tcPr>
          <w:p w14:paraId="7AD2A276" w14:textId="72D7AFBA" w:rsidR="003E5779" w:rsidRPr="001A5F24" w:rsidRDefault="003E5779" w:rsidP="003E5779">
            <w:pPr>
              <w:autoSpaceDE w:val="0"/>
              <w:autoSpaceDN w:val="0"/>
              <w:adjustRightInd w:val="0"/>
              <w:rPr>
                <w:rFonts w:cstheme="minorHAnsi"/>
                <w:sz w:val="18"/>
                <w:szCs w:val="18"/>
                <w:lang w:val="en-US"/>
              </w:rPr>
            </w:pPr>
            <w:r w:rsidRPr="001A5F24">
              <w:rPr>
                <w:rFonts w:cstheme="minorHAnsi"/>
                <w:sz w:val="18"/>
                <w:szCs w:val="18"/>
                <w:lang w:val="en-US"/>
              </w:rPr>
              <w:t xml:space="preserve">70 mg/kg over 5 days: Day 0 : 10 mg/kg + 10 mg/kg, day 1: 10 mg/kg + 10 mg/kg, day 2,3,4: 5 mg/kg 2dd </w:t>
            </w:r>
          </w:p>
        </w:tc>
        <w:tc>
          <w:tcPr>
            <w:tcW w:w="1176" w:type="dxa"/>
          </w:tcPr>
          <w:p w14:paraId="52ECABBB" w14:textId="16D96A66" w:rsidR="003E5779" w:rsidRDefault="003E5779" w:rsidP="003E5779">
            <w:pPr>
              <w:autoSpaceDE w:val="0"/>
              <w:autoSpaceDN w:val="0"/>
              <w:adjustRightInd w:val="0"/>
              <w:rPr>
                <w:rFonts w:cstheme="minorHAnsi"/>
                <w:sz w:val="18"/>
                <w:szCs w:val="18"/>
                <w:lang w:val="en-US"/>
              </w:rPr>
            </w:pPr>
            <w:r>
              <w:rPr>
                <w:rFonts w:cstheme="minorHAnsi"/>
                <w:sz w:val="18"/>
                <w:szCs w:val="18"/>
                <w:lang w:val="en-US"/>
              </w:rPr>
              <w:t>Dried blood spot (unpublished method)</w:t>
            </w:r>
          </w:p>
        </w:tc>
        <w:tc>
          <w:tcPr>
            <w:tcW w:w="650" w:type="dxa"/>
          </w:tcPr>
          <w:p w14:paraId="1B18E4C4" w14:textId="1D172659" w:rsidR="003E5779" w:rsidRPr="001A5F24" w:rsidRDefault="003E5779" w:rsidP="003E5779">
            <w:pPr>
              <w:autoSpaceDE w:val="0"/>
              <w:autoSpaceDN w:val="0"/>
              <w:adjustRightInd w:val="0"/>
              <w:rPr>
                <w:rFonts w:cstheme="minorHAnsi"/>
                <w:sz w:val="18"/>
                <w:szCs w:val="18"/>
                <w:lang w:val="en-US"/>
              </w:rPr>
            </w:pPr>
            <w:r>
              <w:rPr>
                <w:rFonts w:cstheme="minorHAnsi"/>
                <w:sz w:val="18"/>
                <w:szCs w:val="18"/>
                <w:lang w:val="en-US"/>
              </w:rPr>
              <w:fldChar w:fldCharType="begin" w:fldLock="1"/>
            </w:r>
            <w:r>
              <w:rPr>
                <w:rFonts w:cstheme="minorHAnsi"/>
                <w:sz w:val="18"/>
                <w:szCs w:val="18"/>
                <w:lang w:val="en-US"/>
              </w:rPr>
              <w:instrText>ADDIN CSL_CITATION {"citationItems":[{"id":"ITEM-1","itemData":{"DOI":"10.1128/AAC.01846-19","ISSN":"10986596","abstract":"Higher chloroquine doses can effectively treat up to 93 to 96% of malaria infections caused by Plasmodium falciparum carrying the resistance-conferring chloroquine resistance transporter (pfcrt) 76T allele. The tolerability of 50 (double the standard dose) and 70 mg/kg total chloroquine doses were assessed in this study. Fifteen 4- to 8-year-old children with uncomplicated malaria were given 10 mg/kg of chloroquine twice daily for 2 days and 5 mg/kg twice daily on the third day. Fifteen additional children were given 5 mg/kg twice daily for 2 more days. Chloroquine concentrations, blood pressure, electrocardiograms (ECGs), parasite density, and adverse events were assessed until day 28. Both dosages were well tolerated, and symptoms resolved by day 3 in parallel with increasing chloroquine concentrations. The median corrected QT (QTc) interval was 12 to 26 ms higher at expected peak concentrations than at day 0 (P &lt; 0.001). Pfcrt 76T was associated with delayed parasite clearance. Day 28 clinical and parasitological responses against P. falciparum with pfcrt 76T were 57% (4/7) and 67% (4/6) after treatment with 50 and 70 mg/kg, respectively. Dosages were well tolerated, and no severe cardiac adverse events occurred. The QTc interval increase was similar to that found in adults taking 25 mg/kg of chloroquine.","author":[{"dropping-particle":"","family":"Ursing","given":"Johan","non-dropping-particle":"","parse-names":false,"suffix":""},{"dropping-particle":"","family":"Rombo","given":"Lars","non-dropping-particle":"","parse-names":false,"suffix":""},{"dropping-particle":"","family":"Eksborg","given":"Staffan","non-dropping-particle":"","parse-names":false,"suffix":""},{"dropping-particle":"","family":"Larson","given":"Lena","non-dropping-particle":"","parse-names":false,"suffix":""},{"dropping-particle":"","family":"Bruvoll","given":"Anita","non-dropping-particle":"","parse-names":false,"suffix":""},{"dropping-particle":"","family":"Tarning","given":"Joel","non-dropping-particle":"","parse-names":false,"suffix":""},{"dropping-particle":"","family":"Rodrigues","given":"Amabelia","non-dropping-particle":"","parse-names":false,"suffix":""},{"dropping-particle":"","family":"Kofoed","given":"Poul Erik","non-dropping-particle":"","parse-names":false,"suffix":""}],"container-title":"Antimicrobial Agents and Chemotherapy","id":"ITEM-1","issue":"3","issued":{"date-parts":[["2020"]]},"page":"1-12","title":"High-dose chloroquine for uncomplicated plasmodium falciparum malaria is well tolerated and causes similar QT interval prolongation as standard-dose chloroquine in children","type":"article-journal","volume":"64"},"uris":["http://www.mendeley.com/documents/?uuid=de5c46c6-27cb-4ac0-b788-54885b9c377f"]}],"mendeley":{"formattedCitation":"[12]","plainTextFormattedCitation":"[12]","previouslyFormattedCitation":"[12]"},"properties":{"noteIndex":0},"schema":"https://github.com/citation-style-language/schema/raw/master/csl-citation.json"}</w:instrText>
            </w:r>
            <w:r>
              <w:rPr>
                <w:rFonts w:cstheme="minorHAnsi"/>
                <w:sz w:val="18"/>
                <w:szCs w:val="18"/>
                <w:lang w:val="en-US"/>
              </w:rPr>
              <w:fldChar w:fldCharType="separate"/>
            </w:r>
            <w:r w:rsidRPr="00BD7649">
              <w:rPr>
                <w:rFonts w:cstheme="minorHAnsi"/>
                <w:noProof/>
                <w:sz w:val="18"/>
                <w:szCs w:val="18"/>
                <w:lang w:val="en-US"/>
              </w:rPr>
              <w:t>[12]</w:t>
            </w:r>
            <w:r>
              <w:rPr>
                <w:rFonts w:cstheme="minorHAnsi"/>
                <w:sz w:val="18"/>
                <w:szCs w:val="18"/>
                <w:lang w:val="en-US"/>
              </w:rPr>
              <w:fldChar w:fldCharType="end"/>
            </w:r>
          </w:p>
        </w:tc>
      </w:tr>
      <w:tr w:rsidR="003E5779" w:rsidRPr="00356C60" w14:paraId="3355C9E8" w14:textId="250CF046" w:rsidTr="00FC4F4B">
        <w:tc>
          <w:tcPr>
            <w:tcW w:w="1167" w:type="dxa"/>
          </w:tcPr>
          <w:p w14:paraId="46A40B53" w14:textId="37689CEA" w:rsidR="003E5779" w:rsidRPr="004534C4" w:rsidRDefault="003E5779" w:rsidP="003E5779">
            <w:pPr>
              <w:rPr>
                <w:rFonts w:cstheme="minorHAnsi"/>
                <w:b/>
                <w:bCs/>
                <w:sz w:val="18"/>
                <w:szCs w:val="18"/>
                <w:lang w:val="en-US"/>
              </w:rPr>
            </w:pPr>
            <w:r>
              <w:rPr>
                <w:rFonts w:cstheme="minorHAnsi"/>
                <w:b/>
                <w:bCs/>
                <w:sz w:val="18"/>
                <w:szCs w:val="18"/>
                <w:lang w:val="en-US"/>
              </w:rPr>
              <w:t>P</w:t>
            </w:r>
            <w:r w:rsidRPr="004534C4">
              <w:rPr>
                <w:rFonts w:cstheme="minorHAnsi"/>
                <w:b/>
                <w:bCs/>
                <w:sz w:val="18"/>
                <w:szCs w:val="18"/>
                <w:lang w:val="en-US"/>
              </w:rPr>
              <w:t>ussard 1991</w:t>
            </w:r>
          </w:p>
        </w:tc>
        <w:tc>
          <w:tcPr>
            <w:tcW w:w="2323" w:type="dxa"/>
          </w:tcPr>
          <w:p w14:paraId="1E533CEE" w14:textId="43588444" w:rsidR="003E5779" w:rsidRPr="001A5F24" w:rsidRDefault="003E5779" w:rsidP="003E5779">
            <w:pPr>
              <w:rPr>
                <w:rFonts w:cstheme="minorHAnsi"/>
                <w:sz w:val="18"/>
                <w:szCs w:val="18"/>
                <w:lang w:val="en-US"/>
              </w:rPr>
            </w:pPr>
            <w:r w:rsidRPr="001A5F24">
              <w:rPr>
                <w:rFonts w:cstheme="minorHAnsi"/>
                <w:sz w:val="18"/>
                <w:szCs w:val="18"/>
                <w:lang w:val="en-US"/>
              </w:rPr>
              <w:t>Young adults 14 – 24y malaria patients in Madagaskar</w:t>
            </w:r>
          </w:p>
        </w:tc>
        <w:tc>
          <w:tcPr>
            <w:tcW w:w="3746" w:type="dxa"/>
          </w:tcPr>
          <w:p w14:paraId="35D6F494" w14:textId="77777777" w:rsidR="003E5779" w:rsidRPr="001A5F24" w:rsidRDefault="003E5779" w:rsidP="003E5779">
            <w:pPr>
              <w:rPr>
                <w:rFonts w:cstheme="minorHAnsi"/>
                <w:sz w:val="18"/>
                <w:szCs w:val="18"/>
                <w:lang w:val="en-US"/>
              </w:rPr>
            </w:pPr>
            <w:r w:rsidRPr="001A5F24">
              <w:rPr>
                <w:rFonts w:cstheme="minorHAnsi"/>
                <w:sz w:val="18"/>
                <w:szCs w:val="18"/>
                <w:lang w:val="en-US"/>
              </w:rPr>
              <w:t>Group 1: 25 mg/kg over 48h: 10 mg/kg t = 0 h, 10 mg/kg t = 24h, 5 mg/kg at t = 48h.</w:t>
            </w:r>
          </w:p>
          <w:p w14:paraId="12719D5F" w14:textId="77777777" w:rsidR="003E5779" w:rsidRPr="001A5F24" w:rsidRDefault="003E5779" w:rsidP="003E5779">
            <w:pPr>
              <w:rPr>
                <w:rFonts w:cstheme="minorHAnsi"/>
                <w:sz w:val="18"/>
                <w:szCs w:val="18"/>
                <w:lang w:val="en-US"/>
              </w:rPr>
            </w:pPr>
            <w:r w:rsidRPr="001A5F24">
              <w:rPr>
                <w:rFonts w:cstheme="minorHAnsi"/>
                <w:sz w:val="18"/>
                <w:szCs w:val="18"/>
                <w:lang w:val="en-US"/>
              </w:rPr>
              <w:t>Group 2: 30 mg/kg over 36h: 10 mg/kg t = 0, 5 mg/kg t = 6, 5 mg/kg t = 12, 5 mg/kg t = 24, 5 mg/kg t = 36h</w:t>
            </w:r>
          </w:p>
          <w:p w14:paraId="7A553EC3" w14:textId="77777777" w:rsidR="003E5779" w:rsidRPr="001A5F24" w:rsidRDefault="003E5779" w:rsidP="003E5779">
            <w:pPr>
              <w:autoSpaceDE w:val="0"/>
              <w:autoSpaceDN w:val="0"/>
              <w:adjustRightInd w:val="0"/>
              <w:rPr>
                <w:rFonts w:cstheme="minorHAnsi"/>
                <w:sz w:val="18"/>
                <w:szCs w:val="18"/>
                <w:lang w:val="en-US"/>
              </w:rPr>
            </w:pPr>
          </w:p>
        </w:tc>
        <w:tc>
          <w:tcPr>
            <w:tcW w:w="1176" w:type="dxa"/>
          </w:tcPr>
          <w:p w14:paraId="7836E0AE" w14:textId="2BAF038E" w:rsidR="003E5779" w:rsidRDefault="003E5779" w:rsidP="003E5779">
            <w:pPr>
              <w:rPr>
                <w:rFonts w:cstheme="minorHAnsi"/>
                <w:sz w:val="18"/>
                <w:szCs w:val="18"/>
                <w:lang w:val="en-US"/>
              </w:rPr>
            </w:pPr>
            <w:r>
              <w:rPr>
                <w:rFonts w:cstheme="minorHAnsi"/>
                <w:sz w:val="18"/>
                <w:szCs w:val="18"/>
                <w:lang w:val="en-US"/>
              </w:rPr>
              <w:t>Whole blood</w:t>
            </w:r>
          </w:p>
        </w:tc>
        <w:tc>
          <w:tcPr>
            <w:tcW w:w="650" w:type="dxa"/>
          </w:tcPr>
          <w:p w14:paraId="7C6A6253" w14:textId="74282158" w:rsidR="003E5779" w:rsidRPr="001A5F24" w:rsidRDefault="003E5779" w:rsidP="003E5779">
            <w:pPr>
              <w:rPr>
                <w:rFonts w:cstheme="minorHAnsi"/>
                <w:sz w:val="18"/>
                <w:szCs w:val="18"/>
                <w:lang w:val="en-US"/>
              </w:rPr>
            </w:pPr>
            <w:r>
              <w:rPr>
                <w:rFonts w:cstheme="minorHAnsi"/>
                <w:sz w:val="18"/>
                <w:szCs w:val="18"/>
                <w:lang w:val="en-US"/>
              </w:rPr>
              <w:fldChar w:fldCharType="begin" w:fldLock="1"/>
            </w:r>
            <w:r>
              <w:rPr>
                <w:rFonts w:cstheme="minorHAnsi"/>
                <w:sz w:val="18"/>
                <w:szCs w:val="18"/>
                <w:lang w:val="en-US"/>
              </w:rPr>
              <w:instrText>ADDIN CSL_CITATION {"citationItems":[{"id":"ITEM-1","itemData":{"DOI":"10.1128/AAC.35.3.406","ISSN":"00664804","abstract":"The efficacy of a loading dose of 20 mg of chloroquine per kg of body weight per os given at intervals during the first day was evaluated in 27 patients in Madagascar with Plasmodium falciparum malaria. The conventional regimen of 25 mg/kg over 3 days (schedule 1) was thus compared with a regimen of 30 mg/kg over 2 days (schedule 2; one dose of 10 mg/kg followed by two doses of 5 mg/kg at 6-h intervals on the first day and two doses of 5 mg/kg at 12-h intervals on the second day) in terms of their clinical and parasitological efficacies, tolerance, and drug concentration-time curves. At 24 h schedule 2 gave higher chloroquine levels in blood, which induced a more rapid decrease in parasitemia. The time required for a 50% decrease in the initial parasitemia was shorter in patients on schedule 2 (14.3 ± 1.6 h) than it was in patients on schedule 1 (35.5 ± 5.4 h; P&lt;0.01). Moreover, negative blood smears were obtained more rapidly with schedule 2 (50.8 ± 3.7 h) than with schedule 1 (72 ± 8.7 h). As predicted by the drug concentration-time curve, no high, potentially toxic peak drug concentration appeared and no adverse effects were observed with the loading dose regimen (schedule 2). These findings support the idea that a loading dose of 20 mg/kg given at intervals during the first 12 h is well tolerated and can be used to obtain a more rapid decrease in parasitemia and to shorten the treatment time of uncomplicated chloroquine-susceptible falciparum malaria in the field.","author":[{"dropping-particle":"","family":"Pussard","given":"E.","non-dropping-particle":"","parse-names":false,"suffix":""},{"dropping-particle":"","family":"Lepers","given":"J. P.","non-dropping-particle":"","parse-names":false,"suffix":""},{"dropping-particle":"","family":"Clavier","given":"F.","non-dropping-particle":"","parse-names":false,"suffix":""},{"dropping-particle":"","family":"Raharimalala","given":"L.","non-dropping-particle":"","parse-names":false,"suffix":""},{"dropping-particle":"","family":"Bras","given":"J.","non-dropping-particle":"Le","parse-names":false,"suffix":""},{"dropping-particle":"","family":"Frisk-Holmberg","given":"M.","non-dropping-particle":"","parse-names":false,"suffix":""},{"dropping-particle":"","family":"Bergqvist","given":"Y.","non-dropping-particle":"","parse-names":false,"suffix":""},{"dropping-particle":"","family":"Verdier","given":"F.","non-dropping-particle":"","parse-names":false,"suffix":""}],"container-title":"Antimicrobial Agents and Chemotherapy","id":"ITEM-1","issue":"3","issued":{"date-parts":[["1991"]]},"page":"406-409","title":"Efficacy of a loading dose of oral chloroquine in a 36-hour treatment schedule for uncomplicated Plasmodium falciparum malaria","type":"article-journal","volume":"35"},"uris":["http://www.mendeley.com/documents/?uuid=c80f6a26-cf16-423b-b188-bb691ff1398c"]}],"mendeley":{"formattedCitation":"[11]","plainTextFormattedCitation":"[11]","previouslyFormattedCitation":"[11]"},"properties":{"noteIndex":0},"schema":"https://github.com/citation-style-language/schema/raw/master/csl-citation.json"}</w:instrText>
            </w:r>
            <w:r>
              <w:rPr>
                <w:rFonts w:cstheme="minorHAnsi"/>
                <w:sz w:val="18"/>
                <w:szCs w:val="18"/>
                <w:lang w:val="en-US"/>
              </w:rPr>
              <w:fldChar w:fldCharType="separate"/>
            </w:r>
            <w:r w:rsidRPr="00BD7649">
              <w:rPr>
                <w:rFonts w:cstheme="minorHAnsi"/>
                <w:noProof/>
                <w:sz w:val="18"/>
                <w:szCs w:val="18"/>
                <w:lang w:val="en-US"/>
              </w:rPr>
              <w:t>[11]</w:t>
            </w:r>
            <w:r>
              <w:rPr>
                <w:rFonts w:cstheme="minorHAnsi"/>
                <w:sz w:val="18"/>
                <w:szCs w:val="18"/>
                <w:lang w:val="en-US"/>
              </w:rPr>
              <w:fldChar w:fldCharType="end"/>
            </w:r>
          </w:p>
        </w:tc>
      </w:tr>
      <w:tr w:rsidR="003E5779" w:rsidRPr="00110471" w14:paraId="0143CAB1" w14:textId="184B1380" w:rsidTr="00FC4F4B">
        <w:tc>
          <w:tcPr>
            <w:tcW w:w="1167" w:type="dxa"/>
          </w:tcPr>
          <w:p w14:paraId="7A0E541D" w14:textId="2DE20CE1" w:rsidR="003E5779" w:rsidRPr="004534C4" w:rsidRDefault="003E5779" w:rsidP="003E5779">
            <w:pPr>
              <w:rPr>
                <w:rFonts w:cstheme="minorHAnsi"/>
                <w:b/>
                <w:bCs/>
                <w:sz w:val="18"/>
                <w:szCs w:val="18"/>
                <w:lang w:val="en-US"/>
              </w:rPr>
            </w:pPr>
            <w:r w:rsidRPr="004534C4">
              <w:rPr>
                <w:rFonts w:cstheme="minorHAnsi"/>
                <w:b/>
                <w:bCs/>
                <w:sz w:val="18"/>
                <w:szCs w:val="18"/>
                <w:lang w:val="en-US"/>
              </w:rPr>
              <w:t>Obua 2007</w:t>
            </w:r>
          </w:p>
        </w:tc>
        <w:tc>
          <w:tcPr>
            <w:tcW w:w="2323" w:type="dxa"/>
          </w:tcPr>
          <w:p w14:paraId="12BDD433" w14:textId="5414D29A" w:rsidR="003E5779" w:rsidRPr="001A5F24" w:rsidRDefault="003E5779" w:rsidP="003E5779">
            <w:pPr>
              <w:rPr>
                <w:rFonts w:cstheme="minorHAnsi"/>
                <w:sz w:val="18"/>
                <w:szCs w:val="18"/>
                <w:lang w:val="en-US"/>
              </w:rPr>
            </w:pPr>
            <w:r>
              <w:rPr>
                <w:rFonts w:cstheme="minorHAnsi"/>
                <w:sz w:val="18"/>
                <w:szCs w:val="18"/>
                <w:lang w:val="en-US"/>
              </w:rPr>
              <w:t xml:space="preserve">Children 6m – 60m with malaria (Uganda) </w:t>
            </w:r>
          </w:p>
        </w:tc>
        <w:tc>
          <w:tcPr>
            <w:tcW w:w="3746" w:type="dxa"/>
          </w:tcPr>
          <w:p w14:paraId="3DE046FF" w14:textId="77777777" w:rsidR="003E5779" w:rsidRDefault="003E5779" w:rsidP="003E5779">
            <w:pPr>
              <w:rPr>
                <w:rFonts w:cstheme="minorHAnsi"/>
                <w:sz w:val="18"/>
                <w:szCs w:val="18"/>
                <w:lang w:val="en-US"/>
              </w:rPr>
            </w:pPr>
            <w:r w:rsidRPr="003706C9">
              <w:rPr>
                <w:rFonts w:cstheme="minorHAnsi"/>
                <w:sz w:val="18"/>
                <w:szCs w:val="18"/>
                <w:lang w:val="en-US"/>
              </w:rPr>
              <w:t>6m – 24m: 75 mg 1dd for 3 days</w:t>
            </w:r>
          </w:p>
          <w:p w14:paraId="17826AB1" w14:textId="60107170" w:rsidR="003E5779" w:rsidRPr="001A5F24" w:rsidRDefault="003E5779" w:rsidP="003E5779">
            <w:pPr>
              <w:rPr>
                <w:rFonts w:cstheme="minorHAnsi"/>
                <w:sz w:val="18"/>
                <w:szCs w:val="18"/>
                <w:lang w:val="en-US"/>
              </w:rPr>
            </w:pPr>
            <w:r w:rsidRPr="003706C9">
              <w:rPr>
                <w:rFonts w:cstheme="minorHAnsi"/>
                <w:sz w:val="18"/>
                <w:szCs w:val="18"/>
                <w:lang w:val="en-US"/>
              </w:rPr>
              <w:t>25m – 60 m: 150 mg 1dd for 3 day</w:t>
            </w:r>
            <w:r>
              <w:rPr>
                <w:rFonts w:cstheme="minorHAnsi"/>
                <w:sz w:val="18"/>
                <w:szCs w:val="18"/>
                <w:lang w:val="en-US"/>
              </w:rPr>
              <w:t>s</w:t>
            </w:r>
          </w:p>
        </w:tc>
        <w:tc>
          <w:tcPr>
            <w:tcW w:w="1176" w:type="dxa"/>
          </w:tcPr>
          <w:p w14:paraId="4B7F7C4A" w14:textId="71DCB67E" w:rsidR="003E5779" w:rsidRDefault="003E5779" w:rsidP="003E5779">
            <w:pPr>
              <w:rPr>
                <w:rFonts w:cstheme="minorHAnsi"/>
                <w:sz w:val="18"/>
                <w:szCs w:val="18"/>
                <w:lang w:val="en-US"/>
              </w:rPr>
            </w:pPr>
            <w:r>
              <w:rPr>
                <w:rFonts w:cstheme="minorHAnsi"/>
                <w:sz w:val="18"/>
                <w:szCs w:val="18"/>
                <w:lang w:val="en-US"/>
              </w:rPr>
              <w:t>Dried blood spot</w:t>
            </w:r>
          </w:p>
        </w:tc>
        <w:tc>
          <w:tcPr>
            <w:tcW w:w="650" w:type="dxa"/>
          </w:tcPr>
          <w:p w14:paraId="1337C708" w14:textId="3B51F3B0" w:rsidR="003E5779" w:rsidRPr="001A5F24" w:rsidRDefault="003E5779" w:rsidP="003E5779">
            <w:pPr>
              <w:rPr>
                <w:rFonts w:cstheme="minorHAnsi"/>
                <w:sz w:val="18"/>
                <w:szCs w:val="18"/>
                <w:lang w:val="en-US"/>
              </w:rPr>
            </w:pPr>
            <w:r>
              <w:rPr>
                <w:rFonts w:cstheme="minorHAnsi"/>
                <w:sz w:val="18"/>
                <w:szCs w:val="18"/>
                <w:lang w:val="en-US"/>
              </w:rPr>
              <w:fldChar w:fldCharType="begin" w:fldLock="1"/>
            </w:r>
            <w:r>
              <w:rPr>
                <w:rFonts w:cstheme="minorHAnsi"/>
                <w:sz w:val="18"/>
                <w:szCs w:val="18"/>
                <w:lang w:val="en-US"/>
              </w:rPr>
              <w:instrText>ADDIN CSL_CITATION {"citationItems":[{"id":"ITEM-1","itemData":{"DOI":"10.1111/j.1365-2125.2007.03050.x","ISSN":"03065251","abstract":"AIMS: To describe the pharmacokinetics of chloroquine (CQ) and sulfadoxine (SDx), and to identify predictors of treatment response in children with malaria given the CQ + SDx and pyrimethamine (PYR) combination. METHODS: Eighty-six Ugandan children with uncomplicated falciparum malaria, 6 months to 5 years old, were randomly treated with prepacked fixed-dose CQ + SDx/PYR. The youngest children (&lt;24 months) received half strength and the older (&gt;24 months) full strength treatment. The reported day 14 failure rates were 48% and 18%, respectively. Capillary blood (100 μl) applied on to filter paper was collected on eight occasions during 28 days of follow up. Concentrations of CQ and SDx were determined. A population approach was used for the pharmacokinetic analysis. RESULTS: A two-compartment model adequately described the data for both CQ and SDx. For CQ, the typical apparent clearance (CL/F) and volume of distribution (VC/F) values were estimated to be 2.84 l h-1 and 230 l. The typical CL/F for SDx was 0.023 l h-1, while the factor relating its VC/F to normalized body weight was 1.6 l kg -1. Post hoc parameter estimates for both drugs showed lower maximum concentrations (Cmax) and concentration-time curve areas (AUC(0,336 h)) in younger children. The AUC(0,336 h) for SDx and CQ were independently significant factors for prediction of cure. Simulations suggest that giving the higher dose to the youngest children would result in higher CQ and SDx concentrations and improved outcome. CONCLUSIONS: The study results suggest that full-strength combination to all children would improve the cure rate. © 2007 The Authors.","author":[{"dropping-particle":"","family":"Obua","given":"Celestino","non-dropping-particle":"","parse-names":false,"suffix":""},{"dropping-particle":"","family":"Hellgren","given":"Urban","non-dropping-particle":"","parse-names":false,"suffix":""},{"dropping-particle":"","family":"Ntale","given":"Muhammed","non-dropping-particle":"","parse-names":false,"suffix":""},{"dropping-particle":"","family":"Gustafsson","given":"Lars L.","non-dropping-particle":"","parse-names":false,"suffix":""},{"dropping-particle":"","family":"Ogwal-Okeng","given":"Jasper W.","non-dropping-particle":"","parse-names":false,"suffix":""},{"dropping-particle":"","family":"Gordi","given":"Toufigh","non-dropping-particle":"","parse-names":false,"suffix":""},{"dropping-particle":"","family":"Jerling","given":"Markus","non-dropping-particle":"","parse-names":false,"suffix":""}],"container-title":"British Journal of Clinical Pharmacology","id":"ITEM-1","issue":"4","issued":{"date-parts":[["2008"]]},"page":"493-501","title":"Population pharmacokinetics of chloroquine and sulfadoxine and treatment response in children with malaria: Suggestions for an improved dose regimen","type":"article-journal","volume":"65"},"uris":["http://www.mendeley.com/documents/?uuid=77464ec4-29e9-41be-bf58-8592491964a2"]}],"mendeley":{"formattedCitation":"[9]","plainTextFormattedCitation":"[9]","previouslyFormattedCitation":"[9]"},"properties":{"noteIndex":0},"schema":"https://github.com/citation-style-language/schema/raw/master/csl-citation.json"}</w:instrText>
            </w:r>
            <w:r>
              <w:rPr>
                <w:rFonts w:cstheme="minorHAnsi"/>
                <w:sz w:val="18"/>
                <w:szCs w:val="18"/>
                <w:lang w:val="en-US"/>
              </w:rPr>
              <w:fldChar w:fldCharType="separate"/>
            </w:r>
            <w:r w:rsidRPr="00BD7649">
              <w:rPr>
                <w:rFonts w:cstheme="minorHAnsi"/>
                <w:noProof/>
                <w:sz w:val="18"/>
                <w:szCs w:val="18"/>
                <w:lang w:val="en-US"/>
              </w:rPr>
              <w:t>[9]</w:t>
            </w:r>
            <w:r>
              <w:rPr>
                <w:rFonts w:cstheme="minorHAnsi"/>
                <w:sz w:val="18"/>
                <w:szCs w:val="18"/>
                <w:lang w:val="en-US"/>
              </w:rPr>
              <w:fldChar w:fldCharType="end"/>
            </w:r>
          </w:p>
        </w:tc>
      </w:tr>
    </w:tbl>
    <w:p w14:paraId="5D4D4F2E" w14:textId="77777777" w:rsidR="00D672ED" w:rsidRPr="003706C9" w:rsidRDefault="00D672ED" w:rsidP="00D2614D">
      <w:pPr>
        <w:spacing w:line="240" w:lineRule="auto"/>
        <w:rPr>
          <w:rFonts w:cstheme="minorHAnsi"/>
          <w:b/>
          <w:bCs/>
          <w:sz w:val="20"/>
          <w:szCs w:val="20"/>
          <w:lang w:val="en-US"/>
        </w:rPr>
      </w:pPr>
    </w:p>
    <w:p w14:paraId="67126D1D" w14:textId="48F0EFF0" w:rsidR="0088127A" w:rsidRPr="0088127A" w:rsidRDefault="004534C4">
      <w:pPr>
        <w:rPr>
          <w:rFonts w:cstheme="minorHAnsi"/>
          <w:b/>
          <w:bCs/>
          <w:lang w:val="en-US"/>
        </w:rPr>
      </w:pPr>
      <w:r w:rsidRPr="0088127A">
        <w:rPr>
          <w:rFonts w:cstheme="minorHAnsi"/>
          <w:b/>
          <w:bCs/>
          <w:lang w:val="en-US"/>
        </w:rPr>
        <w:br w:type="page"/>
      </w:r>
    </w:p>
    <w:p w14:paraId="68A2173D" w14:textId="77777777" w:rsidR="0088127A" w:rsidRPr="0088127A" w:rsidRDefault="0088127A" w:rsidP="004534C4">
      <w:pPr>
        <w:rPr>
          <w:rFonts w:cstheme="minorHAnsi"/>
          <w:b/>
          <w:bCs/>
          <w:lang w:val="en-US"/>
        </w:rPr>
      </w:pPr>
    </w:p>
    <w:p w14:paraId="09AE6AD3" w14:textId="4F4EE377" w:rsidR="004534C4" w:rsidRDefault="006557D4" w:rsidP="00483BF9">
      <w:pPr>
        <w:pStyle w:val="Kop2"/>
        <w:numPr>
          <w:ilvl w:val="1"/>
          <w:numId w:val="29"/>
        </w:numPr>
        <w:rPr>
          <w:color w:val="auto"/>
          <w:lang w:val="en-US"/>
        </w:rPr>
      </w:pPr>
      <w:bookmarkStart w:id="9" w:name="_Toc36555282"/>
      <w:r w:rsidRPr="00351823">
        <w:rPr>
          <w:color w:val="auto"/>
          <w:lang w:val="en-US"/>
        </w:rPr>
        <w:t>Internal model evaluation</w:t>
      </w:r>
      <w:bookmarkEnd w:id="9"/>
    </w:p>
    <w:p w14:paraId="6501DE68" w14:textId="77777777" w:rsidR="0088127A" w:rsidRDefault="0088127A" w:rsidP="00830AC7">
      <w:pPr>
        <w:rPr>
          <w:rFonts w:cstheme="minorHAnsi"/>
          <w:b/>
          <w:bCs/>
          <w:lang w:val="en-US"/>
        </w:rPr>
      </w:pPr>
    </w:p>
    <w:p w14:paraId="441C9871" w14:textId="4BC0A422" w:rsidR="004534C4" w:rsidRPr="00C374A8" w:rsidRDefault="00830AC7" w:rsidP="00830AC7">
      <w:pPr>
        <w:rPr>
          <w:rFonts w:cstheme="minorHAnsi"/>
          <w:b/>
          <w:bCs/>
          <w:lang w:val="en-US"/>
        </w:rPr>
      </w:pPr>
      <w:r w:rsidRPr="0088127A">
        <w:rPr>
          <w:rFonts w:cstheme="minorHAnsi"/>
          <w:b/>
          <w:bCs/>
          <w:lang w:val="en-US"/>
        </w:rPr>
        <w:t>Zhao et al 2014</w:t>
      </w:r>
      <w:r w:rsidR="004534C4" w:rsidRPr="0088127A">
        <w:rPr>
          <w:rFonts w:cstheme="minorHAnsi"/>
          <w:b/>
          <w:bCs/>
          <w:lang w:val="en-US"/>
        </w:rPr>
        <w:t xml:space="preserve"> </w:t>
      </w:r>
      <w:r w:rsidR="004534C4">
        <w:rPr>
          <w:rFonts w:cstheme="minorHAnsi"/>
          <w:b/>
          <w:bCs/>
        </w:rPr>
        <w:fldChar w:fldCharType="begin" w:fldLock="1"/>
      </w:r>
      <w:r w:rsidR="00BE1F70">
        <w:rPr>
          <w:rFonts w:cstheme="minorHAnsi"/>
          <w:b/>
          <w:bCs/>
          <w:lang w:val="en-US"/>
        </w:rPr>
        <w:instrText>ADDIN CSL_CITATION {"citationItems":[{"id":"ITEM-1","itemData":{"DOI":"10.1186/1475-2875-13-36","ISSN":"14752875","abstract":"Background: Population pharmacokinetics (PK) of azithromycin (AZ) and chloroquine (CQ) following administration of fixed-dose combination tablet formulations of AZ and CQ (AZCQ) was evaluated using data from two studies: 1) in children with symptomatic uncomplicated falciparum malaria in sub-Saharan Africa; and 2) in healthy adults in the United States. Methods. Study 1 included paediatric subjects randomized to either AZCQ or artemether-lumefantrine treatment in Cohort 1 (age 5-12 years) and Cohort 2 (age 6-59 months). Dosing of AZCQ was approximately 30 mg/kg AZ and 10 mg/kg CQ once daily for 3 days (for ≥20 kg weight: AZ/CQ 300/100 mg per tablet; 5 to &lt;20 kg weight: AZ/CQ 150/50 mg per tablet). Study 2 included adults randomized to receive either two AZCQ tablets (AZ/CQ 250/155 mg per tablet) or individual commercial tablets of AZ 500 mg and CQ 300 mg. Serum AZ and plasma CQ concentrations from both studies were pooled. Population PK models were constructed using standard approaches to evaluate the concentration-time data for AZ and CQ and to identify any covariates predictive of PK behaviour. Results: A three-compartment PK model with linear clearance and absorption adequately described AZ data, while a two-compartment model with linear clearance and absorption and an absorption lag adequately described CQ data. No overall bias or substantial model misspecification was evident using diagnostic plots and visual predictive checks. Body weight as an allometric function was the only covariate in the final AZ and CQ PK models. There were significantly lower AZ (0.488 vs 0.745 [mg•h/L]/[mg/kg], p &lt; 0.00001) and CQ (0.836 vs 1.27 [mg•h/L]/[mg/kg], p &lt; 0.00001) exposures (AUC§ssub§inf§ esub§) normalized by dose (mg/kg) in children compared with the adults. Conclusions: The PK of AZ and CQ following administration of AZCQ was well described using a three- and two-compartment model, respectively. AZ and CQ exhibited linear absorption and clearance; the model for CQ included an absorption lag. Weight was predictive of exposure for both AZ and CQ. Assuming equivalent dosing (mg/kg), AZ and CQ exposure in children would be expected to be lower than that in adults, suggesting that children may require a higher dose (mg/kg) than adults to achieve the same AZ and CQ exposure. © 2014 Zhao et al.; licensee BioMed Central Ltd.","author":[{"dropping-particle":"","family":"Zhao","given":"Qinying","non-dropping-particle":"","parse-names":false,"suffix":""},{"dropping-particle":"","family":"Tensfeldt","given":"Thomas G.","non-dropping-particle":"","parse-names":false,"suffix":""},{"dropping-particle":"","family":"Chandra","given":"Richa","non-dropping-particle":"","parse-names":false,"suffix":""},{"dropping-particle":"","family":"Mould","given":"Diane R.","non-dropping-particle":"","parse-names":false,"suffix":""}],"container-title":"Malaria Journal","id":"ITEM-1","issue":"1","issued":{"date-parts":[["2014"]]},"page":"1-8","title":"Population pharmacokinetics of azithromycin and chloroquine in healthy adults and paediatric malaria subjects following oral administration of fixed-dose azithromycin and chloroquine combination tablets","type":"article-journal","volume":"13"},"uris":["http://www.mendeley.com/documents/?uuid=286aa8c0-9b2d-4c73-b6a2-6c27bcff2c7d"]}],"mendeley":{"formattedCitation":"[6]","plainTextFormattedCitation":"[6]","previouslyFormattedCitation":"[6]"},"properties":{"noteIndex":0},"schema":"https://github.com/citation-style-language/schema/raw/master/csl-citation.json"}</w:instrText>
      </w:r>
      <w:r w:rsidR="004534C4">
        <w:rPr>
          <w:rFonts w:cstheme="minorHAnsi"/>
          <w:b/>
          <w:bCs/>
        </w:rPr>
        <w:fldChar w:fldCharType="separate"/>
      </w:r>
      <w:r w:rsidR="00BD7649" w:rsidRPr="00BD7649">
        <w:rPr>
          <w:rFonts w:cstheme="minorHAnsi"/>
          <w:bCs/>
          <w:noProof/>
          <w:lang w:val="en-US"/>
        </w:rPr>
        <w:t>[6]</w:t>
      </w:r>
      <w:r w:rsidR="004534C4">
        <w:rPr>
          <w:rFonts w:cstheme="minorHAnsi"/>
          <w:b/>
          <w:bCs/>
        </w:rPr>
        <w:fldChar w:fldCharType="end"/>
      </w:r>
    </w:p>
    <w:p w14:paraId="4390095D" w14:textId="050FA43E" w:rsidR="000115F1" w:rsidRPr="00DB463C" w:rsidRDefault="00830AC7" w:rsidP="00830AC7">
      <w:pPr>
        <w:rPr>
          <w:rFonts w:cstheme="minorHAnsi"/>
          <w:b/>
          <w:bCs/>
          <w:lang w:val="en-US"/>
        </w:rPr>
      </w:pPr>
      <w:r w:rsidRPr="00DB463C">
        <w:rPr>
          <w:rFonts w:cstheme="minorHAnsi"/>
          <w:b/>
          <w:bCs/>
          <w:lang w:val="en-US"/>
        </w:rPr>
        <w:t>Dose and patient characteristics:</w:t>
      </w:r>
    </w:p>
    <w:p w14:paraId="0E51E6D6" w14:textId="0BF5CAB1" w:rsidR="00830AC7" w:rsidRPr="00121BF0" w:rsidRDefault="00830AC7">
      <w:pPr>
        <w:rPr>
          <w:rFonts w:cstheme="minorHAnsi"/>
          <w:lang w:val="en-US"/>
        </w:rPr>
      </w:pPr>
      <w:r w:rsidRPr="00121BF0">
        <w:rPr>
          <w:rFonts w:cstheme="minorHAnsi"/>
          <w:lang w:val="en-US"/>
        </w:rPr>
        <w:t>Dose regimen used in the study:</w:t>
      </w:r>
    </w:p>
    <w:p w14:paraId="07C410E0" w14:textId="50542938" w:rsidR="00A34372" w:rsidRPr="00121BF0" w:rsidRDefault="002F4148">
      <w:pPr>
        <w:rPr>
          <w:rFonts w:cstheme="minorHAnsi"/>
          <w:lang w:val="en-US"/>
        </w:rPr>
      </w:pPr>
      <w:r>
        <w:rPr>
          <w:rFonts w:cstheme="minorHAnsi"/>
          <w:lang w:val="en-US"/>
        </w:rPr>
        <w:t>6m</w:t>
      </w:r>
      <w:r w:rsidR="00A34372" w:rsidRPr="00121BF0">
        <w:rPr>
          <w:rFonts w:cstheme="minorHAnsi"/>
          <w:lang w:val="en-US"/>
        </w:rPr>
        <w:t xml:space="preserve"> – 12</w:t>
      </w:r>
      <w:r w:rsidR="00830AC7" w:rsidRPr="00121BF0">
        <w:rPr>
          <w:rFonts w:cstheme="minorHAnsi"/>
          <w:lang w:val="en-US"/>
        </w:rPr>
        <w:t>y</w:t>
      </w:r>
      <w:r w:rsidR="00A34372" w:rsidRPr="00121BF0">
        <w:rPr>
          <w:rFonts w:cstheme="minorHAnsi"/>
          <w:lang w:val="en-US"/>
        </w:rPr>
        <w:t xml:space="preserve">:  10 mg/kg 1dd </w:t>
      </w:r>
      <w:r w:rsidR="00830AC7" w:rsidRPr="00121BF0">
        <w:rPr>
          <w:rFonts w:cstheme="minorHAnsi"/>
          <w:lang w:val="en-US"/>
        </w:rPr>
        <w:t>3 days</w:t>
      </w:r>
    </w:p>
    <w:p w14:paraId="07C81DEC" w14:textId="4ABA5CDE" w:rsidR="00A34372" w:rsidRPr="00121BF0" w:rsidRDefault="00A34372">
      <w:pPr>
        <w:rPr>
          <w:rFonts w:cstheme="minorHAnsi"/>
          <w:lang w:val="en-US"/>
        </w:rPr>
      </w:pPr>
      <w:r w:rsidRPr="00121BF0">
        <w:rPr>
          <w:rFonts w:cstheme="minorHAnsi"/>
          <w:lang w:val="en-US"/>
        </w:rPr>
        <w:t>&gt; 1</w:t>
      </w:r>
      <w:r w:rsidR="00830AC7" w:rsidRPr="00121BF0">
        <w:rPr>
          <w:rFonts w:cstheme="minorHAnsi"/>
          <w:lang w:val="en-US"/>
        </w:rPr>
        <w:t>8y</w:t>
      </w:r>
      <w:r w:rsidRPr="00121BF0">
        <w:rPr>
          <w:rFonts w:cstheme="minorHAnsi"/>
          <w:lang w:val="en-US"/>
        </w:rPr>
        <w:t xml:space="preserve">: </w:t>
      </w:r>
      <w:r w:rsidR="00830AC7" w:rsidRPr="00121BF0">
        <w:rPr>
          <w:rFonts w:cstheme="minorHAnsi"/>
          <w:lang w:val="en-US"/>
        </w:rPr>
        <w:t>Single dose</w:t>
      </w:r>
      <w:r w:rsidRPr="00121BF0">
        <w:rPr>
          <w:rFonts w:cstheme="minorHAnsi"/>
          <w:lang w:val="en-US"/>
        </w:rPr>
        <w:t xml:space="preserve"> </w:t>
      </w:r>
      <w:r w:rsidR="00545EA5">
        <w:rPr>
          <w:rFonts w:cstheme="minorHAnsi"/>
          <w:lang w:val="en-US"/>
        </w:rPr>
        <w:t>310</w:t>
      </w:r>
      <w:r w:rsidRPr="00121BF0">
        <w:rPr>
          <w:rFonts w:cstheme="minorHAnsi"/>
          <w:lang w:val="en-US"/>
        </w:rPr>
        <w:t xml:space="preserve"> mg </w:t>
      </w:r>
      <w:r w:rsidR="00830AC7" w:rsidRPr="00121BF0">
        <w:rPr>
          <w:rFonts w:cstheme="minorHAnsi"/>
          <w:lang w:val="en-US"/>
        </w:rPr>
        <w:t>or</w:t>
      </w:r>
      <w:r w:rsidRPr="00121BF0">
        <w:rPr>
          <w:rFonts w:cstheme="minorHAnsi"/>
          <w:lang w:val="en-US"/>
        </w:rPr>
        <w:t xml:space="preserve"> 300 mg randomized.</w:t>
      </w:r>
      <w:r w:rsidR="00702E21">
        <w:rPr>
          <w:rFonts w:cstheme="minorHAnsi"/>
          <w:lang w:val="en-US"/>
        </w:rPr>
        <w:t xml:space="preserve"> 310 mg (2 x 155 mg) was bioequivalent to 300 mg CQ. Therefore we simulated 300 mg</w:t>
      </w:r>
      <w:r w:rsidRPr="00121BF0">
        <w:rPr>
          <w:rFonts w:cstheme="minorHAnsi"/>
          <w:lang w:val="en-US"/>
        </w:rPr>
        <w:t>.</w:t>
      </w:r>
    </w:p>
    <w:p w14:paraId="4546001A" w14:textId="015BA694" w:rsidR="00830AC7" w:rsidRDefault="00830AC7" w:rsidP="00A34372">
      <w:pPr>
        <w:rPr>
          <w:rFonts w:cstheme="minorHAnsi"/>
          <w:lang w:val="en-US"/>
        </w:rPr>
      </w:pPr>
      <w:r w:rsidRPr="00121BF0">
        <w:rPr>
          <w:rFonts w:cstheme="minorHAnsi"/>
          <w:lang w:val="en-US"/>
        </w:rPr>
        <w:t>No patient characteristics were published in the manuscript. Raw data was shown for 3 separate groups: &gt;18 y, 5 – 12 y, &lt; 5y.</w:t>
      </w:r>
    </w:p>
    <w:p w14:paraId="34121B89" w14:textId="676341C0" w:rsidR="008015F0" w:rsidRPr="00121BF0" w:rsidRDefault="008015F0" w:rsidP="00A34372">
      <w:pPr>
        <w:rPr>
          <w:rFonts w:cstheme="minorHAnsi"/>
          <w:lang w:val="en-US"/>
        </w:rPr>
      </w:pPr>
      <w:r>
        <w:rPr>
          <w:rFonts w:cstheme="minorHAnsi"/>
          <w:lang w:val="en-US"/>
        </w:rPr>
        <w:t>Matrix: plasma</w:t>
      </w:r>
    </w:p>
    <w:p w14:paraId="193FEAD0" w14:textId="356932FE" w:rsidR="00A34372" w:rsidRPr="00121BF0" w:rsidRDefault="00830AC7" w:rsidP="00A34372">
      <w:pPr>
        <w:rPr>
          <w:rFonts w:cstheme="minorHAnsi"/>
          <w:lang w:val="en-US"/>
        </w:rPr>
      </w:pPr>
      <w:r w:rsidRPr="00121BF0">
        <w:rPr>
          <w:rFonts w:cstheme="minorHAnsi"/>
          <w:lang w:val="en-US"/>
        </w:rPr>
        <w:t>We have therefore simulated 3 typical individuals:</w:t>
      </w:r>
    </w:p>
    <w:p w14:paraId="441FDC65" w14:textId="079A39E9" w:rsidR="00A34372" w:rsidRPr="00121BF0" w:rsidRDefault="00830AC7" w:rsidP="00A34372">
      <w:pPr>
        <w:pStyle w:val="Lijstalinea"/>
        <w:numPr>
          <w:ilvl w:val="0"/>
          <w:numId w:val="2"/>
        </w:numPr>
        <w:rPr>
          <w:rFonts w:cstheme="minorHAnsi"/>
          <w:lang w:val="en-US"/>
        </w:rPr>
      </w:pPr>
      <w:r w:rsidRPr="00121BF0">
        <w:rPr>
          <w:rFonts w:cstheme="minorHAnsi"/>
          <w:lang w:val="en-US"/>
        </w:rPr>
        <w:t xml:space="preserve">1 adult TBW </w:t>
      </w:r>
      <w:r w:rsidR="00A34372" w:rsidRPr="00121BF0">
        <w:rPr>
          <w:rFonts w:cstheme="minorHAnsi"/>
          <w:lang w:val="en-US"/>
        </w:rPr>
        <w:t>70 kg</w:t>
      </w:r>
      <w:r w:rsidRPr="00121BF0">
        <w:rPr>
          <w:rFonts w:cstheme="minorHAnsi"/>
          <w:lang w:val="en-US"/>
        </w:rPr>
        <w:t xml:space="preserve">, receiving single dose </w:t>
      </w:r>
      <w:r w:rsidR="00545EA5">
        <w:rPr>
          <w:rFonts w:cstheme="minorHAnsi"/>
          <w:lang w:val="en-US"/>
        </w:rPr>
        <w:t>305</w:t>
      </w:r>
      <w:r w:rsidRPr="00121BF0">
        <w:rPr>
          <w:rFonts w:cstheme="minorHAnsi"/>
          <w:lang w:val="en-US"/>
        </w:rPr>
        <w:t xml:space="preserve"> mg</w:t>
      </w:r>
    </w:p>
    <w:p w14:paraId="4B3BA063" w14:textId="2DD880AE" w:rsidR="00830AC7" w:rsidRPr="00121BF0" w:rsidRDefault="00830AC7" w:rsidP="00A34372">
      <w:pPr>
        <w:pStyle w:val="Lijstalinea"/>
        <w:numPr>
          <w:ilvl w:val="0"/>
          <w:numId w:val="2"/>
        </w:numPr>
        <w:rPr>
          <w:rFonts w:cstheme="minorHAnsi"/>
          <w:lang w:val="en-US"/>
        </w:rPr>
      </w:pPr>
      <w:r w:rsidRPr="00121BF0">
        <w:rPr>
          <w:rFonts w:cstheme="minorHAnsi"/>
          <w:lang w:val="en-US"/>
        </w:rPr>
        <w:t>1 infant 7 year old, TBW 24 kg. 10 mg/kg 1dd for 3 days</w:t>
      </w:r>
    </w:p>
    <w:p w14:paraId="65CD6FBF" w14:textId="29CAEAC3" w:rsidR="00830AC7" w:rsidRPr="00121BF0" w:rsidRDefault="00830AC7" w:rsidP="00A34372">
      <w:pPr>
        <w:pStyle w:val="Lijstalinea"/>
        <w:numPr>
          <w:ilvl w:val="0"/>
          <w:numId w:val="2"/>
        </w:numPr>
        <w:rPr>
          <w:rFonts w:cstheme="minorHAnsi"/>
          <w:lang w:val="en-US"/>
        </w:rPr>
      </w:pPr>
      <w:r w:rsidRPr="00121BF0">
        <w:rPr>
          <w:rFonts w:cstheme="minorHAnsi"/>
          <w:lang w:val="en-US"/>
        </w:rPr>
        <w:t>1 infant 2 year old, TBW 12 kg 10 mg/kg 1dd for 3 days</w:t>
      </w:r>
    </w:p>
    <w:p w14:paraId="689D01DF" w14:textId="7F1E03AA" w:rsidR="00830AC7" w:rsidRPr="00121BF0" w:rsidRDefault="00830AC7" w:rsidP="00830AC7">
      <w:pPr>
        <w:rPr>
          <w:rFonts w:cstheme="minorHAnsi"/>
          <w:b/>
          <w:bCs/>
          <w:lang w:val="en-US"/>
        </w:rPr>
      </w:pPr>
      <w:r w:rsidRPr="00121BF0">
        <w:rPr>
          <w:rFonts w:cstheme="minorHAnsi"/>
          <w:b/>
          <w:bCs/>
          <w:lang w:val="en-US"/>
        </w:rPr>
        <w:t>Results:</w:t>
      </w:r>
    </w:p>
    <w:p w14:paraId="0D31E4FD" w14:textId="68F22A6B" w:rsidR="00A34372" w:rsidRPr="00DB463C" w:rsidRDefault="0035423B" w:rsidP="00A34372">
      <w:pPr>
        <w:rPr>
          <w:rFonts w:cstheme="minorHAnsi"/>
          <w:noProof/>
          <w:lang w:val="en-US"/>
        </w:rPr>
      </w:pPr>
      <w:r>
        <w:rPr>
          <w:rFonts w:cstheme="minorHAnsi"/>
          <w:noProof/>
          <w:lang w:eastAsia="nl-NL"/>
        </w:rPr>
        <w:drawing>
          <wp:inline distT="0" distB="0" distL="0" distR="0" wp14:anchorId="690EB54D" wp14:editId="0A8FAE84">
            <wp:extent cx="2537460" cy="253746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37460" cy="2537460"/>
                    </a:xfrm>
                    <a:prstGeom prst="rect">
                      <a:avLst/>
                    </a:prstGeom>
                    <a:noFill/>
                    <a:ln>
                      <a:noFill/>
                    </a:ln>
                  </pic:spPr>
                </pic:pic>
              </a:graphicData>
            </a:graphic>
          </wp:inline>
        </w:drawing>
      </w:r>
      <w:r w:rsidR="00A34372" w:rsidRPr="00DB463C">
        <w:rPr>
          <w:rFonts w:cstheme="minorHAnsi"/>
          <w:noProof/>
          <w:lang w:val="en-US"/>
        </w:rPr>
        <w:t xml:space="preserve"> </w:t>
      </w:r>
      <w:r w:rsidR="00A34372" w:rsidRPr="00121BF0">
        <w:rPr>
          <w:rFonts w:cstheme="minorHAnsi"/>
          <w:noProof/>
          <w:lang w:eastAsia="nl-NL"/>
        </w:rPr>
        <w:drawing>
          <wp:inline distT="0" distB="0" distL="0" distR="0" wp14:anchorId="4E5591EF" wp14:editId="43CC6347">
            <wp:extent cx="3093720" cy="2685411"/>
            <wp:effectExtent l="0" t="0" r="0" b="127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06258" cy="2696295"/>
                    </a:xfrm>
                    <a:prstGeom prst="rect">
                      <a:avLst/>
                    </a:prstGeom>
                  </pic:spPr>
                </pic:pic>
              </a:graphicData>
            </a:graphic>
          </wp:inline>
        </w:drawing>
      </w:r>
    </w:p>
    <w:p w14:paraId="28107D81" w14:textId="30470EC0" w:rsidR="009C3D26" w:rsidRPr="00121BF0" w:rsidRDefault="009C3D26" w:rsidP="00A34372">
      <w:pPr>
        <w:rPr>
          <w:rFonts w:cstheme="minorHAnsi"/>
          <w:noProof/>
          <w:lang w:val="en-US"/>
        </w:rPr>
      </w:pPr>
      <w:r w:rsidRPr="00121BF0">
        <w:rPr>
          <w:rFonts w:cstheme="minorHAnsi"/>
          <w:noProof/>
          <w:lang w:val="en-US"/>
        </w:rPr>
        <w:t xml:space="preserve">Conclusion: </w:t>
      </w:r>
      <w:r w:rsidR="0057284A">
        <w:rPr>
          <w:rFonts w:cstheme="minorHAnsi"/>
          <w:noProof/>
          <w:lang w:val="en-US"/>
        </w:rPr>
        <w:t>The entire profile including m</w:t>
      </w:r>
      <w:r w:rsidRPr="00121BF0">
        <w:rPr>
          <w:rFonts w:cstheme="minorHAnsi"/>
          <w:noProof/>
          <w:lang w:val="en-US"/>
        </w:rPr>
        <w:t xml:space="preserve">edian peak </w:t>
      </w:r>
      <w:r w:rsidR="0057284A">
        <w:rPr>
          <w:rFonts w:cstheme="minorHAnsi"/>
          <w:noProof/>
          <w:lang w:val="en-US"/>
        </w:rPr>
        <w:t xml:space="preserve">and trough (around 96h) </w:t>
      </w:r>
      <w:r w:rsidR="003A3A01">
        <w:rPr>
          <w:rFonts w:cstheme="minorHAnsi"/>
          <w:noProof/>
          <w:lang w:val="en-US"/>
        </w:rPr>
        <w:t>concen</w:t>
      </w:r>
      <w:r w:rsidR="00C374A8">
        <w:rPr>
          <w:rFonts w:cstheme="minorHAnsi"/>
          <w:noProof/>
          <w:lang w:val="en-US"/>
        </w:rPr>
        <w:t>t</w:t>
      </w:r>
      <w:r w:rsidR="003A3A01">
        <w:rPr>
          <w:rFonts w:cstheme="minorHAnsi"/>
          <w:noProof/>
          <w:lang w:val="en-US"/>
        </w:rPr>
        <w:t xml:space="preserve">rations </w:t>
      </w:r>
      <w:r w:rsidR="0057284A">
        <w:rPr>
          <w:rFonts w:cstheme="minorHAnsi"/>
          <w:noProof/>
          <w:lang w:val="en-US"/>
        </w:rPr>
        <w:t xml:space="preserve">seems </w:t>
      </w:r>
      <w:r w:rsidRPr="00121BF0">
        <w:rPr>
          <w:rFonts w:cstheme="minorHAnsi"/>
          <w:noProof/>
          <w:lang w:val="en-US"/>
        </w:rPr>
        <w:t xml:space="preserve">well predicted. </w:t>
      </w:r>
    </w:p>
    <w:p w14:paraId="4E2A6F10" w14:textId="669A149B" w:rsidR="00C60B09" w:rsidRPr="00121BF0" w:rsidRDefault="00C60B09" w:rsidP="00A34372">
      <w:pPr>
        <w:rPr>
          <w:rFonts w:cstheme="minorHAnsi"/>
          <w:noProof/>
          <w:lang w:val="en-US"/>
        </w:rPr>
      </w:pPr>
      <w:r w:rsidRPr="00121BF0">
        <w:rPr>
          <w:rFonts w:cstheme="minorHAnsi"/>
          <w:noProof/>
          <w:lang w:eastAsia="nl-NL"/>
        </w:rPr>
        <w:lastRenderedPageBreak/>
        <w:drawing>
          <wp:inline distT="0" distB="0" distL="0" distR="0" wp14:anchorId="13097263" wp14:editId="11AF0FC4">
            <wp:extent cx="2270760" cy="2270760"/>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70760" cy="2270760"/>
                    </a:xfrm>
                    <a:prstGeom prst="rect">
                      <a:avLst/>
                    </a:prstGeom>
                    <a:noFill/>
                    <a:ln>
                      <a:noFill/>
                    </a:ln>
                  </pic:spPr>
                </pic:pic>
              </a:graphicData>
            </a:graphic>
          </wp:inline>
        </w:drawing>
      </w:r>
      <w:r w:rsidRPr="00121BF0">
        <w:rPr>
          <w:rFonts w:cstheme="minorHAnsi"/>
          <w:noProof/>
          <w:lang w:val="en-US"/>
        </w:rPr>
        <w:t xml:space="preserve"> </w:t>
      </w:r>
      <w:r w:rsidRPr="00121BF0">
        <w:rPr>
          <w:rFonts w:cstheme="minorHAnsi"/>
          <w:noProof/>
          <w:lang w:eastAsia="nl-NL"/>
        </w:rPr>
        <w:drawing>
          <wp:inline distT="0" distB="0" distL="0" distR="0" wp14:anchorId="05FA515A" wp14:editId="6F0FACC1">
            <wp:extent cx="2872989" cy="2629128"/>
            <wp:effectExtent l="0" t="0" r="381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72989" cy="2629128"/>
                    </a:xfrm>
                    <a:prstGeom prst="rect">
                      <a:avLst/>
                    </a:prstGeom>
                  </pic:spPr>
                </pic:pic>
              </a:graphicData>
            </a:graphic>
          </wp:inline>
        </w:drawing>
      </w:r>
    </w:p>
    <w:p w14:paraId="50ED11D1" w14:textId="3B3CDACF" w:rsidR="009C3D26" w:rsidRPr="00121BF0" w:rsidRDefault="009C3D26" w:rsidP="00A34372">
      <w:pPr>
        <w:rPr>
          <w:rFonts w:cstheme="minorHAnsi"/>
          <w:noProof/>
          <w:lang w:val="en-US"/>
        </w:rPr>
      </w:pPr>
      <w:r w:rsidRPr="00121BF0">
        <w:rPr>
          <w:rFonts w:cstheme="minorHAnsi"/>
          <w:noProof/>
          <w:lang w:val="en-US"/>
        </w:rPr>
        <w:t xml:space="preserve">Conclusion: </w:t>
      </w:r>
      <w:r w:rsidR="00AA4A70" w:rsidRPr="00121BF0">
        <w:rPr>
          <w:rFonts w:cstheme="minorHAnsi"/>
          <w:noProof/>
          <w:lang w:val="en-US"/>
        </w:rPr>
        <w:t>Overal</w:t>
      </w:r>
      <w:r w:rsidR="006557D4">
        <w:rPr>
          <w:rFonts w:cstheme="minorHAnsi"/>
          <w:noProof/>
          <w:lang w:val="en-US"/>
        </w:rPr>
        <w:t>l,</w:t>
      </w:r>
      <w:r w:rsidR="00AA4A70" w:rsidRPr="00121BF0">
        <w:rPr>
          <w:rFonts w:cstheme="minorHAnsi"/>
          <w:noProof/>
          <w:lang w:val="en-US"/>
        </w:rPr>
        <w:t xml:space="preserve"> data is slightly underpredicted. </w:t>
      </w:r>
      <w:r w:rsidR="00BD42A2">
        <w:rPr>
          <w:rFonts w:cstheme="minorHAnsi"/>
          <w:noProof/>
          <w:lang w:val="en-US"/>
        </w:rPr>
        <w:t>May</w:t>
      </w:r>
      <w:r w:rsidR="00AA4A70" w:rsidRPr="00121BF0">
        <w:rPr>
          <w:rFonts w:cstheme="minorHAnsi"/>
          <w:noProof/>
          <w:lang w:val="en-US"/>
        </w:rPr>
        <w:t xml:space="preserve"> be caused by differences in body weight (we assumed median child to </w:t>
      </w:r>
      <w:r w:rsidR="003A3A01">
        <w:rPr>
          <w:rFonts w:cstheme="minorHAnsi"/>
          <w:noProof/>
          <w:lang w:val="en-US"/>
        </w:rPr>
        <w:t>weigh</w:t>
      </w:r>
      <w:r w:rsidR="00AA4A70" w:rsidRPr="00121BF0">
        <w:rPr>
          <w:rFonts w:cstheme="minorHAnsi"/>
          <w:noProof/>
          <w:lang w:val="en-US"/>
        </w:rPr>
        <w:t xml:space="preserve"> 24 kg)</w:t>
      </w:r>
      <w:r w:rsidR="00F958E7">
        <w:rPr>
          <w:rFonts w:cstheme="minorHAnsi"/>
          <w:noProof/>
          <w:lang w:val="en-US"/>
        </w:rPr>
        <w:t xml:space="preserve"> or due to differences in rounding of doses (we simulated exactly 10 mg/kg, whereas Zhao et al report to have given rounded dosages to the nearest 50- or 100-fold).</w:t>
      </w:r>
    </w:p>
    <w:p w14:paraId="4CF398A5" w14:textId="2361C302" w:rsidR="00C60B09" w:rsidRPr="00121BF0" w:rsidRDefault="008015F0">
      <w:pPr>
        <w:rPr>
          <w:rFonts w:cstheme="minorHAnsi"/>
          <w:noProof/>
          <w:lang w:val="en-US"/>
        </w:rPr>
      </w:pPr>
      <w:r>
        <w:rPr>
          <w:rFonts w:cstheme="minorHAnsi"/>
          <w:noProof/>
          <w:lang w:eastAsia="nl-NL"/>
        </w:rPr>
        <w:drawing>
          <wp:anchor distT="0" distB="0" distL="114300" distR="114300" simplePos="0" relativeHeight="251665408" behindDoc="0" locked="0" layoutInCell="1" allowOverlap="1" wp14:anchorId="6CD6E986" wp14:editId="27BF778E">
            <wp:simplePos x="0" y="0"/>
            <wp:positionH relativeFrom="column">
              <wp:posOffset>-635</wp:posOffset>
            </wp:positionH>
            <wp:positionV relativeFrom="paragraph">
              <wp:posOffset>199390</wp:posOffset>
            </wp:positionV>
            <wp:extent cx="2026920" cy="2026920"/>
            <wp:effectExtent l="0" t="0" r="0" b="0"/>
            <wp:wrapSquare wrapText="bothSides"/>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26920" cy="2026920"/>
                    </a:xfrm>
                    <a:prstGeom prst="rect">
                      <a:avLst/>
                    </a:prstGeom>
                    <a:noFill/>
                    <a:ln>
                      <a:noFill/>
                    </a:ln>
                  </pic:spPr>
                </pic:pic>
              </a:graphicData>
            </a:graphic>
            <wp14:sizeRelH relativeFrom="page">
              <wp14:pctWidth>0</wp14:pctWidth>
            </wp14:sizeRelH>
            <wp14:sizeRelV relativeFrom="page">
              <wp14:pctHeight>0</wp14:pctHeight>
            </wp14:sizeRelV>
          </wp:anchor>
        </w:drawing>
      </w:r>
      <w:r w:rsidR="00C60B09" w:rsidRPr="00121BF0">
        <w:rPr>
          <w:rFonts w:cstheme="minorHAnsi"/>
          <w:noProof/>
          <w:lang w:val="en-US"/>
        </w:rPr>
        <w:t xml:space="preserve"> </w:t>
      </w:r>
      <w:r w:rsidR="00C60B09" w:rsidRPr="00121BF0">
        <w:rPr>
          <w:rFonts w:cstheme="minorHAnsi"/>
          <w:noProof/>
          <w:lang w:eastAsia="nl-NL"/>
        </w:rPr>
        <w:drawing>
          <wp:inline distT="0" distB="0" distL="0" distR="0" wp14:anchorId="7D90975F" wp14:editId="2F0C2427">
            <wp:extent cx="2697480" cy="2456514"/>
            <wp:effectExtent l="0" t="0" r="7620" b="127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06125" cy="2464387"/>
                    </a:xfrm>
                    <a:prstGeom prst="rect">
                      <a:avLst/>
                    </a:prstGeom>
                  </pic:spPr>
                </pic:pic>
              </a:graphicData>
            </a:graphic>
          </wp:inline>
        </w:drawing>
      </w:r>
    </w:p>
    <w:p w14:paraId="030373B0" w14:textId="2B87A822" w:rsidR="00AA4A70" w:rsidRPr="00121BF0" w:rsidRDefault="00AA4A70" w:rsidP="00AA4A70">
      <w:pPr>
        <w:rPr>
          <w:rFonts w:cstheme="minorHAnsi"/>
          <w:noProof/>
          <w:lang w:val="en-US"/>
        </w:rPr>
      </w:pPr>
      <w:r w:rsidRPr="00121BF0">
        <w:rPr>
          <w:rFonts w:cstheme="minorHAnsi"/>
          <w:noProof/>
          <w:lang w:val="en-US"/>
        </w:rPr>
        <w:t xml:space="preserve">Conclusion: Data is well predicted. Differences </w:t>
      </w:r>
      <w:r w:rsidR="003A3A01">
        <w:rPr>
          <w:rFonts w:cstheme="minorHAnsi"/>
          <w:noProof/>
          <w:lang w:val="en-US"/>
        </w:rPr>
        <w:t>may</w:t>
      </w:r>
      <w:r w:rsidRPr="00121BF0">
        <w:rPr>
          <w:rFonts w:cstheme="minorHAnsi"/>
          <w:noProof/>
          <w:lang w:val="en-US"/>
        </w:rPr>
        <w:t xml:space="preserve"> be caused by differences in body weight (we assumed median child to </w:t>
      </w:r>
      <w:r w:rsidR="00246D8A">
        <w:rPr>
          <w:rFonts w:cstheme="minorHAnsi"/>
          <w:noProof/>
          <w:lang w:val="en-US"/>
        </w:rPr>
        <w:t>weigh</w:t>
      </w:r>
      <w:r w:rsidRPr="00121BF0">
        <w:rPr>
          <w:rFonts w:cstheme="minorHAnsi"/>
          <w:noProof/>
          <w:lang w:val="en-US"/>
        </w:rPr>
        <w:t xml:space="preserve"> 12 kg)</w:t>
      </w:r>
      <w:r w:rsidR="00F958E7">
        <w:rPr>
          <w:rFonts w:cstheme="minorHAnsi"/>
          <w:noProof/>
          <w:lang w:val="en-US"/>
        </w:rPr>
        <w:t xml:space="preserve"> or due to differences in rounding of doses (we simulated exactly 10 mg/kg, whereas Zhao et al report to have given rounded dosages to the nearest 50- or 100-fold).</w:t>
      </w:r>
    </w:p>
    <w:p w14:paraId="6A06E17E" w14:textId="7883BCAD" w:rsidR="00AA4A70" w:rsidRPr="00121BF0" w:rsidRDefault="00AA4A70">
      <w:pPr>
        <w:rPr>
          <w:rFonts w:cstheme="minorHAnsi"/>
          <w:noProof/>
          <w:lang w:val="en-US"/>
        </w:rPr>
      </w:pPr>
      <w:r w:rsidRPr="00121BF0">
        <w:rPr>
          <w:rFonts w:cstheme="minorHAnsi"/>
          <w:noProof/>
          <w:lang w:val="en-US"/>
        </w:rPr>
        <w:t>NB: in the paper y-axis is presented as mg/L. This cannot be correct. The authors refer to an earlier study where CQ is measured in ng/mL. This is wat we have simulated as well.</w:t>
      </w:r>
    </w:p>
    <w:p w14:paraId="6492D9C8" w14:textId="0CFE6694" w:rsidR="00AA4A70" w:rsidRPr="00121BF0" w:rsidRDefault="00AA4A70" w:rsidP="00A34372">
      <w:pPr>
        <w:rPr>
          <w:rFonts w:cstheme="minorHAnsi"/>
          <w:i/>
          <w:iCs/>
          <w:noProof/>
          <w:lang w:val="en-US"/>
        </w:rPr>
      </w:pPr>
      <w:r w:rsidRPr="00121BF0">
        <w:rPr>
          <w:rFonts w:cstheme="minorHAnsi"/>
          <w:i/>
          <w:iCs/>
          <w:noProof/>
          <w:lang w:val="en-US"/>
        </w:rPr>
        <w:t xml:space="preserve">Overall conclusion: </w:t>
      </w:r>
      <w:r w:rsidR="003A3A01">
        <w:rPr>
          <w:rFonts w:cstheme="minorHAnsi"/>
          <w:i/>
          <w:iCs/>
          <w:noProof/>
          <w:lang w:val="en-US"/>
        </w:rPr>
        <w:t>The observations reported by Zhao et al seem well predicted by the model that was built based on the PK parameters published in the paper.</w:t>
      </w:r>
      <w:r w:rsidRPr="00121BF0">
        <w:rPr>
          <w:rFonts w:cstheme="minorHAnsi"/>
          <w:i/>
          <w:iCs/>
          <w:noProof/>
          <w:lang w:val="en-US"/>
        </w:rPr>
        <w:t xml:space="preserve"> </w:t>
      </w:r>
      <w:r w:rsidR="003A3A01">
        <w:rPr>
          <w:rFonts w:cstheme="minorHAnsi"/>
          <w:i/>
          <w:iCs/>
          <w:noProof/>
          <w:lang w:val="en-US"/>
        </w:rPr>
        <w:t>Small d</w:t>
      </w:r>
      <w:r w:rsidRPr="00121BF0">
        <w:rPr>
          <w:rFonts w:cstheme="minorHAnsi"/>
          <w:i/>
          <w:iCs/>
          <w:noProof/>
          <w:lang w:val="en-US"/>
        </w:rPr>
        <w:t xml:space="preserve">ifferences </w:t>
      </w:r>
      <w:r w:rsidR="003A3A01">
        <w:rPr>
          <w:rFonts w:cstheme="minorHAnsi"/>
          <w:i/>
          <w:iCs/>
          <w:noProof/>
          <w:lang w:val="en-US"/>
        </w:rPr>
        <w:t>may be</w:t>
      </w:r>
      <w:r w:rsidRPr="00121BF0">
        <w:rPr>
          <w:rFonts w:cstheme="minorHAnsi"/>
          <w:i/>
          <w:iCs/>
          <w:noProof/>
          <w:lang w:val="en-US"/>
        </w:rPr>
        <w:t xml:space="preserve"> due to differences in simulated patient characteristics</w:t>
      </w:r>
      <w:r w:rsidR="00246D8A">
        <w:rPr>
          <w:rFonts w:cstheme="minorHAnsi"/>
          <w:i/>
          <w:iCs/>
          <w:noProof/>
          <w:lang w:val="en-US"/>
        </w:rPr>
        <w:t>, since this data was not reported in the original study</w:t>
      </w:r>
      <w:r w:rsidRPr="00121BF0">
        <w:rPr>
          <w:rFonts w:cstheme="minorHAnsi"/>
          <w:i/>
          <w:iCs/>
          <w:noProof/>
          <w:lang w:val="en-US"/>
        </w:rPr>
        <w:t>.</w:t>
      </w:r>
    </w:p>
    <w:p w14:paraId="55D3878E" w14:textId="77777777" w:rsidR="00C60B09" w:rsidRPr="00121BF0" w:rsidRDefault="00C60B09" w:rsidP="00A34372">
      <w:pPr>
        <w:rPr>
          <w:rFonts w:cstheme="minorHAnsi"/>
          <w:lang w:val="en-US"/>
        </w:rPr>
      </w:pPr>
    </w:p>
    <w:p w14:paraId="2F044620" w14:textId="77777777" w:rsidR="00A34372" w:rsidRPr="00121BF0" w:rsidRDefault="00A34372" w:rsidP="00A34372">
      <w:pPr>
        <w:rPr>
          <w:rFonts w:cstheme="minorHAnsi"/>
          <w:lang w:val="en-US"/>
        </w:rPr>
      </w:pPr>
    </w:p>
    <w:p w14:paraId="520316E9" w14:textId="77777777" w:rsidR="000115F1" w:rsidRPr="00121BF0" w:rsidRDefault="000115F1" w:rsidP="00A34372">
      <w:pPr>
        <w:pStyle w:val="Lijstalinea"/>
        <w:numPr>
          <w:ilvl w:val="0"/>
          <w:numId w:val="2"/>
        </w:numPr>
        <w:rPr>
          <w:rFonts w:cstheme="minorHAnsi"/>
          <w:lang w:val="en-US"/>
        </w:rPr>
      </w:pPr>
      <w:r w:rsidRPr="00121BF0">
        <w:rPr>
          <w:rFonts w:cstheme="minorHAnsi"/>
          <w:lang w:val="en-US"/>
        </w:rPr>
        <w:br w:type="page"/>
      </w:r>
    </w:p>
    <w:p w14:paraId="59DF0116" w14:textId="13FBDA9A" w:rsidR="004534C4" w:rsidRDefault="006557D4" w:rsidP="00483BF9">
      <w:pPr>
        <w:pStyle w:val="Kop2"/>
        <w:numPr>
          <w:ilvl w:val="1"/>
          <w:numId w:val="29"/>
        </w:numPr>
        <w:rPr>
          <w:color w:val="auto"/>
          <w:lang w:val="en-US"/>
        </w:rPr>
      </w:pPr>
      <w:bookmarkStart w:id="10" w:name="_Toc36555283"/>
      <w:r>
        <w:rPr>
          <w:color w:val="auto"/>
          <w:lang w:val="en-US"/>
        </w:rPr>
        <w:lastRenderedPageBreak/>
        <w:t>External model evaluation</w:t>
      </w:r>
      <w:bookmarkEnd w:id="10"/>
    </w:p>
    <w:p w14:paraId="18F4F1A8" w14:textId="07E77D8C" w:rsidR="0088127A" w:rsidRDefault="0088127A" w:rsidP="004534C4">
      <w:pPr>
        <w:rPr>
          <w:rFonts w:cstheme="minorHAnsi"/>
          <w:b/>
          <w:bCs/>
          <w:lang w:val="en-US"/>
        </w:rPr>
      </w:pPr>
    </w:p>
    <w:p w14:paraId="533D068C" w14:textId="61999536" w:rsidR="0088127A" w:rsidRDefault="0088127A" w:rsidP="0088127A">
      <w:pPr>
        <w:rPr>
          <w:i/>
          <w:iCs/>
          <w:noProof/>
          <w:lang w:val="en-US"/>
        </w:rPr>
      </w:pPr>
      <w:r w:rsidRPr="0088127A">
        <w:rPr>
          <w:rFonts w:cstheme="minorHAnsi"/>
          <w:i/>
          <w:iCs/>
          <w:lang w:val="en-US"/>
        </w:rPr>
        <w:t>Remarks regarding matrices: Over t</w:t>
      </w:r>
      <w:r>
        <w:rPr>
          <w:rFonts w:cstheme="minorHAnsi"/>
          <w:i/>
          <w:iCs/>
          <w:lang w:val="en-US"/>
        </w:rPr>
        <w:t xml:space="preserve">he years chloroquine has been measured in several matrices, mostly whole blood, plasma and more recently also dried blood spots. Since chloroquine accumulates in red blood cells and has a very long elimination half-life, marked differences between concentrations in these different matrices can be expected. In general, whole blood concentrations are higher compared to plasma or serum concentrations, due to accumulation of chloroquine in the </w:t>
      </w:r>
      <w:r w:rsidRPr="0088127A">
        <w:rPr>
          <w:rFonts w:cstheme="minorHAnsi"/>
          <w:i/>
          <w:iCs/>
          <w:lang w:val="en-US"/>
        </w:rPr>
        <w:t xml:space="preserve">erythrocytes. To translate between plasma and whole blood concentrations, several multiplication factors have been found, ranging from 2.5 </w:t>
      </w:r>
      <w:r w:rsidRPr="0088127A">
        <w:rPr>
          <w:i/>
          <w:iCs/>
          <w:noProof/>
          <w:lang w:val="en-US"/>
        </w:rPr>
        <w:fldChar w:fldCharType="begin" w:fldLock="1"/>
      </w:r>
      <w:r w:rsidR="0037168B">
        <w:rPr>
          <w:i/>
          <w:iCs/>
          <w:noProof/>
          <w:lang w:val="en-US"/>
        </w:rPr>
        <w:instrText>ADDIN CSL_CITATION {"citationItems":[{"id":"ITEM-1","itemData":{"DOI":"10.1093/cid/ciaa237","ISSN":"1537-6591","PMID":"32150618","abstract":"BACKGROUND The Severe Acute Respiratory Syndrome Coronavirus 2 (SARS-CoV-2) first broke out in Wuhan (China) and subsequently spread worldwide. Chloroquine has been sporadically used in treating SARS-CoV-2 infection. Hydroxychloroquine shares the same mechanism of action as chloroquine, but its more tolerable safety profile makes it the preferred drug to treat malaria and autoimmune conditions. We propose that the immunomodulatory effect of hydroxychloroquine also may be useful in controlling the cytokine storm that occurs late-phase in critically ill SARS-CoV-2 infected patients. Currently, there is no evidence to support the use of hydroxychloroquine in SARS-CoV-2 infection. METHODS The pharmacological activity of chloroquine and hydroxychloroquine was tested using SARS-CoV-2 infected Vero cells. Physiologically-based pharmacokinetic models (PBPK) were implemented for both drugs separately by integrating their in vitro data. Using the PBPK models, hydroxychloroquine concentrations in lung fluid were simulated under 5 different dosing regimens to explore the most effective regimen whilst considering the drug's safety profile. RESULTS Hydroxychloroquine (EC50=0.72 μM) was found to be more potent than chloroquine (EC50=5.47 μM) in vitro. Based on PBPK models results, a loading dose of 400 mg twice daily of hydroxychloroquine sulfate given orally, followed by a maintenance dose of 200 mg given twice daily for 4 days is recommended for SARS-CoV-2 infection, as it reached three times the potency of chloroquine phosphate when given 500 mg twice daily 5 days in advance. CONCLUSIONS Hydroxychloroquine was found to be more potent than chloroquine to inhibit SARS-CoV-2 in vitro.","author":[{"dropping-particle":"","family":"Yao","given":"Xueting","non-dropping-particle":"","parse-names":false,"suffix":""},{"dropping-particle":"","family":"Ye","given":"Fei","non-dropping-particle":"","parse-names":false,"suffix":""},{"dropping-particle":"","family":"Zhang","given":"Miao","non-dropping-particle":"","parse-names":false,"suffix":""},{"dropping-particle":"","family":"Cui","given":"Cheng","non-dropping-particle":"","parse-names":false,"suffix":""},{"dropping-particle":"","family":"Huang","given":"Baoying","non-dropping-particle":"","parse-names":false,"suffix":""},{"dropping-particle":"","family":"Niu","given":"Peihua","non-dropping-particle":"","parse-names":false,"suffix":""},{"dropping-particle":"","family":"Liu","given":"Xu","non-dropping-particle":"","parse-names":false,"suffix":""},{"dropping-particle":"","family":"Zhao","given":"Li","non-dropping-particle":"","parse-names":false,"suffix":""},{"dropping-particle":"","family":"Dong","given":"Erdan","non-dropping-particle":"","parse-names":false,"suffix":""},{"dropping-particle":"","family":"Song","given":"Chunli","non-dropping-particle":"","parse-names":false,"suffix":""},{"dropping-particle":"","family":"Zhan","given":"Siyan","non-dropping-particle":"","parse-names":false,"suffix":""},{"dropping-particle":"","family":"Lu","given":"Roujian","non-dropping-particle":"","parse-names":false,"suffix":""},{"dropping-particle":"","family":"Li","given":"Haiyan","non-dropping-particle":"","parse-names":false,"suffix":""},{"dropping-particle":"","family":"Tan","given":"Wenjie","non-dropping-particle":"","parse-names":false,"suffix":""},{"dropping-particle":"","family":"Liu","given":"Dongyang","non-dropping-particle":"","parse-names":false,"suffix":""}],"container-title":"Clinical infectious diseases : an official publication of the Infectious Diseases Society of America","id":"ITEM-1","issued":{"date-parts":[["2020","3","9"]]},"title":"In vitro antiviral activity and projection of optimized dosing design of h hydroxychloroquine for the treatment of severe Acute Respiratory Syndrome Coronavirus 2 (SARS-CoV-2).","type":"article-journal"},"uris":["http://www.mendeley.com/documents/?uuid=7b4eed0c-96e5-47a0-ae4b-8624c76f6421"]}],"mendeley":{"formattedCitation":"[17]","plainTextFormattedCitation":"[17]","previouslyFormattedCitation":"[17]"},"properties":{"noteIndex":0},"schema":"https://github.com/citation-style-language/schema/raw/master/csl-citation.json"}</w:instrText>
      </w:r>
      <w:r w:rsidRPr="0088127A">
        <w:rPr>
          <w:i/>
          <w:iCs/>
          <w:noProof/>
          <w:lang w:val="en-US"/>
        </w:rPr>
        <w:fldChar w:fldCharType="separate"/>
      </w:r>
      <w:r w:rsidR="00FC4F4B" w:rsidRPr="00FC4F4B">
        <w:rPr>
          <w:iCs/>
          <w:noProof/>
          <w:lang w:val="en-US"/>
        </w:rPr>
        <w:t>[17]</w:t>
      </w:r>
      <w:r w:rsidRPr="0088127A">
        <w:rPr>
          <w:i/>
          <w:iCs/>
          <w:noProof/>
          <w:lang w:val="en-US"/>
        </w:rPr>
        <w:fldChar w:fldCharType="end"/>
      </w:r>
      <w:r w:rsidRPr="0088127A">
        <w:rPr>
          <w:i/>
          <w:iCs/>
          <w:noProof/>
          <w:lang w:val="en-US"/>
        </w:rPr>
        <w:t xml:space="preserve"> to 3.7 – 8 </w:t>
      </w:r>
      <w:r w:rsidRPr="0088127A">
        <w:rPr>
          <w:i/>
          <w:iCs/>
          <w:noProof/>
          <w:lang w:val="en-US"/>
        </w:rPr>
        <w:fldChar w:fldCharType="begin" w:fldLock="1"/>
      </w:r>
      <w:r w:rsidR="0037168B">
        <w:rPr>
          <w:i/>
          <w:iCs/>
          <w:noProof/>
          <w:lang w:val="en-US"/>
        </w:rPr>
        <w:instrText>ADDIN CSL_CITATION {"citationItems":[{"id":"ITEM-1","itemData":{"DOI":"10.1172/JCI101980","ISSN":"0021-9738","PMID":"16695643","author":[{"dropping-particle":"","family":"Berliner","given":"R W","non-dropping-particle":"","parse-names":false,"suffix":""},{"dropping-particle":"","family":"Earle","given":"D P","non-dropping-particle":"","parse-names":false,"suffix":""},{"dropping-particle":"V","family":"Taggart","given":"J","non-dropping-particle":"","parse-names":false,"suffix":""},{"dropping-particle":"","family":"Zubrod","given":"C G","non-dropping-particle":"","parse-names":false,"suffix":""},{"dropping-particle":"","family":"Welch","given":"W J","non-dropping-particle":"","parse-names":false,"suffix":""},{"dropping-particle":"","family":"Conan","given":"N J","non-dropping-particle":"","parse-names":false,"suffix":""},{"dropping-particle":"","family":"Bauman","given":"E","non-dropping-particle":"","parse-names":false,"suffix":""},{"dropping-particle":"","family":"Scudder","given":"S T","non-dropping-particle":"","parse-names":false,"suffix":""},{"dropping-particle":"","family":"Shannon","given":"J A","non-dropping-particle":"","parse-names":false,"suffix":""}],"container-title":"The Journal of clinical investigation","id":"ITEM-1","issue":"3 Pt 2","issued":{"date-parts":[["1948","5"]]},"page":"98-107","title":"Studies on the chemotherapy of the human malarias. VI. The physiological disposition, antimalarial activity, and toxicity of several derivatives of 4-aminoquinoline.","type":"article-journal","volume":"27"},"uris":["http://www.mendeley.com/documents/?uuid=d41ec72b-ab1a-4203-81d9-4a38d898b742"]},{"id":"ITEM-2","itemData":{"DOI":"10.1016/s0140-6736(83)91770-1","ISSN":"0140-6736","PMID":"6129440","author":[{"dropping-particle":"","family":"Gustafsson","given":"L L","non-dropping-particle":"","parse-names":false,"suffix":""},{"dropping-particle":"","family":"Bergqvist","given":"Y","non-dropping-particle":"","parse-names":false,"suffix":""},{"dropping-particle":"","family":"Ericsson","given":"O","non-dropping-particle":"","parse-names":false,"suffix":""},{"dropping-particle":"","family":"Larsson","given":"M","non-dropping-particle":"","parse-names":false,"suffix":""},{"dropping-particle":"","family":"Rombo","given":"L","non-dropping-particle":"","parse-names":false,"suffix":""}],"container-title":"Lancet (London, England)","id":"ITEM-2","issue":"8316","issued":{"date-parts":[["1983","1","15"]]},"page":"126","title":"Pitfalls in the measurement of chloroquine concentration.","type":"article-journal","volume":"1"},"uris":["http://www.mendeley.com/documents/?uuid=ae3320fb-929f-4cc4-bd76-1fdb16216f8d"]}],"mendeley":{"formattedCitation":"[18,19]","plainTextFormattedCitation":"[18,19]","previouslyFormattedCitation":"[18,19]"},"properties":{"noteIndex":0},"schema":"https://github.com/citation-style-language/schema/raw/master/csl-citation.json"}</w:instrText>
      </w:r>
      <w:r w:rsidRPr="0088127A">
        <w:rPr>
          <w:i/>
          <w:iCs/>
          <w:noProof/>
          <w:lang w:val="en-US"/>
        </w:rPr>
        <w:fldChar w:fldCharType="separate"/>
      </w:r>
      <w:r w:rsidR="00FC4F4B" w:rsidRPr="00FC4F4B">
        <w:rPr>
          <w:iCs/>
          <w:noProof/>
          <w:lang w:val="en-US"/>
        </w:rPr>
        <w:t>[18,19]</w:t>
      </w:r>
      <w:r w:rsidRPr="0088127A">
        <w:rPr>
          <w:i/>
          <w:iCs/>
          <w:noProof/>
          <w:lang w:val="en-US"/>
        </w:rPr>
        <w:fldChar w:fldCharType="end"/>
      </w:r>
      <w:r w:rsidRPr="0088127A">
        <w:rPr>
          <w:i/>
          <w:iCs/>
          <w:noProof/>
          <w:lang w:val="en-US"/>
        </w:rPr>
        <w:t>. Since the PK model from Zhao et al was developed using plasma concentrations, this uncertainty should be take into account with regard to the model evaluation in other matrices, especially whole blood concentrations.</w:t>
      </w:r>
    </w:p>
    <w:p w14:paraId="465D16E0" w14:textId="33B8FF15" w:rsidR="003E5779" w:rsidRDefault="003E5779" w:rsidP="0088127A">
      <w:pPr>
        <w:rPr>
          <w:i/>
          <w:iCs/>
          <w:noProof/>
          <w:lang w:val="en-US"/>
        </w:rPr>
      </w:pPr>
      <w:r>
        <w:rPr>
          <w:i/>
          <w:iCs/>
          <w:noProof/>
          <w:lang w:val="en-US"/>
        </w:rPr>
        <w:t>We first present evaluation in studies that measured chloroquine in plasma, thereafter studies measuring in other matrices (</w:t>
      </w:r>
      <w:r w:rsidR="00E40494">
        <w:rPr>
          <w:i/>
          <w:iCs/>
          <w:noProof/>
          <w:lang w:val="en-US"/>
        </w:rPr>
        <w:t>which have a lower strength of evidence due to</w:t>
      </w:r>
      <w:r>
        <w:rPr>
          <w:i/>
          <w:iCs/>
          <w:noProof/>
          <w:lang w:val="en-US"/>
        </w:rPr>
        <w:t xml:space="preserve"> more uncertainty</w:t>
      </w:r>
      <w:r w:rsidR="00E40494">
        <w:rPr>
          <w:i/>
          <w:iCs/>
          <w:noProof/>
          <w:lang w:val="en-US"/>
        </w:rPr>
        <w:t xml:space="preserve"> in translating between plasma and whole blood concentrations</w:t>
      </w:r>
      <w:r>
        <w:rPr>
          <w:i/>
          <w:iCs/>
          <w:noProof/>
          <w:lang w:val="en-US"/>
        </w:rPr>
        <w:t>).</w:t>
      </w:r>
    </w:p>
    <w:p w14:paraId="3F340B28" w14:textId="77777777" w:rsidR="003E5779" w:rsidRDefault="003E5779" w:rsidP="0088127A">
      <w:pPr>
        <w:rPr>
          <w:rFonts w:cstheme="minorHAnsi"/>
          <w:i/>
          <w:iCs/>
          <w:lang w:val="en-US"/>
        </w:rPr>
      </w:pPr>
    </w:p>
    <w:p w14:paraId="2C0D54FC" w14:textId="212F248E" w:rsidR="00110471" w:rsidRPr="00110471" w:rsidRDefault="00110471" w:rsidP="00110471">
      <w:pPr>
        <w:rPr>
          <w:rFonts w:cstheme="minorHAnsi"/>
          <w:b/>
          <w:bCs/>
        </w:rPr>
      </w:pPr>
      <w:r w:rsidRPr="00110471">
        <w:rPr>
          <w:rFonts w:cstheme="minorHAnsi"/>
          <w:b/>
          <w:bCs/>
        </w:rPr>
        <w:t xml:space="preserve">EDWARDS ET AL </w:t>
      </w:r>
      <w:r w:rsidR="00FC4F4B">
        <w:rPr>
          <w:rFonts w:cstheme="minorHAnsi"/>
          <w:b/>
          <w:bCs/>
        </w:rPr>
        <w:t>1988</w:t>
      </w:r>
      <w:r w:rsidRPr="00110471">
        <w:rPr>
          <w:rFonts w:cstheme="minorHAnsi"/>
          <w:b/>
          <w:bCs/>
        </w:rPr>
        <w:t xml:space="preserve"> </w:t>
      </w:r>
      <w:r>
        <w:rPr>
          <w:rFonts w:cstheme="minorHAnsi"/>
          <w:b/>
          <w:bCs/>
        </w:rPr>
        <w:fldChar w:fldCharType="begin" w:fldLock="1"/>
      </w:r>
      <w:r w:rsidR="0037168B">
        <w:rPr>
          <w:rFonts w:cstheme="minorHAnsi"/>
          <w:b/>
          <w:bCs/>
        </w:rPr>
        <w:instrText>ADDIN CSL_CITATION {"citationItems":[{"id":"ITEM-1","itemData":{"DOI":"10.1111/j.1365-2125.1988.tb03332.x","ISSN":"0306-5251","PMID":"3289601","abstract":"1. Chloroquine diphosphate (15 mg base kg-1) was given by constant rate intravenous infusion to two groups of Thai subjects. Eleven were patients with malaria (10 with Plasmodium vivax and one case with Plasmodium malariae) and 10 were healthy normal volunteers. 2. Plasma and packed red-cell concentrations of chloroquine, electrocardiographic intervals, arterial blood pressure and pulse were measured at frequent intervals. 3. Peak plasma concentrations at the end of the infusion ranged from 979 to 2,900 ng ml-1 in the malaria patients. In the group of healthy subjects the range was 550-2,200 ng ml-1. Values for terminal elimination rate constant, (lambda z) plasma clearance (CL), initial volume of distribution (V1) and volume of distribution at steady state (Vss) were calculated. For the healthy subjects, mean estimates of these parameters were lambda z = 0.062 +/- 0.030 day-1, CL = 597 +/- 238 ml min-1, V1 = 0.66 +/- 0.71 l kg-1 and Vss = 132 +/- 50 l.kg-1 For the group of malaria patients, the corresponding values were lambda z = 0.055 +/- 0.032 day-1, CL = 535 +/- 246 ml min-1, V1 = 0.74 +/- 0.75 l kg-1 and Vss = 136 +/- 64 l kg-1 There was no statistically significant difference in the estimates for any parameter between groups (P less than or equal to 0.05). 4. Chloroquine concentrations in packed red blood cells consistently exceeded those in plasma and showed no consistent change with time throughout the period of study in either group. The median value for the red cell to plasma ratio was between 3 and 4 in each group.(ABSTRACT TRUNCATED AT 250 WORDS)","author":[{"dropping-particle":"","family":"Edwards","given":"G.","non-dropping-particle":"","parse-names":false,"suffix":""},{"dropping-particle":"","family":"Looareesuwan","given":"S.","non-dropping-particle":"","parse-names":false,"suffix":""},{"dropping-particle":"","family":"Davies","given":"A J","non-dropping-particle":"","parse-names":false,"suffix":""},{"dropping-particle":"","family":"Wattanagoon","given":"Y.","non-dropping-particle":"","parse-names":false,"suffix":""},{"dropping-particle":"","family":"Phillips","given":"R E","non-dropping-particle":"","parse-names":false,"suffix":""},{"dropping-particle":"","family":"Warrell","given":"D A","non-dropping-particle":"","parse-names":false,"suffix":""}],"container-title":"British journal of clinical pharmacology","id":"ITEM-1","issue":"4","issued":{"date-parts":[["1988","4"]]},"page":"477-85","title":"Pharmacokinetics of chloroquine in Thais: plasma and red-cell concentrations following an intravenous infusion to healthy subjects and patients with Plasmodium vivax malaria.","type":"article-journal","volume":"25"},"uris":["http://www.mendeley.com/documents/?uuid=b9c23a68-5e46-4654-b86d-7d0ac44d60f4"]}],"mendeley":{"formattedCitation":"[13]","plainTextFormattedCitation":"[13]","previouslyFormattedCitation":"[13]"},"properties":{"noteIndex":0},"schema":"https://github.com/citation-style-language/schema/raw/master/csl-citation.json"}</w:instrText>
      </w:r>
      <w:r>
        <w:rPr>
          <w:rFonts w:cstheme="minorHAnsi"/>
          <w:b/>
          <w:bCs/>
        </w:rPr>
        <w:fldChar w:fldCharType="separate"/>
      </w:r>
      <w:r w:rsidR="00FC4F4B" w:rsidRPr="00FC4F4B">
        <w:rPr>
          <w:rFonts w:cstheme="minorHAnsi"/>
          <w:bCs/>
          <w:noProof/>
        </w:rPr>
        <w:t>[13]</w:t>
      </w:r>
      <w:r>
        <w:rPr>
          <w:rFonts w:cstheme="minorHAnsi"/>
          <w:b/>
          <w:bCs/>
        </w:rPr>
        <w:fldChar w:fldCharType="end"/>
      </w:r>
    </w:p>
    <w:p w14:paraId="36565E4F" w14:textId="77777777" w:rsidR="00110471" w:rsidRPr="00FC4F4B" w:rsidRDefault="00110471" w:rsidP="00110471">
      <w:pPr>
        <w:rPr>
          <w:rFonts w:cstheme="minorHAnsi"/>
          <w:color w:val="212121"/>
          <w:shd w:val="clear" w:color="auto" w:fill="FFFFFF"/>
        </w:rPr>
      </w:pPr>
      <w:r w:rsidRPr="00FC4F4B">
        <w:rPr>
          <w:rFonts w:cstheme="minorHAnsi"/>
          <w:color w:val="212121"/>
          <w:shd w:val="clear" w:color="auto" w:fill="FFFFFF"/>
        </w:rPr>
        <w:t>Edwards G, Looareesuwan S, Davies AJ, Wattanagoon Y, Phillips RE, Warrell DA. Pharmacokinetics of chloroquine in Thais: plasma and red-cell concentrations following an intravenous infusion to healthy subjects and patients with Plasmodium vivax malaria. Br J Clin Pharmacol. 1988;25(4):477–485. doi:10.1111/j.1365-2125.1988.tb03332.x</w:t>
      </w:r>
    </w:p>
    <w:p w14:paraId="150635A7" w14:textId="37904FE9" w:rsidR="00110471" w:rsidRPr="00FC4F4B" w:rsidRDefault="00110471" w:rsidP="00110471">
      <w:pPr>
        <w:rPr>
          <w:rFonts w:cstheme="minorHAnsi"/>
          <w:b/>
          <w:bCs/>
        </w:rPr>
      </w:pPr>
      <w:r w:rsidRPr="00FC4F4B">
        <w:rPr>
          <w:rFonts w:cstheme="minorHAnsi"/>
          <w:b/>
          <w:bCs/>
        </w:rPr>
        <w:t>Dose and patient characteristics:</w:t>
      </w:r>
    </w:p>
    <w:p w14:paraId="2A45160B" w14:textId="77777777" w:rsidR="00110471" w:rsidRPr="00110471" w:rsidRDefault="00110471" w:rsidP="00110471">
      <w:pPr>
        <w:rPr>
          <w:rFonts w:cstheme="minorHAnsi"/>
        </w:rPr>
      </w:pPr>
      <w:r w:rsidRPr="00110471">
        <w:rPr>
          <w:rFonts w:cstheme="minorHAnsi"/>
        </w:rPr>
        <w:t>Dose regimen used in the study:</w:t>
      </w:r>
    </w:p>
    <w:p w14:paraId="376B7DB0" w14:textId="6B633EE7" w:rsidR="00110471" w:rsidRPr="00FC4F4B" w:rsidRDefault="00110471" w:rsidP="00110471">
      <w:pPr>
        <w:rPr>
          <w:rFonts w:cstheme="minorHAnsi"/>
        </w:rPr>
      </w:pPr>
      <w:r w:rsidRPr="00FC4F4B">
        <w:rPr>
          <w:rFonts w:cstheme="minorHAnsi"/>
        </w:rPr>
        <w:t>15 mg/kg single infusion</w:t>
      </w:r>
    </w:p>
    <w:p w14:paraId="31C18CAD" w14:textId="5FD9D889" w:rsidR="00110471" w:rsidRPr="00110471" w:rsidRDefault="00110471" w:rsidP="00110471">
      <w:pPr>
        <w:rPr>
          <w:rFonts w:cstheme="minorHAnsi"/>
        </w:rPr>
      </w:pPr>
      <w:r w:rsidRPr="00FC4F4B">
        <w:rPr>
          <w:rFonts w:cstheme="minorHAnsi"/>
        </w:rPr>
        <w:t xml:space="preserve">Patient characteristics: Adult malaria patients. </w:t>
      </w:r>
      <w:r w:rsidRPr="00110471">
        <w:rPr>
          <w:rFonts w:cstheme="minorHAnsi"/>
        </w:rPr>
        <w:t xml:space="preserve">Mean TBW </w:t>
      </w:r>
      <w:r w:rsidR="00FC4F4B">
        <w:rPr>
          <w:rFonts w:cstheme="minorHAnsi"/>
        </w:rPr>
        <w:t>53</w:t>
      </w:r>
      <w:r w:rsidRPr="00110471">
        <w:rPr>
          <w:rFonts w:cstheme="minorHAnsi"/>
        </w:rPr>
        <w:t xml:space="preserve"> kg.</w:t>
      </w:r>
    </w:p>
    <w:p w14:paraId="693E841D" w14:textId="323B6B82" w:rsidR="00110471" w:rsidRPr="00110471" w:rsidRDefault="00110471" w:rsidP="00110471">
      <w:pPr>
        <w:rPr>
          <w:rFonts w:cstheme="minorHAnsi"/>
        </w:rPr>
      </w:pPr>
      <w:r w:rsidRPr="00110471">
        <w:rPr>
          <w:rFonts w:cstheme="minorHAnsi"/>
        </w:rPr>
        <w:t xml:space="preserve">Matrix: </w:t>
      </w:r>
      <w:r w:rsidR="003968B7">
        <w:rPr>
          <w:rFonts w:cstheme="minorHAnsi"/>
        </w:rPr>
        <w:t>plasma</w:t>
      </w:r>
    </w:p>
    <w:p w14:paraId="1E5F4060" w14:textId="77777777" w:rsidR="00110471" w:rsidRPr="00110471" w:rsidRDefault="00110471" w:rsidP="00110471">
      <w:pPr>
        <w:rPr>
          <w:rFonts w:cstheme="minorHAnsi"/>
          <w:b/>
          <w:bCs/>
        </w:rPr>
      </w:pPr>
      <w:r w:rsidRPr="00110471">
        <w:rPr>
          <w:rFonts w:cstheme="minorHAnsi"/>
          <w:b/>
          <w:bCs/>
        </w:rPr>
        <w:t>Results:</w:t>
      </w:r>
    </w:p>
    <w:p w14:paraId="56C80A39" w14:textId="19CC362B" w:rsidR="0088127A" w:rsidRDefault="00FC4F4B" w:rsidP="004534C4">
      <w:pPr>
        <w:rPr>
          <w:noProof/>
        </w:rPr>
      </w:pPr>
      <w:r>
        <w:rPr>
          <w:rFonts w:cstheme="minorHAnsi"/>
          <w:b/>
          <w:bCs/>
          <w:noProof/>
        </w:rPr>
        <w:drawing>
          <wp:inline distT="0" distB="0" distL="0" distR="0" wp14:anchorId="7F318910" wp14:editId="17FD58F4">
            <wp:extent cx="2537460" cy="253746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37460" cy="2537460"/>
                    </a:xfrm>
                    <a:prstGeom prst="rect">
                      <a:avLst/>
                    </a:prstGeom>
                    <a:noFill/>
                    <a:ln>
                      <a:noFill/>
                    </a:ln>
                  </pic:spPr>
                </pic:pic>
              </a:graphicData>
            </a:graphic>
          </wp:inline>
        </w:drawing>
      </w:r>
      <w:r w:rsidRPr="00FC4F4B">
        <w:rPr>
          <w:noProof/>
        </w:rPr>
        <w:t xml:space="preserve"> </w:t>
      </w:r>
      <w:r w:rsidRPr="00FC4F4B">
        <w:rPr>
          <w:rFonts w:cstheme="minorHAnsi"/>
          <w:b/>
          <w:bCs/>
          <w:noProof/>
        </w:rPr>
        <w:drawing>
          <wp:inline distT="0" distB="0" distL="0" distR="0" wp14:anchorId="447708FF" wp14:editId="485C58EC">
            <wp:extent cx="1794245" cy="267462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809861" cy="2697899"/>
                    </a:xfrm>
                    <a:prstGeom prst="rect">
                      <a:avLst/>
                    </a:prstGeom>
                  </pic:spPr>
                </pic:pic>
              </a:graphicData>
            </a:graphic>
          </wp:inline>
        </w:drawing>
      </w:r>
    </w:p>
    <w:p w14:paraId="4A46E0B1" w14:textId="128004B1" w:rsidR="00FC4F4B" w:rsidRPr="00FC4F4B" w:rsidRDefault="00FC4F4B" w:rsidP="004534C4">
      <w:pPr>
        <w:rPr>
          <w:rFonts w:cstheme="minorHAnsi"/>
          <w:b/>
          <w:bCs/>
        </w:rPr>
      </w:pPr>
      <w:r>
        <w:rPr>
          <w:noProof/>
        </w:rPr>
        <w:lastRenderedPageBreak/>
        <w:drawing>
          <wp:inline distT="0" distB="0" distL="0" distR="0" wp14:anchorId="3E64F3DD" wp14:editId="24F3C622">
            <wp:extent cx="2209800" cy="2209800"/>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09800" cy="2209800"/>
                    </a:xfrm>
                    <a:prstGeom prst="rect">
                      <a:avLst/>
                    </a:prstGeom>
                    <a:noFill/>
                    <a:ln>
                      <a:noFill/>
                    </a:ln>
                  </pic:spPr>
                </pic:pic>
              </a:graphicData>
            </a:graphic>
          </wp:inline>
        </w:drawing>
      </w:r>
      <w:r w:rsidRPr="00FC4F4B">
        <w:rPr>
          <w:noProof/>
        </w:rPr>
        <w:t xml:space="preserve"> </w:t>
      </w:r>
      <w:r w:rsidRPr="00FC4F4B">
        <w:rPr>
          <w:rFonts w:cstheme="minorHAnsi"/>
          <w:b/>
          <w:bCs/>
          <w:noProof/>
        </w:rPr>
        <w:drawing>
          <wp:inline distT="0" distB="0" distL="0" distR="0" wp14:anchorId="0FAD22D4" wp14:editId="08B96FF6">
            <wp:extent cx="1464792" cy="2217420"/>
            <wp:effectExtent l="0" t="0" r="254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484363" cy="2247047"/>
                    </a:xfrm>
                    <a:prstGeom prst="rect">
                      <a:avLst/>
                    </a:prstGeom>
                  </pic:spPr>
                </pic:pic>
              </a:graphicData>
            </a:graphic>
          </wp:inline>
        </w:drawing>
      </w:r>
    </w:p>
    <w:p w14:paraId="0D1AD290" w14:textId="41C24AD1" w:rsidR="00110471" w:rsidRPr="00FC4F4B" w:rsidRDefault="00FC4F4B" w:rsidP="004534C4">
      <w:pPr>
        <w:rPr>
          <w:rFonts w:cstheme="minorHAnsi"/>
          <w:i/>
          <w:iCs/>
        </w:rPr>
      </w:pPr>
      <w:r w:rsidRPr="00FC4F4B">
        <w:rPr>
          <w:rFonts w:cstheme="minorHAnsi"/>
          <w:i/>
          <w:iCs/>
        </w:rPr>
        <w:t xml:space="preserve">Conclusion: Plasma concentrations depicted by white circles in original article. Plasma concentrations are well predicted in first 10 days, including peak level. Half-life seems to be shorter than observed, which is likely to be due to the limited sampling time in the Zhao study (up to 5-6 days). </w:t>
      </w:r>
    </w:p>
    <w:p w14:paraId="7135DB2B" w14:textId="365E8224" w:rsidR="00FC4F4B" w:rsidRPr="00FC4F4B" w:rsidRDefault="00FC4F4B" w:rsidP="00FC4F4B">
      <w:pPr>
        <w:rPr>
          <w:rFonts w:cstheme="minorHAnsi"/>
          <w:b/>
          <w:bCs/>
          <w:lang w:val="en-US"/>
        </w:rPr>
      </w:pPr>
      <w:r w:rsidRPr="00FC4F4B">
        <w:rPr>
          <w:rFonts w:cstheme="minorHAnsi"/>
          <w:b/>
          <w:bCs/>
        </w:rPr>
        <w:t xml:space="preserve">HOGLUND ET AL 2016 </w:t>
      </w:r>
      <w:r w:rsidRPr="00B17DA4">
        <w:rPr>
          <w:rFonts w:cstheme="minorHAnsi"/>
          <w:b/>
          <w:bCs/>
          <w:lang w:val="en-US"/>
        </w:rPr>
        <w:fldChar w:fldCharType="begin" w:fldLock="1"/>
      </w:r>
      <w:r w:rsidR="0037168B">
        <w:rPr>
          <w:rFonts w:cstheme="minorHAnsi"/>
          <w:b/>
          <w:bCs/>
        </w:rPr>
        <w:instrText>ADDIN CSL_CITATION {"citationItems":[{"id":"ITEM-1","itemData":{"DOI":"10.1186/s12936-016-1181-1","ISSN":"14752875","abstract":"Background: A three-day course of chloroquine remains a standard treatment of Plasmodium vivax infection in Thailand with satisfactory clinical efficacy and tolerability although a continuous decline in in vitro parasite sensitivity has been reported. Information on the pharmacokinetics of chloroquine and its active metabolite desethylchloroquine are required for optimization of treatment to attain therapeutic exposure and thus prevent drug resistance development. Methods: The study was conducted at Mae Tao Clinic for migrant worker, Tak province, Thailand. Blood samples were collected from a total of 75 (8 Thais and 67 Burmeses; 36 males and 39 females; aged 17-52 years) patients with mono-infection with P. Vivax malaria [median (95 % CI) admission parasitaemia 4898 (1206-29,480)/μL] following treatment with a three-day course of chloroquine (25 mg/kg body weight chloroquine phosphate over 3 days). Whole blood concentrations of chloroquine and desethylchloroquine were measured using high performance liquid chromatography with UV detection. Concentration-time profiles of both compounds were analysed using a population-based pharmacokinetic approach. Results: All patients showed satisfactory response to standard treatment with a three-day course of chloroquine with 100 % cure rate within the follow-up period of 42 days. Neither recurrence of P. Vivax parasitaemia nor appearance of P. falciparum occurred. A total of 1045 observations from 75 participants were included in the pharmacokinetic analysis. Chloroquine disposition was most adequately described by the two-compartment model with one transit compartment absorption model into the central compartment and a first-order transformation of chloroquine into desethylchloroquine with an additional peripheral compartment added to desethylchloroquine. First-order elimination from the central compartment of chloroquine and desethylchloroquine was assumed. The model exhibited a strong predictive ability and the pharmacokinetic parameters were estimated with adequate precision. Conclusion: The developed population-based pharmacokinetic model could be app</w:instrText>
      </w:r>
      <w:r w:rsidR="0037168B" w:rsidRPr="0037168B">
        <w:rPr>
          <w:rFonts w:cstheme="minorHAnsi"/>
          <w:b/>
          <w:bCs/>
          <w:lang w:val="en-US"/>
        </w:rPr>
        <w:instrText>lied for future prediction of optimal dosage regimen of chloroquine in patients with P. Vivax infection.","author":[{"dropping-particle":"","family":"Höglund","given":"Richard","non-dropping-particle":"","parse-names":false,"suffix":""},{"dropping-particle":"","family":"Moussavi","given":"Younis","non-dropping-particle":"","parse-names":false,"suffix":""},{"dropping-particle":"","family":"Ruengweerayut","given":"Ronnatrai","non-dropping-particle":"","parse-names":false,"suffix":""},{"dropping-particle":"","family":"Cheomung","given":"Anurak","non-dropping-particle":"","parse-names":false,"suffix":""},{"dropping-particle":"","family":"Äbelö","given":"Angela","non-dropping-particle":"","parse-names":false,"suffix":""},{"dropping-particle":"","family":"Na-Bangchang","given":"Kesara","non-dropping-particle":"","parse-names":false,"suffix":""}],"container-title":"Malaria Journal","id":"ITEM-1","issue":"1","issued":{"date-parts":[["2016"]]},"page":"1-9","publisher":"BioMed Central","title":"Population pharmacokinetics of a three-day chloroquine treatment in patients with Plasmodium vivax infection on the Thai-Myanmar border","type":"article-journal","volume":"15"},"uris":["http://www.mendeley.com/documents/?uuid=7851cd4a-55f1-4912-a1cf-b4fe27ca5ab1"]}],"mendeley":{"formattedCitation":"[14]","plainTextFormattedCitation":"[14]","previouslyFormattedCitation":"[14]"},"properties":{"noteIndex":0},"schema":"https://github.com/citation-style-language/schema/raw/master/csl-citation.json"}</w:instrText>
      </w:r>
      <w:r w:rsidRPr="00B17DA4">
        <w:rPr>
          <w:rFonts w:cstheme="minorHAnsi"/>
          <w:b/>
          <w:bCs/>
          <w:lang w:val="en-US"/>
        </w:rPr>
        <w:fldChar w:fldCharType="separate"/>
      </w:r>
      <w:r w:rsidRPr="00FC4F4B">
        <w:rPr>
          <w:rFonts w:cstheme="minorHAnsi"/>
          <w:bCs/>
          <w:noProof/>
          <w:lang w:val="en-US"/>
        </w:rPr>
        <w:t>[14]</w:t>
      </w:r>
      <w:r w:rsidRPr="00B17DA4">
        <w:rPr>
          <w:rFonts w:cstheme="minorHAnsi"/>
          <w:b/>
          <w:bCs/>
          <w:lang w:val="en-US"/>
        </w:rPr>
        <w:fldChar w:fldCharType="end"/>
      </w:r>
    </w:p>
    <w:p w14:paraId="3A25E3FA" w14:textId="77777777" w:rsidR="00FC4F4B" w:rsidRPr="00FC4F4B" w:rsidRDefault="00FC4F4B" w:rsidP="00FC4F4B">
      <w:pPr>
        <w:rPr>
          <w:rFonts w:cstheme="minorHAnsi"/>
          <w:color w:val="212121"/>
          <w:shd w:val="clear" w:color="auto" w:fill="FFFFFF"/>
          <w:lang w:val="en-US"/>
        </w:rPr>
      </w:pPr>
      <w:r w:rsidRPr="00FC4F4B">
        <w:rPr>
          <w:rFonts w:cstheme="minorHAnsi"/>
          <w:color w:val="212121"/>
          <w:shd w:val="clear" w:color="auto" w:fill="FFFFFF"/>
          <w:lang w:val="en-US"/>
        </w:rPr>
        <w:t>Höglund R, Moussavi Y, Ruengweerayut R, Cheomung A, Äbelö A, Na-Bangchang K. Population pharmacokinetics of a three-day chloroquine treatment in patients with Plasmodium vivax infection on the Thai-Myanmar border. </w:t>
      </w:r>
      <w:r w:rsidRPr="00FC4F4B">
        <w:rPr>
          <w:rFonts w:cstheme="minorHAnsi"/>
          <w:i/>
          <w:iCs/>
          <w:color w:val="212121"/>
          <w:shd w:val="clear" w:color="auto" w:fill="FFFFFF"/>
          <w:lang w:val="en-US"/>
        </w:rPr>
        <w:t>Malar J</w:t>
      </w:r>
      <w:r w:rsidRPr="00FC4F4B">
        <w:rPr>
          <w:rFonts w:cstheme="minorHAnsi"/>
          <w:color w:val="212121"/>
          <w:shd w:val="clear" w:color="auto" w:fill="FFFFFF"/>
          <w:lang w:val="en-US"/>
        </w:rPr>
        <w:t>. 2016;15:129. Published 2016 Feb 29. doi:10.1186/s12936-016-1181-1</w:t>
      </w:r>
    </w:p>
    <w:p w14:paraId="5AA7C243" w14:textId="77777777" w:rsidR="00FC4F4B" w:rsidRPr="00FC4F4B" w:rsidRDefault="00FC4F4B" w:rsidP="00FC4F4B">
      <w:pPr>
        <w:rPr>
          <w:rFonts w:cstheme="minorHAnsi"/>
          <w:b/>
          <w:bCs/>
          <w:lang w:val="en-US"/>
        </w:rPr>
      </w:pPr>
      <w:r w:rsidRPr="00FC4F4B">
        <w:rPr>
          <w:rFonts w:cstheme="minorHAnsi"/>
          <w:b/>
          <w:bCs/>
          <w:lang w:val="en-US"/>
        </w:rPr>
        <w:t>Dose and patient characteristics:</w:t>
      </w:r>
    </w:p>
    <w:p w14:paraId="70D47960" w14:textId="77777777" w:rsidR="00FC4F4B" w:rsidRPr="00FC4F4B" w:rsidRDefault="00FC4F4B" w:rsidP="00FC4F4B">
      <w:pPr>
        <w:rPr>
          <w:rFonts w:cstheme="minorHAnsi"/>
          <w:lang w:val="en-US"/>
        </w:rPr>
      </w:pPr>
      <w:r w:rsidRPr="00FC4F4B">
        <w:rPr>
          <w:rFonts w:cstheme="minorHAnsi"/>
          <w:lang w:val="en-US"/>
        </w:rPr>
        <w:t xml:space="preserve">Population: Adult malaria patients from the Thai-Myanmar border. Mean weight not reported, but inclusion criterium was &gt; 40 kg TBW. In a study from Pussard et al (PMID 2039190), who studied malaria patients (from Madagaskar), mean body weight was 40 kg. Therefore, we did simulations with an assumed median patient with TBW 45 kg. </w:t>
      </w:r>
    </w:p>
    <w:p w14:paraId="22414D71" w14:textId="77777777" w:rsidR="00FC4F4B" w:rsidRPr="00FC4F4B" w:rsidRDefault="00FC4F4B" w:rsidP="00FC4F4B">
      <w:pPr>
        <w:autoSpaceDE w:val="0"/>
        <w:autoSpaceDN w:val="0"/>
        <w:adjustRightInd w:val="0"/>
        <w:spacing w:after="0" w:line="240" w:lineRule="auto"/>
        <w:rPr>
          <w:rFonts w:cstheme="minorHAnsi"/>
          <w:lang w:val="en-US"/>
        </w:rPr>
      </w:pPr>
      <w:r w:rsidRPr="00FC4F4B">
        <w:rPr>
          <w:rFonts w:cstheme="minorHAnsi"/>
          <w:lang w:val="en-US"/>
        </w:rPr>
        <w:t>Dose: Total dose of 25 mg/kg over 3 days: 10 mg/kg at t=0, 5 mg/kg at t= 12, 24, 48h.</w:t>
      </w:r>
    </w:p>
    <w:p w14:paraId="3E449B61" w14:textId="77777777" w:rsidR="00FC4F4B" w:rsidRPr="00FC4F4B" w:rsidRDefault="00FC4F4B" w:rsidP="00FC4F4B">
      <w:pPr>
        <w:rPr>
          <w:rFonts w:cstheme="minorHAnsi"/>
          <w:lang w:val="en-US"/>
        </w:rPr>
      </w:pPr>
      <w:r w:rsidRPr="00FC4F4B">
        <w:rPr>
          <w:rFonts w:cstheme="minorHAnsi"/>
          <w:lang w:val="en-US"/>
        </w:rPr>
        <w:t>Matrix: plasma</w:t>
      </w:r>
    </w:p>
    <w:p w14:paraId="69099BF9" w14:textId="77777777" w:rsidR="00FC4F4B" w:rsidRPr="00FC4F4B" w:rsidRDefault="00FC4F4B" w:rsidP="00FC4F4B">
      <w:pPr>
        <w:autoSpaceDE w:val="0"/>
        <w:autoSpaceDN w:val="0"/>
        <w:adjustRightInd w:val="0"/>
        <w:spacing w:after="0" w:line="240" w:lineRule="auto"/>
        <w:rPr>
          <w:rFonts w:cstheme="minorHAnsi"/>
          <w:lang w:val="en-US"/>
        </w:rPr>
      </w:pPr>
    </w:p>
    <w:p w14:paraId="30B18117" w14:textId="77777777" w:rsidR="00FC4F4B" w:rsidRPr="00FC4F4B" w:rsidRDefault="00FC4F4B" w:rsidP="00FC4F4B">
      <w:pPr>
        <w:autoSpaceDE w:val="0"/>
        <w:autoSpaceDN w:val="0"/>
        <w:adjustRightInd w:val="0"/>
        <w:spacing w:after="0" w:line="240" w:lineRule="auto"/>
        <w:rPr>
          <w:rFonts w:cstheme="minorHAnsi"/>
          <w:b/>
          <w:bCs/>
          <w:lang w:val="en-US"/>
        </w:rPr>
      </w:pPr>
      <w:r w:rsidRPr="00FC4F4B">
        <w:rPr>
          <w:rFonts w:cstheme="minorHAnsi"/>
          <w:b/>
          <w:bCs/>
          <w:lang w:val="en-US"/>
        </w:rPr>
        <w:t>Results:</w:t>
      </w:r>
    </w:p>
    <w:p w14:paraId="6008EA2C" w14:textId="77777777" w:rsidR="00FC4F4B" w:rsidRPr="00FC4F4B" w:rsidRDefault="00FC4F4B" w:rsidP="00FC4F4B">
      <w:pPr>
        <w:rPr>
          <w:rFonts w:cstheme="minorHAnsi"/>
          <w:b/>
          <w:bCs/>
          <w:lang w:val="en-US"/>
        </w:rPr>
      </w:pPr>
      <w:r w:rsidRPr="00121BF0">
        <w:rPr>
          <w:rFonts w:cstheme="minorHAnsi"/>
          <w:b/>
          <w:bCs/>
          <w:noProof/>
          <w:lang w:eastAsia="nl-NL"/>
        </w:rPr>
        <w:drawing>
          <wp:anchor distT="0" distB="0" distL="114300" distR="114300" simplePos="0" relativeHeight="251669504" behindDoc="0" locked="0" layoutInCell="1" allowOverlap="1" wp14:anchorId="69DD681E" wp14:editId="6DF03EA2">
            <wp:simplePos x="0" y="0"/>
            <wp:positionH relativeFrom="column">
              <wp:posOffset>83185</wp:posOffset>
            </wp:positionH>
            <wp:positionV relativeFrom="paragraph">
              <wp:posOffset>61595</wp:posOffset>
            </wp:positionV>
            <wp:extent cx="2453640" cy="2453640"/>
            <wp:effectExtent l="0" t="0" r="3810" b="381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53640" cy="2453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1BF0">
        <w:rPr>
          <w:rFonts w:cstheme="minorHAnsi"/>
          <w:b/>
          <w:bCs/>
          <w:noProof/>
          <w:lang w:eastAsia="nl-NL"/>
        </w:rPr>
        <w:drawing>
          <wp:inline distT="0" distB="0" distL="0" distR="0" wp14:anchorId="349FB0BB" wp14:editId="6D4BD4B7">
            <wp:extent cx="2781300" cy="2618622"/>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95912" cy="2632380"/>
                    </a:xfrm>
                    <a:prstGeom prst="rect">
                      <a:avLst/>
                    </a:prstGeom>
                  </pic:spPr>
                </pic:pic>
              </a:graphicData>
            </a:graphic>
          </wp:inline>
        </w:drawing>
      </w:r>
    </w:p>
    <w:p w14:paraId="510C8F2C" w14:textId="77777777" w:rsidR="00FC4F4B" w:rsidRPr="00E91F47" w:rsidRDefault="00FC4F4B" w:rsidP="00FC4F4B">
      <w:pPr>
        <w:rPr>
          <w:rFonts w:cstheme="minorHAnsi"/>
          <w:i/>
          <w:iCs/>
          <w:lang w:val="en-US"/>
        </w:rPr>
      </w:pPr>
      <w:r w:rsidRPr="00FC4F4B">
        <w:rPr>
          <w:rFonts w:cstheme="minorHAnsi"/>
          <w:i/>
          <w:iCs/>
          <w:lang w:val="en-US"/>
        </w:rPr>
        <w:lastRenderedPageBreak/>
        <w:t xml:space="preserve">Conclusion: Median concentrations up to 5 days are well predicted. The terminal elimination of chloroquine in the population is however slower in the observed data compared to our simulations. It is unclear why the model by Zhao et al is unable to capture the samples in the terminal elimination phase in the Hoglund study (who also included the metabolite) as clearance values (6.13*100/18= 34 L/h is almost equal to 59.1 scaled to 45 kg) and volumes seem similar. In conclusion, we can state that concentrations in the first days are well predicted (during the period in which Zhao also sampled), but observations that are measured long after dose (&gt;5-10 days) are less well predicted in this study by the model of Zhao et </w:t>
      </w:r>
      <w:r>
        <w:rPr>
          <w:rFonts w:cstheme="minorHAnsi"/>
          <w:i/>
          <w:iCs/>
          <w:lang w:val="en-US"/>
        </w:rPr>
        <w:t xml:space="preserve">al. </w:t>
      </w:r>
    </w:p>
    <w:p w14:paraId="76DB256F" w14:textId="77777777" w:rsidR="00FC4F4B" w:rsidRPr="00C374A8" w:rsidRDefault="00FC4F4B" w:rsidP="00FC4F4B">
      <w:pPr>
        <w:rPr>
          <w:rFonts w:cstheme="minorHAnsi"/>
          <w:b/>
          <w:bCs/>
          <w:lang w:val="en-US"/>
        </w:rPr>
      </w:pPr>
      <w:r w:rsidRPr="0095669C">
        <w:rPr>
          <w:rFonts w:cstheme="minorHAnsi"/>
          <w:b/>
          <w:bCs/>
          <w:lang w:val="en-US"/>
        </w:rPr>
        <w:t xml:space="preserve">WALKER ET AL 1983 </w:t>
      </w:r>
      <w:r>
        <w:rPr>
          <w:rFonts w:cstheme="minorHAnsi"/>
          <w:b/>
          <w:bCs/>
        </w:rPr>
        <w:fldChar w:fldCharType="begin" w:fldLock="1"/>
      </w:r>
      <w:r>
        <w:rPr>
          <w:rFonts w:cstheme="minorHAnsi"/>
          <w:b/>
          <w:bCs/>
          <w:lang w:val="en-US"/>
        </w:rPr>
        <w:instrText>ADDIN CSL_CITATION {"citationItems":[{"id":"ITEM-1","itemData":{"DOI":"10.1111/j.1365-2125.1983.tb02244.x","ISSN":"13652125","abstract":"Twelve children with acute falciparum malaria were treated with 25 mg/kg chloroquine orally in three divided doses at 24 h intervals. Concentrations of chloroquine and its metabolite, desethylchloroquine, were measured in plasma from the beginning of treatment for up to 7 days using a high pressure liquid chromatography (h.p.l.c.) technique. Chloroquine was detectable in plasma within 30 min of giving the drug. Peak level was reached in 1‐8 h after the first dose of 10 mg/kg and the peak concentrations ranged between 65 and 263 ng/ml. Chloroquine concentration declined slowly in plasma after stopping drug administration so that the concentration at the seventh day was 37.5% of the concentration on the third day. The apparent half‐life was 3‐4 days. Desethylchloroquine was detectable in plasma within 30 min of giving chloroquine and peak levels were reached in 2‐12 h. Peak concentration after the first dose of chloroquine ranged between 9 and 62 ng/ml. Desethylchloroquine was also slowly cleared from plasma and mean concentration at the end of 7 days was 49% of the mean concentration at the end of 3 days. 1983 The British Pharmacological Society","author":[{"dropping-particle":"","family":"Walker","given":"O.","non-dropping-particle":"","parse-names":false,"suffix":""},{"dropping-particle":"","family":"Dawodu","given":"AH","non-dropping-particle":"","parse-names":false,"suffix":""},{"dropping-particle":"","family":"Adeyokunnu","given":"AA","non-dropping-particle":"","parse-names":false,"suffix":""},{"dropping-particle":"","family":"Salako","given":"LA","non-dropping-particle":"","parse-names":false,"suffix":""},{"dropping-particle":"","family":"Alvan","given":"G.","non-dropping-particle":"","parse-names":false,"suffix":""}],"container-title":"British Journal of Clinical Pharmacology","id":"ITEM-1","issue":"6","issued":{"date-parts":[["1983"]]},"page":"701-705","title":"Plasma chloroquine and desethylchloroquine concentrations in children during and after chloroquine treatment for malaria.","type":"article-journal","volume":"16"},"uris":["http://www.mendeley.com/documents/?uuid=dc547972-cf9b-44e3-9e7a-a7ac928cbeed"]}],"mendeley":{"formattedCitation":"[7]","plainTextFormattedCitation":"[7]","previouslyFormattedCitation":"[7]"},"properties":{"noteIndex":0},"schema":"https://github.com/citation-style-language/schema/raw/master/csl-citation.json"}</w:instrText>
      </w:r>
      <w:r>
        <w:rPr>
          <w:rFonts w:cstheme="minorHAnsi"/>
          <w:b/>
          <w:bCs/>
        </w:rPr>
        <w:fldChar w:fldCharType="separate"/>
      </w:r>
      <w:r w:rsidRPr="00BD7649">
        <w:rPr>
          <w:rFonts w:cstheme="minorHAnsi"/>
          <w:bCs/>
          <w:noProof/>
          <w:lang w:val="en-US"/>
        </w:rPr>
        <w:t>[7]</w:t>
      </w:r>
      <w:r>
        <w:rPr>
          <w:rFonts w:cstheme="minorHAnsi"/>
          <w:b/>
          <w:bCs/>
        </w:rPr>
        <w:fldChar w:fldCharType="end"/>
      </w:r>
    </w:p>
    <w:p w14:paraId="5037FB8C" w14:textId="77777777" w:rsidR="00FC4F4B" w:rsidRPr="00C374A8" w:rsidRDefault="00FC4F4B" w:rsidP="00FC4F4B">
      <w:pPr>
        <w:rPr>
          <w:rFonts w:cstheme="minorHAnsi"/>
          <w:color w:val="212121"/>
          <w:shd w:val="clear" w:color="auto" w:fill="FFFFFF"/>
          <w:lang w:val="en-US"/>
        </w:rPr>
      </w:pPr>
      <w:r w:rsidRPr="00C374A8">
        <w:rPr>
          <w:rFonts w:cstheme="minorHAnsi"/>
          <w:color w:val="212121"/>
          <w:shd w:val="clear" w:color="auto" w:fill="FFFFFF"/>
          <w:lang w:val="en-US"/>
        </w:rPr>
        <w:t>Walker O, Dawodu AH, Adeyokunnu AA, Salako LA, Alvan G. Plasma chloroquine and desethylchloroquine concentrations in children during and after chloroquine treatment for malaria. </w:t>
      </w:r>
      <w:r w:rsidRPr="00C374A8">
        <w:rPr>
          <w:rFonts w:cstheme="minorHAnsi"/>
          <w:i/>
          <w:iCs/>
          <w:color w:val="212121"/>
          <w:shd w:val="clear" w:color="auto" w:fill="FFFFFF"/>
          <w:lang w:val="en-US"/>
        </w:rPr>
        <w:t>Br J Clin Pharmacol</w:t>
      </w:r>
      <w:r w:rsidRPr="00C374A8">
        <w:rPr>
          <w:rFonts w:cstheme="minorHAnsi"/>
          <w:color w:val="212121"/>
          <w:shd w:val="clear" w:color="auto" w:fill="FFFFFF"/>
          <w:lang w:val="en-US"/>
        </w:rPr>
        <w:t>. 1983;16(6):701–705. doi:10.1111/j.1365-2125.1983.tb02244.x</w:t>
      </w:r>
    </w:p>
    <w:p w14:paraId="0EBA1D2D" w14:textId="77777777" w:rsidR="00FC4F4B" w:rsidRPr="00C374A8" w:rsidRDefault="00FC4F4B" w:rsidP="00FC4F4B">
      <w:pPr>
        <w:rPr>
          <w:rFonts w:cstheme="minorHAnsi"/>
          <w:b/>
          <w:bCs/>
          <w:color w:val="212121"/>
          <w:shd w:val="clear" w:color="auto" w:fill="FFFFFF"/>
          <w:lang w:val="en-US"/>
        </w:rPr>
      </w:pPr>
      <w:r w:rsidRPr="00C374A8">
        <w:rPr>
          <w:rFonts w:cstheme="minorHAnsi"/>
          <w:b/>
          <w:bCs/>
          <w:color w:val="212121"/>
          <w:shd w:val="clear" w:color="auto" w:fill="FFFFFF"/>
          <w:lang w:val="en-US"/>
        </w:rPr>
        <w:t>Dose and patient characteristics:</w:t>
      </w:r>
    </w:p>
    <w:p w14:paraId="14FE0FBB" w14:textId="77777777" w:rsidR="00FC4F4B" w:rsidRPr="00A55653" w:rsidRDefault="00FC4F4B" w:rsidP="00FC4F4B">
      <w:pPr>
        <w:rPr>
          <w:rFonts w:cstheme="minorHAnsi"/>
          <w:color w:val="212121"/>
          <w:shd w:val="clear" w:color="auto" w:fill="FFFFFF"/>
          <w:lang w:val="en-US"/>
        </w:rPr>
      </w:pPr>
      <w:r w:rsidRPr="00C374A8">
        <w:rPr>
          <w:rFonts w:cstheme="minorHAnsi"/>
          <w:color w:val="212121"/>
          <w:shd w:val="clear" w:color="auto" w:fill="FFFFFF"/>
          <w:lang w:val="en-US"/>
        </w:rPr>
        <w:t xml:space="preserve">Population: Children 12 months – 6 year (African) treated for malaria. 7 children had no chloroquine in pre-treatment plasma. </w:t>
      </w:r>
      <w:r>
        <w:rPr>
          <w:rFonts w:cstheme="minorHAnsi"/>
          <w:color w:val="212121"/>
          <w:shd w:val="clear" w:color="auto" w:fill="FFFFFF"/>
          <w:lang w:val="en-US"/>
        </w:rPr>
        <w:t xml:space="preserve">Weight or age characteristics not reported. Therefore, we simulated 2 children: 8 and 12 kg. </w:t>
      </w:r>
    </w:p>
    <w:p w14:paraId="71AE3E3D" w14:textId="77777777" w:rsidR="00FC4F4B" w:rsidRDefault="00FC4F4B" w:rsidP="00FC4F4B">
      <w:pPr>
        <w:rPr>
          <w:rFonts w:cstheme="minorHAnsi"/>
          <w:lang w:val="en-US"/>
        </w:rPr>
      </w:pPr>
      <w:r w:rsidRPr="00854DC7">
        <w:rPr>
          <w:rFonts w:cstheme="minorHAnsi"/>
          <w:lang w:val="en-US"/>
        </w:rPr>
        <w:t>Dose:</w:t>
      </w:r>
      <w:r>
        <w:rPr>
          <w:rFonts w:cstheme="minorHAnsi"/>
          <w:lang w:val="en-US"/>
        </w:rPr>
        <w:t xml:space="preserve"> </w:t>
      </w:r>
      <w:r w:rsidRPr="00854DC7">
        <w:rPr>
          <w:rFonts w:cstheme="minorHAnsi"/>
          <w:lang w:val="en-US"/>
        </w:rPr>
        <w:t>10 mg/kg, day 2: 10 mg/kg, day 3: 5 mg/kg (total 25 mg/kg)</w:t>
      </w:r>
    </w:p>
    <w:p w14:paraId="4496AB09" w14:textId="77777777" w:rsidR="00FC4F4B" w:rsidRDefault="00FC4F4B" w:rsidP="00FC4F4B">
      <w:pPr>
        <w:rPr>
          <w:rFonts w:cstheme="minorHAnsi"/>
          <w:lang w:val="en-US"/>
        </w:rPr>
      </w:pPr>
      <w:r>
        <w:rPr>
          <w:rFonts w:cstheme="minorHAnsi"/>
          <w:lang w:val="en-US"/>
        </w:rPr>
        <w:t>Matrix: plasma</w:t>
      </w:r>
    </w:p>
    <w:p w14:paraId="632C624B" w14:textId="77777777" w:rsidR="00FC4F4B" w:rsidRDefault="00FC4F4B" w:rsidP="00FC4F4B">
      <w:pPr>
        <w:rPr>
          <w:rFonts w:cstheme="minorHAnsi"/>
          <w:b/>
          <w:bCs/>
          <w:lang w:val="en-US"/>
        </w:rPr>
      </w:pPr>
      <w:r>
        <w:rPr>
          <w:rFonts w:cstheme="minorHAnsi"/>
          <w:b/>
          <w:bCs/>
          <w:lang w:val="en-US"/>
        </w:rPr>
        <w:t>Results:</w:t>
      </w:r>
    </w:p>
    <w:p w14:paraId="38C3B1E9" w14:textId="77777777" w:rsidR="00FC4F4B" w:rsidRDefault="00FC4F4B" w:rsidP="00FC4F4B">
      <w:pPr>
        <w:rPr>
          <w:rFonts w:cstheme="minorHAnsi"/>
          <w:b/>
          <w:bCs/>
          <w:lang w:val="en-US"/>
        </w:rPr>
      </w:pPr>
      <w:r>
        <w:rPr>
          <w:rFonts w:cstheme="minorHAnsi"/>
          <w:b/>
          <w:bCs/>
          <w:noProof/>
          <w:lang w:eastAsia="nl-NL"/>
        </w:rPr>
        <w:drawing>
          <wp:anchor distT="0" distB="0" distL="114300" distR="114300" simplePos="0" relativeHeight="251671552" behindDoc="0" locked="0" layoutInCell="1" allowOverlap="1" wp14:anchorId="0CDCC026" wp14:editId="0BC43372">
            <wp:simplePos x="0" y="0"/>
            <wp:positionH relativeFrom="column">
              <wp:posOffset>-635</wp:posOffset>
            </wp:positionH>
            <wp:positionV relativeFrom="paragraph">
              <wp:posOffset>288925</wp:posOffset>
            </wp:positionV>
            <wp:extent cx="3006090" cy="2004060"/>
            <wp:effectExtent l="0" t="0" r="3810" b="0"/>
            <wp:wrapSquare wrapText="bothSides"/>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06090" cy="2004060"/>
                    </a:xfrm>
                    <a:prstGeom prst="rect">
                      <a:avLst/>
                    </a:prstGeom>
                    <a:noFill/>
                    <a:ln>
                      <a:noFill/>
                    </a:ln>
                  </pic:spPr>
                </pic:pic>
              </a:graphicData>
            </a:graphic>
          </wp:anchor>
        </w:drawing>
      </w:r>
    </w:p>
    <w:p w14:paraId="468D093E" w14:textId="77777777" w:rsidR="00FC4F4B" w:rsidRDefault="00FC4F4B" w:rsidP="00FC4F4B">
      <w:pPr>
        <w:rPr>
          <w:noProof/>
        </w:rPr>
      </w:pPr>
      <w:r w:rsidRPr="00C963D9">
        <w:rPr>
          <w:noProof/>
        </w:rPr>
        <w:t xml:space="preserve"> </w:t>
      </w:r>
      <w:r w:rsidRPr="00C963D9">
        <w:rPr>
          <w:rFonts w:cstheme="minorHAnsi"/>
          <w:b/>
          <w:bCs/>
          <w:noProof/>
          <w:lang w:eastAsia="nl-NL"/>
        </w:rPr>
        <w:drawing>
          <wp:inline distT="0" distB="0" distL="0" distR="0" wp14:anchorId="00F65464" wp14:editId="051027BF">
            <wp:extent cx="1965960" cy="2613615"/>
            <wp:effectExtent l="0" t="0" r="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974955" cy="2625573"/>
                    </a:xfrm>
                    <a:prstGeom prst="rect">
                      <a:avLst/>
                    </a:prstGeom>
                  </pic:spPr>
                </pic:pic>
              </a:graphicData>
            </a:graphic>
          </wp:inline>
        </w:drawing>
      </w:r>
    </w:p>
    <w:p w14:paraId="2BA861F2" w14:textId="77777777" w:rsidR="00FC4F4B" w:rsidRDefault="00FC4F4B" w:rsidP="00FC4F4B">
      <w:pPr>
        <w:rPr>
          <w:i/>
          <w:iCs/>
          <w:noProof/>
          <w:lang w:val="en-US"/>
        </w:rPr>
      </w:pPr>
      <w:r w:rsidRPr="00C963D9">
        <w:rPr>
          <w:i/>
          <w:iCs/>
          <w:noProof/>
          <w:lang w:val="en-US"/>
        </w:rPr>
        <w:t xml:space="preserve">Conclusion: </w:t>
      </w:r>
      <w:r>
        <w:rPr>
          <w:i/>
          <w:iCs/>
          <w:noProof/>
          <w:lang w:val="en-US"/>
        </w:rPr>
        <w:t xml:space="preserve">Observations (until 24 h after dosing) seem to be nicely predicted by the Zhao model (simulations are to be </w:t>
      </w:r>
      <w:r w:rsidRPr="00C963D9">
        <w:rPr>
          <w:i/>
          <w:iCs/>
          <w:noProof/>
          <w:lang w:val="en-US"/>
        </w:rPr>
        <w:t>compare</w:t>
      </w:r>
      <w:r>
        <w:rPr>
          <w:i/>
          <w:iCs/>
          <w:noProof/>
          <w:lang w:val="en-US"/>
        </w:rPr>
        <w:t>d</w:t>
      </w:r>
      <w:r w:rsidRPr="00C963D9">
        <w:rPr>
          <w:i/>
          <w:iCs/>
          <w:noProof/>
          <w:lang w:val="en-US"/>
        </w:rPr>
        <w:t xml:space="preserve"> with black dots i</w:t>
      </w:r>
      <w:r>
        <w:rPr>
          <w:i/>
          <w:iCs/>
          <w:noProof/>
          <w:lang w:val="en-US"/>
        </w:rPr>
        <w:t xml:space="preserve">n observations (= chloroquine)). </w:t>
      </w:r>
    </w:p>
    <w:p w14:paraId="75C25342" w14:textId="77777777" w:rsidR="00FC4F4B" w:rsidRDefault="00FC4F4B" w:rsidP="00FC4F4B">
      <w:pPr>
        <w:rPr>
          <w:rFonts w:cstheme="minorHAnsi"/>
          <w:b/>
          <w:bCs/>
          <w:i/>
          <w:iCs/>
          <w:lang w:val="en-US"/>
        </w:rPr>
      </w:pPr>
      <w:r>
        <w:rPr>
          <w:i/>
          <w:iCs/>
          <w:noProof/>
          <w:lang w:eastAsia="nl-NL"/>
        </w:rPr>
        <w:lastRenderedPageBreak/>
        <w:drawing>
          <wp:anchor distT="0" distB="0" distL="114300" distR="114300" simplePos="0" relativeHeight="251672576" behindDoc="0" locked="0" layoutInCell="1" allowOverlap="1" wp14:anchorId="57D16C54" wp14:editId="1835C2B8">
            <wp:simplePos x="0" y="0"/>
            <wp:positionH relativeFrom="column">
              <wp:posOffset>159385</wp:posOffset>
            </wp:positionH>
            <wp:positionV relativeFrom="paragraph">
              <wp:posOffset>136525</wp:posOffset>
            </wp:positionV>
            <wp:extent cx="2994660" cy="1996440"/>
            <wp:effectExtent l="0" t="0" r="0" b="3810"/>
            <wp:wrapSquare wrapText="bothSides"/>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94660" cy="1996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D9">
        <w:rPr>
          <w:rFonts w:cstheme="minorHAnsi"/>
          <w:b/>
          <w:bCs/>
          <w:i/>
          <w:iCs/>
          <w:noProof/>
          <w:lang w:eastAsia="nl-NL"/>
        </w:rPr>
        <w:drawing>
          <wp:inline distT="0" distB="0" distL="0" distR="0" wp14:anchorId="617BCC28" wp14:editId="65540707">
            <wp:extent cx="2392680" cy="2600547"/>
            <wp:effectExtent l="0" t="0" r="7620" b="9525"/>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414087" cy="2623814"/>
                    </a:xfrm>
                    <a:prstGeom prst="rect">
                      <a:avLst/>
                    </a:prstGeom>
                  </pic:spPr>
                </pic:pic>
              </a:graphicData>
            </a:graphic>
          </wp:inline>
        </w:drawing>
      </w:r>
    </w:p>
    <w:p w14:paraId="3B00FCB8" w14:textId="77777777" w:rsidR="00FC4F4B" w:rsidRDefault="00FC4F4B" w:rsidP="00FC4F4B">
      <w:pPr>
        <w:rPr>
          <w:rFonts w:cstheme="minorHAnsi"/>
          <w:b/>
          <w:bCs/>
          <w:i/>
          <w:iCs/>
          <w:lang w:val="en-US"/>
        </w:rPr>
      </w:pPr>
    </w:p>
    <w:p w14:paraId="2FEBEE7E" w14:textId="383F295C" w:rsidR="00FC4F4B" w:rsidRPr="00C374A8" w:rsidRDefault="00FC4F4B" w:rsidP="00FC4F4B">
      <w:pPr>
        <w:rPr>
          <w:rFonts w:cstheme="minorHAnsi"/>
          <w:i/>
          <w:iCs/>
        </w:rPr>
      </w:pPr>
      <w:r>
        <w:rPr>
          <w:rFonts w:cstheme="minorHAnsi"/>
          <w:i/>
          <w:iCs/>
          <w:lang w:val="en-US"/>
        </w:rPr>
        <w:t xml:space="preserve">Conclusion: the model seems to predict the concentrations in these children over 7 days after dosing reasonably well. However, the decline according to the model seems to go faster than observed data. With CL reduced to 75%, the simulated concentration at day 7 is around 40 ng/mL, exactly as observed. Hence, it seems that the population under 5 year has a slightly slower CL than expected by the allometric function in Zhao et al. This may be  expected with extrapolations for children under age 5 (this phenomenon has for example been demonstrated by Calvier et al </w:t>
      </w:r>
      <w:r>
        <w:rPr>
          <w:rFonts w:cstheme="minorHAnsi"/>
          <w:i/>
          <w:iCs/>
          <w:lang w:val="en-US"/>
        </w:rPr>
        <w:fldChar w:fldCharType="begin" w:fldLock="1"/>
      </w:r>
      <w:r>
        <w:rPr>
          <w:rFonts w:cstheme="minorHAnsi"/>
          <w:i/>
          <w:iCs/>
          <w:lang w:val="en-US"/>
        </w:rPr>
        <w:instrText>ADDIN CSL_CITATION {"citationItems":[{"id":"ITEM-1","itemData":{"DOI":"10.1007/s40262-016-0436-x","ISSN":"11791926","PMID":"27510367","abstract":"Allometric scaling on the basis of bodyweight raised to the power of 0.75 (AS0.75) is frequently used to scale size-related changes in plasma clearance (CLp) from adults to children. A systematic assessment of its applicability is undertaken for scenarios considering size-related changes with and without maturation processes. A physiologically-based pharmacokinetic (PBPK) simulation workflow was developed in R for 12,620 hypothetical drugs. In scenario one, only size-related changes in liver weight, hepatic blood flow, and glomerular filtration were included in simulations of 'true' paediatric CLp. In a second scenario, maturation in unbound microsomal intrinsic clearance (CLint,mic), plasma protein concentration, and haematocrit were also included in these simulated 'true' paediatric CLp values. For both scenarios, the prediction error (PE) of AS0.75-based paediatric CLp predictions was assessed, while, for the first scenario, an allometric exponent was also estimated based on 'true' CLp. In the first scenario, the PE of AS0.75-based paediatric CLp predictions reached up to 278 % in neonates, and the allometric exponent was estimated to range from 0.50 to 1.20 depending on age and drug properties. In the second scenario, the PE sensitivity to drug properties and maturation was higher in the youngest children, with AS0.75 resulting in accurate CLp predictions above 5 years of age. Using PBPK principles, there is no evidence for one unique allometric exponent in paediatric patients, even in scenarios that only consider size-related changes. As PE is most sensitive to the allometric exponent, drug properties and maturation in younger children, AS0.75 leads to increasingly wor</w:instrText>
      </w:r>
      <w:r w:rsidRPr="00356C60">
        <w:rPr>
          <w:rFonts w:cstheme="minorHAnsi"/>
          <w:i/>
          <w:iCs/>
        </w:rPr>
        <w:instrText>se predictions with decreasing age.","author":[{"dropping-particle":"","family":"Calvier","given":"Elisa A.M.","non-dropping-particle":"","parse-names":false,"suffix":""},{"dropping-particle":"","family":"Krekels","given":"Elke H.J.","non-dropping-particle":"","parse-names":false,"suffix":""},{"dropping-particle":"","family":"Välitalo","given":"Pyry A.J.","non-dropping-particle":"","parse-names":false,"suffix":""},{"dropping-particle":"","family":"Rostami-Hodjegan","given":"Amin","non-dropping-particle":"","parse-names":false,"suffix":""},{"dropping-particle":"","family":"Tibb</w:instrText>
      </w:r>
      <w:r w:rsidRPr="00FC4F4B">
        <w:rPr>
          <w:rFonts w:cstheme="minorHAnsi"/>
          <w:i/>
          <w:iCs/>
        </w:rPr>
        <w:instrText>oel","given":"Dick","non-dropping-particle":"","parse-names":false,"suffix":""},{"dropping-particle":"","family":"Danhof","given":"Meindert","non-dropping-particle":"","parse-names":false,"suffix":""},{"dropping-particle":"","family":"Knibbe","given":"Catherijne A.J.","non-dropping-particle":"","parse-names":false,"suffix":""}],"container-title":"Clinical Pharmacokinetics","id":"ITEM-1","issue":"3","issued":{"date-parts":[["2017"]]},"page":"273-285","title":"Allometric scaling of clearance in paediatric patients: When does the magic of 0.75 fade?","type":"article-journal","volume":"56"},"uris":["http://www.mendeley.com/documents/?uuid=91ef89fc-e9a6-4ec6-b97e-7eed916915a8"]}],"mendeley":{"formattedCitation":"[20]","plainTextFormattedCitation":"[20]","previouslyFormattedCitation":"[20]"},"properties":{"noteIndex":0},"schema":"https://github.com/citation-style-language/schema/raw/master/csl-citation.json"}</w:instrText>
      </w:r>
      <w:r>
        <w:rPr>
          <w:rFonts w:cstheme="minorHAnsi"/>
          <w:i/>
          <w:iCs/>
          <w:lang w:val="en-US"/>
        </w:rPr>
        <w:fldChar w:fldCharType="separate"/>
      </w:r>
      <w:r w:rsidRPr="00110471">
        <w:rPr>
          <w:rFonts w:cstheme="minorHAnsi"/>
          <w:iCs/>
          <w:noProof/>
        </w:rPr>
        <w:t>[20]</w:t>
      </w:r>
      <w:r>
        <w:rPr>
          <w:rFonts w:cstheme="minorHAnsi"/>
          <w:i/>
          <w:iCs/>
          <w:lang w:val="en-US"/>
        </w:rPr>
        <w:fldChar w:fldCharType="end"/>
      </w:r>
      <w:r w:rsidRPr="00C374A8">
        <w:rPr>
          <w:rFonts w:cstheme="minorHAnsi"/>
          <w:i/>
          <w:iCs/>
        </w:rPr>
        <w:t xml:space="preserve">). </w:t>
      </w:r>
    </w:p>
    <w:p w14:paraId="4387C111" w14:textId="6A1D7DDE" w:rsidR="00FC4F4B" w:rsidRPr="00FC4F4B" w:rsidRDefault="00FC4F4B" w:rsidP="00FC4F4B">
      <w:pPr>
        <w:rPr>
          <w:rFonts w:cstheme="minorHAnsi"/>
          <w:b/>
          <w:bCs/>
        </w:rPr>
      </w:pPr>
      <w:r w:rsidRPr="00FC4F4B">
        <w:rPr>
          <w:rFonts w:cstheme="minorHAnsi"/>
          <w:b/>
          <w:bCs/>
        </w:rPr>
        <w:t xml:space="preserve">Salako ET AL 1984 </w:t>
      </w:r>
      <w:r>
        <w:rPr>
          <w:rFonts w:cstheme="minorHAnsi"/>
          <w:b/>
          <w:bCs/>
        </w:rPr>
        <w:fldChar w:fldCharType="begin" w:fldLock="1"/>
      </w:r>
      <w:r w:rsidR="0037168B">
        <w:rPr>
          <w:rFonts w:cstheme="minorHAnsi"/>
          <w:b/>
          <w:bCs/>
        </w:rPr>
        <w:instrText>ADDIN CSL_CITATION {"citationItems":[{"id":"ITEM-1","itemData":{"ISBN":"4951176289","ISSN":"0309-3913","PMID":"6099980","abstract":"The pharmacokinetics of chloroquine and its desethyl metabolite were studied in six patients with chronic renal failure and compared with a control group of twelve patients with normal renal function. Chloroquine was given as a single oral dose of 600 mg and blood levels monitored for 144 h. Plasma chloroquine concentrations were determined using an HPLC method. The plasma half-life of chloroquine was significantly higher in renal patients than in controls. This finding suggests that extra caution should be exercised when prescribing chloroquine for prolonged use in patients with renal insufficiency.","author":[{"dropping-particle":"","family":"Salako","given":"L A","non-dropping-particle":"","parse-names":false,"suffix":""},{"dropping-particle":"","family":"Walker","given":"O","non-dropping-particle":"","parse-names":false,"suffix":""},{"dropping-particle":"","family":"Iyun","given":"A O","non-dropping-particle":"","parse-names":false,"suffix":""}],"container-title":"African journal of medicine and medical sciences","id":"ITEM-1","issue":"3-4","issued":{"date-parts":[["2005"]]},"page":"177-82","title":"Pharmacokinetics of chloroquine in renal insufficiency.","type":"article-journal","volume":"13"},"uris":["http://www.mendeley.com/documents/?uuid=1f671b00-7936-42d7-88b8-e8ce4cb4ea91"]}],"mendeley":{"formattedCitation":"[15]","plainTextFormattedCitation":"[15]","previouslyFormattedCitation":"[15]"},"properties":{"noteIndex":0},"schema":"https://github.com/citation-style-language/schema/raw/master/csl-citation.json"}</w:instrText>
      </w:r>
      <w:r>
        <w:rPr>
          <w:rFonts w:cstheme="minorHAnsi"/>
          <w:b/>
          <w:bCs/>
        </w:rPr>
        <w:fldChar w:fldCharType="separate"/>
      </w:r>
      <w:r w:rsidRPr="00FC4F4B">
        <w:rPr>
          <w:rFonts w:cstheme="minorHAnsi"/>
          <w:bCs/>
          <w:noProof/>
        </w:rPr>
        <w:t>[15]</w:t>
      </w:r>
      <w:r>
        <w:rPr>
          <w:rFonts w:cstheme="minorHAnsi"/>
          <w:b/>
          <w:bCs/>
        </w:rPr>
        <w:fldChar w:fldCharType="end"/>
      </w:r>
    </w:p>
    <w:p w14:paraId="4A068AF5" w14:textId="77777777" w:rsidR="00FC4F4B" w:rsidRDefault="00FC4F4B" w:rsidP="00FC4F4B">
      <w:pPr>
        <w:rPr>
          <w:rFonts w:cstheme="minorHAnsi"/>
          <w:color w:val="212121"/>
          <w:shd w:val="clear" w:color="auto" w:fill="FFFFFF"/>
          <w:lang w:val="en-US"/>
        </w:rPr>
      </w:pPr>
      <w:r w:rsidRPr="00FC4F4B">
        <w:rPr>
          <w:rFonts w:cstheme="minorHAnsi"/>
          <w:color w:val="212121"/>
          <w:shd w:val="clear" w:color="auto" w:fill="FFFFFF"/>
        </w:rPr>
        <w:t xml:space="preserve">Salako LA, Walker O, Iyun AO. Pharmacokinetics of chloroquine in renal insufficiency. </w:t>
      </w:r>
      <w:r w:rsidRPr="00F12A48">
        <w:rPr>
          <w:rFonts w:cstheme="minorHAnsi"/>
          <w:color w:val="212121"/>
          <w:shd w:val="clear" w:color="auto" w:fill="FFFFFF"/>
          <w:lang w:val="en-US"/>
        </w:rPr>
        <w:t>Afr J Med Med Sci. 1984;13(3-4):177–182.</w:t>
      </w:r>
    </w:p>
    <w:p w14:paraId="780DB46A" w14:textId="77777777" w:rsidR="00FC4F4B" w:rsidRPr="00121BF0" w:rsidRDefault="00FC4F4B" w:rsidP="00FC4F4B">
      <w:pPr>
        <w:rPr>
          <w:rFonts w:cstheme="minorHAnsi"/>
          <w:b/>
          <w:bCs/>
          <w:lang w:val="en-US"/>
        </w:rPr>
      </w:pPr>
      <w:r w:rsidRPr="00121BF0">
        <w:rPr>
          <w:rFonts w:cstheme="minorHAnsi"/>
          <w:b/>
          <w:bCs/>
          <w:lang w:val="en-US"/>
        </w:rPr>
        <w:t>Dose and patient characteristics:</w:t>
      </w:r>
    </w:p>
    <w:p w14:paraId="40CF376D" w14:textId="77777777" w:rsidR="00FC4F4B" w:rsidRPr="00121BF0" w:rsidRDefault="00FC4F4B" w:rsidP="00FC4F4B">
      <w:pPr>
        <w:rPr>
          <w:rFonts w:cstheme="minorHAnsi"/>
          <w:lang w:val="en-US"/>
        </w:rPr>
      </w:pPr>
      <w:r w:rsidRPr="00121BF0">
        <w:rPr>
          <w:rFonts w:cstheme="minorHAnsi"/>
          <w:lang w:val="en-US"/>
        </w:rPr>
        <w:t>Dose regimen used in the study:</w:t>
      </w:r>
    </w:p>
    <w:p w14:paraId="688E203F" w14:textId="77777777" w:rsidR="00FC4F4B" w:rsidRDefault="00FC4F4B" w:rsidP="00FC4F4B">
      <w:pPr>
        <w:rPr>
          <w:rFonts w:cstheme="minorHAnsi"/>
          <w:lang w:val="en-US"/>
        </w:rPr>
      </w:pPr>
      <w:r w:rsidRPr="00121BF0">
        <w:rPr>
          <w:rFonts w:cstheme="minorHAnsi"/>
          <w:lang w:val="en-US"/>
        </w:rPr>
        <w:t xml:space="preserve">600 mg day </w:t>
      </w:r>
      <w:r>
        <w:rPr>
          <w:rFonts w:cstheme="minorHAnsi"/>
          <w:lang w:val="en-US"/>
        </w:rPr>
        <w:t>single dose</w:t>
      </w:r>
    </w:p>
    <w:p w14:paraId="2F77EDF3" w14:textId="77777777" w:rsidR="00FC4F4B" w:rsidRPr="00121BF0" w:rsidRDefault="00FC4F4B" w:rsidP="00FC4F4B">
      <w:pPr>
        <w:rPr>
          <w:rFonts w:cstheme="minorHAnsi"/>
          <w:lang w:val="en-US"/>
        </w:rPr>
      </w:pPr>
      <w:r>
        <w:rPr>
          <w:rFonts w:cstheme="minorHAnsi"/>
          <w:lang w:val="en-US"/>
        </w:rPr>
        <w:t>Matrix: plasma</w:t>
      </w:r>
    </w:p>
    <w:p w14:paraId="26F04DAF" w14:textId="77777777" w:rsidR="00FC4F4B" w:rsidRDefault="00FC4F4B" w:rsidP="00FC4F4B">
      <w:pPr>
        <w:rPr>
          <w:rFonts w:cstheme="minorHAnsi"/>
          <w:lang w:val="en-US"/>
        </w:rPr>
      </w:pPr>
      <w:r w:rsidRPr="00121BF0">
        <w:rPr>
          <w:rFonts w:cstheme="minorHAnsi"/>
          <w:lang w:val="en-US"/>
        </w:rPr>
        <w:t xml:space="preserve">Patient characteristics: Adult </w:t>
      </w:r>
      <w:r>
        <w:rPr>
          <w:rFonts w:cstheme="minorHAnsi"/>
          <w:lang w:val="en-US"/>
        </w:rPr>
        <w:t>patient volunteers with renal insufficiency</w:t>
      </w:r>
      <w:r w:rsidRPr="00121BF0">
        <w:rPr>
          <w:rFonts w:cstheme="minorHAnsi"/>
          <w:lang w:val="en-US"/>
        </w:rPr>
        <w:t xml:space="preserve">. Mean TBW </w:t>
      </w:r>
      <w:r>
        <w:rPr>
          <w:rFonts w:cstheme="minorHAnsi"/>
          <w:lang w:val="en-US"/>
        </w:rPr>
        <w:t>59</w:t>
      </w:r>
      <w:r w:rsidRPr="00121BF0">
        <w:rPr>
          <w:rFonts w:cstheme="minorHAnsi"/>
          <w:lang w:val="en-US"/>
        </w:rPr>
        <w:t xml:space="preserve"> kg.</w:t>
      </w:r>
      <w:r>
        <w:rPr>
          <w:rFonts w:cstheme="minorHAnsi"/>
          <w:lang w:val="en-US"/>
        </w:rPr>
        <w:t xml:space="preserve"> eGFR not reported, but plasma creatinine, age and gender is reported. Assuming all are African-american, the CKD-EPI would be as follows:</w:t>
      </w:r>
    </w:p>
    <w:p w14:paraId="6BE0F436" w14:textId="77777777" w:rsidR="00FC4F4B" w:rsidRDefault="00FC4F4B" w:rsidP="00FC4F4B">
      <w:pPr>
        <w:rPr>
          <w:rFonts w:cstheme="minorHAnsi"/>
          <w:lang w:val="en-US"/>
        </w:rPr>
      </w:pPr>
    </w:p>
    <w:tbl>
      <w:tblPr>
        <w:tblStyle w:val="Tabelraster"/>
        <w:tblW w:w="0" w:type="auto"/>
        <w:tblLook w:val="04A0" w:firstRow="1" w:lastRow="0" w:firstColumn="1" w:lastColumn="0" w:noHBand="0" w:noVBand="1"/>
      </w:tblPr>
      <w:tblGrid>
        <w:gridCol w:w="1812"/>
        <w:gridCol w:w="1812"/>
        <w:gridCol w:w="1812"/>
        <w:gridCol w:w="1813"/>
        <w:gridCol w:w="1813"/>
      </w:tblGrid>
      <w:tr w:rsidR="00FC4F4B" w14:paraId="3567C414" w14:textId="77777777" w:rsidTr="00E40494">
        <w:tc>
          <w:tcPr>
            <w:tcW w:w="1812" w:type="dxa"/>
          </w:tcPr>
          <w:p w14:paraId="300599F4" w14:textId="77777777" w:rsidR="00FC4F4B" w:rsidRPr="00FB72D0" w:rsidRDefault="00FC4F4B" w:rsidP="00E40494">
            <w:pPr>
              <w:rPr>
                <w:rFonts w:cstheme="minorHAnsi"/>
                <w:b/>
                <w:bCs/>
                <w:lang w:val="en-US"/>
              </w:rPr>
            </w:pPr>
            <w:r w:rsidRPr="00FB72D0">
              <w:rPr>
                <w:rFonts w:cstheme="minorHAnsi"/>
                <w:b/>
                <w:bCs/>
                <w:lang w:val="en-US"/>
              </w:rPr>
              <w:t>No</w:t>
            </w:r>
          </w:p>
        </w:tc>
        <w:tc>
          <w:tcPr>
            <w:tcW w:w="1812" w:type="dxa"/>
          </w:tcPr>
          <w:p w14:paraId="61EFF37D" w14:textId="77777777" w:rsidR="00FC4F4B" w:rsidRPr="00FB72D0" w:rsidRDefault="00FC4F4B" w:rsidP="00E40494">
            <w:pPr>
              <w:rPr>
                <w:rFonts w:cstheme="minorHAnsi"/>
                <w:b/>
                <w:bCs/>
                <w:lang w:val="en-US"/>
              </w:rPr>
            </w:pPr>
            <w:r w:rsidRPr="00FB72D0">
              <w:rPr>
                <w:rFonts w:cstheme="minorHAnsi"/>
                <w:b/>
                <w:bCs/>
                <w:lang w:val="en-US"/>
              </w:rPr>
              <w:t>Gender</w:t>
            </w:r>
          </w:p>
        </w:tc>
        <w:tc>
          <w:tcPr>
            <w:tcW w:w="1812" w:type="dxa"/>
          </w:tcPr>
          <w:p w14:paraId="4D5CF80C" w14:textId="77777777" w:rsidR="00FC4F4B" w:rsidRPr="00FB72D0" w:rsidRDefault="00FC4F4B" w:rsidP="00E40494">
            <w:pPr>
              <w:rPr>
                <w:rFonts w:cstheme="minorHAnsi"/>
                <w:b/>
                <w:bCs/>
                <w:lang w:val="en-US"/>
              </w:rPr>
            </w:pPr>
            <w:r w:rsidRPr="00FB72D0">
              <w:rPr>
                <w:rFonts w:cstheme="minorHAnsi"/>
                <w:b/>
                <w:bCs/>
                <w:lang w:val="en-US"/>
              </w:rPr>
              <w:t>Age</w:t>
            </w:r>
          </w:p>
        </w:tc>
        <w:tc>
          <w:tcPr>
            <w:tcW w:w="1813" w:type="dxa"/>
          </w:tcPr>
          <w:p w14:paraId="02A4C4F2" w14:textId="77777777" w:rsidR="00FC4F4B" w:rsidRPr="00FB72D0" w:rsidRDefault="00FC4F4B" w:rsidP="00E40494">
            <w:pPr>
              <w:rPr>
                <w:rFonts w:cstheme="minorHAnsi"/>
                <w:b/>
                <w:bCs/>
                <w:lang w:val="en-US"/>
              </w:rPr>
            </w:pPr>
            <w:r w:rsidRPr="00FB72D0">
              <w:rPr>
                <w:rFonts w:cstheme="minorHAnsi"/>
                <w:b/>
                <w:bCs/>
                <w:lang w:val="en-US"/>
              </w:rPr>
              <w:t>Plasma creatinine (mg/dL)</w:t>
            </w:r>
          </w:p>
        </w:tc>
        <w:tc>
          <w:tcPr>
            <w:tcW w:w="1813" w:type="dxa"/>
          </w:tcPr>
          <w:p w14:paraId="06243090" w14:textId="77777777" w:rsidR="00FC4F4B" w:rsidRPr="009662E9" w:rsidRDefault="00FC4F4B" w:rsidP="00E40494">
            <w:pPr>
              <w:rPr>
                <w:rFonts w:cstheme="minorHAnsi"/>
                <w:b/>
                <w:bCs/>
              </w:rPr>
            </w:pPr>
            <w:r w:rsidRPr="009662E9">
              <w:rPr>
                <w:rFonts w:cstheme="minorHAnsi"/>
                <w:b/>
                <w:bCs/>
              </w:rPr>
              <w:t>CKD-EPI (ml/min/1.73 m2)</w:t>
            </w:r>
          </w:p>
        </w:tc>
      </w:tr>
      <w:tr w:rsidR="00FC4F4B" w14:paraId="7C9E5786" w14:textId="77777777" w:rsidTr="00E40494">
        <w:tc>
          <w:tcPr>
            <w:tcW w:w="1812" w:type="dxa"/>
          </w:tcPr>
          <w:p w14:paraId="68DA13D6" w14:textId="77777777" w:rsidR="00FC4F4B" w:rsidRDefault="00FC4F4B" w:rsidP="00E40494">
            <w:pPr>
              <w:rPr>
                <w:rFonts w:cstheme="minorHAnsi"/>
                <w:lang w:val="en-US"/>
              </w:rPr>
            </w:pPr>
            <w:r>
              <w:rPr>
                <w:rFonts w:cstheme="minorHAnsi"/>
                <w:lang w:val="en-US"/>
              </w:rPr>
              <w:t>1</w:t>
            </w:r>
          </w:p>
        </w:tc>
        <w:tc>
          <w:tcPr>
            <w:tcW w:w="1812" w:type="dxa"/>
          </w:tcPr>
          <w:p w14:paraId="1137EED5" w14:textId="77777777" w:rsidR="00FC4F4B" w:rsidRDefault="00FC4F4B" w:rsidP="00E40494">
            <w:pPr>
              <w:rPr>
                <w:rFonts w:cstheme="minorHAnsi"/>
                <w:lang w:val="en-US"/>
              </w:rPr>
            </w:pPr>
            <w:r>
              <w:rPr>
                <w:rFonts w:cstheme="minorHAnsi"/>
                <w:lang w:val="en-US"/>
              </w:rPr>
              <w:t>Male</w:t>
            </w:r>
          </w:p>
        </w:tc>
        <w:tc>
          <w:tcPr>
            <w:tcW w:w="1812" w:type="dxa"/>
          </w:tcPr>
          <w:p w14:paraId="29D21F0C" w14:textId="77777777" w:rsidR="00FC4F4B" w:rsidRDefault="00FC4F4B" w:rsidP="00E40494">
            <w:pPr>
              <w:rPr>
                <w:rFonts w:cstheme="minorHAnsi"/>
                <w:lang w:val="en-US"/>
              </w:rPr>
            </w:pPr>
            <w:r>
              <w:rPr>
                <w:rFonts w:cstheme="minorHAnsi"/>
                <w:lang w:val="en-US"/>
              </w:rPr>
              <w:t>30</w:t>
            </w:r>
          </w:p>
        </w:tc>
        <w:tc>
          <w:tcPr>
            <w:tcW w:w="1813" w:type="dxa"/>
          </w:tcPr>
          <w:p w14:paraId="7CFDD5A4" w14:textId="77777777" w:rsidR="00FC4F4B" w:rsidRDefault="00FC4F4B" w:rsidP="00E40494">
            <w:pPr>
              <w:rPr>
                <w:rFonts w:cstheme="minorHAnsi"/>
                <w:lang w:val="en-US"/>
              </w:rPr>
            </w:pPr>
            <w:r>
              <w:rPr>
                <w:rFonts w:cstheme="minorHAnsi"/>
                <w:lang w:val="en-US"/>
              </w:rPr>
              <w:t>4.0</w:t>
            </w:r>
          </w:p>
        </w:tc>
        <w:tc>
          <w:tcPr>
            <w:tcW w:w="1813" w:type="dxa"/>
          </w:tcPr>
          <w:p w14:paraId="30F9DCF4" w14:textId="77777777" w:rsidR="00FC4F4B" w:rsidRDefault="00FC4F4B" w:rsidP="00E40494">
            <w:pPr>
              <w:rPr>
                <w:rFonts w:cstheme="minorHAnsi"/>
                <w:lang w:val="en-US"/>
              </w:rPr>
            </w:pPr>
            <w:r>
              <w:rPr>
                <w:rFonts w:cstheme="minorHAnsi"/>
                <w:lang w:val="en-US"/>
              </w:rPr>
              <w:t>21.8</w:t>
            </w:r>
          </w:p>
        </w:tc>
      </w:tr>
      <w:tr w:rsidR="00FC4F4B" w14:paraId="2A96EC6C" w14:textId="77777777" w:rsidTr="00E40494">
        <w:tc>
          <w:tcPr>
            <w:tcW w:w="1812" w:type="dxa"/>
          </w:tcPr>
          <w:p w14:paraId="6190BC8B" w14:textId="77777777" w:rsidR="00FC4F4B" w:rsidRDefault="00FC4F4B" w:rsidP="00E40494">
            <w:pPr>
              <w:rPr>
                <w:rFonts w:cstheme="minorHAnsi"/>
                <w:lang w:val="en-US"/>
              </w:rPr>
            </w:pPr>
            <w:r>
              <w:rPr>
                <w:rFonts w:cstheme="minorHAnsi"/>
                <w:lang w:val="en-US"/>
              </w:rPr>
              <w:t>2</w:t>
            </w:r>
          </w:p>
        </w:tc>
        <w:tc>
          <w:tcPr>
            <w:tcW w:w="1812" w:type="dxa"/>
          </w:tcPr>
          <w:p w14:paraId="089E0CEC" w14:textId="77777777" w:rsidR="00FC4F4B" w:rsidRDefault="00FC4F4B" w:rsidP="00E40494">
            <w:pPr>
              <w:rPr>
                <w:rFonts w:cstheme="minorHAnsi"/>
                <w:lang w:val="en-US"/>
              </w:rPr>
            </w:pPr>
            <w:r>
              <w:rPr>
                <w:rFonts w:cstheme="minorHAnsi"/>
                <w:lang w:val="en-US"/>
              </w:rPr>
              <w:t>Male</w:t>
            </w:r>
          </w:p>
        </w:tc>
        <w:tc>
          <w:tcPr>
            <w:tcW w:w="1812" w:type="dxa"/>
          </w:tcPr>
          <w:p w14:paraId="326266D8" w14:textId="77777777" w:rsidR="00FC4F4B" w:rsidRDefault="00FC4F4B" w:rsidP="00E40494">
            <w:pPr>
              <w:rPr>
                <w:rFonts w:cstheme="minorHAnsi"/>
                <w:lang w:val="en-US"/>
              </w:rPr>
            </w:pPr>
            <w:r>
              <w:rPr>
                <w:rFonts w:cstheme="minorHAnsi"/>
                <w:lang w:val="en-US"/>
              </w:rPr>
              <w:t>32</w:t>
            </w:r>
          </w:p>
        </w:tc>
        <w:tc>
          <w:tcPr>
            <w:tcW w:w="1813" w:type="dxa"/>
          </w:tcPr>
          <w:p w14:paraId="04102D49" w14:textId="77777777" w:rsidR="00FC4F4B" w:rsidRDefault="00FC4F4B" w:rsidP="00E40494">
            <w:pPr>
              <w:rPr>
                <w:rFonts w:cstheme="minorHAnsi"/>
                <w:lang w:val="en-US"/>
              </w:rPr>
            </w:pPr>
            <w:r>
              <w:rPr>
                <w:rFonts w:cstheme="minorHAnsi"/>
                <w:lang w:val="en-US"/>
              </w:rPr>
              <w:t>12.7</w:t>
            </w:r>
          </w:p>
        </w:tc>
        <w:tc>
          <w:tcPr>
            <w:tcW w:w="1813" w:type="dxa"/>
          </w:tcPr>
          <w:p w14:paraId="7BA60190" w14:textId="77777777" w:rsidR="00FC4F4B" w:rsidRDefault="00FC4F4B" w:rsidP="00E40494">
            <w:pPr>
              <w:rPr>
                <w:rFonts w:cstheme="minorHAnsi"/>
                <w:lang w:val="en-US"/>
              </w:rPr>
            </w:pPr>
            <w:r>
              <w:rPr>
                <w:rFonts w:cstheme="minorHAnsi"/>
                <w:lang w:val="en-US"/>
              </w:rPr>
              <w:t>5.3</w:t>
            </w:r>
          </w:p>
        </w:tc>
      </w:tr>
      <w:tr w:rsidR="00FC4F4B" w14:paraId="3FDBB6F2" w14:textId="77777777" w:rsidTr="00E40494">
        <w:tc>
          <w:tcPr>
            <w:tcW w:w="1812" w:type="dxa"/>
          </w:tcPr>
          <w:p w14:paraId="7AF8AF7E" w14:textId="77777777" w:rsidR="00FC4F4B" w:rsidRDefault="00FC4F4B" w:rsidP="00E40494">
            <w:pPr>
              <w:rPr>
                <w:rFonts w:cstheme="minorHAnsi"/>
                <w:lang w:val="en-US"/>
              </w:rPr>
            </w:pPr>
            <w:r>
              <w:rPr>
                <w:rFonts w:cstheme="minorHAnsi"/>
                <w:lang w:val="en-US"/>
              </w:rPr>
              <w:t>3</w:t>
            </w:r>
          </w:p>
        </w:tc>
        <w:tc>
          <w:tcPr>
            <w:tcW w:w="1812" w:type="dxa"/>
          </w:tcPr>
          <w:p w14:paraId="317160D2" w14:textId="77777777" w:rsidR="00FC4F4B" w:rsidRDefault="00FC4F4B" w:rsidP="00E40494">
            <w:pPr>
              <w:rPr>
                <w:rFonts w:cstheme="minorHAnsi"/>
                <w:lang w:val="en-US"/>
              </w:rPr>
            </w:pPr>
            <w:r>
              <w:rPr>
                <w:rFonts w:cstheme="minorHAnsi"/>
                <w:lang w:val="en-US"/>
              </w:rPr>
              <w:t>Male</w:t>
            </w:r>
          </w:p>
        </w:tc>
        <w:tc>
          <w:tcPr>
            <w:tcW w:w="1812" w:type="dxa"/>
          </w:tcPr>
          <w:p w14:paraId="659C2F6E" w14:textId="77777777" w:rsidR="00FC4F4B" w:rsidRDefault="00FC4F4B" w:rsidP="00E40494">
            <w:pPr>
              <w:rPr>
                <w:rFonts w:cstheme="minorHAnsi"/>
                <w:lang w:val="en-US"/>
              </w:rPr>
            </w:pPr>
            <w:r>
              <w:rPr>
                <w:rFonts w:cstheme="minorHAnsi"/>
                <w:lang w:val="en-US"/>
              </w:rPr>
              <w:t>18</w:t>
            </w:r>
          </w:p>
        </w:tc>
        <w:tc>
          <w:tcPr>
            <w:tcW w:w="1813" w:type="dxa"/>
          </w:tcPr>
          <w:p w14:paraId="33D47251" w14:textId="77777777" w:rsidR="00FC4F4B" w:rsidRDefault="00FC4F4B" w:rsidP="00E40494">
            <w:pPr>
              <w:rPr>
                <w:rFonts w:cstheme="minorHAnsi"/>
                <w:lang w:val="en-US"/>
              </w:rPr>
            </w:pPr>
            <w:r>
              <w:rPr>
                <w:rFonts w:cstheme="minorHAnsi"/>
                <w:lang w:val="en-US"/>
              </w:rPr>
              <w:t>2.0</w:t>
            </w:r>
          </w:p>
        </w:tc>
        <w:tc>
          <w:tcPr>
            <w:tcW w:w="1813" w:type="dxa"/>
          </w:tcPr>
          <w:p w14:paraId="783261B8" w14:textId="77777777" w:rsidR="00FC4F4B" w:rsidRDefault="00FC4F4B" w:rsidP="00E40494">
            <w:pPr>
              <w:rPr>
                <w:rFonts w:cstheme="minorHAnsi"/>
                <w:lang w:val="en-US"/>
              </w:rPr>
            </w:pPr>
            <w:r>
              <w:rPr>
                <w:rFonts w:cstheme="minorHAnsi"/>
                <w:lang w:val="en-US"/>
              </w:rPr>
              <w:t>54.8</w:t>
            </w:r>
          </w:p>
        </w:tc>
      </w:tr>
      <w:tr w:rsidR="00FC4F4B" w14:paraId="1E014615" w14:textId="77777777" w:rsidTr="00E40494">
        <w:tc>
          <w:tcPr>
            <w:tcW w:w="1812" w:type="dxa"/>
          </w:tcPr>
          <w:p w14:paraId="6B06395A" w14:textId="77777777" w:rsidR="00FC4F4B" w:rsidRDefault="00FC4F4B" w:rsidP="00E40494">
            <w:pPr>
              <w:rPr>
                <w:rFonts w:cstheme="minorHAnsi"/>
                <w:lang w:val="en-US"/>
              </w:rPr>
            </w:pPr>
            <w:r>
              <w:rPr>
                <w:rFonts w:cstheme="minorHAnsi"/>
                <w:lang w:val="en-US"/>
              </w:rPr>
              <w:t>4</w:t>
            </w:r>
          </w:p>
        </w:tc>
        <w:tc>
          <w:tcPr>
            <w:tcW w:w="1812" w:type="dxa"/>
          </w:tcPr>
          <w:p w14:paraId="68D330EC" w14:textId="77777777" w:rsidR="00FC4F4B" w:rsidRDefault="00FC4F4B" w:rsidP="00E40494">
            <w:pPr>
              <w:rPr>
                <w:rFonts w:cstheme="minorHAnsi"/>
                <w:lang w:val="en-US"/>
              </w:rPr>
            </w:pPr>
            <w:r>
              <w:rPr>
                <w:rFonts w:cstheme="minorHAnsi"/>
                <w:lang w:val="en-US"/>
              </w:rPr>
              <w:t>Male</w:t>
            </w:r>
          </w:p>
        </w:tc>
        <w:tc>
          <w:tcPr>
            <w:tcW w:w="1812" w:type="dxa"/>
          </w:tcPr>
          <w:p w14:paraId="0908B810" w14:textId="77777777" w:rsidR="00FC4F4B" w:rsidRDefault="00FC4F4B" w:rsidP="00E40494">
            <w:pPr>
              <w:rPr>
                <w:rFonts w:cstheme="minorHAnsi"/>
                <w:lang w:val="en-US"/>
              </w:rPr>
            </w:pPr>
            <w:r>
              <w:rPr>
                <w:rFonts w:cstheme="minorHAnsi"/>
                <w:lang w:val="en-US"/>
              </w:rPr>
              <w:t>25</w:t>
            </w:r>
          </w:p>
        </w:tc>
        <w:tc>
          <w:tcPr>
            <w:tcW w:w="1813" w:type="dxa"/>
          </w:tcPr>
          <w:p w14:paraId="2E89E7A0" w14:textId="77777777" w:rsidR="00FC4F4B" w:rsidRDefault="00FC4F4B" w:rsidP="00E40494">
            <w:pPr>
              <w:rPr>
                <w:rFonts w:cstheme="minorHAnsi"/>
                <w:lang w:val="en-US"/>
              </w:rPr>
            </w:pPr>
            <w:r>
              <w:rPr>
                <w:rFonts w:cstheme="minorHAnsi"/>
                <w:lang w:val="en-US"/>
              </w:rPr>
              <w:t>1.6</w:t>
            </w:r>
          </w:p>
        </w:tc>
        <w:tc>
          <w:tcPr>
            <w:tcW w:w="1813" w:type="dxa"/>
          </w:tcPr>
          <w:p w14:paraId="7B87A63C" w14:textId="77777777" w:rsidR="00FC4F4B" w:rsidRDefault="00FC4F4B" w:rsidP="00E40494">
            <w:pPr>
              <w:rPr>
                <w:rFonts w:cstheme="minorHAnsi"/>
                <w:lang w:val="en-US"/>
              </w:rPr>
            </w:pPr>
            <w:r>
              <w:rPr>
                <w:rFonts w:cstheme="minorHAnsi"/>
                <w:lang w:val="en-US"/>
              </w:rPr>
              <w:t>68.4</w:t>
            </w:r>
          </w:p>
        </w:tc>
      </w:tr>
      <w:tr w:rsidR="00FC4F4B" w14:paraId="284C280C" w14:textId="77777777" w:rsidTr="00E40494">
        <w:tc>
          <w:tcPr>
            <w:tcW w:w="1812" w:type="dxa"/>
          </w:tcPr>
          <w:p w14:paraId="31EA57E4" w14:textId="77777777" w:rsidR="00FC4F4B" w:rsidRDefault="00FC4F4B" w:rsidP="00E40494">
            <w:pPr>
              <w:rPr>
                <w:rFonts w:cstheme="minorHAnsi"/>
                <w:lang w:val="en-US"/>
              </w:rPr>
            </w:pPr>
            <w:r>
              <w:rPr>
                <w:rFonts w:cstheme="minorHAnsi"/>
                <w:lang w:val="en-US"/>
              </w:rPr>
              <w:t>5</w:t>
            </w:r>
          </w:p>
        </w:tc>
        <w:tc>
          <w:tcPr>
            <w:tcW w:w="1812" w:type="dxa"/>
          </w:tcPr>
          <w:p w14:paraId="063A8B84" w14:textId="77777777" w:rsidR="00FC4F4B" w:rsidRDefault="00FC4F4B" w:rsidP="00E40494">
            <w:pPr>
              <w:rPr>
                <w:rFonts w:cstheme="minorHAnsi"/>
                <w:lang w:val="en-US"/>
              </w:rPr>
            </w:pPr>
            <w:r>
              <w:rPr>
                <w:rFonts w:cstheme="minorHAnsi"/>
                <w:lang w:val="en-US"/>
              </w:rPr>
              <w:t>Male</w:t>
            </w:r>
          </w:p>
        </w:tc>
        <w:tc>
          <w:tcPr>
            <w:tcW w:w="1812" w:type="dxa"/>
          </w:tcPr>
          <w:p w14:paraId="0F06F796" w14:textId="77777777" w:rsidR="00FC4F4B" w:rsidRDefault="00FC4F4B" w:rsidP="00E40494">
            <w:pPr>
              <w:rPr>
                <w:rFonts w:cstheme="minorHAnsi"/>
                <w:lang w:val="en-US"/>
              </w:rPr>
            </w:pPr>
            <w:r>
              <w:rPr>
                <w:rFonts w:cstheme="minorHAnsi"/>
                <w:lang w:val="en-US"/>
              </w:rPr>
              <w:t>45</w:t>
            </w:r>
          </w:p>
        </w:tc>
        <w:tc>
          <w:tcPr>
            <w:tcW w:w="1813" w:type="dxa"/>
          </w:tcPr>
          <w:p w14:paraId="1954E48D" w14:textId="77777777" w:rsidR="00FC4F4B" w:rsidRDefault="00FC4F4B" w:rsidP="00E40494">
            <w:pPr>
              <w:rPr>
                <w:rFonts w:cstheme="minorHAnsi"/>
                <w:lang w:val="en-US"/>
              </w:rPr>
            </w:pPr>
            <w:r>
              <w:rPr>
                <w:rFonts w:cstheme="minorHAnsi"/>
                <w:lang w:val="en-US"/>
              </w:rPr>
              <w:t>3.4</w:t>
            </w:r>
          </w:p>
        </w:tc>
        <w:tc>
          <w:tcPr>
            <w:tcW w:w="1813" w:type="dxa"/>
          </w:tcPr>
          <w:p w14:paraId="68D0AB65" w14:textId="77777777" w:rsidR="00FC4F4B" w:rsidRDefault="00FC4F4B" w:rsidP="00E40494">
            <w:pPr>
              <w:rPr>
                <w:rFonts w:cstheme="minorHAnsi"/>
                <w:lang w:val="en-US"/>
              </w:rPr>
            </w:pPr>
            <w:r>
              <w:rPr>
                <w:rFonts w:cstheme="minorHAnsi"/>
                <w:lang w:val="en-US"/>
              </w:rPr>
              <w:t>23.9</w:t>
            </w:r>
          </w:p>
        </w:tc>
      </w:tr>
      <w:tr w:rsidR="00FC4F4B" w14:paraId="69D19265" w14:textId="77777777" w:rsidTr="00E40494">
        <w:tc>
          <w:tcPr>
            <w:tcW w:w="1812" w:type="dxa"/>
          </w:tcPr>
          <w:p w14:paraId="0CA90C7C" w14:textId="77777777" w:rsidR="00FC4F4B" w:rsidRDefault="00FC4F4B" w:rsidP="00E40494">
            <w:pPr>
              <w:rPr>
                <w:rFonts w:cstheme="minorHAnsi"/>
                <w:lang w:val="en-US"/>
              </w:rPr>
            </w:pPr>
            <w:r>
              <w:rPr>
                <w:rFonts w:cstheme="minorHAnsi"/>
                <w:lang w:val="en-US"/>
              </w:rPr>
              <w:t>6</w:t>
            </w:r>
          </w:p>
        </w:tc>
        <w:tc>
          <w:tcPr>
            <w:tcW w:w="1812" w:type="dxa"/>
          </w:tcPr>
          <w:p w14:paraId="4C50A665" w14:textId="77777777" w:rsidR="00FC4F4B" w:rsidRDefault="00FC4F4B" w:rsidP="00E40494">
            <w:pPr>
              <w:rPr>
                <w:rFonts w:cstheme="minorHAnsi"/>
                <w:lang w:val="en-US"/>
              </w:rPr>
            </w:pPr>
            <w:r>
              <w:rPr>
                <w:rFonts w:cstheme="minorHAnsi"/>
                <w:lang w:val="en-US"/>
              </w:rPr>
              <w:t>Male</w:t>
            </w:r>
          </w:p>
        </w:tc>
        <w:tc>
          <w:tcPr>
            <w:tcW w:w="1812" w:type="dxa"/>
          </w:tcPr>
          <w:p w14:paraId="4D0C571E" w14:textId="77777777" w:rsidR="00FC4F4B" w:rsidRDefault="00FC4F4B" w:rsidP="00E40494">
            <w:pPr>
              <w:rPr>
                <w:rFonts w:cstheme="minorHAnsi"/>
                <w:lang w:val="en-US"/>
              </w:rPr>
            </w:pPr>
            <w:r>
              <w:rPr>
                <w:rFonts w:cstheme="minorHAnsi"/>
                <w:lang w:val="en-US"/>
              </w:rPr>
              <w:t>46</w:t>
            </w:r>
          </w:p>
        </w:tc>
        <w:tc>
          <w:tcPr>
            <w:tcW w:w="1813" w:type="dxa"/>
          </w:tcPr>
          <w:p w14:paraId="6D76FF59" w14:textId="77777777" w:rsidR="00FC4F4B" w:rsidRDefault="00FC4F4B" w:rsidP="00E40494">
            <w:pPr>
              <w:rPr>
                <w:rFonts w:cstheme="minorHAnsi"/>
                <w:lang w:val="en-US"/>
              </w:rPr>
            </w:pPr>
            <w:r>
              <w:rPr>
                <w:rFonts w:cstheme="minorHAnsi"/>
                <w:lang w:val="en-US"/>
              </w:rPr>
              <w:t>5.2</w:t>
            </w:r>
          </w:p>
        </w:tc>
        <w:tc>
          <w:tcPr>
            <w:tcW w:w="1813" w:type="dxa"/>
          </w:tcPr>
          <w:p w14:paraId="092EF74A" w14:textId="77777777" w:rsidR="00FC4F4B" w:rsidRDefault="00FC4F4B" w:rsidP="00E40494">
            <w:pPr>
              <w:rPr>
                <w:rFonts w:cstheme="minorHAnsi"/>
                <w:lang w:val="en-US"/>
              </w:rPr>
            </w:pPr>
            <w:r>
              <w:rPr>
                <w:rFonts w:cstheme="minorHAnsi"/>
                <w:lang w:val="en-US"/>
              </w:rPr>
              <w:t>14.2</w:t>
            </w:r>
          </w:p>
        </w:tc>
      </w:tr>
    </w:tbl>
    <w:p w14:paraId="27EA1598" w14:textId="77777777" w:rsidR="00FC4F4B" w:rsidRDefault="00FC4F4B" w:rsidP="00FC4F4B">
      <w:pPr>
        <w:rPr>
          <w:rFonts w:cstheme="minorHAnsi"/>
          <w:lang w:val="en-US"/>
        </w:rPr>
      </w:pPr>
    </w:p>
    <w:p w14:paraId="5A4B2715" w14:textId="77777777" w:rsidR="00FC4F4B" w:rsidRPr="00E50A46" w:rsidRDefault="00FC4F4B" w:rsidP="00FC4F4B">
      <w:pPr>
        <w:rPr>
          <w:rFonts w:cstheme="minorHAnsi"/>
          <w:lang w:val="en-US"/>
        </w:rPr>
      </w:pPr>
      <w:r>
        <w:rPr>
          <w:rFonts w:cstheme="minorHAnsi"/>
          <w:lang w:val="en-US"/>
        </w:rPr>
        <w:lastRenderedPageBreak/>
        <w:t>Average CKD-EPI is 31.4 ml/min/1.73 m</w:t>
      </w:r>
      <w:r w:rsidRPr="00FB72D0">
        <w:rPr>
          <w:rFonts w:cstheme="minorHAnsi"/>
          <w:vertAlign w:val="superscript"/>
          <w:lang w:val="en-US"/>
        </w:rPr>
        <w:t>2</w:t>
      </w:r>
      <w:r w:rsidRPr="00FB72D0">
        <w:rPr>
          <w:rFonts w:cstheme="minorHAnsi"/>
          <w:lang w:val="en-US"/>
        </w:rPr>
        <w:t>.</w:t>
      </w:r>
      <w:r>
        <w:rPr>
          <w:rFonts w:cstheme="minorHAnsi"/>
          <w:lang w:val="en-US"/>
        </w:rPr>
        <w:t xml:space="preserve"> </w:t>
      </w:r>
    </w:p>
    <w:p w14:paraId="102739AE" w14:textId="77777777" w:rsidR="00FC4F4B" w:rsidRPr="00121BF0" w:rsidRDefault="00FC4F4B" w:rsidP="00FC4F4B">
      <w:pPr>
        <w:rPr>
          <w:rFonts w:cstheme="minorHAnsi"/>
          <w:b/>
          <w:bCs/>
          <w:lang w:val="en-US"/>
        </w:rPr>
      </w:pPr>
      <w:r w:rsidRPr="00121BF0">
        <w:rPr>
          <w:rFonts w:cstheme="minorHAnsi"/>
          <w:b/>
          <w:bCs/>
          <w:lang w:val="en-US"/>
        </w:rPr>
        <w:t>Results:</w:t>
      </w:r>
    </w:p>
    <w:p w14:paraId="4BDC9503" w14:textId="77777777" w:rsidR="00FC4F4B" w:rsidRPr="00E50A46" w:rsidRDefault="00FC4F4B" w:rsidP="00FC4F4B">
      <w:pPr>
        <w:rPr>
          <w:noProof/>
          <w:lang w:val="en-US"/>
        </w:rPr>
      </w:pPr>
      <w:r>
        <w:rPr>
          <w:noProof/>
          <w:lang w:eastAsia="nl-NL"/>
        </w:rPr>
        <w:drawing>
          <wp:anchor distT="0" distB="0" distL="114300" distR="114300" simplePos="0" relativeHeight="251674624" behindDoc="0" locked="0" layoutInCell="1" allowOverlap="1" wp14:anchorId="1EEF0A93" wp14:editId="53757441">
            <wp:simplePos x="0" y="0"/>
            <wp:positionH relativeFrom="column">
              <wp:posOffset>-635</wp:posOffset>
            </wp:positionH>
            <wp:positionV relativeFrom="paragraph">
              <wp:posOffset>80645</wp:posOffset>
            </wp:positionV>
            <wp:extent cx="2788920" cy="1394460"/>
            <wp:effectExtent l="0" t="0" r="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88920" cy="1394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0A46">
        <w:rPr>
          <w:noProof/>
          <w:lang w:val="en-US"/>
        </w:rPr>
        <w:t xml:space="preserve"> </w:t>
      </w:r>
      <w:r w:rsidRPr="00E50A46">
        <w:rPr>
          <w:noProof/>
          <w:lang w:eastAsia="nl-NL"/>
        </w:rPr>
        <w:drawing>
          <wp:inline distT="0" distB="0" distL="0" distR="0" wp14:anchorId="5BF9CD0F" wp14:editId="193CA46C">
            <wp:extent cx="2606040" cy="1611678"/>
            <wp:effectExtent l="0" t="0" r="3810" b="762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666426" cy="1649023"/>
                    </a:xfrm>
                    <a:prstGeom prst="rect">
                      <a:avLst/>
                    </a:prstGeom>
                  </pic:spPr>
                </pic:pic>
              </a:graphicData>
            </a:graphic>
          </wp:inline>
        </w:drawing>
      </w:r>
    </w:p>
    <w:p w14:paraId="684D74E5" w14:textId="77777777" w:rsidR="00FC4F4B" w:rsidRDefault="00FC4F4B" w:rsidP="00FC4F4B">
      <w:pPr>
        <w:rPr>
          <w:rFonts w:cstheme="minorHAnsi"/>
          <w:lang w:val="en-US"/>
        </w:rPr>
      </w:pPr>
      <w:r>
        <w:rPr>
          <w:rFonts w:cstheme="minorHAnsi"/>
          <w:lang w:val="en-US"/>
        </w:rPr>
        <w:t>Observed median peak is well predicted. Elimination phase seems to best correlate with 50%-75% CL group. Two ‘outliers’ probably correspond to the two patients with CKD-EPI of 54 and 68 ml/min/1.73m2 (although not reported), which resembles the 100% line. The other patients had severe renal impairment (5.3 -  23.9 ml/min/1.73 m</w:t>
      </w:r>
      <w:r w:rsidRPr="001F285E">
        <w:rPr>
          <w:rFonts w:cstheme="minorHAnsi"/>
          <w:vertAlign w:val="superscript"/>
          <w:lang w:val="en-US"/>
        </w:rPr>
        <w:t>2</w:t>
      </w:r>
      <w:r>
        <w:rPr>
          <w:rFonts w:cstheme="minorHAnsi"/>
          <w:lang w:val="en-US"/>
        </w:rPr>
        <w:t xml:space="preserve">). </w:t>
      </w:r>
    </w:p>
    <w:p w14:paraId="7E8A691A" w14:textId="53DC16B8" w:rsidR="00FC4F4B" w:rsidRPr="003F516A" w:rsidRDefault="00FC4F4B" w:rsidP="00FC4F4B">
      <w:pPr>
        <w:rPr>
          <w:rFonts w:cstheme="minorHAnsi"/>
          <w:i/>
          <w:iCs/>
          <w:lang w:val="en-US"/>
        </w:rPr>
      </w:pPr>
      <w:r w:rsidRPr="003F516A">
        <w:rPr>
          <w:rFonts w:cstheme="minorHAnsi"/>
          <w:i/>
          <w:iCs/>
          <w:lang w:val="en-US"/>
        </w:rPr>
        <w:t xml:space="preserve">Conclusion: We conclude that CL for patients with a chronic renal insufficiency is well predicted by the model by Zhao et al when we vary clearance between 100-50%. Except for one patient (presumably the patient with a CKD-EPI of 5.4 ml/min), it seems that the profile is best predicted by the -25% clearance (CL = 75%) profile. This result seems in line with the reported renal elimination of 33 – 50% of total CQ clearance </w:t>
      </w:r>
      <w:r w:rsidRPr="003F516A">
        <w:rPr>
          <w:rFonts w:cstheme="minorHAnsi"/>
          <w:i/>
          <w:iCs/>
          <w:lang w:val="en-US"/>
        </w:rPr>
        <w:fldChar w:fldCharType="begin" w:fldLock="1"/>
      </w:r>
      <w:r>
        <w:rPr>
          <w:rFonts w:cstheme="minorHAnsi"/>
          <w:i/>
          <w:iCs/>
          <w:lang w:val="en-US"/>
        </w:rPr>
        <w:instrText>ADDIN CSL_CITATION {"citationItems":[{"id":"ITEM-1","itemData":{"DOI":"10.1111/j.1365-2125.1983.tb01532.x","ISSN":"0306-5251","PMID":"6849784","abstract":"1 Chloroquine was given in 300 mg single doses as an i.v. infusion, an oral solution and as tablets at intervals of at least 56 days to 11 healthy volunteers. Concentrations of chloroquine and its metabolite desethylchloroquine were measured in plasma, erythrocytes and urine using h.p.l.c. 2 Chloroquine was detectable in all plasma samples up to 23 days and occasionally up to 52 days after dosage. Urinary concentrations were monitored up to 119 days. The disposition pattern was multiexponential reflecting extensive tissue binding of the drug. 3 After i.v. dosing the volume of distribution ranged from 116 to 285 l/kg and the apparent terminal half-life from 146 to 333 h. Total plasma clearance +/- s.d. was 712 +/- 166 ml/min and renal clearance 412 +/- 139 ml/min. The mean estimated urinary recovery of chloroquine was 47%, 42% and 46% after i.v., oral solution and tablets indicating nearly complete bioavailability. The corresponding figures for the metabolite were 7%, 10% and 12%. 4 The disposition of chloroquine in erythrocytes was parallel to that in plasma. The concentrations in erythrocytes were consistently 2 to 5 times higher than in plasma. 5 Subjective side effects like difficulties with swallowing and accommodation, diplopia and fatigue occurred during intravenous infusion and were closely related to plasma concentrations. No effect was seen on the electrocardiogram, mean arterial blood pressure and pulse rate. No adverse reactions were observed after the oral doses. High frequency audiometry did not reveal any significant hearing impairment for the group as a whole.","author":[{"dropping-particle":"","family":"Gustafsson","given":"L L","non-dropping-particle":"","parse-names":false,"suffix":""},{"dropping-particle":"","family":"Walker","given":"O","non-dropping-particle":"","parse-names":false,"suffix":""},{"dropping-particle":"","family":"Alván","given":"G","non-dropping-particle":"","parse-names":false,"suffix":""},{"dropping-particle":"","family":"Beermann","given":"B","non-dropping-particle":"","parse-names":false,"suffix":""},{"dropping-particle":"","family":"Estevez","given":"F","non-dropping-particle":"","parse-names":false,"suffix":""},{"dropping-particle":"","family":"Gleisner","given":"L","non-dropping-particle":"","parse-names":false,"suffix":""},{"dropping-particle":"","family":"Lindström","given":"B","non-dropping-particle":"","parse-names":false,"suffix":""},{"dropping-particle":"","family":"Sjöqvist","given":"F","non-dropping-particle":"","parse-names":false,"suffix":""}],"container-title":"British journal of clinical pharmacology","id":"ITEM-1","issue":"4","issued":{"date-parts":[["1983","4"]]},"page":"471-9","title":"Disposition of chloroquine in man after single intravenous and oral doses.","type":"article-journal","volume":"15"},"uris":["http://www.mendeley.com/documents/?uuid=e3038a8e-f3ce-4e09-b191-25acf6903083"]},{"id":"ITEM-2","itemData":{"DOI":"10.1007/bf00607097","ISSN":"0031-6970","PMID":"6603979","abstract":"The steady state disposition of chloroquine and its major metabolites, monodesethyl and bidesethyl chloroquine, were determined in 6 patients on long-term treatment for rheumatic disease with 99-155 mg base/day. The total body clearance of chloroquine was 0.35 l/kg/h and that of its metabolites was much higher. The renal clearance was the same for all compounds measured, approximately equal to 0.1 l/kg/h. Currently recommended dosage schedules appear to be too high in certain cases.","author":[{"dropping-particle":"","family":"Frisk-Holmberg","given":"M","non-dropping-particle":"","parse-names":false,"suffix":""},{"dropping-particle":"","family":"Bergqvist","given":"Y","non-dropping-particle":"","parse-names":false,"suffix":""},{"dropping-particle":"","family":"Domeij-Nyberg","given":"B","non-dropping-particle":"","parse-names":false,"suffix":""}],"container-title":"European journal of clinical pharmacology","id":"ITEM-2","issue":"6","issued":{"date-parts":[["1983"]]},"page":"837-9","title":"Steady state disposition of chloroquine in patients with rheumatoid disease.","type":"article-journal","volume":"24"},"uris":["http://www.mendeley.com/documents/?uuid=a6b8458f-3f63-457a-97f0-f756ed3fdf16"]}],"mendeley":{"formattedCitation":"[21,22]","plainTextFormattedCitation":"[21,22]","previouslyFormattedCitation":"[21,22]"},"properties":{"noteIndex":0},"schema":"https://github.com/citation-style-language/schema/raw/master/csl-citation.json"}</w:instrText>
      </w:r>
      <w:r w:rsidRPr="003F516A">
        <w:rPr>
          <w:rFonts w:cstheme="minorHAnsi"/>
          <w:i/>
          <w:iCs/>
          <w:lang w:val="en-US"/>
        </w:rPr>
        <w:fldChar w:fldCharType="separate"/>
      </w:r>
      <w:r w:rsidRPr="00110471">
        <w:rPr>
          <w:rFonts w:cstheme="minorHAnsi"/>
          <w:iCs/>
          <w:noProof/>
          <w:lang w:val="en-US"/>
        </w:rPr>
        <w:t>[21,22]</w:t>
      </w:r>
      <w:r w:rsidRPr="003F516A">
        <w:rPr>
          <w:rFonts w:cstheme="minorHAnsi"/>
          <w:i/>
          <w:iCs/>
          <w:lang w:val="en-US"/>
        </w:rPr>
        <w:fldChar w:fldCharType="end"/>
      </w:r>
      <w:r w:rsidRPr="003F516A">
        <w:rPr>
          <w:rFonts w:cstheme="minorHAnsi"/>
          <w:i/>
          <w:iCs/>
          <w:lang w:val="en-US"/>
        </w:rPr>
        <w:t xml:space="preserve"> and a 38% excretion of unchanged chloroquine in urine </w:t>
      </w:r>
      <w:r w:rsidRPr="003F516A">
        <w:rPr>
          <w:rFonts w:cstheme="minorHAnsi"/>
          <w:i/>
          <w:iCs/>
          <w:lang w:val="en-US"/>
        </w:rPr>
        <w:fldChar w:fldCharType="begin" w:fldLock="1"/>
      </w:r>
      <w:r>
        <w:rPr>
          <w:rFonts w:cstheme="minorHAnsi"/>
          <w:i/>
          <w:iCs/>
          <w:lang w:val="en-US"/>
        </w:rPr>
        <w:instrText>ADDIN CSL_CITATION {"citationItems":[{"id":"ITEM-1","itemData":{"DOI":"10.1007/bf00607097","ISSN":"0031-6970","PMID":"6603979","abstract":"The steady state disposition of chloroquine and its major metabolites, monodesethyl and bidesethyl chloroquine, were determined in 6 patients on long-term treatment for rheumatic disease with 99-155 mg base/day. The total body clearance of chloroquine was 0.35 l/kg/h and that of its metabolites was much higher. The renal clearance was the same for all compounds measured, approximately equal to 0.1 l/kg/h. Currently recommended dosage schedules appear to be too high in certain cases.","author":[{"dropping-particle":"","family":"Frisk-Holmberg","given":"M","non-dropping-particle":"","parse-names":false,"suffix":""},{"dropping-particle":"","family":"Bergqvist","given":"Y","non-dropping-particle":"","parse-names":false,"suffix":""},{"dropping-particle":"","family":"Domeij-Nyberg","given":"B","non-dropping-particle":"","parse-names":false,"suffix":""}],"container-title":"European journal of clinical pharmacology","id":"ITEM-1","issue":"6","issued":{"date-parts":[["1983"]]},"page":"837-9","title":"Steady state disposition of chloroquine in patients with rheumatoid disease.","type":"article-journal","volume":"24"},"uris":["http://www.mendeley.com/documents/?uuid=a6b8458f-3f63-457a-97f0-f756ed3fdf16"]}],"mendeley":{"formattedCitation":"[22]","plainTextFormattedCitation":"[22]","previouslyFormattedCitation":"[22]"},"properties":{"noteIndex":0},"schema":"https://github.com/citation-style-language/schema/raw/master/csl-citation.json"}</w:instrText>
      </w:r>
      <w:r w:rsidRPr="003F516A">
        <w:rPr>
          <w:rFonts w:cstheme="minorHAnsi"/>
          <w:i/>
          <w:iCs/>
          <w:lang w:val="en-US"/>
        </w:rPr>
        <w:fldChar w:fldCharType="separate"/>
      </w:r>
      <w:r w:rsidRPr="00110471">
        <w:rPr>
          <w:rFonts w:cstheme="minorHAnsi"/>
          <w:iCs/>
          <w:noProof/>
          <w:lang w:val="en-US"/>
        </w:rPr>
        <w:t>[22]</w:t>
      </w:r>
      <w:r w:rsidRPr="003F516A">
        <w:rPr>
          <w:rFonts w:cstheme="minorHAnsi"/>
          <w:i/>
          <w:iCs/>
          <w:lang w:val="en-US"/>
        </w:rPr>
        <w:fldChar w:fldCharType="end"/>
      </w:r>
      <w:r w:rsidRPr="003F516A">
        <w:rPr>
          <w:rFonts w:cstheme="minorHAnsi"/>
          <w:i/>
          <w:iCs/>
          <w:lang w:val="en-US"/>
        </w:rPr>
        <w:t>. Therefore, a CL reduction of 25% (CL = 75%) for patients with renal functions between 10 and 50 ml/min/1.73 m</w:t>
      </w:r>
      <w:r w:rsidRPr="003F516A">
        <w:rPr>
          <w:rFonts w:cstheme="minorHAnsi"/>
          <w:i/>
          <w:iCs/>
          <w:vertAlign w:val="superscript"/>
          <w:lang w:val="en-US"/>
        </w:rPr>
        <w:t>2</w:t>
      </w:r>
      <w:r w:rsidRPr="003F516A">
        <w:rPr>
          <w:rFonts w:cstheme="minorHAnsi"/>
          <w:i/>
          <w:iCs/>
          <w:lang w:val="en-US"/>
        </w:rPr>
        <w:t xml:space="preserve"> seems reasonable. </w:t>
      </w:r>
    </w:p>
    <w:p w14:paraId="63DEED2E" w14:textId="24DDF2BA" w:rsidR="00FC4F4B" w:rsidRPr="00C374A8" w:rsidRDefault="00FC4F4B" w:rsidP="00FC4F4B">
      <w:pPr>
        <w:rPr>
          <w:rFonts w:cstheme="minorHAnsi"/>
          <w:b/>
          <w:bCs/>
          <w:lang w:val="en-US"/>
        </w:rPr>
      </w:pPr>
      <w:r w:rsidRPr="00C374A8">
        <w:rPr>
          <w:rFonts w:cstheme="minorHAnsi"/>
          <w:b/>
          <w:bCs/>
          <w:lang w:val="en-US"/>
        </w:rPr>
        <w:t xml:space="preserve">Adelusi </w:t>
      </w:r>
      <w:r>
        <w:rPr>
          <w:rFonts w:cstheme="minorHAnsi"/>
          <w:b/>
          <w:bCs/>
          <w:lang w:val="en-US"/>
        </w:rPr>
        <w:t>et al</w:t>
      </w:r>
      <w:r w:rsidRPr="00C374A8">
        <w:rPr>
          <w:rFonts w:cstheme="minorHAnsi"/>
          <w:b/>
          <w:bCs/>
          <w:lang w:val="en-US"/>
        </w:rPr>
        <w:t xml:space="preserve"> 1982 </w:t>
      </w:r>
      <w:r>
        <w:rPr>
          <w:rFonts w:cstheme="minorHAnsi"/>
          <w:b/>
          <w:bCs/>
        </w:rPr>
        <w:fldChar w:fldCharType="begin" w:fldLock="1"/>
      </w:r>
      <w:r>
        <w:rPr>
          <w:rFonts w:cstheme="minorHAnsi"/>
          <w:b/>
          <w:bCs/>
          <w:lang w:val="en-US"/>
        </w:rPr>
        <w:instrText>ADDIN CSL_CITATION {"citationItems":[{"id":"ITEM-1","itemData":{"DOI":"10.1111/j.1365-2125.1982.tb02016.x","ISSN":"13652125","abstract":"1 Ten children with Plasmodium falciparum malaria were treated with 25 mg/kg chloroquine over 3 days and observed for 7 days. 2 Chloroquine was determined in the red blood cells and plasma, and the red blood cell/plasma chloroquine concentration ratio was correlated with the disappearance of the parasites from the blood. It was found that this ratio decreased with the disappearance of the parasites and remained almost steady after the parasites had disappeared completely from the blood. 3 The half‐life (t1/2) and the elimination rate constant of the ‘terminal’ elimination slope (lambda beta) of the plasma log concentration‐time curve were estimated to be 135.9 +/‐ 9.92 h and 0.005 +/‐ 0.001 h‐1 (s.d.) respectively. 4 The t1/2 and lambda beta calculated from the red blood cell log concentration‐time curve were not significantly different from the corresponding values calculated from the plasma log concentration‐time curve. 1982 The British Pharmacological Society","author":[{"dropping-particle":"","family":"Adelusi","given":"SA","non-dropping-particle":"","parse-names":false,"suffix":""},{"dropping-particle":"","family":"Dawodu","given":"AH","non-dropping-particle":"","parse-names":false,"suffix":""},{"dropping-particle":"","family":"Salako","given":"LA","non-dropping-particle":"","parse-names":false,"suffix":""}],"container-title":"British Journal of Clinical Pharmacology","id":"ITEM-1","issue":"4","issued":{"date-parts":[["1982"]]},"page":"483-487","title":"Kinetics of the uptake and elimination of chloroquine in children with malaria.","type":"article-journal","volume":"14"},"uris":["http://www.mendeley.com/documents/?uuid=6131fc34-88ce-415a-9d2e-a7cbf3ebdb71"]}],"mendeley":{"formattedCitation":"[8]","plainTextFormattedCitation":"[8]","previouslyFormattedCitation":"[8]"},"properties":{"noteIndex":0},"schema":"https://github.com/citation-style-language/schema/raw/master/csl-citation.json"}</w:instrText>
      </w:r>
      <w:r>
        <w:rPr>
          <w:rFonts w:cstheme="minorHAnsi"/>
          <w:b/>
          <w:bCs/>
        </w:rPr>
        <w:fldChar w:fldCharType="separate"/>
      </w:r>
      <w:r w:rsidRPr="00BD7649">
        <w:rPr>
          <w:rFonts w:cstheme="minorHAnsi"/>
          <w:bCs/>
          <w:noProof/>
          <w:lang w:val="en-US"/>
        </w:rPr>
        <w:t>[8]</w:t>
      </w:r>
      <w:r>
        <w:rPr>
          <w:rFonts w:cstheme="minorHAnsi"/>
          <w:b/>
          <w:bCs/>
        </w:rPr>
        <w:fldChar w:fldCharType="end"/>
      </w:r>
    </w:p>
    <w:p w14:paraId="7A3DF4EB" w14:textId="77777777" w:rsidR="00FC4F4B" w:rsidRDefault="00FC4F4B" w:rsidP="00FC4F4B">
      <w:pPr>
        <w:rPr>
          <w:rFonts w:cstheme="minorHAnsi"/>
          <w:color w:val="212121"/>
          <w:shd w:val="clear" w:color="auto" w:fill="FFFFFF"/>
          <w:lang w:val="en-US"/>
        </w:rPr>
      </w:pPr>
      <w:r w:rsidRPr="00C62955">
        <w:rPr>
          <w:rFonts w:cstheme="minorHAnsi"/>
          <w:color w:val="212121"/>
          <w:shd w:val="clear" w:color="auto" w:fill="FFFFFF"/>
          <w:lang w:val="en-US"/>
        </w:rPr>
        <w:t>Adelusi SA, Dawodu AH, Salako LA. Kinetics of the uptake and elimination of chloroquine in children with malaria. Br J Clin Pharmacol. 1982;14(4):483–487. doi:10.1111/j.1365-2125.1982.tb02016.x</w:t>
      </w:r>
    </w:p>
    <w:p w14:paraId="35E9DB33" w14:textId="77777777" w:rsidR="00FC4F4B" w:rsidRPr="00121BF0" w:rsidRDefault="00FC4F4B" w:rsidP="00FC4F4B">
      <w:pPr>
        <w:rPr>
          <w:rFonts w:cstheme="minorHAnsi"/>
          <w:b/>
          <w:bCs/>
          <w:lang w:val="en-US"/>
        </w:rPr>
      </w:pPr>
      <w:r w:rsidRPr="00121BF0">
        <w:rPr>
          <w:rFonts w:cstheme="minorHAnsi"/>
          <w:b/>
          <w:bCs/>
          <w:lang w:val="en-US"/>
        </w:rPr>
        <w:t>Dose and patient characteristics:</w:t>
      </w:r>
    </w:p>
    <w:p w14:paraId="678B08DE" w14:textId="77777777" w:rsidR="00FC4F4B" w:rsidRPr="00121BF0" w:rsidRDefault="00FC4F4B" w:rsidP="00FC4F4B">
      <w:pPr>
        <w:rPr>
          <w:rFonts w:cstheme="minorHAnsi"/>
          <w:lang w:val="en-US"/>
        </w:rPr>
      </w:pPr>
      <w:r w:rsidRPr="00121BF0">
        <w:rPr>
          <w:rFonts w:cstheme="minorHAnsi"/>
          <w:lang w:val="en-US"/>
        </w:rPr>
        <w:t>Dose regimen used in the study:</w:t>
      </w:r>
    </w:p>
    <w:p w14:paraId="5BE02894" w14:textId="77777777" w:rsidR="00FC4F4B" w:rsidRPr="00C62955" w:rsidRDefault="00FC4F4B" w:rsidP="00FC4F4B">
      <w:pPr>
        <w:rPr>
          <w:rFonts w:cstheme="minorHAnsi"/>
          <w:lang w:val="en-US"/>
        </w:rPr>
      </w:pPr>
      <w:r w:rsidRPr="00C62955">
        <w:rPr>
          <w:rFonts w:cstheme="minorHAnsi"/>
          <w:lang w:val="en-US"/>
        </w:rPr>
        <w:t>Each child received a total of 25 mg/kg chloroquine</w:t>
      </w:r>
      <w:r>
        <w:rPr>
          <w:rFonts w:cstheme="minorHAnsi"/>
          <w:lang w:val="en-US"/>
        </w:rPr>
        <w:t xml:space="preserve"> </w:t>
      </w:r>
      <w:r w:rsidRPr="00C62955">
        <w:rPr>
          <w:rFonts w:cstheme="minorHAnsi"/>
          <w:lang w:val="en-US"/>
        </w:rPr>
        <w:t>base over 3 days according to the following</w:t>
      </w:r>
    </w:p>
    <w:p w14:paraId="4181A03D" w14:textId="77777777" w:rsidR="00FC4F4B" w:rsidRDefault="00FC4F4B" w:rsidP="00FC4F4B">
      <w:pPr>
        <w:rPr>
          <w:rFonts w:cstheme="minorHAnsi"/>
          <w:lang w:val="en-US"/>
        </w:rPr>
      </w:pPr>
      <w:r w:rsidRPr="00C62955">
        <w:rPr>
          <w:rFonts w:cstheme="minorHAnsi"/>
          <w:lang w:val="en-US"/>
        </w:rPr>
        <w:t>Schedule</w:t>
      </w:r>
      <w:r>
        <w:rPr>
          <w:rFonts w:cstheme="minorHAnsi"/>
          <w:lang w:val="en-US"/>
        </w:rPr>
        <w:t xml:space="preserve">: </w:t>
      </w:r>
      <w:r w:rsidRPr="00C62955">
        <w:rPr>
          <w:rFonts w:cstheme="minorHAnsi"/>
          <w:lang w:val="en-US"/>
        </w:rPr>
        <w:t>10 mg/kg on the first and second days and</w:t>
      </w:r>
      <w:r>
        <w:rPr>
          <w:rFonts w:cstheme="minorHAnsi"/>
          <w:lang w:val="en-US"/>
        </w:rPr>
        <w:t xml:space="preserve"> </w:t>
      </w:r>
      <w:r w:rsidRPr="00C62955">
        <w:rPr>
          <w:rFonts w:cstheme="minorHAnsi"/>
          <w:lang w:val="en-US"/>
        </w:rPr>
        <w:t>5 mg/kg on the third day.</w:t>
      </w:r>
    </w:p>
    <w:p w14:paraId="24ED2246" w14:textId="77777777" w:rsidR="00FC4F4B" w:rsidRDefault="00FC4F4B" w:rsidP="00FC4F4B">
      <w:pPr>
        <w:rPr>
          <w:rFonts w:cstheme="minorHAnsi"/>
          <w:lang w:val="en-US"/>
        </w:rPr>
      </w:pPr>
      <w:r w:rsidRPr="00121BF0">
        <w:rPr>
          <w:rFonts w:cstheme="minorHAnsi"/>
          <w:lang w:val="en-US"/>
        </w:rPr>
        <w:t xml:space="preserve">Patient characteristics: </w:t>
      </w:r>
      <w:r>
        <w:rPr>
          <w:rFonts w:cstheme="minorHAnsi"/>
          <w:lang w:val="en-US"/>
        </w:rPr>
        <w:t>Children 6 m – 6years with malaria (Nigeria). Mean weight or age not reported. Therefore we simulate 2 children: 6 kg and 12 kg.</w:t>
      </w:r>
    </w:p>
    <w:p w14:paraId="3848904D" w14:textId="77777777" w:rsidR="00FC4F4B" w:rsidRDefault="00FC4F4B" w:rsidP="00FC4F4B">
      <w:pPr>
        <w:rPr>
          <w:rFonts w:cstheme="minorHAnsi"/>
          <w:lang w:val="en-US"/>
        </w:rPr>
      </w:pPr>
      <w:r>
        <w:rPr>
          <w:rFonts w:cstheme="minorHAnsi"/>
          <w:lang w:val="en-US"/>
        </w:rPr>
        <w:t>Matrix: plasma</w:t>
      </w:r>
    </w:p>
    <w:p w14:paraId="6F0D2875" w14:textId="77777777" w:rsidR="003E5779" w:rsidRDefault="003E5779">
      <w:pPr>
        <w:rPr>
          <w:rFonts w:cstheme="minorHAnsi"/>
          <w:b/>
          <w:bCs/>
          <w:lang w:val="en-US"/>
        </w:rPr>
      </w:pPr>
      <w:r>
        <w:rPr>
          <w:rFonts w:cstheme="minorHAnsi"/>
          <w:b/>
          <w:bCs/>
          <w:lang w:val="en-US"/>
        </w:rPr>
        <w:br w:type="page"/>
      </w:r>
    </w:p>
    <w:p w14:paraId="52D4AEA4" w14:textId="505BDBD4" w:rsidR="00FC4F4B" w:rsidRPr="00121BF0" w:rsidRDefault="00FC4F4B" w:rsidP="00FC4F4B">
      <w:pPr>
        <w:rPr>
          <w:rFonts w:cstheme="minorHAnsi"/>
          <w:b/>
          <w:bCs/>
          <w:lang w:val="en-US"/>
        </w:rPr>
      </w:pPr>
      <w:r w:rsidRPr="00121BF0">
        <w:rPr>
          <w:rFonts w:cstheme="minorHAnsi"/>
          <w:b/>
          <w:bCs/>
          <w:lang w:val="en-US"/>
        </w:rPr>
        <w:lastRenderedPageBreak/>
        <w:t>Results:</w:t>
      </w:r>
    </w:p>
    <w:p w14:paraId="443CAD28" w14:textId="77777777" w:rsidR="00FC4F4B" w:rsidRPr="00E50A46" w:rsidRDefault="00FC4F4B" w:rsidP="00FC4F4B">
      <w:pPr>
        <w:rPr>
          <w:noProof/>
          <w:lang w:val="en-US"/>
        </w:rPr>
      </w:pPr>
      <w:r>
        <w:rPr>
          <w:noProof/>
          <w:lang w:eastAsia="nl-NL"/>
        </w:rPr>
        <w:drawing>
          <wp:anchor distT="0" distB="0" distL="114300" distR="114300" simplePos="0" relativeHeight="251676672" behindDoc="0" locked="0" layoutInCell="1" allowOverlap="1" wp14:anchorId="1329CCFA" wp14:editId="45A961A5">
            <wp:simplePos x="0" y="0"/>
            <wp:positionH relativeFrom="column">
              <wp:posOffset>-107315</wp:posOffset>
            </wp:positionH>
            <wp:positionV relativeFrom="paragraph">
              <wp:posOffset>81915</wp:posOffset>
            </wp:positionV>
            <wp:extent cx="3234690" cy="2156460"/>
            <wp:effectExtent l="0" t="0" r="3810" b="0"/>
            <wp:wrapSquare wrapText="bothSides"/>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34690" cy="2156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0A46">
        <w:rPr>
          <w:noProof/>
          <w:lang w:val="en-US"/>
        </w:rPr>
        <w:t xml:space="preserve"> </w:t>
      </w:r>
      <w:r w:rsidRPr="00315FCD">
        <w:rPr>
          <w:noProof/>
          <w:lang w:eastAsia="nl-NL"/>
        </w:rPr>
        <w:drawing>
          <wp:inline distT="0" distB="0" distL="0" distR="0" wp14:anchorId="0E13D415" wp14:editId="29BBD4A4">
            <wp:extent cx="1973580" cy="2708568"/>
            <wp:effectExtent l="0" t="0" r="7620" b="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987554" cy="2727746"/>
                    </a:xfrm>
                    <a:prstGeom prst="rect">
                      <a:avLst/>
                    </a:prstGeom>
                  </pic:spPr>
                </pic:pic>
              </a:graphicData>
            </a:graphic>
          </wp:inline>
        </w:drawing>
      </w:r>
    </w:p>
    <w:p w14:paraId="66CBC0BB" w14:textId="77777777" w:rsidR="00FC4F4B" w:rsidRDefault="00FC4F4B" w:rsidP="00FC4F4B">
      <w:pPr>
        <w:rPr>
          <w:rFonts w:cstheme="minorHAnsi"/>
          <w:i/>
          <w:iCs/>
          <w:lang w:val="en-US"/>
        </w:rPr>
      </w:pPr>
      <w:r>
        <w:rPr>
          <w:rFonts w:cstheme="minorHAnsi"/>
          <w:i/>
          <w:iCs/>
          <w:noProof/>
          <w:lang w:eastAsia="nl-NL"/>
        </w:rPr>
        <w:drawing>
          <wp:anchor distT="0" distB="0" distL="114300" distR="114300" simplePos="0" relativeHeight="251677696" behindDoc="0" locked="0" layoutInCell="1" allowOverlap="1" wp14:anchorId="25D95519" wp14:editId="1DA2586E">
            <wp:simplePos x="0" y="0"/>
            <wp:positionH relativeFrom="column">
              <wp:posOffset>60325</wp:posOffset>
            </wp:positionH>
            <wp:positionV relativeFrom="paragraph">
              <wp:posOffset>240665</wp:posOffset>
            </wp:positionV>
            <wp:extent cx="2766060" cy="1844040"/>
            <wp:effectExtent l="0" t="0" r="0" b="3810"/>
            <wp:wrapSquare wrapText="bothSides"/>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66060" cy="18440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lang w:val="en-US"/>
        </w:rPr>
        <w:t xml:space="preserve">Observed median peak and elimination phase are well predicted (reference is line with black circles). </w:t>
      </w:r>
    </w:p>
    <w:p w14:paraId="31ADA0AC" w14:textId="77777777" w:rsidR="00FC4F4B" w:rsidRDefault="00FC4F4B" w:rsidP="00FC4F4B">
      <w:pPr>
        <w:rPr>
          <w:rFonts w:cstheme="minorHAnsi"/>
          <w:i/>
          <w:iCs/>
          <w:lang w:val="en-US"/>
        </w:rPr>
      </w:pPr>
      <w:r w:rsidRPr="00315FCD">
        <w:rPr>
          <w:rFonts w:cstheme="minorHAnsi"/>
          <w:i/>
          <w:iCs/>
          <w:noProof/>
          <w:lang w:eastAsia="nl-NL"/>
        </w:rPr>
        <w:drawing>
          <wp:inline distT="0" distB="0" distL="0" distR="0" wp14:anchorId="78273E36" wp14:editId="148A9E0C">
            <wp:extent cx="2631998" cy="1797604"/>
            <wp:effectExtent l="0" t="0" r="0" b="0"/>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669213" cy="1823021"/>
                    </a:xfrm>
                    <a:prstGeom prst="rect">
                      <a:avLst/>
                    </a:prstGeom>
                  </pic:spPr>
                </pic:pic>
              </a:graphicData>
            </a:graphic>
          </wp:inline>
        </w:drawing>
      </w:r>
    </w:p>
    <w:p w14:paraId="6CF9BF0C" w14:textId="77777777" w:rsidR="00FC4F4B" w:rsidRDefault="00FC4F4B" w:rsidP="00FC4F4B">
      <w:pPr>
        <w:rPr>
          <w:rFonts w:cstheme="minorHAnsi"/>
          <w:lang w:val="en-US"/>
        </w:rPr>
      </w:pPr>
      <w:r>
        <w:rPr>
          <w:rFonts w:cstheme="minorHAnsi"/>
          <w:lang w:val="en-US"/>
        </w:rPr>
        <w:t xml:space="preserve">Peaks and trough concentrations for the different doses are well predicted. Elimination phase seems to fit best with CL set to 50% (upper dashed and solid line). Differences may be caused by differences in assumed body weight between the observed population and simulated individuals. </w:t>
      </w:r>
    </w:p>
    <w:p w14:paraId="44232406" w14:textId="77777777" w:rsidR="00FC4F4B" w:rsidRPr="00C374A8" w:rsidRDefault="00FC4F4B" w:rsidP="00FC4F4B">
      <w:pPr>
        <w:rPr>
          <w:rFonts w:cstheme="minorHAnsi"/>
          <w:i/>
          <w:iCs/>
        </w:rPr>
      </w:pPr>
      <w:r>
        <w:rPr>
          <w:rFonts w:cstheme="minorHAnsi"/>
          <w:i/>
          <w:iCs/>
          <w:lang w:val="en-US"/>
        </w:rPr>
        <w:t xml:space="preserve">Conclusion: The Zhao et al model estimates observed concentrations in this population reasonably well.  However, the predicted decline seems to go faster than what is observed. With CL reduced to 50%, the simulated concentration fits better, while for the study of Walker et al </w:t>
      </w:r>
      <w:r>
        <w:rPr>
          <w:rFonts w:cstheme="minorHAnsi"/>
          <w:i/>
          <w:iCs/>
          <w:lang w:val="en-US"/>
        </w:rPr>
        <w:fldChar w:fldCharType="begin" w:fldLock="1"/>
      </w:r>
      <w:r>
        <w:rPr>
          <w:rFonts w:cstheme="minorHAnsi"/>
          <w:i/>
          <w:iCs/>
          <w:lang w:val="en-US"/>
        </w:rPr>
        <w:instrText>ADDIN CSL_CITATION {"citationItems":[{"id":"ITEM-1","itemData":{"DOI":"10.1111/j.1365-2125.1983.tb02244.x","ISSN":"13652125","abstract":"Twelve children with acute falciparum malaria were treated with 25 mg/kg chloroquine orally in three divided doses at 24 h intervals. Concentrations of chloroquine and its metabolite, desethylchloroquine, were measured in plasma from the beginning of treatment for up to 7 days using a high pressure liquid chromatography (h.p.l.c.) technique. Chloroquine was detectable in plasma within 30 min of giving the drug. Peak level was reached in 1‐8 h after the first dose of 10 mg/kg and the peak concentrations ranged between 65 and 263 ng/ml. Chloroquine concentration declined slowly in plasma after stopping drug administration so that the concentration at the seventh day was 37.5% of the concentration on the third day. The apparent half‐life was 3‐4 days. Desethylchloroquine was detectable in plasma within 30 min of giving chloroquine and peak levels were reached in 2‐12 h. Peak concentration after the first dose of chloroquine ranged between 9 and 62 ng/ml. Desethylchloroquine was also slowly cleared from plasma and mean concentration at the end of 7 days was 49% of the mean concentration at the end of 3 days. 1983 The British Pharmacological Society","author":[{"dropping-particle":"","family":"Walker","given":"O.","non-dropping-particle":"","parse-names":false,"suffix":""},{"dropping-particle":"","family":"Dawodu","given":"AH","non-dropping-particle":"","parse-names":false,"suffix":""},{"dropping-particle":"","family":"Adeyokunnu","given":"AA","non-dropping-particle":"","parse-names":false,"suffix":""},{"dropping-particle":"","family":"Salako","given":"LA","non-dropping-particle":"","parse-names":false,"suffix":""},{"dropping-particle":"","family":"Alvan","given":"G.","non-dropping-particle":"","parse-names":false,"suffix":""}],"container-title":"British Journal of Clinical Pharmacology","id":"ITEM-1","issue":"6","issued":{"date-parts":[["1983"]]},"page":"701-705","title":"Plasma chloroquine and desethylchloroquine concentrations in children during and after chloroquine treatment for malaria.","type":"article-journal","volume":"16"},"uris":["http://www.mendeley.com/documents/?uuid=dc547972-cf9b-44e3-9e7a-a7ac928cbeed"]}],"mendeley":{"formattedCitation":"[7]","plainTextFormattedCitation":"[7]","previouslyFormattedCitation":"[7]"},"properties":{"noteIndex":0},"schema":"https://github.com/citation-style-language/schema/raw/master/csl-citation.json"}</w:instrText>
      </w:r>
      <w:r>
        <w:rPr>
          <w:rFonts w:cstheme="minorHAnsi"/>
          <w:i/>
          <w:iCs/>
          <w:lang w:val="en-US"/>
        </w:rPr>
        <w:fldChar w:fldCharType="separate"/>
      </w:r>
      <w:r w:rsidRPr="00BD7649">
        <w:rPr>
          <w:rFonts w:cstheme="minorHAnsi"/>
          <w:iCs/>
          <w:noProof/>
          <w:lang w:val="en-US"/>
        </w:rPr>
        <w:t>[7]</w:t>
      </w:r>
      <w:r>
        <w:rPr>
          <w:rFonts w:cstheme="minorHAnsi"/>
          <w:i/>
          <w:iCs/>
          <w:lang w:val="en-US"/>
        </w:rPr>
        <w:fldChar w:fldCharType="end"/>
      </w:r>
      <w:r>
        <w:rPr>
          <w:rFonts w:cstheme="minorHAnsi"/>
          <w:i/>
          <w:iCs/>
          <w:lang w:val="en-US"/>
        </w:rPr>
        <w:t xml:space="preserve"> (children between 1 and 5 year) 75% CL led to a reasonable fit. As in the study by Adalusei et al children below 1 year of age were included, we conclude that for the population under 1 year Cl may be better predicted with CL set to 50% instead of 75% on top of the weight-based allometric scaling that is implemented in Zhao et al </w:t>
      </w:r>
      <w:r>
        <w:rPr>
          <w:rFonts w:cstheme="minorHAnsi"/>
          <w:i/>
          <w:iCs/>
          <w:lang w:val="en-US"/>
        </w:rPr>
        <w:fldChar w:fldCharType="begin" w:fldLock="1"/>
      </w:r>
      <w:r>
        <w:rPr>
          <w:rFonts w:cstheme="minorHAnsi"/>
          <w:i/>
          <w:iCs/>
          <w:lang w:val="en-US"/>
        </w:rPr>
        <w:instrText>ADDIN CSL_CITATION {"citationItems":[{"id":"ITEM-1","itemData":{"DOI":"10.1186/1475-2875-13-36","ISSN":"14752875","abstract":"Background: Population pharmacokinetics (PK) of azithromycin (AZ) and chloroquine (CQ) following administration of fixed-dose combination tablet formulations of AZ and CQ (AZCQ) was evaluated using data from two studies: 1) in children with symptomatic uncomplicated falciparum malaria in sub-Saharan Africa; and 2) in healthy adults in the United States. Methods. Study 1 included paediatric subjects randomized to either AZCQ or artemether-lumefantrine treatment in Cohort 1 (age 5-12 years) and Cohort 2 (age 6-59 months). Dosing of AZCQ was approximately 30 mg/kg AZ and 10 mg/kg CQ once daily for 3 days (for ≥20 kg weight: AZ/CQ 300/100 mg per tablet; 5 to &lt;20 kg weight: AZ/CQ 150/50 mg per tablet). Study 2 included adults randomized to receive either two AZCQ tablets (AZ/CQ 250/155 mg per tablet) or individual commercial tablets of AZ 500 mg and CQ 300 mg. Serum AZ and plasma CQ concentrations from both studies were pooled. Population PK models were constructed using standard approaches to evaluate the concentration-time data for AZ and CQ and to identify any covariates predictive of PK behaviour. Results: A three-compartment PK model with linear clearance and absorption adequately described AZ data, while a two-compartment model with linear clearance and absorption and an absorption lag adequately described CQ data. No overall bias or substantial model misspecification was evident using diagnostic plots and visual predictive checks. Body weight as an allometric function was the only covariate in the final AZ and CQ PK models. There were significantly lower AZ (0.488 vs 0.745 [mg•h/L]/[mg/kg], p &lt; 0.00001) and CQ (0.836 vs 1.27 [mg•h/L]/[mg/kg], p &lt; 0.00001) exposures (AUC§ssub§inf§ esub§) normalized by dose (mg/kg) in children compared with the adults. Conclusions: The PK of AZ and CQ following administration of AZCQ was well described using a three- and two-compartment model, respectively. AZ and CQ exhibited linear absorption and clearance; the model for CQ included an absorption lag. Weight wa</w:instrText>
      </w:r>
      <w:r w:rsidRPr="00BE1F70">
        <w:rPr>
          <w:rFonts w:cstheme="minorHAnsi"/>
          <w:i/>
          <w:iCs/>
        </w:rPr>
        <w:instrText>s predictive of exposure for both AZ and CQ. Assuming equivalent dosing (mg/kg), AZ and CQ exposure in children would be expected to be lower than that in adults, suggesting that children may require a higher dose (mg/kg) than adults to achieve the same AZ and CQ exposure. © 2014 Zhao et al.; licensee BioMed Central Ltd.","author":[{"dropping-particle":"","family":"Zhao","given":"Qinying","non-dropping-particle":"","parse-names":false,"suffix":""},{"dropping-particle":"","family":"Tensfeldt","given":"Thomas G.","non-dropping-particle":"","parse-names":false,"suffix":""},{"dropping-particle":"","family":"Chandra","given":"Richa","non-dropping-particle":"","parse-names":false,"suffix":""},{"dropping-particle":"","family":"Mould","given":"Diane R.","non-dropping-particle":"","parse-names":false,"suffix":""}],"container-title":"Malaria Journal","id":"ITEM-1","issue":"1","issued":{"date-parts":[["2014"]]},"page":"1-8","title":"Population pharmacokinetics of azithromycin and chloroquine in healthy adults and paediatric malaria subjects following oral administration of fixed-dose azithromycin and chloroquine combination tablets","type":"article-journal","volume":"13"},"uris":["http://www.mendeley.com/documents/?uuid=286aa8c0-9b2d-4c73-b6a2-6c27bcff2c7d"]}],"mendeley":{"formattedCitation":"[6]","plainTextFormattedCitation":"[6]","previouslyFormattedCitation":"[6]"},"properties":{"noteIndex":0},"schema":"https://github.com/citation-style-language/schema/raw/master/csl-citation.json"}</w:instrText>
      </w:r>
      <w:r>
        <w:rPr>
          <w:rFonts w:cstheme="minorHAnsi"/>
          <w:i/>
          <w:iCs/>
          <w:lang w:val="en-US"/>
        </w:rPr>
        <w:fldChar w:fldCharType="separate"/>
      </w:r>
      <w:r w:rsidRPr="00BD7649">
        <w:rPr>
          <w:rFonts w:cstheme="minorHAnsi"/>
          <w:iCs/>
          <w:noProof/>
        </w:rPr>
        <w:t>[6]</w:t>
      </w:r>
      <w:r>
        <w:rPr>
          <w:rFonts w:cstheme="minorHAnsi"/>
          <w:i/>
          <w:iCs/>
          <w:lang w:val="en-US"/>
        </w:rPr>
        <w:fldChar w:fldCharType="end"/>
      </w:r>
      <w:r w:rsidRPr="00C374A8">
        <w:rPr>
          <w:rFonts w:cstheme="minorHAnsi"/>
          <w:i/>
          <w:iCs/>
        </w:rPr>
        <w:t>.</w:t>
      </w:r>
    </w:p>
    <w:p w14:paraId="6C19249C" w14:textId="77777777" w:rsidR="00FC4F4B" w:rsidRPr="00FC4F4B" w:rsidRDefault="00FC4F4B" w:rsidP="004534C4">
      <w:pPr>
        <w:rPr>
          <w:rFonts w:cstheme="minorHAnsi"/>
          <w:b/>
          <w:bCs/>
          <w:lang w:val="en-US"/>
        </w:rPr>
      </w:pPr>
    </w:p>
    <w:p w14:paraId="540DAF5D" w14:textId="77777777" w:rsidR="00110471" w:rsidRPr="00FC4F4B" w:rsidRDefault="00110471" w:rsidP="004534C4">
      <w:pPr>
        <w:rPr>
          <w:rFonts w:cstheme="minorHAnsi"/>
          <w:b/>
          <w:bCs/>
          <w:lang w:val="en-US"/>
        </w:rPr>
      </w:pPr>
    </w:p>
    <w:p w14:paraId="3B9F74D9" w14:textId="77777777" w:rsidR="003E5779" w:rsidRDefault="003E5779">
      <w:pPr>
        <w:rPr>
          <w:rFonts w:cstheme="minorHAnsi"/>
          <w:b/>
          <w:bCs/>
        </w:rPr>
      </w:pPr>
      <w:r>
        <w:rPr>
          <w:rFonts w:cstheme="minorHAnsi"/>
          <w:b/>
          <w:bCs/>
        </w:rPr>
        <w:br w:type="page"/>
      </w:r>
    </w:p>
    <w:p w14:paraId="6EC107DC" w14:textId="0311FC83" w:rsidR="0002691B" w:rsidRPr="004534C4" w:rsidRDefault="005B6162" w:rsidP="004534C4">
      <w:pPr>
        <w:rPr>
          <w:rFonts w:cstheme="minorHAnsi"/>
          <w:b/>
          <w:bCs/>
          <w:lang w:val="en-US"/>
        </w:rPr>
      </w:pPr>
      <w:r w:rsidRPr="00110471">
        <w:rPr>
          <w:rFonts w:cstheme="minorHAnsi"/>
          <w:b/>
          <w:bCs/>
        </w:rPr>
        <w:lastRenderedPageBreak/>
        <w:t>DA</w:t>
      </w:r>
      <w:r w:rsidR="00BD499C" w:rsidRPr="00110471">
        <w:rPr>
          <w:rFonts w:cstheme="minorHAnsi"/>
          <w:b/>
          <w:bCs/>
        </w:rPr>
        <w:t>HER ET AL</w:t>
      </w:r>
      <w:r w:rsidRPr="00110471">
        <w:rPr>
          <w:rFonts w:cstheme="minorHAnsi"/>
          <w:b/>
          <w:bCs/>
        </w:rPr>
        <w:t xml:space="preserve"> 2019</w:t>
      </w:r>
      <w:r w:rsidR="004534C4" w:rsidRPr="00110471">
        <w:rPr>
          <w:rFonts w:cstheme="minorHAnsi"/>
          <w:b/>
          <w:bCs/>
        </w:rPr>
        <w:t xml:space="preserve"> </w:t>
      </w:r>
      <w:r w:rsidR="004534C4">
        <w:rPr>
          <w:rFonts w:cstheme="minorHAnsi"/>
          <w:b/>
          <w:bCs/>
        </w:rPr>
        <w:fldChar w:fldCharType="begin" w:fldLock="1"/>
      </w:r>
      <w:r w:rsidR="0037168B">
        <w:rPr>
          <w:rFonts w:cstheme="minorHAnsi"/>
          <w:b/>
          <w:bCs/>
        </w:rPr>
        <w:instrText>ADDIN CSL_CITATION {"citationItems":[{"id":"ITEM-1","itemData":{"DOI":"10.1186/s12936-019-2950-4","ISSN":"14752875","abstract":"Background: Activation of hypnozoites of vivax malaria causes multiple clinical relapses, which contribute to the Plasmodium vivax burden and continuing transmission. Artemisinin-based combination therapy (ACT) is effective against blood-stage P. vivax but requires co-Administration with primaquine to achieve radical cure. The therapeutic efficacy of primaquine depends on the generation of a therapeutically active metabolite via cytochrome P450 2D6 (CYP2D6). Impaired CYP2D6 metabolism has been associated with primaquine treatment failure. This study investigated the association between impaired CYP2D6 genotypes, drug-exposure to the long-Acting ACT component (schizonticidal drugs) and tolerance and efficacy. Methods: Adult patients with acute vivax malaria were enrolled in a recently completed trial and treated with artesunate-mefloquine, chloroquine or artemether-lumefantrine. All received concomitant primaquine (0.5 mg/kg/day for 7-9 days). The association between efficacy and safety and drug exposure was explored using area-under-The-curve (AUC) and half-life (t1/2) estimates obtained by non-compartmental analysis of the long half-life drugs. Parasite recurrences by day 63 were categorized as related relapses or re-infections/unrelated hypnozoite activation by genotyping three microsatellite loci and two polymorphic loci of merozoite surface antigen-1. The CYP2D6 genotype was identified with Taqman assays by real-Time PCR to 9 polymorphisms (8 SNPs and one deletion). Impaired CYP2D6 activity was inferred using the Activity Score System. Results: Most recurrences in the ASMQ (67%), CQ (80%) and AL (85%) groups were considered related relapses. Eight of nine (88.9%) of the patients with impaired CYP2D6 activity relapsed with related parasite compared to 18/25 (72%) with normal activity (RR = 1.23, 0.88; 1.72, p = 0.40). There were no associations between the measured PK parameters and recurrence. Patients with longer chloroquine half-lives had more pruritus (RR = 1.09, 1.03; 1.14, p = 0.001). Higher CQ AUCs were associated with reduced falls in haemoglobin by day 14 (Coef-0.02,-0.005;-0.03, p = 0.01). All regimens were well tolerated. Conclusion: Genotyping of P. vivax showed that activation of related (homologous) hypnozoites was the most frequent cause of recurrence. The high proportion of the impaired CYP2D6 activity among patients with recurrent infections suggests that slow primaquine metabolism might influence related relapse rates in Brazil amon…","author":[{"dropping-particle":"","family":"Daher","given":"André","non-dropping-particle":"","parse-names":false,"suffix":""},{"dropping-particle":"","family":"Aljayyoussi","given":"Ghait","non-dropping-particle":"","parse-names":false,"suffix":""},{"dropping-particle":"","family":"Pereira","given":"Dhelio","non-dropping-particle":"","parse-names":false,"suffix":""},{"dropping-particle":"","family":"Lacerda","given":"Marcus V.G.","non-dropping-particle":"","parse-names":false,"suffix":""},{"dropping-particle":"","family":"Alexandre","given":"Márcia A.A.","non-dropping-particle":"","parse-names":false,"suffix":""},{"dropping-particle":"","family":"Nascimento","given":"Cristiana T.","non-dropping-particle":"","parse-names":false,"suffix":""},{"dropping-particle":"","family":"Alves","given":"Júlio Castro","non-dropping-particle":"","parse-names":false,"suffix":""},{"dropping-particle":"","family":"Fonseca","given":"Laís Bastos","non-dropping-particle":"Da","parse-names":false,"suffix":""},{"dropping-particle":"","family":"Silva","given":"Diego Medeiros Dias","non-dropping-particle":"Da","parse-names":false,"s</w:instrText>
      </w:r>
      <w:r w:rsidR="0037168B" w:rsidRPr="0037168B">
        <w:rPr>
          <w:rFonts w:cstheme="minorHAnsi"/>
          <w:b/>
          <w:bCs/>
          <w:lang w:val="en-US"/>
        </w:rPr>
        <w:instrText>uffix":""},{"dropping-particle":"","family":"Pinto","given":"Douglas Pereira","non-dropping-particle":"","parse-names":false,"suffix":""},{"dropping-particle":"","family":"Rodrigues","given":"Danielle Fonseca","non-dropping-particle":"","parse-names":false,"suffix":""},{"dropping-particle":"","family":"Silvino","given":"Ana Carolina Rios","non-dropping-particle":"","parse-names":false,"suffix":""},{"dropping-particle":"","family":"Sousa","given":"Taís Nóbrega","non-dropping-particle":"De","parse-names":false,"suffix":""},{"dropping-particle":"","family":"Brito","given":"Cristiana Ferreira Alves","non-dropping-particle":"De","parse-names":false,"suffix":""},{"dropping-particle":"","family":"Kuile","given":"Feiko O.","non-dropping-particle":"Ter","parse-names":false,"suffix":""},{"dropping-particle":"","family":"Lalloo","given":"David G.","non-dropping-particle":"","parse-names":false,"suffix":""}],"container-title":"Malaria Journal","id":"ITEM-1","issue":"1","issued":{"date-parts":[["2019"]]},"page":"1-9","title":"Pharmacokinetics/pharmacodynamics of chloroquine and artemisinin-based combination therapy with primaquine","type":"article-journal","volume":"18"},"uris":["http://www.mendeley.com/documents/?uuid=16d32aca-c0a6-4ed7-a3ab-a35540a1c6cb"]}],"mendeley":{"formattedCitation":"[16]","plainTextFormattedCitation":"[16]","previouslyFormattedCitation":"[16]"},"properties":{"noteIndex":0},"schema":"https://github.com/citation-style-language/schema/raw/master/csl-citation.json"}</w:instrText>
      </w:r>
      <w:r w:rsidR="004534C4">
        <w:rPr>
          <w:rFonts w:cstheme="minorHAnsi"/>
          <w:b/>
          <w:bCs/>
        </w:rPr>
        <w:fldChar w:fldCharType="separate"/>
      </w:r>
      <w:r w:rsidR="00FC4F4B" w:rsidRPr="00FC4F4B">
        <w:rPr>
          <w:rFonts w:cstheme="minorHAnsi"/>
          <w:bCs/>
          <w:noProof/>
          <w:lang w:val="en-US"/>
        </w:rPr>
        <w:t>[16]</w:t>
      </w:r>
      <w:r w:rsidR="004534C4">
        <w:rPr>
          <w:rFonts w:cstheme="minorHAnsi"/>
          <w:b/>
          <w:bCs/>
        </w:rPr>
        <w:fldChar w:fldCharType="end"/>
      </w:r>
    </w:p>
    <w:p w14:paraId="52B53783" w14:textId="2DC7C05A" w:rsidR="005B6162" w:rsidRPr="00121BF0" w:rsidRDefault="005B6162" w:rsidP="00BD499C">
      <w:pPr>
        <w:rPr>
          <w:rFonts w:cstheme="minorHAnsi"/>
          <w:b/>
          <w:bCs/>
          <w:lang w:val="en-US"/>
        </w:rPr>
      </w:pPr>
      <w:r w:rsidRPr="00121BF0">
        <w:rPr>
          <w:rFonts w:cstheme="minorHAnsi"/>
          <w:color w:val="212121"/>
          <w:shd w:val="clear" w:color="auto" w:fill="FFFFFF"/>
          <w:lang w:val="en-US"/>
        </w:rPr>
        <w:t>Daher A, Aljayyoussi G, Pereira D, et al. Pharmacokinetics/pharmacodynamics of chloroquine and artemisinin-based combination therapy with primaquine. </w:t>
      </w:r>
      <w:r w:rsidRPr="00121BF0">
        <w:rPr>
          <w:rFonts w:cstheme="minorHAnsi"/>
          <w:i/>
          <w:iCs/>
          <w:color w:val="212121"/>
          <w:shd w:val="clear" w:color="auto" w:fill="FFFFFF"/>
          <w:lang w:val="en-US"/>
        </w:rPr>
        <w:t>Malar J</w:t>
      </w:r>
      <w:r w:rsidRPr="00121BF0">
        <w:rPr>
          <w:rFonts w:cstheme="minorHAnsi"/>
          <w:color w:val="212121"/>
          <w:shd w:val="clear" w:color="auto" w:fill="FFFFFF"/>
          <w:lang w:val="en-US"/>
        </w:rPr>
        <w:t>. 2019;18(1):325. Published 2019 Sep 23. doi:10.1186/s12936-019-2950-4</w:t>
      </w:r>
    </w:p>
    <w:p w14:paraId="0F5A6E12" w14:textId="77777777" w:rsidR="005B6162" w:rsidRPr="00121BF0" w:rsidRDefault="005B6162" w:rsidP="005B6162">
      <w:pPr>
        <w:rPr>
          <w:rFonts w:cstheme="minorHAnsi"/>
          <w:b/>
          <w:bCs/>
          <w:lang w:val="en-US"/>
        </w:rPr>
      </w:pPr>
      <w:r w:rsidRPr="00121BF0">
        <w:rPr>
          <w:rFonts w:cstheme="minorHAnsi"/>
          <w:b/>
          <w:bCs/>
          <w:lang w:val="en-US"/>
        </w:rPr>
        <w:t>Dose and patient characteristics:</w:t>
      </w:r>
    </w:p>
    <w:p w14:paraId="1B3D6A7B" w14:textId="3D65982F" w:rsidR="005B6162" w:rsidRPr="00121BF0" w:rsidRDefault="005B6162" w:rsidP="005B6162">
      <w:pPr>
        <w:rPr>
          <w:rFonts w:cstheme="minorHAnsi"/>
          <w:lang w:val="en-US"/>
        </w:rPr>
      </w:pPr>
      <w:r w:rsidRPr="00121BF0">
        <w:rPr>
          <w:rFonts w:cstheme="minorHAnsi"/>
          <w:lang w:val="en-US"/>
        </w:rPr>
        <w:t>Dose regimen used in the study:</w:t>
      </w:r>
    </w:p>
    <w:p w14:paraId="027D7759" w14:textId="15491F28" w:rsidR="005B6162" w:rsidRPr="00121BF0" w:rsidRDefault="005B6162" w:rsidP="005B6162">
      <w:pPr>
        <w:rPr>
          <w:rFonts w:cstheme="minorHAnsi"/>
          <w:lang w:val="en-US"/>
        </w:rPr>
      </w:pPr>
      <w:r w:rsidRPr="00121BF0">
        <w:rPr>
          <w:rFonts w:cstheme="minorHAnsi"/>
          <w:lang w:val="en-US"/>
        </w:rPr>
        <w:t>600 mg day 1, 450 mg days 2 and 3.</w:t>
      </w:r>
    </w:p>
    <w:p w14:paraId="0AA71E5E" w14:textId="1E08AD84" w:rsidR="005B6162" w:rsidRDefault="005B6162" w:rsidP="005B6162">
      <w:pPr>
        <w:rPr>
          <w:rFonts w:cstheme="minorHAnsi"/>
          <w:lang w:val="en-US"/>
        </w:rPr>
      </w:pPr>
      <w:r w:rsidRPr="00121BF0">
        <w:rPr>
          <w:rFonts w:cstheme="minorHAnsi"/>
          <w:lang w:val="en-US"/>
        </w:rPr>
        <w:t>Patient characteristics: Adult malaria patients. Mean TBW 73 kg.</w:t>
      </w:r>
    </w:p>
    <w:p w14:paraId="4DF55EFE" w14:textId="31ADCC8E" w:rsidR="008015F0" w:rsidRPr="00121BF0" w:rsidRDefault="008015F0" w:rsidP="005B6162">
      <w:pPr>
        <w:rPr>
          <w:rFonts w:cstheme="minorHAnsi"/>
          <w:lang w:val="en-US"/>
        </w:rPr>
      </w:pPr>
      <w:r>
        <w:rPr>
          <w:rFonts w:cstheme="minorHAnsi"/>
          <w:lang w:val="en-US"/>
        </w:rPr>
        <w:t>Matrix: whole blood</w:t>
      </w:r>
    </w:p>
    <w:p w14:paraId="1AF8ABF7" w14:textId="77777777" w:rsidR="005B6162" w:rsidRPr="00121BF0" w:rsidRDefault="005B6162" w:rsidP="005B6162">
      <w:pPr>
        <w:rPr>
          <w:rFonts w:cstheme="minorHAnsi"/>
          <w:b/>
          <w:bCs/>
          <w:lang w:val="en-US"/>
        </w:rPr>
      </w:pPr>
      <w:r w:rsidRPr="00121BF0">
        <w:rPr>
          <w:rFonts w:cstheme="minorHAnsi"/>
          <w:b/>
          <w:bCs/>
          <w:lang w:val="en-US"/>
        </w:rPr>
        <w:t>Results:</w:t>
      </w:r>
    </w:p>
    <w:p w14:paraId="077F8AF8" w14:textId="77777777" w:rsidR="00BD499C" w:rsidRPr="004534C4" w:rsidRDefault="00BD499C" w:rsidP="00BD499C">
      <w:pPr>
        <w:rPr>
          <w:rFonts w:cstheme="minorHAnsi"/>
          <w:b/>
          <w:bCs/>
          <w:lang w:val="en-US"/>
        </w:rPr>
      </w:pPr>
    </w:p>
    <w:p w14:paraId="4302FB60" w14:textId="77777777" w:rsidR="00BD499C" w:rsidRPr="004534C4" w:rsidRDefault="006E5979" w:rsidP="00BD499C">
      <w:pPr>
        <w:rPr>
          <w:rFonts w:cstheme="minorHAnsi"/>
          <w:b/>
          <w:bCs/>
          <w:lang w:val="en-US"/>
        </w:rPr>
      </w:pPr>
      <w:r w:rsidRPr="00121BF0">
        <w:rPr>
          <w:rFonts w:cstheme="minorHAnsi"/>
          <w:b/>
          <w:bCs/>
          <w:noProof/>
          <w:lang w:eastAsia="nl-NL"/>
        </w:rPr>
        <w:drawing>
          <wp:inline distT="0" distB="0" distL="0" distR="0" wp14:anchorId="5B4D6721" wp14:editId="437A4F8E">
            <wp:extent cx="2484120" cy="2484120"/>
            <wp:effectExtent l="0" t="0" r="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84120" cy="2484120"/>
                    </a:xfrm>
                    <a:prstGeom prst="rect">
                      <a:avLst/>
                    </a:prstGeom>
                    <a:noFill/>
                    <a:ln>
                      <a:noFill/>
                    </a:ln>
                  </pic:spPr>
                </pic:pic>
              </a:graphicData>
            </a:graphic>
          </wp:inline>
        </w:drawing>
      </w:r>
      <w:r w:rsidR="00BD499C" w:rsidRPr="00121BF0">
        <w:rPr>
          <w:rFonts w:cstheme="minorHAnsi"/>
          <w:b/>
          <w:bCs/>
          <w:noProof/>
          <w:lang w:eastAsia="nl-NL"/>
        </w:rPr>
        <w:drawing>
          <wp:inline distT="0" distB="0" distL="0" distR="0" wp14:anchorId="464ACA03" wp14:editId="3E349D3F">
            <wp:extent cx="2750820" cy="2641997"/>
            <wp:effectExtent l="0" t="0" r="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761214" cy="2651980"/>
                    </a:xfrm>
                    <a:prstGeom prst="rect">
                      <a:avLst/>
                    </a:prstGeom>
                  </pic:spPr>
                </pic:pic>
              </a:graphicData>
            </a:graphic>
          </wp:inline>
        </w:drawing>
      </w:r>
    </w:p>
    <w:p w14:paraId="64725CF4" w14:textId="140B3E97" w:rsidR="00BD499C" w:rsidRPr="00121BF0" w:rsidRDefault="005B6162" w:rsidP="00BD499C">
      <w:pPr>
        <w:rPr>
          <w:rFonts w:cstheme="minorHAnsi"/>
          <w:i/>
          <w:iCs/>
          <w:lang w:val="en-US"/>
        </w:rPr>
      </w:pPr>
      <w:r w:rsidRPr="00121BF0">
        <w:rPr>
          <w:rFonts w:cstheme="minorHAnsi"/>
          <w:i/>
          <w:iCs/>
          <w:lang w:val="en-US"/>
        </w:rPr>
        <w:t xml:space="preserve">Conclusion: </w:t>
      </w:r>
      <w:r w:rsidR="004F6A21" w:rsidRPr="00121BF0">
        <w:rPr>
          <w:rFonts w:cstheme="minorHAnsi"/>
          <w:i/>
          <w:iCs/>
          <w:lang w:val="en-US"/>
        </w:rPr>
        <w:t xml:space="preserve">Reasonable agreement with observations. ‘Peak’ at day 3 is somewhat higher in simulation, </w:t>
      </w:r>
      <w:r w:rsidR="00EA11EA">
        <w:rPr>
          <w:rFonts w:cstheme="minorHAnsi"/>
          <w:i/>
          <w:iCs/>
          <w:lang w:val="en-US"/>
        </w:rPr>
        <w:t xml:space="preserve">which </w:t>
      </w:r>
      <w:r w:rsidR="004F6A21" w:rsidRPr="00121BF0">
        <w:rPr>
          <w:rFonts w:cstheme="minorHAnsi"/>
          <w:i/>
          <w:iCs/>
          <w:lang w:val="en-US"/>
        </w:rPr>
        <w:t xml:space="preserve">could be due to the fact that it is unknown at what timepoint on day 3 (after the last dose) the sample was taken. </w:t>
      </w:r>
      <w:r w:rsidR="003B04E8">
        <w:rPr>
          <w:rFonts w:cstheme="minorHAnsi"/>
          <w:i/>
          <w:iCs/>
          <w:lang w:val="en-US"/>
        </w:rPr>
        <w:t>T</w:t>
      </w:r>
      <w:r w:rsidR="004F6A21" w:rsidRPr="00121BF0">
        <w:rPr>
          <w:rFonts w:cstheme="minorHAnsi"/>
          <w:i/>
          <w:iCs/>
          <w:lang w:val="en-US"/>
        </w:rPr>
        <w:t>rough concentration</w:t>
      </w:r>
      <w:r w:rsidR="00246D8A">
        <w:rPr>
          <w:rFonts w:cstheme="minorHAnsi"/>
          <w:i/>
          <w:iCs/>
          <w:lang w:val="en-US"/>
        </w:rPr>
        <w:t>s</w:t>
      </w:r>
      <w:r w:rsidR="004F6A21" w:rsidRPr="00121BF0">
        <w:rPr>
          <w:rFonts w:cstheme="minorHAnsi"/>
          <w:i/>
          <w:iCs/>
          <w:lang w:val="en-US"/>
        </w:rPr>
        <w:t xml:space="preserve"> around day 21 </w:t>
      </w:r>
      <w:r w:rsidR="003B04E8">
        <w:rPr>
          <w:rFonts w:cstheme="minorHAnsi"/>
          <w:i/>
          <w:iCs/>
          <w:lang w:val="en-US"/>
        </w:rPr>
        <w:t>are</w:t>
      </w:r>
      <w:r w:rsidR="004F6A21" w:rsidRPr="00121BF0">
        <w:rPr>
          <w:rFonts w:cstheme="minorHAnsi"/>
          <w:i/>
          <w:iCs/>
          <w:lang w:val="en-US"/>
        </w:rPr>
        <w:t xml:space="preserve"> well predicted</w:t>
      </w:r>
      <w:r w:rsidR="00BC55F7">
        <w:rPr>
          <w:rFonts w:cstheme="minorHAnsi"/>
          <w:i/>
          <w:iCs/>
          <w:lang w:val="en-US"/>
        </w:rPr>
        <w:t>, despite the fact that Zhao et al sampled up to ~5 days after the last dose only. It is emphasized that even though the model seems to predict the concentrations well, predictions are in plasma and observations in whole blood</w:t>
      </w:r>
      <w:r w:rsidR="008015F0">
        <w:rPr>
          <w:rFonts w:cstheme="minorHAnsi"/>
          <w:i/>
          <w:iCs/>
          <w:lang w:val="en-US"/>
        </w:rPr>
        <w:t xml:space="preserve">. </w:t>
      </w:r>
      <w:r w:rsidR="0095669C" w:rsidRPr="008015F0">
        <w:rPr>
          <w:rFonts w:cstheme="minorHAnsi"/>
          <w:i/>
          <w:iCs/>
          <w:lang w:val="en-US"/>
        </w:rPr>
        <w:t xml:space="preserve">It is known that </w:t>
      </w:r>
      <w:r w:rsidR="0095669C" w:rsidRPr="008015F0">
        <w:rPr>
          <w:i/>
          <w:iCs/>
          <w:noProof/>
          <w:lang w:val="en-US"/>
        </w:rPr>
        <w:t xml:space="preserve">whole blood concentrations </w:t>
      </w:r>
      <w:r w:rsidR="009508F8">
        <w:rPr>
          <w:i/>
          <w:iCs/>
          <w:noProof/>
          <w:lang w:val="en-US"/>
        </w:rPr>
        <w:t>can be</w:t>
      </w:r>
      <w:r w:rsidR="0095669C" w:rsidRPr="008015F0">
        <w:rPr>
          <w:i/>
          <w:iCs/>
          <w:noProof/>
          <w:lang w:val="en-US"/>
        </w:rPr>
        <w:t xml:space="preserve"> 2.5 – 8 times higher compared to plasma </w:t>
      </w:r>
      <w:r w:rsidR="0095669C" w:rsidRPr="008015F0">
        <w:rPr>
          <w:i/>
          <w:iCs/>
          <w:noProof/>
          <w:lang w:val="en-US"/>
        </w:rPr>
        <w:fldChar w:fldCharType="begin" w:fldLock="1"/>
      </w:r>
      <w:r w:rsidR="0037168B">
        <w:rPr>
          <w:i/>
          <w:iCs/>
          <w:noProof/>
          <w:lang w:val="en-US"/>
        </w:rPr>
        <w:instrText>ADDIN CSL_CITATION {"citationItems":[{"id":"ITEM-1","itemData":{"DOI":"10.1093/cid/ciaa237","ISSN":"1537-6591","PMID":"32150618","abstract":"BACKGROUND The Severe Acute Respiratory Syndrome Coronavirus 2 (SARS-CoV-2) first broke out in Wuhan (China) and subsequently spread worldwide. Chloroquine has been sporadically used in treating SARS-CoV-2 infection. Hydroxychloroquine shares the same mechanism of action as chloroquine, but its more tolerable safety profile makes it the preferred drug to treat malaria and autoimmune conditions. We propose that the immunomodulatory effect of hydroxychloroquine also may be useful in controlling the cytokine storm that occurs late-phase in critically ill SARS-CoV-2 infected patients. Currently, there is no evidence to support the use of hydroxychloroquine in SARS-CoV-2 infection. METHODS The pharmacological activity of chloroquine and hydroxychloroquine was tested using SARS-CoV-2 infected Vero cells. Physiologically-based pharmacokinetic models (PBPK) were implemented for both drugs separately by integrating their in vitro data. Using the PBPK models, hydroxychloroquine concentrations in lung fluid were simulated under 5 different dosing regimens to explore the most effective regimen whilst considering the drug's safety profile. RESULTS Hydroxychloroquine (EC50=0.72 μM) was found to be more potent than chloroquine (EC50=5.47 μM) in vitro. Based on PBPK models results, a loading dose of 400 mg twice daily of hydroxychloroquine sulfate given orally, followed by a maintenance dose of 200 mg given twice daily for 4 days is recommended for SARS-CoV-2 infection, as it reached three times the potency of chloroquine phosphate when given 500 mg twice daily 5 days in advance. CONCLUSIONS Hydroxychloroquine was found to be more potent than chloroquine to inhibit SARS-CoV-2 in vitro.","author":[{"dropping-particle":"","family":"Yao","given":"Xueting","non-dropping-particle":"","parse-names":false,"suffix":""},{"dropping-particle":"","family":"Ye","given":"Fei","non-dropping-particle":"","parse-names":false,"suffix":""},{"dropping-particle":"","family":"Zhang","given":"Miao","non-dropping-particle":"","parse-names":false,"suffix":""},{"dropping-particle":"","family":"Cui","given":"Cheng","non-dropping-particle":"","parse-names":false,"suffix":""},{"dropping-particle":"","family":"Huang","given":"Baoying","non-dropping-particle":"","parse-names":false,"suffix":""},{"dropping-particle":"","family":"Niu","given":"Peihua","non-dropping-particle":"","parse-names":false,"suffix":""},{"dropping-particle":"","family":"Liu","given":"Xu","non-dropping-particle":"","parse-names":false,"suffix":""},{"dropping-particle":"","family":"Zhao","given":"Li","non-dropping-particle":"","parse-names":false,"suffix":""},{"dropping-particle":"","family":"Dong","given":"Erdan","non-dropping-particle":"","parse-names":false,"suffix":""},{"dropping-particle":"","family":"Song","given":"Chunli","non-dropping-particle":"","parse-names":false,"suffix":""},{"dropping-particle":"","family":"Zhan","given":"Siyan","non-dropping-particle":"","parse-names":false,"suffix":""},{"dropping-particle":"","family":"Lu","given":"Roujian","non-dropping-particle":"","parse-names":false,"suffix":""},{"dropping-particle":"","family":"Li","given":"Haiyan","non-dropping-particle":"","parse-names":false,"suffix":""},{"dropping-particle":"","family":"Tan","given":"Wenjie","non-dropping-particle":"","parse-names":false,"suffix":""},{"dropping-particle":"","family":"Liu","given":"Dongyang","non-dropping-particle":"","parse-names":false,"suffix":""}],"container-title":"Clinical infectious diseases : an official publication of the Infectious Diseases Society of America","id":"ITEM-1","issued":{"date-parts":[["2020","3","9"]]},"title":"In vitro antiviral activity and projection of optimized dosing design of h hydroxychloroquine for the treatment of severe Acute Respiratory Syndrome Coronavirus 2 (SARS-CoV-2).","type":"article-journal"},"uris":["http://www.mendeley.com/documents/?uuid=7b4eed0c-96e5-47a0-ae4b-8624c76f6421"]}],"mendeley":{"formattedCitation":"[17]","plainTextFormattedCitation":"[17]","previouslyFormattedCitation":"[17]"},"properties":{"noteIndex":0},"schema":"https://github.com/citation-style-language/schema/raw/master/csl-citation.json"}</w:instrText>
      </w:r>
      <w:r w:rsidR="0095669C" w:rsidRPr="008015F0">
        <w:rPr>
          <w:i/>
          <w:iCs/>
          <w:noProof/>
          <w:lang w:val="en-US"/>
        </w:rPr>
        <w:fldChar w:fldCharType="separate"/>
      </w:r>
      <w:r w:rsidR="00FC4F4B" w:rsidRPr="00FC4F4B">
        <w:rPr>
          <w:iCs/>
          <w:noProof/>
          <w:lang w:val="en-US"/>
        </w:rPr>
        <w:t>[17]</w:t>
      </w:r>
      <w:r w:rsidR="0095669C" w:rsidRPr="008015F0">
        <w:rPr>
          <w:i/>
          <w:iCs/>
          <w:noProof/>
          <w:lang w:val="en-US"/>
        </w:rPr>
        <w:fldChar w:fldCharType="end"/>
      </w:r>
      <w:r w:rsidR="0095669C" w:rsidRPr="008015F0">
        <w:rPr>
          <w:i/>
          <w:iCs/>
          <w:noProof/>
          <w:lang w:val="en-US"/>
        </w:rPr>
        <w:fldChar w:fldCharType="begin" w:fldLock="1"/>
      </w:r>
      <w:r w:rsidR="0037168B">
        <w:rPr>
          <w:i/>
          <w:iCs/>
          <w:noProof/>
          <w:lang w:val="en-US"/>
        </w:rPr>
        <w:instrText>ADDIN CSL_CITATION {"citationItems":[{"id":"ITEM-1","itemData":{"DOI":"10.1172/JCI101980","ISSN":"0021-9738","PMID":"16695643","author":[{"dropping-particle":"","family":"Berliner","given":"R W","non-dropping-particle":"","parse-names":false,"suffix":""},{"dropping-particle":"","family":"Earle","given":"D P","non-dropping-particle":"","parse-names":false,"suffix":""},{"dropping-particle":"V","family":"Taggart","given":"J","non-dropping-particle":"","parse-names":false,"suffix":""},{"dropping-particle":"","family":"Zubrod","given":"C G","non-dropping-particle":"","parse-names":false,"suffix":""},{"dropping-particle":"","family":"Welch","given":"W J","non-dropping-particle":"","parse-names":false,"suffix":""},{"dropping-particle":"","family":"Conan","given":"N J","non-dropping-particle":"","parse-names":false,"suffix":""},{"dropping-particle":"","family":"Bauman","given":"E","non-dropping-particle":"","parse-names":false,"suffix":""},{"dropping-particle":"","family":"Scudder","given":"S T","non-dropping-particle":"","parse-names":false,"suffix":""},{"dropping-particle":"","family":"Shannon","given":"J A","non-dropping-particle":"","parse-names":false,"suffix":""}],"container-title":"The Journal of clinical investigation","id":"ITEM-1","issue":"3 Pt 2","issued":{"date-parts":[["1948","5"]]},"page":"98-107","title":"Studies on the chemotherapy of the human malarias. VI. The physiological disposition, antimalarial activity, and toxicity of several derivatives of 4-aminoquinoline.","type":"article-journal","volume":"27"},"uris":["http://www.mendeley.com/documents/?uuid=d41ec72b-ab1a-4203-81d9-4a38d898b742"]},{"id":"ITEM-2","itemData":{"DOI":"10.1016/s0140-6736(83)91770-1","ISSN":"0140-6736","PMID":"6129440","author":[{"dropping-particle":"","family":"Gustafsson","given":"L L","non-dropping-particle":"","parse-names":false,"suffix":""},{"dropping-particle":"","family":"Bergqvist","given":"Y","non-dropping-particle":"","parse-names":false,"suffix":""},{"dropping-particle":"","family":"Ericsson","given":"O","non-dropping-particle":"","parse-names":false,"suffix":""},{"dropping-particle":"","family":"Larsson","given":"M","non-dropping-particle":"","parse-names":false,"suffix":""},{"dropping-particle":"","family":"Rombo","given":"L","non-dropping-particle":"","parse-names":false,"suffix":""}],"container-title":"Lancet (London, England)","id":"ITEM-2","issue":"8316","issued":{"date-parts":[["1983","1","15"]]},"page":"126","title":"Pitfalls in the measurement of chloroquine concentration.","type":"article-journal","volume":"1"},"uris":["http://www.mendeley.com/documents/?uuid=ae3320fb-929f-4cc4-bd76-1fdb16216f8d"]}],"mendeley":{"formattedCitation":"[18,19]","plainTextFormattedCitation":"[18,19]","previouslyFormattedCitation":"[18,19]"},"properties":{"noteIndex":0},"schema":"https://github.com/citation-style-language/schema/raw/master/csl-citation.json"}</w:instrText>
      </w:r>
      <w:r w:rsidR="0095669C" w:rsidRPr="008015F0">
        <w:rPr>
          <w:i/>
          <w:iCs/>
          <w:noProof/>
          <w:lang w:val="en-US"/>
        </w:rPr>
        <w:fldChar w:fldCharType="separate"/>
      </w:r>
      <w:r w:rsidR="00FC4F4B" w:rsidRPr="00FC4F4B">
        <w:rPr>
          <w:iCs/>
          <w:noProof/>
          <w:lang w:val="en-US"/>
        </w:rPr>
        <w:t>[18,19]</w:t>
      </w:r>
      <w:r w:rsidR="0095669C" w:rsidRPr="008015F0">
        <w:rPr>
          <w:i/>
          <w:iCs/>
          <w:noProof/>
          <w:lang w:val="en-US"/>
        </w:rPr>
        <w:fldChar w:fldCharType="end"/>
      </w:r>
      <w:r w:rsidR="0095669C" w:rsidRPr="008015F0">
        <w:rPr>
          <w:i/>
          <w:iCs/>
          <w:noProof/>
          <w:lang w:val="en-US"/>
        </w:rPr>
        <w:t>)</w:t>
      </w:r>
      <w:r w:rsidR="008015F0">
        <w:rPr>
          <w:i/>
          <w:iCs/>
          <w:noProof/>
          <w:lang w:val="en-US"/>
        </w:rPr>
        <w:t xml:space="preserve">, however it </w:t>
      </w:r>
      <w:r w:rsidR="009508F8">
        <w:rPr>
          <w:i/>
          <w:iCs/>
          <w:noProof/>
          <w:lang w:val="en-US"/>
        </w:rPr>
        <w:t>may be</w:t>
      </w:r>
      <w:r w:rsidR="008015F0">
        <w:rPr>
          <w:i/>
          <w:iCs/>
          <w:noProof/>
          <w:lang w:val="en-US"/>
        </w:rPr>
        <w:t xml:space="preserve"> expected that this factor may vary with time after dose. </w:t>
      </w:r>
      <w:r w:rsidR="009508F8">
        <w:rPr>
          <w:i/>
          <w:iCs/>
          <w:noProof/>
          <w:lang w:val="en-US"/>
        </w:rPr>
        <w:t>Perhaps this</w:t>
      </w:r>
      <w:r w:rsidR="008015F0">
        <w:rPr>
          <w:i/>
          <w:iCs/>
          <w:noProof/>
          <w:lang w:val="en-US"/>
        </w:rPr>
        <w:t xml:space="preserve"> might explain the similar concentrations predicted by Zhao (in plasma) and measured by Daher (in whole blood). </w:t>
      </w:r>
      <w:r w:rsidR="009508F8">
        <w:rPr>
          <w:i/>
          <w:iCs/>
          <w:noProof/>
          <w:lang w:val="en-US"/>
        </w:rPr>
        <w:t>See a</w:t>
      </w:r>
      <w:r w:rsidR="008015F0">
        <w:rPr>
          <w:i/>
          <w:iCs/>
          <w:noProof/>
          <w:lang w:val="en-US"/>
        </w:rPr>
        <w:t>lso ‘remarks regarding matrices’.</w:t>
      </w:r>
    </w:p>
    <w:p w14:paraId="097F28B0" w14:textId="038096AB" w:rsidR="000115F1" w:rsidRPr="00E40494" w:rsidRDefault="00E437F4" w:rsidP="004534C4">
      <w:pPr>
        <w:rPr>
          <w:rFonts w:cstheme="minorHAnsi"/>
          <w:b/>
          <w:bCs/>
          <w:lang w:val="en-US"/>
        </w:rPr>
      </w:pPr>
      <w:r w:rsidRPr="00E40494">
        <w:rPr>
          <w:rFonts w:cstheme="minorHAnsi"/>
          <w:b/>
          <w:bCs/>
          <w:lang w:val="en-US"/>
        </w:rPr>
        <w:t>URS</w:t>
      </w:r>
      <w:r w:rsidR="00DB463C" w:rsidRPr="00E40494">
        <w:rPr>
          <w:rFonts w:cstheme="minorHAnsi"/>
          <w:b/>
          <w:bCs/>
          <w:lang w:val="en-US"/>
        </w:rPr>
        <w:t>ING</w:t>
      </w:r>
      <w:r w:rsidR="00121BF0" w:rsidRPr="00E40494">
        <w:rPr>
          <w:rFonts w:cstheme="minorHAnsi"/>
          <w:b/>
          <w:bCs/>
          <w:lang w:val="en-US"/>
        </w:rPr>
        <w:t xml:space="preserve"> ET AL</w:t>
      </w:r>
      <w:r w:rsidR="004534C4" w:rsidRPr="00E40494">
        <w:rPr>
          <w:rFonts w:cstheme="minorHAnsi"/>
          <w:b/>
          <w:bCs/>
          <w:lang w:val="en-US"/>
        </w:rPr>
        <w:t xml:space="preserve"> 2020 </w:t>
      </w:r>
      <w:r w:rsidR="004534C4">
        <w:rPr>
          <w:rFonts w:cstheme="minorHAnsi"/>
          <w:b/>
          <w:bCs/>
        </w:rPr>
        <w:fldChar w:fldCharType="begin" w:fldLock="1"/>
      </w:r>
      <w:r w:rsidR="00BE1F70" w:rsidRPr="00E40494">
        <w:rPr>
          <w:rFonts w:cstheme="minorHAnsi"/>
          <w:b/>
          <w:bCs/>
          <w:lang w:val="en-US"/>
        </w:rPr>
        <w:instrText>ADDIN CSL_CITATION {"citationItems":[{"id":"ITEM-1","itemData":{"DOI":"10.1128/AAC.01846-19","ISSN":"10986596","abstract":"Higher chloroquine doses can effectively treat up to 93 to 96% of malaria infections caused by Plasmodium falciparum carrying the resistance-conferring chloroquine resistance transporter (pfcrt) 76T allele. The tolerability of 50 (double the standard dose) and 70 mg/kg total chloroquine doses were assessed in this study. Fifteen 4- to 8-year-old children with uncomplicated malaria were given 10 mg/kg of chloroquine twice daily for 2 days and 5 mg/kg twice daily on the third day. Fifteen additional children were given 5 mg/kg twice daily for 2 more days. Chloroquine concentrations, blood pressure, electrocardiograms (ECGs), parasite density, and adverse events were assessed until day 28. Both dosages were well tolerated, and symptoms resolved by day 3 in parallel with increasing chloroquine concentrations. The median corrected QT (QTc) interval was 12 to 26 ms higher at expected peak concentrations than at day 0 (P &lt; 0.001). Pfcrt 76T was associated with delayed parasite clearance. Day 28 clinical and parasitological responses against P. falciparum with pfcrt 76T were 57% (4/7) and 67% (4/6) after treatment with 50 and 70 mg/kg, respectively. Dosages were well tolerated, and no severe cardiac adverse events occurred. The QTc interval increase was similar to that found in adults taking 25 mg/kg of chloroquine.","author":[{"dropping-particle":"","family":"Ursing","given":"Johan","non-dropping-particle":"","parse-names":false,"suffix":""},{"dropping-particle":"","family":"Rombo","given":"Lars","non-dropping-particle":"","parse-names":false,"suffix":""},{"dropping-particle":"","family":"Eksborg","given":"Staffan","non-dropping-particle":"","parse-names":false,"suffix":""},{"dropping-particle":"","family":"Larson","given":"Lena","non-dropping-particle":"","parse-names":false,"suffix":""},{"dropping-particle":"","family":"Bruvoll","given":"Anita","non-dropping-particle":"","parse-names":false,"suffix":""},{"dropping-particle":"","family":"Tarning","given":"Joel","non-dropping-particle":"","parse-names":false,"suffix":""},{"dropping-particle":"","family":"Rodrigues","given":"Amabelia","non-dropping-particle":"","parse-names":false,"suffix":""},{"dropping-particle":"","family":"Kofoed","given":"Poul Erik","non-dropping-particle":"","parse-names":false,"suffix":""}],"container-title":"Antimicrobial Agents and Chemotherapy","id":"ITEM-1","issue":"3","issued":{"date-parts":[["2020"]]},"page":"1-12","title":"High-dose chloroquine for uncomplicated plasmodium falciparum malaria is well tolerated and causes similar QT interval prolongation as standard-dose chloroquine in children","type":"article-journal","volume":"64"},"uris":["http://www.mendeley.com/documents/?uuid=de5c46c6-27cb-4ac0-b788-54885b9c377f"]}],"mendeley":{"formattedCitation":"[12]","plainTextFormattedCitation":"[12]","previouslyFormattedCitation":"[12]"},"properties":{"noteIndex":0},"schema":"https://github.com/citation-style-language/schema/raw/master/csl-citation.json"}</w:instrText>
      </w:r>
      <w:r w:rsidR="004534C4">
        <w:rPr>
          <w:rFonts w:cstheme="minorHAnsi"/>
          <w:b/>
          <w:bCs/>
        </w:rPr>
        <w:fldChar w:fldCharType="separate"/>
      </w:r>
      <w:r w:rsidR="00BD7649" w:rsidRPr="00E40494">
        <w:rPr>
          <w:rFonts w:cstheme="minorHAnsi"/>
          <w:bCs/>
          <w:noProof/>
          <w:lang w:val="en-US"/>
        </w:rPr>
        <w:t>[12]</w:t>
      </w:r>
      <w:r w:rsidR="004534C4">
        <w:rPr>
          <w:rFonts w:cstheme="minorHAnsi"/>
          <w:b/>
          <w:bCs/>
        </w:rPr>
        <w:fldChar w:fldCharType="end"/>
      </w:r>
    </w:p>
    <w:p w14:paraId="261F4F09" w14:textId="546C47A3" w:rsidR="00121BF0" w:rsidRPr="00E40494" w:rsidRDefault="00121BF0" w:rsidP="00121BF0">
      <w:pPr>
        <w:rPr>
          <w:rFonts w:cstheme="minorHAnsi"/>
          <w:b/>
          <w:bCs/>
          <w:lang w:val="en-US"/>
        </w:rPr>
      </w:pPr>
      <w:bookmarkStart w:id="11" w:name="_Hlk35937502"/>
      <w:r w:rsidRPr="00E40494">
        <w:rPr>
          <w:rFonts w:cstheme="minorHAnsi"/>
          <w:color w:val="212121"/>
          <w:shd w:val="clear" w:color="auto" w:fill="FFFFFF"/>
          <w:lang w:val="en-US"/>
        </w:rPr>
        <w:t>Ursing J, Rombo L, Eksborg S, et al. High-Dose Chloroquine for Uncomplicated Plasmodium falciparum Malaria Is Well Tolerated and Causes Similar QT Interval Prolongation as Standard-Dose Chloroquine in Children. </w:t>
      </w:r>
      <w:r w:rsidRPr="00E40494">
        <w:rPr>
          <w:rFonts w:cstheme="minorHAnsi"/>
          <w:i/>
          <w:iCs/>
          <w:color w:val="212121"/>
          <w:shd w:val="clear" w:color="auto" w:fill="FFFFFF"/>
          <w:lang w:val="en-US"/>
        </w:rPr>
        <w:t>Antimicrob Agents Chemother</w:t>
      </w:r>
      <w:r w:rsidRPr="00E40494">
        <w:rPr>
          <w:rFonts w:cstheme="minorHAnsi"/>
          <w:color w:val="212121"/>
          <w:shd w:val="clear" w:color="auto" w:fill="FFFFFF"/>
          <w:lang w:val="en-US"/>
        </w:rPr>
        <w:t>. 2020;64(3):e01846-19. Published 2020 Feb 21. doi:10.1128/AAC.01846-19</w:t>
      </w:r>
    </w:p>
    <w:bookmarkEnd w:id="11"/>
    <w:p w14:paraId="47BA1CB4" w14:textId="77777777" w:rsidR="003E5779" w:rsidRPr="00E40494" w:rsidRDefault="003E5779" w:rsidP="00121BF0">
      <w:pPr>
        <w:rPr>
          <w:rFonts w:cstheme="minorHAnsi"/>
          <w:b/>
          <w:bCs/>
          <w:lang w:val="en-US"/>
        </w:rPr>
      </w:pPr>
    </w:p>
    <w:p w14:paraId="1B773E54" w14:textId="6F526A04" w:rsidR="00121BF0" w:rsidRPr="00E40494" w:rsidRDefault="00121BF0" w:rsidP="00121BF0">
      <w:pPr>
        <w:rPr>
          <w:rFonts w:cstheme="minorHAnsi"/>
          <w:b/>
          <w:bCs/>
          <w:lang w:val="en-US"/>
        </w:rPr>
      </w:pPr>
      <w:r w:rsidRPr="00E40494">
        <w:rPr>
          <w:rFonts w:cstheme="minorHAnsi"/>
          <w:b/>
          <w:bCs/>
          <w:lang w:val="en-US"/>
        </w:rPr>
        <w:lastRenderedPageBreak/>
        <w:t>Dose and patient characteristics:</w:t>
      </w:r>
    </w:p>
    <w:p w14:paraId="61CB344A" w14:textId="77777777" w:rsidR="00121BF0" w:rsidRPr="00E40494" w:rsidRDefault="00121BF0" w:rsidP="00121BF0">
      <w:pPr>
        <w:rPr>
          <w:rFonts w:cstheme="minorHAnsi"/>
          <w:lang w:val="en-US"/>
        </w:rPr>
      </w:pPr>
      <w:r w:rsidRPr="00E40494">
        <w:rPr>
          <w:rFonts w:cstheme="minorHAnsi"/>
          <w:lang w:val="en-US"/>
        </w:rPr>
        <w:t>Population: Children 5 – 8 years old with malaria, mean body weight 17 kg</w:t>
      </w:r>
    </w:p>
    <w:p w14:paraId="56E1C4DF" w14:textId="3742564A" w:rsidR="00121BF0" w:rsidRPr="00E40494" w:rsidRDefault="00121BF0" w:rsidP="00121BF0">
      <w:pPr>
        <w:rPr>
          <w:rFonts w:cstheme="minorHAnsi"/>
          <w:lang w:val="en-US"/>
        </w:rPr>
      </w:pPr>
      <w:bookmarkStart w:id="12" w:name="_Hlk35937494"/>
      <w:r w:rsidRPr="00E40494">
        <w:rPr>
          <w:rFonts w:cstheme="minorHAnsi"/>
          <w:lang w:val="en-US"/>
        </w:rPr>
        <w:t>Dose: Day 0 : 10 mg/kg + 10 mg/kg, day 1: 10 mg/kg + 10 mg/kg, day 2,3,4: 5 mg/kg 2dd (70 mg/kg in total)</w:t>
      </w:r>
      <w:r w:rsidR="006D37E7" w:rsidRPr="00E40494">
        <w:rPr>
          <w:rFonts w:cstheme="minorHAnsi"/>
          <w:lang w:val="en-US"/>
        </w:rPr>
        <w:t>.</w:t>
      </w:r>
    </w:p>
    <w:bookmarkEnd w:id="12"/>
    <w:p w14:paraId="1CDFAE0E" w14:textId="40A81EC7" w:rsidR="00980AED" w:rsidRPr="00980AED" w:rsidRDefault="008015F0" w:rsidP="00980AED">
      <w:pPr>
        <w:rPr>
          <w:rFonts w:cstheme="minorHAnsi"/>
          <w:lang w:val="en-US"/>
        </w:rPr>
      </w:pPr>
      <w:r w:rsidRPr="00E40494">
        <w:rPr>
          <w:rFonts w:cstheme="minorHAnsi"/>
          <w:lang w:val="en-US"/>
        </w:rPr>
        <w:t>Matrix: Dried blood spot</w:t>
      </w:r>
      <w:r w:rsidR="00980AED" w:rsidRPr="00E40494">
        <w:rPr>
          <w:rFonts w:cstheme="minorHAnsi"/>
          <w:lang w:val="en-US"/>
        </w:rPr>
        <w:t xml:space="preserve"> (unpublished method), possibly as whole blood sampes, although the exact methodology is not presented. Zhao et al measured in plasma. To translate between plasma and whole blood concentrations, several multiplication factors have been found, ranging from 2.5 </w:t>
      </w:r>
      <w:r w:rsidR="00980AED" w:rsidRPr="008015F0">
        <w:rPr>
          <w:noProof/>
          <w:lang w:val="en-US"/>
        </w:rPr>
        <w:fldChar w:fldCharType="begin" w:fldLock="1"/>
      </w:r>
      <w:r w:rsidR="0037168B">
        <w:rPr>
          <w:noProof/>
          <w:lang w:val="en-US"/>
        </w:rPr>
        <w:instrText>ADDIN CSL_CITATION {"citationItems":[{"id":"ITEM-1","itemData":{"DOI":"10.1093/cid/ciaa237","ISSN":"1537-6591","PMID":"32150618","abstract":"BACKGROUND The Severe Acute Respiratory Syndrome Coronavirus 2 (SARS-CoV-2) first broke out in Wuhan (China) and subsequently spread worldwide. Chloroquine has been sporadically used in treating SARS-CoV-2 infection. Hydroxychloroquine shares the same mechanism of action as chloroquine, but its more tolerable safety profile makes it the preferred drug to treat malaria and autoimmune conditions. We propose that the immunomodulatory effect of hydroxychloroquine also may be useful in controlling the cytokine storm that occurs late-phase in critically ill SARS-CoV-2 infected patients. Currently, there is no evidence to support the use of hydroxychloroquine in SARS-CoV-2 infection. METHODS The pharmacological activity of chloroquine and hydroxychloroquine was tested using SARS-CoV-2 infected Vero cells. Physiologically-based pharmacokinetic models (PBPK) were implemented for both drugs separately by integrating their in vitro data. Using the PBPK models, hydroxychloroquine concentrations in lung fluid were simulated under 5 different dosing regimens to explore the most effective regimen whilst considering the drug's safety profile. RESULTS Hydroxychloroquine (EC50=0.72 μM) was found to be more potent than chloroquine (EC50=5.47 μM) in vitro. Based on PBPK models results, a loading dose of 400 mg twice daily of hydroxychloroquine sulfate given orally, followed by a maintenance dose of 200 mg given twice daily for 4 days is recommended for SARS-CoV-2 infection, as it reached three times the potency of chloroquine phosphate when given 500 mg twice daily 5 days in advance. CONCLUSIONS Hydroxychloroquine was found to be more potent than chloroquine to inhibit SARS-CoV-2 in vitro.","author":[{"dropping-particle":"","family":"Yao","given":"Xueting","non-dropping-particle":"","parse-names":false,"suffix":""},{"dropping-particle":"","family":"Ye","given":"Fei","non-dropping-particle":"","parse-names":false,"suffix":""},{"dropping-particle":"","family":"Zhang","given":"Miao","non-dropping-particle":"","parse-names":false,"suffix":""},{"dropping-particle":"","family":"Cui","given":"Cheng","non-dropping-particle":"","parse-names":false,"suffix":""},{"dropping-particle":"","family":"Huang","given":"Baoying","non-dropping-particle":"","parse-names":false,"suffix":""},{"dropping-particle":"","family":"Niu","given":"Peihua","non-dropping-particle":"","parse-names":false,"suffix":""},{"dropping-particle":"","family":"Liu","given":"Xu","non-dropping-particle":"","parse-names":false,"suffix":""},{"dropping-particle":"","family":"Zhao","given":"Li","non-dropping-particle":"","parse-names":false,"suffix":""},{"dropping-particle":"","family":"Dong","given":"Erdan","non-dropping-particle":"","parse-names":false,"suffix":""},{"dropping-particle":"","family":"Song","given":"Chunli","non-dropping-particle":"","parse-names":false,"suffix":""},{"dropping-particle":"","family":"Zhan","given":"Siyan","non-dropping-particle":"","parse-names":false,"suffix":""},{"dropping-particle":"","family":"Lu","given":"Roujian","non-dropping-particle":"","parse-names":false,"suffix":""},{"dropping-particle":"","family":"Li","given":"Haiyan","non-dropping-particle":"","parse-names":false,"suffix":""},{"dropping-particle":"","family":"Tan","given":"Wenjie","non-dropping-particle":"","parse-names":false,"suffix":""},{"dropping-particle":"","family":"Liu","given":"Dongyang","non-dropping-particle":"","parse-names":false,"suffix":""}],"container-title":"Clinical infectious diseases : an official publication of the Infectious Diseases Society of America","id":"ITEM-1","issued":{"date-parts":[["2020","3","9"]]},"title":"In vitro antiviral activity and projection of optimized dosing design of h hydroxychloroquine for the treatment of severe Acute Respiratory Syndrome Coronavirus 2 (SARS-CoV-2).","type":"article-journal"},"uris":["http://www.mendeley.com/documents/?uuid=7b4eed0c-96e5-47a0-ae4b-8624c76f6421"]}],"mendeley":{"formattedCitation":"[17]","plainTextFormattedCitation":"[17]","previouslyFormattedCitation":"[17]"},"properties":{"noteIndex":0},"schema":"https://github.com/citation-style-language/schema/raw/master/csl-citation.json"}</w:instrText>
      </w:r>
      <w:r w:rsidR="00980AED" w:rsidRPr="008015F0">
        <w:rPr>
          <w:noProof/>
          <w:lang w:val="en-US"/>
        </w:rPr>
        <w:fldChar w:fldCharType="separate"/>
      </w:r>
      <w:r w:rsidR="00FC4F4B" w:rsidRPr="00FC4F4B">
        <w:rPr>
          <w:noProof/>
          <w:lang w:val="en-US"/>
        </w:rPr>
        <w:t>[17]</w:t>
      </w:r>
      <w:r w:rsidR="00980AED" w:rsidRPr="008015F0">
        <w:rPr>
          <w:noProof/>
          <w:lang w:val="en-US"/>
        </w:rPr>
        <w:fldChar w:fldCharType="end"/>
      </w:r>
      <w:r w:rsidR="00980AED" w:rsidRPr="008015F0">
        <w:rPr>
          <w:noProof/>
          <w:lang w:val="en-US"/>
        </w:rPr>
        <w:t xml:space="preserve"> to 3.7 – 8 </w:t>
      </w:r>
      <w:r w:rsidR="00980AED" w:rsidRPr="008015F0">
        <w:rPr>
          <w:noProof/>
          <w:lang w:val="en-US"/>
        </w:rPr>
        <w:fldChar w:fldCharType="begin" w:fldLock="1"/>
      </w:r>
      <w:r w:rsidR="0037168B">
        <w:rPr>
          <w:noProof/>
          <w:lang w:val="en-US"/>
        </w:rPr>
        <w:instrText>ADDIN CSL_CITATION {"citationItems":[{"id":"ITEM-1","itemData":{"DOI":"10.1172/JCI101980","ISSN":"0021-9738","PMID":"16695643","author":[{"dropping-particle":"","family":"Berliner","given":"R W","non-dropping-particle":"","parse-names":false,"suffix":""},{"dropping-particle":"","family":"Earle","given":"D P","non-dropping-particle":"","parse-names":false,"suffix":""},{"dropping-particle":"V","family":"Taggart","given":"J","non-dropping-particle":"","parse-names":false,"suffix":""},{"dropping-particle":"","family":"Zubrod","given":"C G","non-dropping-particle":"","parse-names":false,"suffix":""},{"dropping-particle":"","family":"Welch","given":"W J","non-dropping-particle":"","parse-names":false,"suffix":""},{"dropping-particle":"","family":"Conan","given":"N J","non-dropping-particle":"","parse-names":false,"suffix":""},{"dropping-particle":"","family":"Bauman","given":"E","non-dropping-particle":"","parse-names":false,"suffix":""},{"dropping-particle":"","family":"Scudder","given":"S T","non-dropping-particle":"","parse-names":false,"suffix":""},{"dropping-particle":"","family":"Shannon","given":"J A","non-dropping-particle":"","parse-names":false,"suffix":""}],"container-title":"The Journal of clinical investigation","id":"ITEM-1","issue":"3 Pt 2","issued":{"date-parts":[["1948","5"]]},"page":"98-107","title":"Studies on the chemotherapy of the human malarias. VI. The physiological disposition, antimalarial activity, and toxicity of several derivatives of 4-aminoquinoline.","type":"article-journal","volume":"27"},"uris":["http://www.mendeley.com/documents/?uuid=d41ec72b-ab1a-4203-81d9-4a38d898b742"]},{"id":"ITEM-2","itemData":{"DOI":"10.1016/s0140-6736(83)91770-1","ISSN":"0140-6736","PMID":"6129440","author":[{"dropping-particle":"","family":"Gustafsson","given":"L L","non-dropping-particle":"","parse-names":false,"suffix":""},{"dropping-particle":"","family":"Bergqvist","given":"Y","non-dropping-particle":"","parse-names":false,"suffix":""},{"dropping-particle":"","family":"Ericsson","given":"O","non-dropping-particle":"","parse-names":false,"suffix":""},{"dropping-particle":"","family":"Larsson","given":"M","non-dropping-particle":"","parse-names":false,"suffix":""},{"dropping-particle":"","family":"Rombo","given":"L","non-dropping-particle":"","parse-names":false,"suffix":""}],"container-title":"Lancet (London, England)","id":"ITEM-2","issue":"8316","issued":{"date-parts":[["1983","1","15"]]},"page":"126","title":"Pitfalls in the measurement of chloroquine concentration.","type":"article-journal","volume":"1"},"uris":["http://www.mendeley.com/documents/?uuid=ae3320fb-929f-4cc4-bd76-1fdb16216f8d"]}],"mendeley":{"formattedCitation":"[18,19]","plainTextFormattedCitation":"[18,19]","previouslyFormattedCitation":"[18,19]"},"properties":{"noteIndex":0},"schema":"https://github.com/citation-style-language/schema/raw/master/csl-citation.json"}</w:instrText>
      </w:r>
      <w:r w:rsidR="00980AED" w:rsidRPr="008015F0">
        <w:rPr>
          <w:noProof/>
          <w:lang w:val="en-US"/>
        </w:rPr>
        <w:fldChar w:fldCharType="separate"/>
      </w:r>
      <w:r w:rsidR="00FC4F4B" w:rsidRPr="00FC4F4B">
        <w:rPr>
          <w:noProof/>
          <w:lang w:val="en-US"/>
        </w:rPr>
        <w:t>[18,19]</w:t>
      </w:r>
      <w:r w:rsidR="00980AED" w:rsidRPr="008015F0">
        <w:rPr>
          <w:noProof/>
          <w:lang w:val="en-US"/>
        </w:rPr>
        <w:fldChar w:fldCharType="end"/>
      </w:r>
      <w:r w:rsidR="00980AED" w:rsidRPr="00980AED">
        <w:rPr>
          <w:rFonts w:cstheme="minorHAnsi"/>
          <w:lang w:val="en-US"/>
        </w:rPr>
        <w:t>. Therefore, simulated concentrations were multiplied by 2.5 to represent whole blood concentrations.</w:t>
      </w:r>
    </w:p>
    <w:p w14:paraId="0F7CCF80" w14:textId="4C25154B" w:rsidR="008015F0" w:rsidRPr="00980AED" w:rsidRDefault="008015F0" w:rsidP="00121BF0">
      <w:pPr>
        <w:rPr>
          <w:rFonts w:cstheme="minorHAnsi"/>
          <w:lang w:val="en-US"/>
        </w:rPr>
      </w:pPr>
    </w:p>
    <w:p w14:paraId="528DB1D8" w14:textId="71BAA6FD" w:rsidR="00121BF0" w:rsidRPr="00980AED" w:rsidRDefault="00121BF0" w:rsidP="00121BF0">
      <w:pPr>
        <w:rPr>
          <w:rFonts w:cstheme="minorHAnsi"/>
          <w:b/>
          <w:bCs/>
          <w:lang w:val="en-US"/>
        </w:rPr>
      </w:pPr>
      <w:r w:rsidRPr="00980AED">
        <w:rPr>
          <w:rFonts w:cstheme="minorHAnsi"/>
          <w:b/>
          <w:bCs/>
          <w:lang w:val="en-US"/>
        </w:rPr>
        <w:t>Results:</w:t>
      </w:r>
    </w:p>
    <w:p w14:paraId="1B3B8182" w14:textId="29769E39" w:rsidR="00E437F4" w:rsidRPr="006557D4" w:rsidRDefault="00D71E19" w:rsidP="00E437F4">
      <w:pPr>
        <w:rPr>
          <w:rFonts w:cstheme="minorHAnsi"/>
          <w:noProof/>
          <w:lang w:val="en-US"/>
        </w:rPr>
      </w:pPr>
      <w:r>
        <w:rPr>
          <w:rFonts w:cstheme="minorHAnsi"/>
          <w:noProof/>
          <w:lang w:eastAsia="nl-NL"/>
        </w:rPr>
        <w:drawing>
          <wp:inline distT="0" distB="0" distL="0" distR="0" wp14:anchorId="6A55E7F1" wp14:editId="22A4D3D1">
            <wp:extent cx="2484120" cy="248412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84120" cy="2484120"/>
                    </a:xfrm>
                    <a:prstGeom prst="rect">
                      <a:avLst/>
                    </a:prstGeom>
                    <a:noFill/>
                    <a:ln>
                      <a:noFill/>
                    </a:ln>
                  </pic:spPr>
                </pic:pic>
              </a:graphicData>
            </a:graphic>
          </wp:inline>
        </w:drawing>
      </w:r>
      <w:r w:rsidR="00E437F4" w:rsidRPr="006557D4">
        <w:rPr>
          <w:rFonts w:cstheme="minorHAnsi"/>
          <w:noProof/>
          <w:lang w:val="en-US"/>
        </w:rPr>
        <w:t xml:space="preserve"> </w:t>
      </w:r>
      <w:r w:rsidR="00E437F4" w:rsidRPr="00121BF0">
        <w:rPr>
          <w:rFonts w:cstheme="minorHAnsi"/>
          <w:noProof/>
          <w:lang w:eastAsia="nl-NL"/>
        </w:rPr>
        <w:drawing>
          <wp:inline distT="0" distB="0" distL="0" distR="0" wp14:anchorId="1C3D0760" wp14:editId="6C50BC3F">
            <wp:extent cx="3181985" cy="2583180"/>
            <wp:effectExtent l="0" t="0" r="0" b="762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214581" cy="2609642"/>
                    </a:xfrm>
                    <a:prstGeom prst="rect">
                      <a:avLst/>
                    </a:prstGeom>
                  </pic:spPr>
                </pic:pic>
              </a:graphicData>
            </a:graphic>
          </wp:inline>
        </w:drawing>
      </w:r>
    </w:p>
    <w:p w14:paraId="0774B305" w14:textId="6F83326E" w:rsidR="00D71E19" w:rsidRPr="006557D4" w:rsidRDefault="00C27254" w:rsidP="00E437F4">
      <w:pPr>
        <w:rPr>
          <w:rFonts w:cstheme="minorHAnsi"/>
          <w:noProof/>
          <w:lang w:val="en-US"/>
        </w:rPr>
      </w:pPr>
      <w:r w:rsidRPr="006557D4">
        <w:rPr>
          <w:rFonts w:cstheme="minorHAnsi"/>
          <w:noProof/>
          <w:lang w:val="en-US"/>
        </w:rPr>
        <w:t>O</w:t>
      </w:r>
      <w:r w:rsidR="00D71E19" w:rsidRPr="006557D4">
        <w:rPr>
          <w:rFonts w:cstheme="minorHAnsi"/>
          <w:noProof/>
          <w:lang w:val="en-US"/>
        </w:rPr>
        <w:t>bservations from the 70 mg/kg group are shown in black dots</w:t>
      </w:r>
      <w:r w:rsidR="005801CD" w:rsidRPr="006557D4">
        <w:rPr>
          <w:rFonts w:cstheme="minorHAnsi"/>
          <w:noProof/>
          <w:lang w:val="en-US"/>
        </w:rPr>
        <w:t xml:space="preserve"> while open dots represent 50 mg/kg dosing over 3 days</w:t>
      </w:r>
      <w:r w:rsidR="00D71E19" w:rsidRPr="006557D4">
        <w:rPr>
          <w:rFonts w:cstheme="minorHAnsi"/>
          <w:noProof/>
          <w:lang w:val="en-US"/>
        </w:rPr>
        <w:t>.</w:t>
      </w:r>
    </w:p>
    <w:p w14:paraId="54E40E66" w14:textId="710928F2" w:rsidR="00E437F4" w:rsidRPr="006557D4" w:rsidRDefault="00D71E19" w:rsidP="00E437F4">
      <w:pPr>
        <w:rPr>
          <w:rFonts w:cstheme="minorHAnsi"/>
          <w:noProof/>
          <w:lang w:val="en-US"/>
        </w:rPr>
      </w:pPr>
      <w:r w:rsidRPr="006557D4">
        <w:rPr>
          <w:rFonts w:cstheme="minorHAnsi"/>
          <w:i/>
          <w:iCs/>
          <w:noProof/>
          <w:lang w:val="en-US"/>
        </w:rPr>
        <w:t xml:space="preserve">Conclusion: </w:t>
      </w:r>
    </w:p>
    <w:p w14:paraId="4C094568" w14:textId="4FBC22BE" w:rsidR="003531AC" w:rsidRPr="006557D4" w:rsidRDefault="00D71E19" w:rsidP="00E437F4">
      <w:pPr>
        <w:rPr>
          <w:rFonts w:cstheme="minorHAnsi"/>
          <w:lang w:val="en-US"/>
        </w:rPr>
      </w:pPr>
      <w:r w:rsidRPr="006557D4">
        <w:rPr>
          <w:rFonts w:cstheme="minorHAnsi"/>
          <w:lang w:val="en-US"/>
        </w:rPr>
        <w:t>The Zhao model seems to be able to predict concentrations in children aged 5 – 12 reasonably well.</w:t>
      </w:r>
      <w:r w:rsidR="00BA1ED5">
        <w:rPr>
          <w:rFonts w:cstheme="minorHAnsi"/>
          <w:lang w:val="en-US"/>
        </w:rPr>
        <w:t xml:space="preserve"> Deviations probably occur due to the uncertainty of calculating whole blood concentrations from plasma concentrations.</w:t>
      </w:r>
    </w:p>
    <w:p w14:paraId="74CB49AC" w14:textId="77777777" w:rsidR="00B17DA4" w:rsidRPr="006557D4" w:rsidRDefault="00B17DA4" w:rsidP="004534C4">
      <w:pPr>
        <w:rPr>
          <w:rFonts w:cstheme="minorHAnsi"/>
          <w:b/>
          <w:bCs/>
          <w:lang w:val="en-US"/>
        </w:rPr>
      </w:pPr>
    </w:p>
    <w:p w14:paraId="7E9A8AF7" w14:textId="62EB87CA" w:rsidR="00440E26" w:rsidRPr="004534C4" w:rsidRDefault="00440E26" w:rsidP="004534C4">
      <w:pPr>
        <w:rPr>
          <w:rFonts w:cstheme="minorHAnsi"/>
          <w:b/>
          <w:bCs/>
        </w:rPr>
      </w:pPr>
      <w:r w:rsidRPr="004534C4">
        <w:rPr>
          <w:rFonts w:cstheme="minorHAnsi"/>
          <w:b/>
          <w:bCs/>
        </w:rPr>
        <w:t xml:space="preserve">PUSSARD </w:t>
      </w:r>
      <w:r w:rsidR="004534C4" w:rsidRPr="004534C4">
        <w:rPr>
          <w:rFonts w:cstheme="minorHAnsi"/>
          <w:b/>
          <w:bCs/>
        </w:rPr>
        <w:t>ET AL</w:t>
      </w:r>
      <w:r w:rsidR="004534C4">
        <w:rPr>
          <w:rFonts w:cstheme="minorHAnsi"/>
          <w:b/>
          <w:bCs/>
        </w:rPr>
        <w:t xml:space="preserve"> 1991</w:t>
      </w:r>
      <w:r w:rsidR="009709DB" w:rsidRPr="004534C4">
        <w:rPr>
          <w:rFonts w:cstheme="minorHAnsi"/>
          <w:b/>
          <w:bCs/>
        </w:rPr>
        <w:t xml:space="preserve"> </w:t>
      </w:r>
      <w:r w:rsidR="009709DB" w:rsidRPr="004534C4">
        <w:rPr>
          <w:rFonts w:cstheme="minorHAnsi"/>
          <w:b/>
          <w:bCs/>
          <w:lang w:val="en-US"/>
        </w:rPr>
        <w:fldChar w:fldCharType="begin" w:fldLock="1"/>
      </w:r>
      <w:r w:rsidR="00BE1F70">
        <w:rPr>
          <w:rFonts w:cstheme="minorHAnsi"/>
          <w:b/>
          <w:bCs/>
        </w:rPr>
        <w:instrText>ADDIN CSL_CITATION {"citationItems":[{"id":"ITEM-1","itemData":{"DOI":"10.1128/AAC.35.3.406","ISSN":"00664804","abstract":"The efficacy of a loading dose of 20 mg of chloroquine per kg of body weight per os given at intervals during the first day was evaluated in 27 patients in Madagascar with Plasmodium falciparum malaria. The conventional regimen of 25 mg/kg over 3 days (schedule 1) was thus compared with a regimen of 30 mg/kg over 2 days (schedule 2; one dose of 10 mg/kg followed by two doses of 5 mg/kg at 6-h intervals on the first day and two doses of 5 mg/kg at 12-h intervals on the second day) in terms of their clinical and parasitological efficacies, tolerance, and drug concentration-time curves. At 24 h schedule 2 gave higher chloroquine levels in blood, which induced a more rapid decrease in parasitemia. The time required for a 50% decrease in the initial parasitemia was shorter in patients on schedule 2 (14.3 ± 1.6 h) than it was in patients on schedule 1 (35.5 ± 5.4 h; P&lt;0.01). Moreover, negative blood smears were obtained more rapidly with schedule 2 (50.8 ± 3.7 h) than with schedule 1 (72 ± 8.7 h). As predicted by the drug concentration-time curve, no high, potentially toxic peak drug concentration appeared and no adverse effects were observed with the loading dose regimen (schedule 2). These findings support the idea that a loading dose of 20 mg/kg given at intervals during the first 12 h is well tolerated and can be used to obtain a more rapid decrease in parasitemia and to shorten the treatment time of uncomplicated chloroquine-susceptible falciparum malaria in the field.","author":[{"dropping-particle":"","family":"Pussard","given":"E.","non-dropping-particle":"","parse-names":false,"suffix":""},{"dropping-particle":"","family":"Lepers","given":"J. P.","non-dropping-particle":"","parse-names":false,"suffix":""},{"dropping-particle":"","family":"Clavier","given":"F.","non-dropping-particle":"","parse-names":false,"suffix":""},{"dropping-particle":"","family":"Raharimalala","given":"L.","non-dropping-particle":"","parse-names":false,"suffix":""},{"dropping-particle":"","family":"Bras","given":"J.","non-dropping-particle":"Le","parse-names":false,"suffix":""},{"dropping-particle":"","family":"Frisk-Holmberg","given":"M.","non-dropping-particle":"","parse-names":false,"suffix":""},{"dropping-particle":"","family":"Bergqvist","given":"Y.","non-dropping-particle":"","parse-names":false,"suffix":""},{"dropping-particle":"","family":"Verdier","given":"F.","non-dropping-particle":"","parse-names":false,"suffix":""}],"container-title":"Antimicrobial Agents and Chemotherapy","id":"ITEM-1","issue":"3","issued":{"date-parts":[["1991"]]},"page":"406-409","title":"Efficacy of a loading dose of oral chloroquine in a 36-hour treatment schedule for uncomplicated Plasmodium falciparum malaria","type":"article-journal","volume":"35"},"uris":["http://www.mendeley.com/documents/?uuid=c80f6a26-cf16-423b-b188-bb691ff1398c"]}],"mendeley":{"formattedCitation":"[11]","plainTextFormattedCitation":"[11]","previouslyFormattedCitation":"[11]"},"properties":{"noteIndex":0},"schema":"https://github.com/citation-style-language/schema/raw/master/csl-citation.json"}</w:instrText>
      </w:r>
      <w:r w:rsidR="009709DB" w:rsidRPr="004534C4">
        <w:rPr>
          <w:rFonts w:cstheme="minorHAnsi"/>
          <w:b/>
          <w:bCs/>
          <w:lang w:val="en-US"/>
        </w:rPr>
        <w:fldChar w:fldCharType="separate"/>
      </w:r>
      <w:r w:rsidR="00BD7649" w:rsidRPr="00BD7649">
        <w:rPr>
          <w:rFonts w:cstheme="minorHAnsi"/>
          <w:bCs/>
          <w:noProof/>
        </w:rPr>
        <w:t>[11]</w:t>
      </w:r>
      <w:r w:rsidR="009709DB" w:rsidRPr="004534C4">
        <w:rPr>
          <w:rFonts w:cstheme="minorHAnsi"/>
          <w:b/>
          <w:bCs/>
          <w:lang w:val="en-US"/>
        </w:rPr>
        <w:fldChar w:fldCharType="end"/>
      </w:r>
    </w:p>
    <w:p w14:paraId="6C24F83E" w14:textId="487F6D68" w:rsidR="004534C4" w:rsidRPr="008015F0" w:rsidRDefault="004534C4" w:rsidP="004534C4">
      <w:pPr>
        <w:rPr>
          <w:rFonts w:cstheme="minorHAnsi"/>
          <w:b/>
          <w:bCs/>
        </w:rPr>
      </w:pPr>
      <w:r w:rsidRPr="008015F0">
        <w:rPr>
          <w:rFonts w:cstheme="minorHAnsi"/>
          <w:color w:val="212121"/>
          <w:shd w:val="clear" w:color="auto" w:fill="FFFFFF"/>
        </w:rPr>
        <w:t>Pussard E, Lepers JP, Clavier F, et al. Efficacy of a loading dose of oral chloroquine in a 36-hour treatment schedule for uncomplicated plasmodium falciparum malaria. </w:t>
      </w:r>
      <w:r w:rsidRPr="008015F0">
        <w:rPr>
          <w:rFonts w:cstheme="minorHAnsi"/>
          <w:i/>
          <w:iCs/>
          <w:color w:val="212121"/>
          <w:shd w:val="clear" w:color="auto" w:fill="FFFFFF"/>
        </w:rPr>
        <w:t>Antimicrob Agents Chemother</w:t>
      </w:r>
      <w:r w:rsidRPr="008015F0">
        <w:rPr>
          <w:rFonts w:cstheme="minorHAnsi"/>
          <w:color w:val="212121"/>
          <w:shd w:val="clear" w:color="auto" w:fill="FFFFFF"/>
        </w:rPr>
        <w:t>. 1991;35(3):406–409. doi:10.1128/aac.35.3.406</w:t>
      </w:r>
    </w:p>
    <w:p w14:paraId="5DF7B44B" w14:textId="7D0BDE4A" w:rsidR="00440E26" w:rsidRPr="004534C4" w:rsidRDefault="00440E26" w:rsidP="00440E26">
      <w:pPr>
        <w:rPr>
          <w:rFonts w:cstheme="minorHAnsi"/>
          <w:b/>
          <w:bCs/>
        </w:rPr>
      </w:pPr>
      <w:r w:rsidRPr="004534C4">
        <w:rPr>
          <w:rFonts w:cstheme="minorHAnsi"/>
          <w:b/>
          <w:bCs/>
        </w:rPr>
        <w:t>Dose and patient characteristics:</w:t>
      </w:r>
    </w:p>
    <w:p w14:paraId="333FF560" w14:textId="7A76A1F4" w:rsidR="00440E26" w:rsidRPr="004534C4" w:rsidRDefault="00440E26" w:rsidP="00440E26">
      <w:pPr>
        <w:rPr>
          <w:rFonts w:cstheme="minorHAnsi"/>
        </w:rPr>
      </w:pPr>
      <w:r w:rsidRPr="004534C4">
        <w:rPr>
          <w:rFonts w:cstheme="minorHAnsi"/>
        </w:rPr>
        <w:t xml:space="preserve">Patient characteristics: Young adults </w:t>
      </w:r>
      <w:r w:rsidR="00FA30C7" w:rsidRPr="004534C4">
        <w:rPr>
          <w:rFonts w:cstheme="minorHAnsi"/>
        </w:rPr>
        <w:t>(mean</w:t>
      </w:r>
      <w:r w:rsidRPr="004534C4">
        <w:rPr>
          <w:rFonts w:cstheme="minorHAnsi"/>
        </w:rPr>
        <w:t xml:space="preserve"> age 14 – 24 year)</w:t>
      </w:r>
      <w:r w:rsidR="00FA30C7" w:rsidRPr="004534C4">
        <w:rPr>
          <w:rFonts w:cstheme="minorHAnsi"/>
        </w:rPr>
        <w:t xml:space="preserve"> treated for malaria in Madagaskar. Two dose groups:</w:t>
      </w:r>
    </w:p>
    <w:p w14:paraId="00BA63D7" w14:textId="28BB8379" w:rsidR="00440E26" w:rsidRPr="004534C4" w:rsidRDefault="00440E26" w:rsidP="00440E26">
      <w:pPr>
        <w:rPr>
          <w:rFonts w:cstheme="minorHAnsi"/>
        </w:rPr>
      </w:pPr>
      <w:r w:rsidRPr="004534C4">
        <w:rPr>
          <w:rFonts w:cstheme="minorHAnsi"/>
        </w:rPr>
        <w:lastRenderedPageBreak/>
        <w:t>Group 1:</w:t>
      </w:r>
      <w:r w:rsidR="00FA30C7" w:rsidRPr="004534C4">
        <w:rPr>
          <w:rFonts w:cstheme="minorHAnsi"/>
        </w:rPr>
        <w:t xml:space="preserve"> </w:t>
      </w:r>
      <w:r w:rsidRPr="004534C4">
        <w:rPr>
          <w:rFonts w:cstheme="minorHAnsi"/>
        </w:rPr>
        <w:t xml:space="preserve">40.3 kg </w:t>
      </w:r>
      <w:r w:rsidR="00FA30C7" w:rsidRPr="004534C4">
        <w:rPr>
          <w:rFonts w:cstheme="minorHAnsi"/>
        </w:rPr>
        <w:t>mean</w:t>
      </w:r>
      <w:r w:rsidRPr="004534C4">
        <w:rPr>
          <w:rFonts w:cstheme="minorHAnsi"/>
        </w:rPr>
        <w:t xml:space="preserve"> body weight.</w:t>
      </w:r>
      <w:r w:rsidR="00FA30C7" w:rsidRPr="004534C4">
        <w:rPr>
          <w:rFonts w:cstheme="minorHAnsi"/>
        </w:rPr>
        <w:t xml:space="preserve"> Mean age 24.4y.</w:t>
      </w:r>
    </w:p>
    <w:p w14:paraId="35AB18C6" w14:textId="249CBB15" w:rsidR="00FA30C7" w:rsidRPr="004534C4" w:rsidRDefault="00FA30C7" w:rsidP="00440E26">
      <w:pPr>
        <w:rPr>
          <w:rFonts w:cstheme="minorHAnsi"/>
        </w:rPr>
      </w:pPr>
      <w:r w:rsidRPr="004534C4">
        <w:rPr>
          <w:rFonts w:cstheme="minorHAnsi"/>
        </w:rPr>
        <w:t>Group 2: 31.4 kg mean body weight. Mean age 14.8y.</w:t>
      </w:r>
    </w:p>
    <w:p w14:paraId="2BC1D19F" w14:textId="6DA7D67F" w:rsidR="00FA30C7" w:rsidRPr="004534C4" w:rsidRDefault="00FA30C7" w:rsidP="00440E26">
      <w:pPr>
        <w:rPr>
          <w:rFonts w:cstheme="minorHAnsi"/>
        </w:rPr>
      </w:pPr>
      <w:r w:rsidRPr="004534C4">
        <w:rPr>
          <w:rFonts w:cstheme="minorHAnsi"/>
        </w:rPr>
        <w:t>Dose:</w:t>
      </w:r>
    </w:p>
    <w:p w14:paraId="5ADCB5DA" w14:textId="5AEE529C" w:rsidR="00FA30C7" w:rsidRPr="004534C4" w:rsidRDefault="00FA30C7" w:rsidP="00440E26">
      <w:pPr>
        <w:rPr>
          <w:rFonts w:cstheme="minorHAnsi"/>
        </w:rPr>
      </w:pPr>
      <w:r w:rsidRPr="004534C4">
        <w:rPr>
          <w:rFonts w:cstheme="minorHAnsi"/>
        </w:rPr>
        <w:t>Group 1: 25 mg/kg over 48h: 10 mg/kg t = 0 h, 10 mg/kg t = 24h, 5 mg/kg at t = 48h.</w:t>
      </w:r>
    </w:p>
    <w:p w14:paraId="03E417EC" w14:textId="39EC392E" w:rsidR="00FA30C7" w:rsidRPr="004534C4" w:rsidRDefault="00FA30C7" w:rsidP="00440E26">
      <w:pPr>
        <w:rPr>
          <w:rFonts w:cstheme="minorHAnsi"/>
        </w:rPr>
      </w:pPr>
      <w:r w:rsidRPr="004534C4">
        <w:rPr>
          <w:rFonts w:cstheme="minorHAnsi"/>
        </w:rPr>
        <w:t>Group 2: 30 mg/kg over 36h: 10 mg/kg t = 0, 5 mg/kg t = 6, 5 mg/kg t = 12, 5 mg/kg t = 24, 5 mg/kg t = 36h</w:t>
      </w:r>
    </w:p>
    <w:p w14:paraId="435B2492" w14:textId="2E6A8FA3" w:rsidR="00596AAC" w:rsidRPr="006557D4" w:rsidRDefault="008015F0" w:rsidP="00596AAC">
      <w:pPr>
        <w:rPr>
          <w:rFonts w:cstheme="minorHAnsi"/>
          <w:lang w:val="en-US"/>
        </w:rPr>
      </w:pPr>
      <w:r w:rsidRPr="006557D4">
        <w:rPr>
          <w:rFonts w:cstheme="minorHAnsi"/>
        </w:rPr>
        <w:t xml:space="preserve">Matrix: whole blood. </w:t>
      </w:r>
      <w:r w:rsidR="00596AAC" w:rsidRPr="006557D4">
        <w:rPr>
          <w:rFonts w:cstheme="minorHAnsi"/>
        </w:rPr>
        <w:t xml:space="preserve">Zhao et al measured in plasma. </w:t>
      </w:r>
      <w:r w:rsidRPr="006557D4">
        <w:rPr>
          <w:rFonts w:cstheme="minorHAnsi"/>
        </w:rPr>
        <w:t xml:space="preserve">To translate between plasma and whole blood concentrations, several multiplication factors have been found, ranging from 2.5 </w:t>
      </w:r>
      <w:r w:rsidRPr="008015F0">
        <w:rPr>
          <w:noProof/>
          <w:lang w:val="en-US"/>
        </w:rPr>
        <w:fldChar w:fldCharType="begin" w:fldLock="1"/>
      </w:r>
      <w:r w:rsidR="0037168B">
        <w:rPr>
          <w:noProof/>
        </w:rPr>
        <w:instrText>ADDIN CSL_CITATION {"citationItems":[{"id":"ITEM-1","itemData":{"DOI":"10.1093/cid/ciaa237","ISSN":"1537-6591","PMID":"32150618","abstract":"BACKGROUND The Severe Acute Respiratory Syndrome Coronavirus 2 (SARS-CoV-2) first broke out in Wuhan (China) and subsequently spread worldwide. Chloroquine has been sporadically used in treating SARS-CoV-2 infection. Hydroxychloroquine shares the same mechanism of action as chloroquine, but its more tolerable safety profile makes it the preferred drug to treat malaria and autoimmune conditions. We propose that the immunomodulatory effect of hydroxychloroquine also may be useful in controlling the cytokine storm that occurs late-phase in critically ill SARS-CoV-2 infected patients. Currently, there is no evidence to support the use of hydroxychloroquine in SARS-CoV-2 infection. METHODS The pharmacological activity of chloroquine and hydroxychloroquine was tested using SARS-CoV-2 infected Vero cells. Physiologically-based pharmacokinetic models (PBPK) were implemented for both drugs separately by integrating their in vitro data. Using the PBPK models, hydroxychloroquine concentrations in lung fluid were simulated under 5 different dosing regimens to explore the most effective regimen whilst considering the drug's safety profile. RESULTS Hydroxychloroquine (EC50=0.72 μM) was found to be more potent than chloroquine (EC50=5.47 μM) in vitro. Based on PBPK models results, a loading dose of 400 mg twice daily of hydroxychloroquine sulfate given orally, followed by a maintenance dose of 200 mg given twice daily for 4 days is recommended for SARS-CoV-2 infection, as it reached three times the potency of chloroquine phosphate when given 500 mg twice daily 5 days in advance. CONCLUSIONS Hydroxychloroquine was found to be more potent than chloroquine to inhibit SARS-CoV-2 in vitro.","author":[{"dropping-particle":"","family":"Yao","given":"Xueting","non-dropping-particle":"","parse-names":false,"suffix":""},{"dropping-particle":"","family":"Ye","given":"Fei","non-dropping-particle":"","parse-names":false,"suffix":""},{"dropping-particle":"","family":"Zhang","given":"Miao","non-dropping-particle":"","parse-names":false,"suffix":""},{"dropping-particle":"","family":"Cui","given":"Cheng","non-dropping-particle":"","parse-names":false,"suffix":""},{"dropping-particle":"","family":"Huang","given":"Baoying","non-dropping-particle":"","parse-names":false,"suffix":""},{"dropping-particle":"","family":"Niu","given":"Peihua","non-dropping-particle":"","parse-names":false,"suffix":""},{"dropping-particle":"","family":"Liu","given":"Xu","non-dropping-particle":"","parse-names":false,"suffix":""},{"dropping-particle":"","family":"Zhao","given":"Li","non-dropping-particle":"","parse-names":false,"suffix":""},{"dropping-particle":"","fami</w:instrText>
      </w:r>
      <w:r w:rsidR="0037168B" w:rsidRPr="0037168B">
        <w:rPr>
          <w:noProof/>
          <w:lang w:val="en-US"/>
        </w:rPr>
        <w:instrText>ly":"Dong","given":"Erdan","non-dropping-particle":"","parse-names":false,"suffix":""},{"dropping-particle":"","family":"Song","given":"Chunli","non-dropping-particle":"","parse-names":false,"suffix":""},{"dropping-particle":"","family":"Zhan","given":"Siyan","non-dropping-particle":"","parse-names":false,"suffix":""},{"dropping-particle":"","family":"Lu","given":"Roujian","non-dropping-particle":"","parse-names":false,"suffix":""},{"dropping-particle":"","family":"Li","given":"Haiyan","non-dropping-particle":"","parse-names":false,"suffix":""},{"dropping-particle":"","family":"Tan","given":"Wenjie","non-dropping-particle":"","parse-names":false,"suffix":""},{"dropping-particle":"","family":"Liu","given":"Dongyang","non-dropping-particle":"","parse-names":false,"suffix":""}],"container-title":"Clinical infectious diseases : an official publication of the Infectious Diseases Society of America","id":"ITEM-1","issued":{"date-parts":[["2020","3","9"]]},"title":"In vitro antiviral activity and projection of optimized dosing design of h hydroxychloroquine for the treatment of severe Acute Respiratory Syndrome Coronavirus 2 (SARS-CoV-2).","type":"article-journal"},"uris":["http://www.mendeley.com/documents/?uuid=7b4eed0c-96e5-47a0-ae4b-8624c76f6421"]}],"mendeley":{"formattedCitation":"[17]","plainTextFormattedCitation":"[17]","previouslyFormattedCitation":"[17]"},"properties":{"noteIndex":0},"schema":"https://github.com/citation-style-language/schema/raw/master/csl-citation.json"}</w:instrText>
      </w:r>
      <w:r w:rsidRPr="008015F0">
        <w:rPr>
          <w:noProof/>
          <w:lang w:val="en-US"/>
        </w:rPr>
        <w:fldChar w:fldCharType="separate"/>
      </w:r>
      <w:r w:rsidR="00FC4F4B" w:rsidRPr="00FC4F4B">
        <w:rPr>
          <w:noProof/>
          <w:lang w:val="en-US"/>
        </w:rPr>
        <w:t>[17]</w:t>
      </w:r>
      <w:r w:rsidRPr="008015F0">
        <w:rPr>
          <w:noProof/>
          <w:lang w:val="en-US"/>
        </w:rPr>
        <w:fldChar w:fldCharType="end"/>
      </w:r>
      <w:r w:rsidRPr="008015F0">
        <w:rPr>
          <w:noProof/>
          <w:lang w:val="en-US"/>
        </w:rPr>
        <w:t xml:space="preserve"> to 3.7 – 8 </w:t>
      </w:r>
      <w:r w:rsidRPr="008015F0">
        <w:rPr>
          <w:noProof/>
          <w:lang w:val="en-US"/>
        </w:rPr>
        <w:fldChar w:fldCharType="begin" w:fldLock="1"/>
      </w:r>
      <w:r w:rsidR="0037168B">
        <w:rPr>
          <w:noProof/>
          <w:lang w:val="en-US"/>
        </w:rPr>
        <w:instrText>ADDIN CSL_CITATION {"citationItems":[{"id":"ITEM-1","itemData":{"DOI":"10.1172/JCI101980","ISSN":"0021-9738","PMID":"16695643","author":[{"dropping-particle":"","family":"Berliner","given":"R W","non-dropping-particle":"","parse-names":false,"suffix":""},{"dropping-particle":"","family":"Earle","given":"D P","non-dropping-particle":"","parse-names":false,"suffix":""},{"dropping-particle":"V","family":"Taggart","given":"J","non-dropping-particle":"","parse-names":false,"suffix":""},{"dropping-particle":"","family":"Zubrod","given":"C G","non-dropping-particle":"","parse-names":false,"suffix":""},{"dropping-particle":"","family":"Welch","given":"W J","non-dropping-particle":"","parse-names":false,"suffix":""},{"dropping-particle":"","family":"Conan","given":"N J","non-dropping-particle":"","parse-names":false,"suffix":""},{"dropping-particle":"","family":"Bauman","given":"E","non-dropping-particle":"","parse-names":false,"suffix":""},{"dropping-particle":"","family":"Scudder","given":"S T","non-dropping-particle":"","parse-names":false,"suffix":""},{"dropping-particle":"","family":"Shannon","given":"J A","non-dropping-particle":"","parse-names":false,"suffix":""}],"container-title":"The Journal of clinical investigation","id":"ITEM-1","issue":"3 Pt 2","issued":{"date-parts":[["1948","5"]]},"page":"98-107","title":"Studies on the chemotherapy of the human malarias. VI. The physiological disposition, antimalarial activity, and toxicity of several derivatives of 4-aminoquinoline.","type":"article-journal","volume":"27"},"uris":["http://www.mendeley.com/documents/?uuid=d41ec72b-ab1a-4203-81d9-4a38d898b742"]},{"id":"ITEM-2","itemData":{"DOI":"10.1016/s0140-6736(83)91770-1","ISSN":"0140-6736","PMID":"6129440","author":[{"dropping-particle":"","family":"Gustafsson","given":"L L","non-dropping-particle":"","parse-names":false,"suffix":""},{"dropping-particle":"","family":"Bergqvist","given":"Y","non-dropping-particle":"","parse-names":false,"suffix":""},{"dropping-particle":"","family":"Ericsson","given":"O","non-dropping-particle":"","parse-names":false,"suffix":""},{"dropping-particle":"","family":"Larsson","given":"M","non-dropping-particle":"","parse-names":false,"suffix":""},{"dropping-particle":"","family":"Rombo","given":"L","non-dropping-particle":"","parse-names":false,"suffix":""}],"container-title":"Lancet (London, England)","id":"ITEM-2","issue":"8316","issued":{"date-parts":[["1983","1","15"]]},"page":"126","title":"Pitfalls in the measurement of chloroquine concentration.","type":"article-journal","volume":"1"},"uris":["http://www.mendeley.com/documents/?uuid=ae3320fb-929f-4cc4-bd76-1fdb16216f8d"]}],"mendeley":{"formattedCitation":"[18,19]","plainTextFormattedCitation":"[18,19]","previouslyFormattedCitation":"[18,19]"},"properties":{"noteIndex":0},"schema":"https://github.com/citation-style-language/schema/raw/master/csl-citation.json"}</w:instrText>
      </w:r>
      <w:r w:rsidRPr="008015F0">
        <w:rPr>
          <w:noProof/>
          <w:lang w:val="en-US"/>
        </w:rPr>
        <w:fldChar w:fldCharType="separate"/>
      </w:r>
      <w:r w:rsidR="00FC4F4B" w:rsidRPr="00FC4F4B">
        <w:rPr>
          <w:noProof/>
          <w:lang w:val="en-US"/>
        </w:rPr>
        <w:t>[18,19]</w:t>
      </w:r>
      <w:r w:rsidRPr="008015F0">
        <w:rPr>
          <w:noProof/>
          <w:lang w:val="en-US"/>
        </w:rPr>
        <w:fldChar w:fldCharType="end"/>
      </w:r>
      <w:r w:rsidR="00596AAC" w:rsidRPr="006557D4">
        <w:rPr>
          <w:rFonts w:cstheme="minorHAnsi"/>
          <w:lang w:val="en-US"/>
        </w:rPr>
        <w:t>. Therefore, simulated concentrations were multiplied by 2.5 to represent whole blood concentrations.</w:t>
      </w:r>
    </w:p>
    <w:p w14:paraId="14CFA250" w14:textId="781F381C" w:rsidR="00FA30C7" w:rsidRPr="004534C4" w:rsidRDefault="00661A80" w:rsidP="00440E26">
      <w:pPr>
        <w:rPr>
          <w:rFonts w:cstheme="minorHAnsi"/>
          <w:b/>
          <w:bCs/>
        </w:rPr>
      </w:pPr>
      <w:r w:rsidRPr="004534C4">
        <w:rPr>
          <w:rFonts w:cstheme="minorHAnsi"/>
          <w:b/>
          <w:bCs/>
        </w:rPr>
        <w:t>Results</w:t>
      </w:r>
    </w:p>
    <w:p w14:paraId="1F2AEE83" w14:textId="0FB4E88C" w:rsidR="00661A80" w:rsidRPr="004534C4" w:rsidRDefault="00596AAC" w:rsidP="00440E26">
      <w:pPr>
        <w:rPr>
          <w:noProof/>
        </w:rPr>
      </w:pPr>
      <w:r>
        <w:rPr>
          <w:rFonts w:cstheme="minorHAnsi"/>
          <w:b/>
          <w:bCs/>
          <w:noProof/>
          <w:lang w:eastAsia="nl-NL"/>
        </w:rPr>
        <w:drawing>
          <wp:anchor distT="0" distB="0" distL="114300" distR="114300" simplePos="0" relativeHeight="251660288" behindDoc="0" locked="0" layoutInCell="1" allowOverlap="1" wp14:anchorId="32B9064B" wp14:editId="29BC24F3">
            <wp:simplePos x="0" y="0"/>
            <wp:positionH relativeFrom="column">
              <wp:posOffset>-635</wp:posOffset>
            </wp:positionH>
            <wp:positionV relativeFrom="paragraph">
              <wp:posOffset>140335</wp:posOffset>
            </wp:positionV>
            <wp:extent cx="2247900" cy="2247900"/>
            <wp:effectExtent l="0" t="0" r="0" b="0"/>
            <wp:wrapSquare wrapText="bothSides"/>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47900" cy="2247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34C4">
        <w:rPr>
          <w:noProof/>
        </w:rPr>
        <w:t xml:space="preserve"> </w:t>
      </w:r>
      <w:r w:rsidRPr="00596AAC">
        <w:rPr>
          <w:rFonts w:cstheme="minorHAnsi"/>
          <w:b/>
          <w:bCs/>
          <w:noProof/>
          <w:lang w:eastAsia="nl-NL"/>
        </w:rPr>
        <w:drawing>
          <wp:inline distT="0" distB="0" distL="0" distR="0" wp14:anchorId="47E3A035" wp14:editId="14FB81F2">
            <wp:extent cx="2720340" cy="2184707"/>
            <wp:effectExtent l="0" t="0" r="3810" b="635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744456" cy="2204075"/>
                    </a:xfrm>
                    <a:prstGeom prst="rect">
                      <a:avLst/>
                    </a:prstGeom>
                  </pic:spPr>
                </pic:pic>
              </a:graphicData>
            </a:graphic>
          </wp:inline>
        </w:drawing>
      </w:r>
    </w:p>
    <w:p w14:paraId="528C51E2" w14:textId="77777777" w:rsidR="00596AAC" w:rsidRPr="004534C4" w:rsidRDefault="00596AAC" w:rsidP="00440E26">
      <w:pPr>
        <w:rPr>
          <w:noProof/>
        </w:rPr>
      </w:pPr>
    </w:p>
    <w:p w14:paraId="2A4A0F37" w14:textId="69A6E63F" w:rsidR="00596AAC" w:rsidRPr="00B17DA4" w:rsidRDefault="00596AAC" w:rsidP="00440E26">
      <w:pPr>
        <w:rPr>
          <w:noProof/>
          <w:lang w:val="en-US"/>
        </w:rPr>
      </w:pPr>
      <w:r w:rsidRPr="006557D4">
        <w:rPr>
          <w:noProof/>
          <w:lang w:val="en-US"/>
        </w:rPr>
        <w:t xml:space="preserve">Chloroquine concentrations </w:t>
      </w:r>
      <w:r w:rsidR="007107C0" w:rsidRPr="006557D4">
        <w:rPr>
          <w:noProof/>
          <w:lang w:val="en-US"/>
        </w:rPr>
        <w:t xml:space="preserve">in Group 1 (low dose group, black squares are CQ concentrations in whole blood) </w:t>
      </w:r>
      <w:r w:rsidRPr="006557D4">
        <w:rPr>
          <w:noProof/>
          <w:lang w:val="en-US"/>
        </w:rPr>
        <w:t>are slightly lower than observed. This might be caused by the uncertain multiplication factor for calculating whole blood concentrations from plasma (we chose 2.5</w:t>
      </w:r>
      <w:r w:rsidR="007107C0" w:rsidRPr="006557D4">
        <w:rPr>
          <w:noProof/>
          <w:lang w:val="en-US"/>
        </w:rPr>
        <w:t xml:space="preserve"> according to Yao et </w:t>
      </w:r>
      <w:r w:rsidR="00B17DA4">
        <w:rPr>
          <w:noProof/>
          <w:lang w:val="en-US"/>
        </w:rPr>
        <w:fldChar w:fldCharType="begin" w:fldLock="1"/>
      </w:r>
      <w:r w:rsidR="0037168B">
        <w:rPr>
          <w:noProof/>
          <w:lang w:val="en-US"/>
        </w:rPr>
        <w:instrText>ADDIN CSL_CITATION {"citationItems":[{"id":"ITEM-1","itemData":{"DOI":"10.1093/cid/ciaa237","ISSN":"1537-6591","PMID":"32150618","abstract":"BACKGROUND The Severe Acute Respiratory Syndrome Coronavirus 2 (SARS-CoV-2) first broke out in Wuhan (China) and subsequently spread worldwide. Chloroquine has been sporadically used in treating SARS-CoV-2 infection. Hydroxychloroquine shares the same mechanism of action as chloroquine, but its more tolerable safety profile makes it the preferred drug to treat malaria and autoimmune conditions. We propose that the immunomodulatory effect of hydroxychloroquine also may be useful in controlling the cytokine storm that occurs late-phase in critically ill SARS-CoV-2 infected patients. Currently, there is no evidence to support the use of hydroxychloroquine in SARS-CoV-2 infection. METHODS The pharmacological activity of chloroquine and hydroxychloroquine was tested using SARS-CoV-2 infected Vero cells. Physiologically-based pharmacokinetic models (PBPK) were implemented for both drugs separately by integrating their in vitro data. Using the PBPK models, hydroxychloroquine concentrations in lung fluid were simulated under 5 different dosing regimens to explore the most effective regimen whilst considering the drug's safety profile. RESULTS Hydroxychloroquine (EC50=0.72 μM) was found to be more potent than chloroquine (EC50=5.47 μM) in vitro. Based on PBPK models results, a loading dose of 400 mg twice daily of hydroxychloroquine sulfate given orally, followed by a maintenance dose of 200 mg given twice daily for 4 days is recommended for SARS-CoV-2 infection, as it reached three times the potency of chloroquine phosphate when given 500 mg twice daily 5 days in advance. CONCLUSIONS Hydroxychloroquine was found to be more potent than chloroquine to inhibit SARS-CoV-2 in vitro.","author":[{"dropping-particle":"","family":"Yao","given":"Xueting","non-dropping-particle":"","parse-names":false,"suffix":""},{"dropping-particle":"","family":"Ye","given":"Fei","non-dropping-particle":"","parse-names":false,"suffix":""},{"dropping-particle":"","family":"Zhang","given":"Miao","non-dropping-particle":"","parse-names":false,"suffix":""},{"dropping-particle":"","family":"Cui","given":"Cheng","non-dropping-particle":"","parse-names":false,"suffix":""},{"dropping-particle":"","family":"Huang","given":"Baoying","non-dropping-particle":"","parse-names":false,"suffix":""},{"dropping-particle":"","family":"Niu","given":"Peihua","non-dropping-particle":"","parse-names":false,"suffix":""},{"dropping-particle":"","family":"Liu","given":"Xu","non-dropping-particle":"","parse-names":false,"suffix":""},{"dropping-particle":"","family":"Zhao","given":"Li","non-dropping-particle":"","parse-names":false,"suffix":""},{"dropping-particle":"","family":"Dong","given":"Erdan","non-dropping-particle":"","parse-names":false,"suffix":""},{"dropping-particle":"","family":"Song","given":"Chunli","non-dropping-particle":"","parse-names":false,"suffix":""},{"dropping-particle":"","family":"Zhan","given":"Siyan","non-dropping-particle":"","parse-names":false,"suffix":""},{"dropping-particle":"","family":"Lu","given":"Roujian","non-dropping-particle":"","parse-names":false,"suffix":""},{"dropping-particle":"","family":"Li","given":"Haiyan","non-dropping-particle":"","parse-names":false,"suffix":""},{"dropping-particle":"","family":"Tan","given":"Wenjie","non-dropping-particle":"","parse-names":false,"suffix":""},{"dropping-particle":"","family":"Liu","given":"Dongyang","non-dropping-particle":"","parse-names":false,"suffix":""}],"container-title":"Clinical infectious diseases : an official publication of the Infectious Diseases Society of America","id":"ITEM-1","issued":{"date-parts":[["2020","3","9"]]},"title":"In vitro antiviral activity and projection of optimized dosing design of h hydroxychloroquine for the treatment of severe Acute Respiratory Syndrome Coronavirus 2 (SARS-CoV-2).","type":"article-journal"},"uris":["http://www.mendeley.com/documents/?uuid=7b4eed0c-96e5-47a0-ae4b-8624c76f6421"]}],"mendeley":{"formattedCitation":"[17]","plainTextFormattedCitation":"[17]","previouslyFormattedCitation":"[17]"},"properties":{"noteIndex":0},"schema":"https://github.com/citation-style-language/schema/raw/master/csl-citation.json"}</w:instrText>
      </w:r>
      <w:r w:rsidR="00B17DA4">
        <w:rPr>
          <w:noProof/>
          <w:lang w:val="en-US"/>
        </w:rPr>
        <w:fldChar w:fldCharType="separate"/>
      </w:r>
      <w:r w:rsidR="00FC4F4B" w:rsidRPr="00FC4F4B">
        <w:rPr>
          <w:noProof/>
          <w:lang w:val="en-US"/>
        </w:rPr>
        <w:t>[17]</w:t>
      </w:r>
      <w:r w:rsidR="00B17DA4">
        <w:rPr>
          <w:noProof/>
          <w:lang w:val="en-US"/>
        </w:rPr>
        <w:fldChar w:fldCharType="end"/>
      </w:r>
      <w:r w:rsidR="007107C0" w:rsidRPr="00B17DA4">
        <w:rPr>
          <w:noProof/>
          <w:lang w:val="en-US"/>
        </w:rPr>
        <w:t xml:space="preserve">, while others reported factors like 3.7 up to 8 </w:t>
      </w:r>
      <w:r w:rsidR="00B17DA4">
        <w:rPr>
          <w:noProof/>
          <w:lang w:val="en-US"/>
        </w:rPr>
        <w:fldChar w:fldCharType="begin" w:fldLock="1"/>
      </w:r>
      <w:r w:rsidR="0037168B">
        <w:rPr>
          <w:noProof/>
          <w:lang w:val="en-US"/>
        </w:rPr>
        <w:instrText>ADDIN CSL_CITATION {"citationItems":[{"id":"ITEM-1","itemData":{"DOI":"10.1172/JCI101980","ISSN":"0021-9738","PMID":"16695643","author":[{"dropping-particle":"","family":"Berliner","given":"R W","non-dropping-particle":"","parse-names":false,"suffix":""},{"dropping-particle":"","family":"Earle","given":"D P","non-dropping-particle":"","parse-names":false,"suffix":""},{"dropping-particle":"V","family":"Taggart","given":"J","non-dropping-particle":"","parse-names":false,"suffix":""},{"dropping-particle":"","family":"Zubrod","given":"C G","non-dropping-particle":"","parse-names":false,"suffix":""},{"dropping-particle":"","family":"Welch","given":"W J","non-dropping-particle":"","parse-names":false,"suffix":""},{"dropping-particle":"","family":"Conan","given":"N J","non-dropping-particle":"","parse-names":false,"suffix":""},{"dropping-particle":"","family":"Bauman","given":"E","non-dropping-particle":"","parse-names":false,"suffix":""},{"dropping-particle":"","family":"Scudder","given":"S T","non-dropping-particle":"","parse-names":false,"suffix":""},{"dropping-particle":"","family":"Shannon","given":"J A","non-dropping-particle":"","parse-names":false,"suffix":""}],"container-title":"The Journal of clinical investigation","id":"ITEM-1","issue":"3 Pt 2","issued":{"date-parts":[["1948","5"]]},"page":"98-107","title":"Studies on the chemotherapy of the human malarias. VI. The physiological disposition, antimalarial activity, and toxicity of several derivatives of 4-aminoquinoline.","type":"article-journal","volume":"27"},"uris":["http://www.mendeley.com/documents/?uuid=d41ec72b-ab1a-4203-81d9-4a38d898b742"]},{"id":"ITEM-2","itemData":{"DOI":"10.1016/s0140-6736(83)91770-1","ISSN":"0140-6736","PMID":"6129440","author":[{"dropping-particle":"","family":"Gustafsson","given":"L L","non-dropping-particle":"","parse-names":false,"suffix":""},{"dropping-particle":"","family":"Bergqvist","given":"Y","non-dropping-particle":"","parse-names":false,"suffix":""},{"dropping-particle":"","family":"Ericsson","given":"O","non-dropping-particle":"","parse-names":false,"suffix":""},{"dropping-particle":"","family":"Larsson","given":"M","non-dropping-particle":"","parse-names":false,"suffix":""},{"dropping-particle":"","family":"Rombo","given":"L","non-dropping-particle":"","parse-names":false,"suffix":""}],"container-title":"Lancet (London, England)","id":"ITEM-2","issue":"8316","issued":{"date-parts":[["1983","1","15"]]},"page":"126","title":"Pitfalls in the measurement of chloroquine concentration.","type":"article-journal","volume":"1"},"uris":["http://www.mendeley.com/documents/?uuid=ae3320fb-929f-4cc4-bd76-1fdb16216f8d"]}],"mendeley":{"formattedCitation":"[18,19]","plainTextFormattedCitation":"[18,19]","previouslyFormattedCitation":"[18,19]"},"properties":{"noteIndex":0},"schema":"https://github.com/citation-style-language/schema/raw/master/csl-citation.json"}</w:instrText>
      </w:r>
      <w:r w:rsidR="00B17DA4">
        <w:rPr>
          <w:noProof/>
          <w:lang w:val="en-US"/>
        </w:rPr>
        <w:fldChar w:fldCharType="separate"/>
      </w:r>
      <w:r w:rsidR="00FC4F4B" w:rsidRPr="00FC4F4B">
        <w:rPr>
          <w:noProof/>
          <w:lang w:val="en-US"/>
        </w:rPr>
        <w:t>[18,19]</w:t>
      </w:r>
      <w:r w:rsidR="00B17DA4">
        <w:rPr>
          <w:noProof/>
          <w:lang w:val="en-US"/>
        </w:rPr>
        <w:fldChar w:fldCharType="end"/>
      </w:r>
      <w:r w:rsidR="00B17DA4">
        <w:rPr>
          <w:noProof/>
          <w:lang w:val="en-US"/>
        </w:rPr>
        <w:t>)</w:t>
      </w:r>
      <w:r w:rsidRPr="00B17DA4">
        <w:rPr>
          <w:noProof/>
          <w:lang w:val="en-US"/>
        </w:rPr>
        <w:t xml:space="preserve">. </w:t>
      </w:r>
      <w:r w:rsidR="007107C0" w:rsidRPr="00B17DA4">
        <w:rPr>
          <w:noProof/>
          <w:lang w:val="en-US"/>
        </w:rPr>
        <w:t xml:space="preserve">This explanation is supported by the observation that the </w:t>
      </w:r>
      <w:r w:rsidR="00B17DA4">
        <w:rPr>
          <w:noProof/>
          <w:lang w:val="en-US"/>
        </w:rPr>
        <w:t>h</w:t>
      </w:r>
      <w:r w:rsidRPr="00B17DA4">
        <w:rPr>
          <w:noProof/>
          <w:lang w:val="en-US"/>
        </w:rPr>
        <w:t>alf life seems to be similar.</w:t>
      </w:r>
    </w:p>
    <w:p w14:paraId="5FBA517E" w14:textId="70FB35F0" w:rsidR="00596AAC" w:rsidRPr="004534C4" w:rsidRDefault="00596AAC" w:rsidP="00440E26">
      <w:pPr>
        <w:rPr>
          <w:noProof/>
        </w:rPr>
      </w:pPr>
      <w:r>
        <w:rPr>
          <w:noProof/>
          <w:lang w:eastAsia="nl-NL"/>
        </w:rPr>
        <w:drawing>
          <wp:anchor distT="0" distB="0" distL="114300" distR="114300" simplePos="0" relativeHeight="251661312" behindDoc="0" locked="0" layoutInCell="1" allowOverlap="1" wp14:anchorId="7BD8A6AA" wp14:editId="2CB6F6F5">
            <wp:simplePos x="0" y="0"/>
            <wp:positionH relativeFrom="column">
              <wp:posOffset>-635</wp:posOffset>
            </wp:positionH>
            <wp:positionV relativeFrom="paragraph">
              <wp:posOffset>197485</wp:posOffset>
            </wp:positionV>
            <wp:extent cx="2179320" cy="2179320"/>
            <wp:effectExtent l="0" t="0" r="0" b="0"/>
            <wp:wrapSquare wrapText="bothSides"/>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79320" cy="2179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7DA4">
        <w:rPr>
          <w:noProof/>
          <w:lang w:val="en-US"/>
        </w:rPr>
        <w:t xml:space="preserve"> </w:t>
      </w:r>
      <w:r w:rsidRPr="00596AAC">
        <w:rPr>
          <w:rFonts w:cstheme="minorHAnsi"/>
          <w:b/>
          <w:bCs/>
          <w:noProof/>
          <w:lang w:eastAsia="nl-NL"/>
        </w:rPr>
        <w:drawing>
          <wp:inline distT="0" distB="0" distL="0" distR="0" wp14:anchorId="3C817636" wp14:editId="004A311B">
            <wp:extent cx="2882372" cy="2415540"/>
            <wp:effectExtent l="0" t="0" r="0" b="381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901003" cy="2431153"/>
                    </a:xfrm>
                    <a:prstGeom prst="rect">
                      <a:avLst/>
                    </a:prstGeom>
                  </pic:spPr>
                </pic:pic>
              </a:graphicData>
            </a:graphic>
          </wp:inline>
        </w:drawing>
      </w:r>
    </w:p>
    <w:p w14:paraId="5EA0E486" w14:textId="193E47B0" w:rsidR="00596AAC" w:rsidRDefault="00596AAC" w:rsidP="00596AAC">
      <w:pPr>
        <w:rPr>
          <w:noProof/>
          <w:lang w:val="en-US"/>
        </w:rPr>
      </w:pPr>
      <w:r w:rsidRPr="00B17DA4">
        <w:rPr>
          <w:noProof/>
          <w:lang w:val="en-US"/>
        </w:rPr>
        <w:lastRenderedPageBreak/>
        <w:t xml:space="preserve">Chloroquine concentrations </w:t>
      </w:r>
      <w:r w:rsidR="007107C0" w:rsidRPr="00B17DA4">
        <w:rPr>
          <w:noProof/>
          <w:lang w:val="en-US"/>
        </w:rPr>
        <w:t xml:space="preserve">in Group 2 (high dose group, black squares are CQ concentrations in whole blood) </w:t>
      </w:r>
      <w:r w:rsidRPr="00B17DA4">
        <w:rPr>
          <w:noProof/>
          <w:lang w:val="en-US"/>
        </w:rPr>
        <w:t>are slightly lower tha</w:t>
      </w:r>
      <w:r>
        <w:rPr>
          <w:noProof/>
          <w:lang w:val="en-US"/>
        </w:rPr>
        <w:t xml:space="preserve">n observed. </w:t>
      </w:r>
      <w:r w:rsidR="00B17DA4" w:rsidRPr="00B17DA4">
        <w:rPr>
          <w:noProof/>
          <w:lang w:val="en-US"/>
        </w:rPr>
        <w:t xml:space="preserve">This might be caused by the uncertain multiplication factor for calculating whole blood concentrations from plasma (we chose 2.5 according to Yao et </w:t>
      </w:r>
      <w:r w:rsidR="00B17DA4">
        <w:rPr>
          <w:noProof/>
          <w:lang w:val="en-US"/>
        </w:rPr>
        <w:fldChar w:fldCharType="begin" w:fldLock="1"/>
      </w:r>
      <w:r w:rsidR="0037168B">
        <w:rPr>
          <w:noProof/>
          <w:lang w:val="en-US"/>
        </w:rPr>
        <w:instrText>ADDIN CSL_CITATION {"citationItems":[{"id":"ITEM-1","itemData":{"DOI":"10.1093/cid/ciaa237","ISSN":"1537-6591","PMID":"32150618","abstract":"BACKGROUND The Severe Acute Respiratory Syndrome Coronavirus 2 (SARS-CoV-2) first broke out in Wuhan (China) and subsequently spread worldwide. Chloroquine has been sporadically used in treating SARS-CoV-2 infection. Hydroxychloroquine shares the same mechanism of action as chloroquine, but its more tolerable safety profile makes it the preferred drug to treat malaria and autoimmune conditions. We propose that the immunomodulatory effect of hydroxychloroquine also may be useful in controlling the cytokine storm that occurs late-phase in critically ill SARS-CoV-2 infected patients. Currently, there is no evidence to support the use of hydroxychloroquine in SARS-CoV-2 infection. METHODS The pharmacological activity of chloroquine and hydroxychloroquine was tested using SARS-CoV-2 infected Vero cells. Physiologically-based pharmacokinetic models (PBPK) were implemented for both drugs separately by integrating their in vitro data. Using the PBPK models, hydroxychloroquine concentrations in lung fluid were simulated under 5 different dosing regimens to explore the most effective regimen whilst considering the drug's safety profile. RESULTS Hydroxychloroquine (EC50=0.72 μM) was found to be more potent than chloroquine (EC50=5.47 μM) in vitro. Based on PBPK models results, a loading dose of 400 mg twice daily of hydroxychloroquine sulfate given orally, followed by a maintenance dose of 200 mg given twice daily for 4 days is recommended for SARS-CoV-2 infection, as it reached three times the potency of chloroquine phosphate when given 500 mg twice daily 5 days in advance. CONCLUSIONS Hydroxychloroquine was found to be more potent than chloroquine to inhibit SARS-CoV-2 in vitro.","author":[{"dropping-particle":"","family":"Yao","given":"Xueting","non-dropping-particle":"","parse-names":false,"suffix":""},{"dropping-particle":"","family":"Ye","given":"Fei","non-dropping-particle":"","parse-names":false,"suffix":""},{"dropping-particle":"","family":"Zhang","given":"Miao","non-dropping-particle":"","parse-names":false,"suffix":""},{"dropping-particle":"","family":"Cui","given":"Cheng","non-dropping-particle":"","parse-names":false,"suffix":""},{"dropping-particle":"","family":"Huang","given":"Baoying","non-dropping-particle":"","parse-names":false,"suffix":""},{"dropping-particle":"","family":"Niu","given":"Peihua","non-dropping-particle":"","parse-names":false,"suffix":""},{"dropping-particle":"","family":"Liu","given":"Xu","non-dropping-particle":"","parse-names":false,"suffix":""},{"dropping-particle":"","family":"Zhao","given":"Li","non-dropping-particle":"","parse-names":false,"suffix":""},{"dropping-particle":"","family":"Dong","given":"Erdan","non-dropping-particle":"","parse-names":false,"suffix":""},{"dropping-particle":"","family":"Song","given":"Chunli","non-dropping-particle":"","parse-names":false,"suffix":""},{"dropping-particle":"","family":"Zhan","given":"Siyan","non-dropping-particle":"","parse-names":false,"suffix":""},{"dropping-particle":"","family":"Lu","given":"Roujian","non-dropping-particle":"","parse-names":false,"suffix":""},{"dropping-particle":"","family":"Li","given":"Haiyan","non-dropping-particle":"","parse-names":false,"suffix":""},{"dropping-particle":"","family":"Tan","given":"Wenjie","non-dropping-particle":"","parse-names":false,"suffix":""},{"dropping-particle":"","family":"Liu","given":"Dongyang","non-dropping-particle":"","parse-names":false,"suffix":""}],"container-title":"Clinical infectious diseases : an official publication of the Infectious Diseases Society of America","id":"ITEM-1","issued":{"date-parts":[["2020","3","9"]]},"title":"In vitro antiviral activity and projection of optimized dosing design of h hydroxychloroquine for the treatment of severe Acute Respiratory Syndrome Coronavirus 2 (SARS-CoV-2).","type":"article-journal"},"uris":["http://www.mendeley.com/documents/?uuid=7b4eed0c-96e5-47a0-ae4b-8624c76f6421"]}],"mendeley":{"formattedCitation":"[17]","plainTextFormattedCitation":"[17]","previouslyFormattedCitation":"[17]"},"properties":{"noteIndex":0},"schema":"https://github.com/citation-style-language/schema/raw/master/csl-citation.json"}</w:instrText>
      </w:r>
      <w:r w:rsidR="00B17DA4">
        <w:rPr>
          <w:noProof/>
          <w:lang w:val="en-US"/>
        </w:rPr>
        <w:fldChar w:fldCharType="separate"/>
      </w:r>
      <w:r w:rsidR="00FC4F4B" w:rsidRPr="00FC4F4B">
        <w:rPr>
          <w:noProof/>
          <w:lang w:val="en-US"/>
        </w:rPr>
        <w:t>[17]</w:t>
      </w:r>
      <w:r w:rsidR="00B17DA4">
        <w:rPr>
          <w:noProof/>
          <w:lang w:val="en-US"/>
        </w:rPr>
        <w:fldChar w:fldCharType="end"/>
      </w:r>
      <w:r w:rsidR="00B17DA4" w:rsidRPr="00B17DA4">
        <w:rPr>
          <w:noProof/>
          <w:lang w:val="en-US"/>
        </w:rPr>
        <w:t xml:space="preserve">, while others reported factors like 3.7 up to 8 </w:t>
      </w:r>
      <w:r w:rsidR="00B17DA4">
        <w:rPr>
          <w:noProof/>
          <w:lang w:val="en-US"/>
        </w:rPr>
        <w:fldChar w:fldCharType="begin" w:fldLock="1"/>
      </w:r>
      <w:r w:rsidR="0037168B">
        <w:rPr>
          <w:noProof/>
          <w:lang w:val="en-US"/>
        </w:rPr>
        <w:instrText>ADDIN CSL_CITATION {"citationItems":[{"id":"ITEM-1","itemData":{"DOI":"10.1172/JCI101980","ISSN":"0021-9738","PMID":"16695643","author":[{"dropping-particle":"","family":"Berliner","given":"R W","non-dropping-particle":"","parse-names":false,"suffix":""},{"dropping-particle":"","family":"Earle","given":"D P","non-dropping-particle":"","parse-names":false,"suffix":""},{"dropping-particle":"V","family":"Taggart","given":"J","non-dropping-particle":"","parse-names":false,"suffix":""},{"dropping-particle":"","family":"Zubrod","given":"C G","non-dropping-particle":"","parse-names":false,"suffix":""},{"dropping-particle":"","family":"Welch","given":"W J","non-dropping-particle":"","parse-names":false,"suffix":""},{"dropping-particle":"","family":"Conan","given":"N J","non-dropping-particle":"","parse-names":false,"suffix":""},{"dropping-particle":"","family":"Bauman","given":"E","non-dropping-particle":"","parse-names":false,"suffix":""},{"dropping-particle":"","family":"Scudder","given":"S T","non-dropping-particle":"","parse-names":false,"suffix":""},{"dropping-particle":"","family":"Shannon","given":"J A","non-dropping-particle":"","parse-names":false,"suffix":""}],"container-title":"The Journal of clinical investigation","id":"ITEM-1","issue":"3 Pt 2","issued":{"date-parts":[["1948","5"]]},"page":"98-107","title":"Studies on the chemotherapy of the human malarias. VI. The physiological disposition, antimalarial activity, and toxicity of several derivatives of 4-aminoquinoline.","type":"article-journal","volume":"27"},"uris":["http://www.mendeley.com/documents/?uuid=d41ec72b-ab1a-4203-81d9-4a38d898b742"]},{"id":"ITEM-2","itemData":{"DOI":"10.1016/s0140-6736(83)91770-1","ISSN":"0140-6736","PMID":"6129440","author":[{"dropping-particle":"","family":"Gustafsson","given":"L L","non-dropping-particle":"","parse-names":false,"suffix":""},{"dropping-particle":"","family":"Bergqvist","given":"Y","non-dropping-particle":"","parse-names":false,"suffix":""},{"dropping-particle":"","family":"Ericsson","given":"O","non-dropping-particle":"","parse-names":false,"suffix":""},{"dropping-particle":"","family":"Larsson","given":"M","non-dropping-particle":"","parse-names":false,"suffix":""},{"dropping-particle":"","family":"Rombo","given":"L","non-dropping-particle":"","parse-names":false,"suffix":""}],"container-title":"Lancet (London, England)","id":"ITEM-2","issue":"8316","issued":{"date-parts":[["1983","1","15"]]},"page":"126","title":"Pitfalls in the measurement of chloroquine concentration.","type":"article-journal","volume":"1"},"uris":["http://www.mendeley.com/documents/?uuid=ae3320fb-929f-4cc4-bd76-1fdb16216f8d"]}],"mendeley":{"formattedCitation":"[18,19]","plainTextFormattedCitation":"[18,19]","previouslyFormattedCitation":"[18,19]"},"properties":{"noteIndex":0},"schema":"https://github.com/citation-style-language/schema/raw/master/csl-citation.json"}</w:instrText>
      </w:r>
      <w:r w:rsidR="00B17DA4">
        <w:rPr>
          <w:noProof/>
          <w:lang w:val="en-US"/>
        </w:rPr>
        <w:fldChar w:fldCharType="separate"/>
      </w:r>
      <w:r w:rsidR="00FC4F4B" w:rsidRPr="00FC4F4B">
        <w:rPr>
          <w:noProof/>
          <w:lang w:val="en-US"/>
        </w:rPr>
        <w:t>[18,19]</w:t>
      </w:r>
      <w:r w:rsidR="00B17DA4">
        <w:rPr>
          <w:noProof/>
          <w:lang w:val="en-US"/>
        </w:rPr>
        <w:fldChar w:fldCharType="end"/>
      </w:r>
      <w:r w:rsidR="00B17DA4">
        <w:rPr>
          <w:noProof/>
          <w:lang w:val="en-US"/>
        </w:rPr>
        <w:t>)</w:t>
      </w:r>
      <w:r w:rsidR="00B17DA4" w:rsidRPr="00B17DA4">
        <w:rPr>
          <w:noProof/>
          <w:lang w:val="en-US"/>
        </w:rPr>
        <w:t xml:space="preserve">. This explanation is supported by the observation that the </w:t>
      </w:r>
      <w:r w:rsidR="00B17DA4">
        <w:rPr>
          <w:noProof/>
          <w:lang w:val="en-US"/>
        </w:rPr>
        <w:t>h</w:t>
      </w:r>
      <w:r w:rsidR="00B17DA4" w:rsidRPr="00B17DA4">
        <w:rPr>
          <w:noProof/>
          <w:lang w:val="en-US"/>
        </w:rPr>
        <w:t>alf life seems to be similar.</w:t>
      </w:r>
    </w:p>
    <w:p w14:paraId="6A099B38" w14:textId="01B08AFE" w:rsidR="000B321E" w:rsidRDefault="00596AAC" w:rsidP="00596AAC">
      <w:pPr>
        <w:rPr>
          <w:i/>
          <w:iCs/>
          <w:noProof/>
          <w:lang w:val="en-US"/>
        </w:rPr>
      </w:pPr>
      <w:r w:rsidRPr="00596AAC">
        <w:rPr>
          <w:i/>
          <w:iCs/>
          <w:noProof/>
          <w:lang w:val="en-US"/>
        </w:rPr>
        <w:t xml:space="preserve">Conclusion: PK </w:t>
      </w:r>
      <w:r>
        <w:rPr>
          <w:i/>
          <w:iCs/>
          <w:noProof/>
          <w:lang w:val="en-US"/>
        </w:rPr>
        <w:t xml:space="preserve">in these young adults </w:t>
      </w:r>
      <w:r w:rsidRPr="00596AAC">
        <w:rPr>
          <w:i/>
          <w:iCs/>
          <w:noProof/>
          <w:lang w:val="en-US"/>
        </w:rPr>
        <w:t>seems to be reasonable well predicted, however, caution should be beared in transposing simulated plasma concentrations to whole blood concentrations.</w:t>
      </w:r>
    </w:p>
    <w:p w14:paraId="6CD0DA5C" w14:textId="75739B1A" w:rsidR="000B321E" w:rsidRDefault="000B321E">
      <w:pPr>
        <w:rPr>
          <w:i/>
          <w:iCs/>
          <w:noProof/>
          <w:lang w:val="en-US"/>
        </w:rPr>
      </w:pPr>
    </w:p>
    <w:p w14:paraId="6B08A97E" w14:textId="4E593379" w:rsidR="00A33656" w:rsidRPr="004534C4" w:rsidRDefault="00A33656" w:rsidP="004534C4">
      <w:pPr>
        <w:rPr>
          <w:rFonts w:cstheme="minorHAnsi"/>
          <w:b/>
          <w:bCs/>
        </w:rPr>
      </w:pPr>
      <w:r w:rsidRPr="004534C4">
        <w:rPr>
          <w:rFonts w:cstheme="minorHAnsi"/>
          <w:b/>
          <w:bCs/>
        </w:rPr>
        <w:t xml:space="preserve">Obua </w:t>
      </w:r>
      <w:r w:rsidR="004534C4">
        <w:rPr>
          <w:rFonts w:cstheme="minorHAnsi"/>
          <w:b/>
          <w:bCs/>
        </w:rPr>
        <w:t xml:space="preserve">ET AL </w:t>
      </w:r>
      <w:r w:rsidRPr="004534C4">
        <w:rPr>
          <w:rFonts w:cstheme="minorHAnsi"/>
          <w:b/>
          <w:bCs/>
        </w:rPr>
        <w:t>2007</w:t>
      </w:r>
      <w:r w:rsidR="004534C4">
        <w:rPr>
          <w:rFonts w:cstheme="minorHAnsi"/>
          <w:b/>
          <w:bCs/>
        </w:rPr>
        <w:t xml:space="preserve"> </w:t>
      </w:r>
      <w:r w:rsidR="004534C4">
        <w:rPr>
          <w:rFonts w:cstheme="minorHAnsi"/>
          <w:b/>
          <w:bCs/>
        </w:rPr>
        <w:fldChar w:fldCharType="begin" w:fldLock="1"/>
      </w:r>
      <w:r w:rsidR="00BE1F70">
        <w:rPr>
          <w:rFonts w:cstheme="minorHAnsi"/>
          <w:b/>
          <w:bCs/>
        </w:rPr>
        <w:instrText>ADDIN CSL_CITATION {"citationItems":[{"id":"ITEM-1","itemData":{"DOI":"10.1111/j.1365-2125.2007.03050.x","ISSN":"03065251","abstract":"AIMS: To describe the pharmacokinetics of chloroquine (CQ) and sulfadoxine (SDx), and to identify predictors of treatment response in children with malaria given the CQ + SDx and pyrimethamine (PYR) combination. METHODS: Eighty-six Ugandan children with uncomplicated falciparum malaria, 6 months to 5 years old, were randomly treated with prepacked fixed-dose CQ + SDx/PYR. The youngest children (&lt;24 months) received half strength and the older (&gt;24 months) full strength treatment. The reported day 14 failure rates were 48% and 18%, respectively. Capillary blood (100 μl) applied on to filter paper was collected on eight occasions during 28 days of follow up. Concentrations of CQ and SDx were determined. A population approach was used for the pharmacokinetic analysis. RESULTS: A two-compartment model adequately described the data for both CQ and SDx. For CQ, the typical apparent clearance (CL/F) and volume of distribution (VC/F) values were estimated to be 2.84 l h-1 and 230 l. The typical CL/F for SDx was 0.023 l h-1, while the factor relating its VC/F to normalized body weight was 1.6 l kg -1. Post hoc parameter estimates for both drugs showed lower maximum concentrations (Cmax) and concentration-time curve areas (AUC(0,336 h)) in younger children. The AUC(0,336 h) for SDx and CQ were independently significant factors for prediction of cure. Simulations suggest that giving the higher dose to the youngest children would result in higher CQ and SDx concentrations and improved outcome. CONCLUSIONS: The study results suggest that full-strength combination to all children would improve the cure rate. © 2007 The Authors.","author":[{"dropping-particle":"","family":"Obua","given":"Celestino","non-dropping-particle":"","parse-names":false,"suffix":""},{"dropping-particle":"","family":"Hellgren","given":"Urban","non-dropping-particle":"","parse-names":false,"suffix":""},{"dropping-particle":"","family":"Ntale","given":"Muhammed","non-dropping-particle":"","parse-names":false,"suffix":""},{"dropping-particle":"","family":"Gustafsson","given":"Lars L.","non-dropping-particle":"","parse-names":false,"suffix":""},{"dropping-particle":"","family":"Ogwal-Okeng","given":"Jasper W.","non-dropping-particle":"","parse-names":false,"suffix":""},{"dropping-particle":"","family":"Gordi","given":"Toufigh","non-dropping-particle":"","parse-names":false,"suffix":""},{"dropping-particle":"","family":"Jerling","given":"Markus","non-dropping-particle":"","parse-names":false,"suffix":""}],"container-title":"British Journal of Clinical Pharmacology","id":"ITEM-1","issue":"4","issued":{"date-parts":[["2008"]]},"page":"493-501","title":"Population pharmacokinetics of chloroquine and sulfadoxine and treatment response in children with malaria: Suggestions for an improved dose regimen","type":"article-journal","volume":"65"},"uris":["http://www.mendeley.com/documents/?uuid=77464ec4-29e9-41be-bf58-8592491964a2"]}],"mendeley":{"formattedCitation":"[9]","plainTextFormattedCitation":"[9]","previouslyFormattedCitation":"[9]"},"properties":{"noteIndex":0},"schema":"https://github.com/citation-style-language/schema/raw/master/csl-citation.json"}</w:instrText>
      </w:r>
      <w:r w:rsidR="004534C4">
        <w:rPr>
          <w:rFonts w:cstheme="minorHAnsi"/>
          <w:b/>
          <w:bCs/>
        </w:rPr>
        <w:fldChar w:fldCharType="separate"/>
      </w:r>
      <w:r w:rsidR="00BD7649" w:rsidRPr="00BD7649">
        <w:rPr>
          <w:rFonts w:cstheme="minorHAnsi"/>
          <w:bCs/>
          <w:noProof/>
        </w:rPr>
        <w:t>[9]</w:t>
      </w:r>
      <w:r w:rsidR="004534C4">
        <w:rPr>
          <w:rFonts w:cstheme="minorHAnsi"/>
          <w:b/>
          <w:bCs/>
        </w:rPr>
        <w:fldChar w:fldCharType="end"/>
      </w:r>
    </w:p>
    <w:p w14:paraId="6F63295E" w14:textId="77777777" w:rsidR="00A33656" w:rsidRPr="004534C4" w:rsidRDefault="00A33656" w:rsidP="00A33656">
      <w:pPr>
        <w:rPr>
          <w:rFonts w:cstheme="minorHAnsi"/>
          <w:color w:val="212121"/>
          <w:shd w:val="clear" w:color="auto" w:fill="FFFFFF"/>
        </w:rPr>
      </w:pPr>
      <w:r w:rsidRPr="00A33656">
        <w:rPr>
          <w:rFonts w:cstheme="minorHAnsi"/>
          <w:color w:val="212121"/>
          <w:shd w:val="clear" w:color="auto" w:fill="FFFFFF"/>
        </w:rPr>
        <w:t xml:space="preserve">Obua C, Hellgren U, Ntale M, et al. </w:t>
      </w:r>
      <w:r w:rsidRPr="004534C4">
        <w:rPr>
          <w:rFonts w:cstheme="minorHAnsi"/>
          <w:color w:val="212121"/>
          <w:shd w:val="clear" w:color="auto" w:fill="FFFFFF"/>
        </w:rPr>
        <w:t>Population pharmacokinetics of chloroquine and sulfadoxine and treatment response in children with malaria: suggestions for an improved dose regimen. Br J Clin Pharmacol. 2008;65(4):493–501. doi:10.1111/j.1365-2125.2007.03050.x</w:t>
      </w:r>
    </w:p>
    <w:p w14:paraId="34E46BFB" w14:textId="4A36E6D2" w:rsidR="00A33656" w:rsidRPr="004534C4" w:rsidRDefault="00A33656" w:rsidP="00A33656">
      <w:pPr>
        <w:rPr>
          <w:rFonts w:cstheme="minorHAnsi"/>
          <w:b/>
          <w:bCs/>
        </w:rPr>
      </w:pPr>
      <w:r w:rsidRPr="004534C4">
        <w:rPr>
          <w:rFonts w:cstheme="minorHAnsi"/>
          <w:b/>
          <w:bCs/>
        </w:rPr>
        <w:t>Dose and patient characteristics:</w:t>
      </w:r>
    </w:p>
    <w:p w14:paraId="3A0F58F2" w14:textId="77777777" w:rsidR="00A33656" w:rsidRPr="004534C4" w:rsidRDefault="00A33656" w:rsidP="00A33656">
      <w:pPr>
        <w:rPr>
          <w:rFonts w:cstheme="minorHAnsi"/>
        </w:rPr>
      </w:pPr>
      <w:r w:rsidRPr="004534C4">
        <w:rPr>
          <w:rFonts w:cstheme="minorHAnsi"/>
        </w:rPr>
        <w:t>Dose regimen used in the study:</w:t>
      </w:r>
    </w:p>
    <w:p w14:paraId="56BA8160" w14:textId="77777777" w:rsidR="00A33656" w:rsidRPr="004534C4" w:rsidRDefault="00A33656" w:rsidP="00A33656">
      <w:pPr>
        <w:rPr>
          <w:rFonts w:cstheme="minorHAnsi"/>
        </w:rPr>
      </w:pPr>
      <w:r w:rsidRPr="004534C4">
        <w:rPr>
          <w:rFonts w:cstheme="minorHAnsi"/>
        </w:rPr>
        <w:t>6m – 24m: 75 mg 1dd for 3 days</w:t>
      </w:r>
    </w:p>
    <w:p w14:paraId="5F04C279" w14:textId="77777777" w:rsidR="00A33656" w:rsidRPr="004534C4" w:rsidRDefault="00A33656" w:rsidP="00A33656">
      <w:pPr>
        <w:rPr>
          <w:rFonts w:cstheme="minorHAnsi"/>
        </w:rPr>
      </w:pPr>
      <w:r w:rsidRPr="004534C4">
        <w:rPr>
          <w:rFonts w:cstheme="minorHAnsi"/>
        </w:rPr>
        <w:t>25m – 60 m: 150 mg 1dd for 3 days</w:t>
      </w:r>
    </w:p>
    <w:p w14:paraId="2340D1A1" w14:textId="580E14C8" w:rsidR="00A33656" w:rsidRDefault="00A33656" w:rsidP="00A33656">
      <w:pPr>
        <w:rPr>
          <w:rFonts w:cstheme="minorHAnsi"/>
        </w:rPr>
      </w:pPr>
      <w:r w:rsidRPr="004534C4">
        <w:rPr>
          <w:rFonts w:cstheme="minorHAnsi"/>
        </w:rPr>
        <w:t xml:space="preserve">Patient characteristics: Children 6 m – 60m with malaria (Uganda). Median weight </w:t>
      </w:r>
      <w:r w:rsidR="00AF0E16" w:rsidRPr="004534C4">
        <w:rPr>
          <w:rFonts w:cstheme="minorHAnsi"/>
        </w:rPr>
        <w:t>11.9kg (range 7-17 kg). Age median 30 months.</w:t>
      </w:r>
    </w:p>
    <w:p w14:paraId="2F401FB6" w14:textId="614E0891" w:rsidR="008015F0" w:rsidRPr="006557D4" w:rsidRDefault="008015F0" w:rsidP="00A33656">
      <w:pPr>
        <w:rPr>
          <w:rFonts w:cstheme="minorHAnsi"/>
        </w:rPr>
      </w:pPr>
      <w:r w:rsidRPr="006557D4">
        <w:rPr>
          <w:rFonts w:cstheme="minorHAnsi"/>
        </w:rPr>
        <w:t>Matrix: Dried blood spot</w:t>
      </w:r>
      <w:r w:rsidR="00980AED" w:rsidRPr="006557D4">
        <w:rPr>
          <w:rFonts w:cstheme="minorHAnsi"/>
        </w:rPr>
        <w:t xml:space="preserve"> (based on methodology as plasma/serum)</w:t>
      </w:r>
    </w:p>
    <w:p w14:paraId="490AF567" w14:textId="0C830092" w:rsidR="00AF0E16" w:rsidRPr="006557D4" w:rsidRDefault="00AF0E16" w:rsidP="00A33656">
      <w:pPr>
        <w:rPr>
          <w:rFonts w:cstheme="minorHAnsi"/>
        </w:rPr>
      </w:pPr>
      <w:r w:rsidRPr="006557D4">
        <w:rPr>
          <w:rFonts w:cstheme="minorHAnsi"/>
        </w:rPr>
        <w:t>Since 2 dose regimens were used dependent on age, we simulated 2 patients: 6 months = 7 kg (75 mg/day) and 25 months, 12 kg (150 mg/day).</w:t>
      </w:r>
    </w:p>
    <w:p w14:paraId="2966B7F4" w14:textId="4E0B77A8" w:rsidR="00596AAC" w:rsidRPr="004534C4" w:rsidRDefault="0037655F" w:rsidP="00440E26">
      <w:pPr>
        <w:rPr>
          <w:rFonts w:cstheme="minorHAnsi"/>
          <w:i/>
          <w:iCs/>
        </w:rPr>
      </w:pPr>
      <w:r>
        <w:rPr>
          <w:rFonts w:cstheme="minorHAnsi"/>
          <w:i/>
          <w:iCs/>
          <w:noProof/>
          <w:lang w:eastAsia="nl-NL"/>
        </w:rPr>
        <w:drawing>
          <wp:inline distT="0" distB="0" distL="0" distR="0" wp14:anchorId="1D81DC0D" wp14:editId="7E726DBF">
            <wp:extent cx="4823460" cy="1926832"/>
            <wp:effectExtent l="0" t="0" r="0" b="0"/>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839729" cy="1933331"/>
                    </a:xfrm>
                    <a:prstGeom prst="rect">
                      <a:avLst/>
                    </a:prstGeom>
                    <a:noFill/>
                    <a:ln>
                      <a:noFill/>
                    </a:ln>
                  </pic:spPr>
                </pic:pic>
              </a:graphicData>
            </a:graphic>
          </wp:inline>
        </w:drawing>
      </w:r>
      <w:r w:rsidRPr="0037655F">
        <w:rPr>
          <w:rFonts w:cstheme="minorHAnsi"/>
          <w:i/>
          <w:iCs/>
          <w:noProof/>
          <w:lang w:eastAsia="nl-NL"/>
        </w:rPr>
        <w:drawing>
          <wp:inline distT="0" distB="0" distL="0" distR="0" wp14:anchorId="7A546C8A" wp14:editId="4EC89788">
            <wp:extent cx="2560320" cy="1704966"/>
            <wp:effectExtent l="0" t="0" r="0" b="0"/>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579496" cy="1717736"/>
                    </a:xfrm>
                    <a:prstGeom prst="rect">
                      <a:avLst/>
                    </a:prstGeom>
                  </pic:spPr>
                </pic:pic>
              </a:graphicData>
            </a:graphic>
          </wp:inline>
        </w:drawing>
      </w:r>
    </w:p>
    <w:p w14:paraId="25AB004A" w14:textId="41213049" w:rsidR="00F8204D" w:rsidRDefault="00DD6498" w:rsidP="00F8204D">
      <w:pPr>
        <w:rPr>
          <w:rFonts w:cstheme="minorHAnsi"/>
          <w:i/>
          <w:iCs/>
          <w:lang w:val="en-US"/>
        </w:rPr>
      </w:pPr>
      <w:r w:rsidRPr="00C374A8">
        <w:rPr>
          <w:rFonts w:cstheme="minorHAnsi"/>
          <w:i/>
          <w:iCs/>
        </w:rPr>
        <w:lastRenderedPageBreak/>
        <w:t xml:space="preserve">Conclusion: Median peaks of the observations </w:t>
      </w:r>
      <w:r w:rsidR="0040358A" w:rsidRPr="00C374A8">
        <w:rPr>
          <w:rFonts w:cstheme="minorHAnsi"/>
          <w:i/>
          <w:iCs/>
        </w:rPr>
        <w:t>are</w:t>
      </w:r>
      <w:r w:rsidRPr="00C374A8">
        <w:rPr>
          <w:rFonts w:cstheme="minorHAnsi"/>
          <w:i/>
          <w:iCs/>
        </w:rPr>
        <w:t xml:space="preserve"> well predicted with the model. Elimination phase is best predicted when CL is set</w:t>
      </w:r>
      <w:r w:rsidR="00F8204D" w:rsidRPr="00C374A8">
        <w:rPr>
          <w:rFonts w:cstheme="minorHAnsi"/>
          <w:i/>
          <w:iCs/>
        </w:rPr>
        <w:t xml:space="preserve"> to 25-</w:t>
      </w:r>
      <w:r w:rsidRPr="00C374A8">
        <w:rPr>
          <w:rFonts w:cstheme="minorHAnsi"/>
          <w:i/>
          <w:iCs/>
        </w:rPr>
        <w:t xml:space="preserve">50%. This supports the findings of the evaluation of the model in Adelusi, where we found that </w:t>
      </w:r>
      <w:r w:rsidR="00F8204D" w:rsidRPr="00C374A8">
        <w:rPr>
          <w:rFonts w:cstheme="minorHAnsi"/>
          <w:i/>
          <w:iCs/>
        </w:rPr>
        <w:t xml:space="preserve">for children &lt; 5year or &lt; 1 year, CL may be better predicted with CL set to 75% or 50%, respectively, on top of the weight-based allometric scaling that is implemented in Zhao et al </w:t>
      </w:r>
      <w:r w:rsidR="00F8204D">
        <w:rPr>
          <w:rFonts w:cstheme="minorHAnsi"/>
          <w:i/>
          <w:iCs/>
          <w:lang w:val="en-US"/>
        </w:rPr>
        <w:fldChar w:fldCharType="begin" w:fldLock="1"/>
      </w:r>
      <w:r w:rsidR="00BE1F70">
        <w:rPr>
          <w:rFonts w:cstheme="minorHAnsi"/>
          <w:i/>
          <w:iCs/>
        </w:rPr>
        <w:instrText>ADDIN CSL_CITATION {"citationItems":[{"id":"ITEM-1","itemData":{"DOI":"10.1186/1475-2875-13-36","ISSN":"14752875","abstract":"Background: Population pharmacokinetics (PK) of azithromycin (AZ) and chloroquine (CQ) following administration of fixed-dose combination tablet formulations of AZ and CQ (AZCQ) was evaluated using data from two studies: 1) in children with symptomatic uncomplicated falciparum malaria in sub-Saharan Africa; and 2) in healthy adults in the United States. Methods. Study 1 included paediatric subjects randomized to either AZCQ or artemether-lumefantrine treatment in Cohort 1 (age 5-12 years) and Cohort 2 (age 6-59 months). Dosing of AZCQ was approximately 30 mg/kg AZ and 10 mg/kg CQ once daily for 3 days (for ≥20 kg weight: AZ/CQ 300/100 mg per tablet; 5 to &lt;20 kg weight: AZ/CQ 150/50 mg per tablet). Study 2 included adults randomized to receive either two AZCQ tablets (AZ/CQ 250/155 mg per tablet) or individual commercial tablets of AZ 500 mg and CQ 300 mg. Serum AZ and plasma CQ concentrations from both studies were pooled. Population PK models were constructed using standard approaches to evaluate the concentration-time data for AZ and CQ and to identify any covariates predictive of PK behaviour. Results: A three-compartment PK model with linear clearance and absorption adequately described AZ data, while a two-compartment model with linear clearance and absorption and an absorption lag adequately described CQ data. No overall bias or substantial model misspecification was evident using diagnostic plots and visual predictive checks. Body weight as an allometric function was the only covariate in the final AZ and CQ PK models. There were significantly lower AZ (0.488 vs 0.745 [mg•h/L]/[mg/kg], p &lt; 0.00001) and CQ (0.836 vs 1.27 [mg•h/L]/[mg/kg], p &lt; 0.00001) exposures (AUC§ssub§inf§ esub§) normalized by dose (mg/kg) in children compared with the adults. Conclusions: The PK of AZ and CQ following administration of AZCQ was well described using a three- and two-compartment model, respectively. AZ and CQ exhibited linear absorption and clearance; the model for CQ included an absorption lag. Weight was predictive of exposure for both AZ and CQ. Assuming equivalent dosing (mg/kg), AZ and CQ exposure in children would be expected to be lower than that in adults, suggesting that children may require a higher dose (mg/kg) than adults to achieve the same AZ and CQ exposure. © 2014 Zhao et al.; licensee BioMed Central Ltd.","author":[{"dropping-particle":"","family":"Zhao","given":"Qinying","non-dropping-particle":"","parse-names":false,"suffix":""},{"dropping-particle":"","family":"Tensfeldt","given":"Thomas G.","non-dropping-particle":"","parse-names":false,"suffix":""},{"dropping-particle":"","family":"Chandra","given":"Richa","non-dropping-particle":"","parse-names":false,"suffix":""},{"dropping-particle":"","family":"Mould","given":"Diane R.","non-dropping-particle":"","parse-names":false,"suffix":""}],"container-title":"Malaria Journal","id":"ITEM-1","issue":"1","issued":{"date-parts":[["2014"]]},"page":"1-8","title":"Population pharmacokinetics of azithromycin and chloroquine in healthy adults and paediatric malaria subjects following oral administration of fixed-dose azithromycin and chloroquine combination tablets","type":"article-journal","volume":"13"},"uris":["http://www.mendeley.com/documents/?uuid=286aa8c0-9b2d-4c73-b6a2-6c27bcff2c7d"]}],"mendeley":{"formattedCitation":"[6]","plainTextFormattedCitation":"[6]","previouslyFormattedCitation":"[6]"},"properties":{"noteIndex":0},"schema":"https://github.com/citation-style-language/schema/raw/master/csl-citation.json"}</w:instrText>
      </w:r>
      <w:r w:rsidR="00F8204D">
        <w:rPr>
          <w:rFonts w:cstheme="minorHAnsi"/>
          <w:i/>
          <w:iCs/>
          <w:lang w:val="en-US"/>
        </w:rPr>
        <w:fldChar w:fldCharType="separate"/>
      </w:r>
      <w:r w:rsidR="00BD7649" w:rsidRPr="00BD7649">
        <w:rPr>
          <w:rFonts w:cstheme="minorHAnsi"/>
          <w:iCs/>
          <w:noProof/>
          <w:lang w:val="en-US"/>
        </w:rPr>
        <w:t>[6]</w:t>
      </w:r>
      <w:r w:rsidR="00F8204D">
        <w:rPr>
          <w:rFonts w:cstheme="minorHAnsi"/>
          <w:i/>
          <w:iCs/>
          <w:lang w:val="en-US"/>
        </w:rPr>
        <w:fldChar w:fldCharType="end"/>
      </w:r>
      <w:r w:rsidR="00F8204D">
        <w:rPr>
          <w:rFonts w:cstheme="minorHAnsi"/>
          <w:i/>
          <w:iCs/>
          <w:lang w:val="en-US"/>
        </w:rPr>
        <w:t>.</w:t>
      </w:r>
    </w:p>
    <w:p w14:paraId="28FA59ED" w14:textId="35A9C828" w:rsidR="003F516A" w:rsidRDefault="003F516A">
      <w:pPr>
        <w:rPr>
          <w:rFonts w:cstheme="minorHAnsi"/>
          <w:i/>
          <w:iCs/>
        </w:rPr>
      </w:pPr>
      <w:r>
        <w:rPr>
          <w:rFonts w:cstheme="minorHAnsi"/>
          <w:i/>
          <w:iCs/>
        </w:rPr>
        <w:br w:type="page"/>
      </w:r>
    </w:p>
    <w:p w14:paraId="70EDE330" w14:textId="10EA56CF" w:rsidR="003F516A" w:rsidRDefault="003F516A" w:rsidP="00483BF9">
      <w:pPr>
        <w:pStyle w:val="Kop1"/>
        <w:numPr>
          <w:ilvl w:val="0"/>
          <w:numId w:val="29"/>
        </w:numPr>
        <w:rPr>
          <w:color w:val="auto"/>
          <w:lang w:val="en-US"/>
        </w:rPr>
      </w:pPr>
      <w:bookmarkStart w:id="13" w:name="_Toc36555284"/>
      <w:r w:rsidRPr="00C92718">
        <w:rPr>
          <w:color w:val="auto"/>
          <w:lang w:val="en-US"/>
        </w:rPr>
        <w:lastRenderedPageBreak/>
        <w:t>Supplemental figure</w:t>
      </w:r>
      <w:bookmarkEnd w:id="13"/>
    </w:p>
    <w:p w14:paraId="7131A32B" w14:textId="77777777" w:rsidR="003F516A" w:rsidRPr="00C92718" w:rsidRDefault="003F516A" w:rsidP="003F516A">
      <w:pPr>
        <w:rPr>
          <w:lang w:val="en-US"/>
        </w:rPr>
      </w:pPr>
    </w:p>
    <w:p w14:paraId="184D96D8" w14:textId="6EB26656" w:rsidR="003F516A" w:rsidRDefault="00BE1F70" w:rsidP="003F516A">
      <w:pPr>
        <w:ind w:left="360"/>
        <w:rPr>
          <w:rFonts w:asciiTheme="majorHAnsi" w:eastAsiaTheme="majorEastAsia" w:hAnsiTheme="majorHAnsi" w:cstheme="majorBidi"/>
          <w:sz w:val="32"/>
          <w:szCs w:val="32"/>
          <w:lang w:val="en-US"/>
        </w:rPr>
      </w:pPr>
      <w:r>
        <w:rPr>
          <w:rFonts w:asciiTheme="majorHAnsi" w:eastAsiaTheme="majorEastAsia" w:hAnsiTheme="majorHAnsi" w:cstheme="majorBidi"/>
          <w:noProof/>
          <w:sz w:val="32"/>
          <w:szCs w:val="32"/>
          <w:lang w:eastAsia="nl-NL"/>
        </w:rPr>
        <w:drawing>
          <wp:inline distT="0" distB="0" distL="0" distR="0" wp14:anchorId="4E074703" wp14:editId="5EA30640">
            <wp:extent cx="4503420" cy="5063369"/>
            <wp:effectExtent l="0" t="0" r="0" b="444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504836" cy="5064961"/>
                    </a:xfrm>
                    <a:prstGeom prst="rect">
                      <a:avLst/>
                    </a:prstGeom>
                    <a:noFill/>
                    <a:ln>
                      <a:noFill/>
                    </a:ln>
                  </pic:spPr>
                </pic:pic>
              </a:graphicData>
            </a:graphic>
          </wp:inline>
        </w:drawing>
      </w:r>
    </w:p>
    <w:p w14:paraId="73A0976F" w14:textId="3738859F" w:rsidR="003F516A" w:rsidRPr="00C14603" w:rsidRDefault="003F516A" w:rsidP="003F516A">
      <w:pPr>
        <w:rPr>
          <w:rFonts w:asciiTheme="majorHAnsi" w:eastAsiaTheme="majorEastAsia" w:hAnsiTheme="majorHAnsi" w:cstheme="majorBidi"/>
          <w:sz w:val="32"/>
          <w:szCs w:val="32"/>
          <w:lang w:val="en-US"/>
        </w:rPr>
      </w:pPr>
      <w:r w:rsidRPr="00EB182A">
        <w:rPr>
          <w:rFonts w:cstheme="minorHAnsi"/>
          <w:lang w:val="en-US"/>
        </w:rPr>
        <w:t xml:space="preserve">Figure </w:t>
      </w:r>
      <w:r w:rsidR="00341DFE">
        <w:rPr>
          <w:rFonts w:cstheme="minorHAnsi"/>
          <w:lang w:val="en-US"/>
        </w:rPr>
        <w:t>3</w:t>
      </w:r>
      <w:r w:rsidRPr="00EB182A">
        <w:rPr>
          <w:rFonts w:cstheme="minorHAnsi"/>
          <w:lang w:val="en-US"/>
        </w:rPr>
        <w:t>. P</w:t>
      </w:r>
      <w:r>
        <w:rPr>
          <w:rFonts w:cstheme="minorHAnsi"/>
          <w:lang w:val="en-US"/>
        </w:rPr>
        <w:t xml:space="preserve">lasma concentration-time profile in three cases of a chloroquine intoxication with A. a child of 1 year old who died after ingestion of around 300 mg </w:t>
      </w:r>
      <w:r>
        <w:rPr>
          <w:rFonts w:cstheme="minorHAnsi"/>
          <w:lang w:val="en-US"/>
        </w:rPr>
        <w:fldChar w:fldCharType="begin" w:fldLock="1"/>
      </w:r>
      <w:r w:rsidR="00FC4F4B">
        <w:rPr>
          <w:rFonts w:cstheme="minorHAnsi"/>
          <w:lang w:val="en-US"/>
        </w:rPr>
        <w:instrText>ADDIN CSL_CITATION {"citationItems":[{"id":"ITEM-1","itemData":{"DOI":"10.1016/s0196-0644(05)82141-9","ISSN":"0196-0644","PMID":"2297155","abstract":"Chloroquine poisoning in children, although infrequent, is extremely dangerous because of the narrow margin between therapeutic and toxic doses. Children clinically present with apnea, seizures, and cardiac arrhythmias. We present the case of a 12-month-old infant, the second-youngest patient reported in the US literature to die from chloroquine poisoning. A serum level of 4.4 mg/L (13.64 mumol/L) was obtained after the infant ingested only one tablet (300 mg). This establishes a new minimal lethal dose/blood level for children. Although some pediatric and adult pharmacokinetic and clinical similarities exist, the outcome is different. Pediatric mortality is 80%, whereas adult mortality is only 10%. Pediatric ingestion cases are primarily unintentional, and most adult cases are suicide attempts. Current treatment in adults includes a protocol of diazepam and epinephrine. Further studies involving children and these medications and other modalities are needed to improve survival.","author":[{"dropping-particle":"","family":"Kelly","given":"James C","non-dropping-particle":"","parse-names":false,"suffix":""},{"dropping-particle":"","family":"Wasserman","given":"G S","non-dropping-particle":"","parse-names":false,"suffix":""},{"dropping-particle":"","family":"Bernard","given":"Walter D","non-dropping-particle":"","parse-names":false,"suffix":""},{"dropping-particle":"","family":"Schultz","given":"C","non-dropping-particle":"","parse-names":false,"suffix":""},{"dropping-particle":"","family":"Knapp","given":"J","non-dropping-particle":"","parse-names":false,"suffix":""}],"container-title":"Annals of emergency medicine","id":"ITEM-1","issue":"1","issued":{"date-parts":[["1990","1"]]},"page":"47-50","title":"Chloroquine poisoning in a child.","type":"article-journal","volume":"19"},"uris":["http://www.mendeley.com/documents/?uuid=9448d8ac-778b-4a0e-bfc6-3214614c9415"]}],"mendeley":{"formattedCitation":"[23]","plainTextFormattedCitation":"[23]","previouslyFormattedCitation":"[23]"},"properties":{"noteIndex":0},"schema":"https://github.com/citation-style-language/schema/raw/master/csl-citation.json"}</w:instrText>
      </w:r>
      <w:r>
        <w:rPr>
          <w:rFonts w:cstheme="minorHAnsi"/>
          <w:lang w:val="en-US"/>
        </w:rPr>
        <w:fldChar w:fldCharType="separate"/>
      </w:r>
      <w:r w:rsidR="00110471" w:rsidRPr="00110471">
        <w:rPr>
          <w:rFonts w:cstheme="minorHAnsi"/>
          <w:noProof/>
          <w:lang w:val="en-US"/>
        </w:rPr>
        <w:t>[23]</w:t>
      </w:r>
      <w:r>
        <w:rPr>
          <w:rFonts w:cstheme="minorHAnsi"/>
          <w:lang w:val="en-US"/>
        </w:rPr>
        <w:fldChar w:fldCharType="end"/>
      </w:r>
      <w:r>
        <w:rPr>
          <w:rFonts w:cstheme="minorHAnsi"/>
          <w:lang w:val="en-US"/>
        </w:rPr>
        <w:t xml:space="preserve">, B. a child of 2 year old who died after ingestion of 600 mg </w:t>
      </w:r>
      <w:r>
        <w:rPr>
          <w:rFonts w:cstheme="minorHAnsi"/>
          <w:lang w:val="en-US"/>
        </w:rPr>
        <w:fldChar w:fldCharType="begin" w:fldLock="1"/>
      </w:r>
      <w:r w:rsidR="00FC4F4B">
        <w:rPr>
          <w:rFonts w:cstheme="minorHAnsi"/>
          <w:lang w:val="en-US"/>
        </w:rPr>
        <w:instrText>ADDIN CSL_CITATION {"citationItems":[{"id":"ITEM-1","itemData":{"ISSN":"00314005","author":[{"dropping-particle":"","family":"McCann","given":"W. P.","non-dropping-particle":"","parse-names":false,"suffix":""},{"dropping-particle":"","family":"Permisohn","given":"R.","non-dropping-particle":"","parse-names":false,"suffix":""},{"dropping-particle":"","family":"Palmisano","given":"P. A.","non-dropping-particle":"","parse-names":false,"suffix":""}],"container-title":"Pediatrics","id":"ITEM-1","issue":"4","issued":{"date-parts":[["1975"]]},"page":"536-538","title":"Fatal chloroquine poisoning in a child: Experience with peritoneal dialysis","type":"article-journal","volume":"55"},"uris":["http://www.mendeley.com/documents/?uuid=b3311a6a-0228-40d6-a55e-eee2be1935ef"]}],"mendeley":{"formattedCitation":"[24]","plainTextFormattedCitation":"[24]","previouslyFormattedCitation":"[24]"},"properties":{"noteIndex":0},"schema":"https://github.com/citation-style-language/schema/raw/master/csl-citation.json"}</w:instrText>
      </w:r>
      <w:r>
        <w:rPr>
          <w:rFonts w:cstheme="minorHAnsi"/>
          <w:lang w:val="en-US"/>
        </w:rPr>
        <w:fldChar w:fldCharType="separate"/>
      </w:r>
      <w:r w:rsidR="00110471" w:rsidRPr="00110471">
        <w:rPr>
          <w:rFonts w:cstheme="minorHAnsi"/>
          <w:noProof/>
          <w:lang w:val="en-US"/>
        </w:rPr>
        <w:t>[24]</w:t>
      </w:r>
      <w:r>
        <w:rPr>
          <w:rFonts w:cstheme="minorHAnsi"/>
          <w:lang w:val="en-US"/>
        </w:rPr>
        <w:fldChar w:fldCharType="end"/>
      </w:r>
      <w:r>
        <w:rPr>
          <w:rFonts w:cstheme="minorHAnsi"/>
          <w:lang w:val="en-US"/>
        </w:rPr>
        <w:t xml:space="preserve"> C. a child of 13 year old who had ventricular fibrillation after ingestion of around 700 mg </w:t>
      </w:r>
      <w:r>
        <w:rPr>
          <w:rFonts w:cstheme="minorHAnsi"/>
          <w:lang w:val="en-US"/>
        </w:rPr>
        <w:fldChar w:fldCharType="begin" w:fldLock="1"/>
      </w:r>
      <w:r w:rsidR="00FC4F4B">
        <w:rPr>
          <w:rFonts w:cstheme="minorHAnsi"/>
          <w:lang w:val="en-US"/>
        </w:rPr>
        <w:instrText>ADDIN CSL_CITATION {"citationItems":[{"id":"ITEM-1","itemData":{"DOI":"10.1007/bf01709241","ISSN":"0342-4642","PMID":"1644965","abstract":"A 13-year-old boy was admitted to hospital 45 min after the ingestion of approximately 750 mg of chloroquine base. A few minutes after gastric lavage with warm water he developed ventricular fibrillation from which he was promptly resuscitated. The plasma concentration of chloroquine was 4.2 mumol/l; significantly lower than the concentrations previously associated with a fatal outcome in adults. The clinical and electrocardiographic effects of chloroquine poisoning are discussed, and the literature reviewed regarding the role of specific management with diazepam and adrenaline infusions. A period of twenty four hours electrocardiographic (ECG) monitoring and pulse oximetry in an intensive care unit is advocated for all patient with ECG changes following chloroquine overdose.","author":[{"dropping-particle":"","family":"Collee","given":"G G","non-dropping-particle":"","parse-names":false,"suffix":""},{"dropping-particle":"","family":"Samra","given":"G S","non-dropping-particle":"","parse-names":false,"suffix":""},{"dropping-particle":"","family":"Hanson","given":"G C","non-dropping-particle":"","parse-names":false,"suffix":""}],"container-title":"Intensive care medicine","id":"ITEM-1","issue":"3","issued":{"date-parts":[["1992"]]},"page":"170-1","title":"Chloroquine poisoning: ventricular fibrillation following 'trivial' overdose in a child.","type":"article-journal","volume":"18"},"uris":["http://www.mendeley.com/documents/?uuid=fa862696-3cff-4922-a807-ae40a498524a"]}],"mendeley":{"formattedCitation":"[25]","plainTextFormattedCitation":"[25]","previouslyFormattedCitation":"[25]"},"properties":{"noteIndex":0},"schema":"https://github.com/citation-style-language/schema/raw/master/csl-citation.json"}</w:instrText>
      </w:r>
      <w:r>
        <w:rPr>
          <w:rFonts w:cstheme="minorHAnsi"/>
          <w:lang w:val="en-US"/>
        </w:rPr>
        <w:fldChar w:fldCharType="separate"/>
      </w:r>
      <w:r w:rsidR="00110471" w:rsidRPr="00110471">
        <w:rPr>
          <w:rFonts w:cstheme="minorHAnsi"/>
          <w:noProof/>
          <w:lang w:val="en-US"/>
        </w:rPr>
        <w:t>[25]</w:t>
      </w:r>
      <w:r>
        <w:rPr>
          <w:rFonts w:cstheme="minorHAnsi"/>
          <w:lang w:val="en-US"/>
        </w:rPr>
        <w:fldChar w:fldCharType="end"/>
      </w:r>
      <w:r>
        <w:rPr>
          <w:rFonts w:cstheme="minorHAnsi"/>
          <w:lang w:val="en-US"/>
        </w:rPr>
        <w:t xml:space="preserve"> and D</w:t>
      </w:r>
      <w:r w:rsidR="00356C60">
        <w:rPr>
          <w:rFonts w:cstheme="minorHAnsi"/>
          <w:lang w:val="en-US"/>
        </w:rPr>
        <w:t>.</w:t>
      </w:r>
      <w:bookmarkStart w:id="14" w:name="_GoBack"/>
      <w:bookmarkEnd w:id="14"/>
      <w:r>
        <w:rPr>
          <w:rFonts w:cstheme="minorHAnsi"/>
          <w:lang w:val="en-US"/>
        </w:rPr>
        <w:t xml:space="preserve"> an adult woman of 52 year old who ingested 10g </w:t>
      </w:r>
      <w:r>
        <w:rPr>
          <w:rFonts w:cstheme="minorHAnsi"/>
          <w:lang w:val="en-US"/>
        </w:rPr>
        <w:fldChar w:fldCharType="begin" w:fldLock="1"/>
      </w:r>
      <w:r w:rsidR="00FC4F4B">
        <w:rPr>
          <w:rFonts w:cstheme="minorHAnsi"/>
          <w:lang w:val="en-US"/>
        </w:rPr>
        <w:instrText>ADDIN CSL_CITATION {"citationItems":[{"id":"ITEM-1","itemData":{"DOI":"10.1097/00003246-200009000-00040","ISSN":"00903493","abstract":"Objectives: To study the toxicokinetics in severe chloroquine poisoning, and to evaluate the efficacy of hemoperfusion. Design: Case report on one observation. Setting: Medical intensive care unit (ICU) of the University Medical Center Utrecht, The Netherlands. Patient History: A previously healthy, 52-yr-old woman ingested 100 tablets containing 100 mg chloroquine base 1 hr before admission. At admission, she was drowsy, agitated, hypotensive, and in respiratory distress. Shortly thereafter, she was resuscitated from cardiac arrest. After hemodynamic and respiratory stabilization, the patient was transferred to the medical ICU. Toxicokinetics Evaluation: During the course of her stay at the ICU, blood samples were taken for the determination of chloroquine and the metabolite desethylchloroquine concentration. Hemoperfusion was started 3.5 hrs after ingestion of the chloroquine tablets. Measurements and Main Results: The following toxicokinetics data during this severe chloroquine poisoning were calculated: apparent volume of the central compartment 181 L, apparent volume of distribution 1137 L, half-life in the distribution phase 6.4 hrs, half-life in the elimination phase 392.8 hrs, and total body clearance 2.01 L/hour. The average extraction ratio during hemoperfusion was 0.07, 0.28, and 0.25, in plasma, erythrocytes and whole blood, respectively. The total amount of chloroquine removed by hemoperfusion was only 480 mg (5.3% of the amount ingested). Simulation of a hemoperfusion session over 5 hrs by using a column with an optimal extraction ratio of 1.0 would have removed 1,816 mg chloroquine, only 18.2% of the amount ingested. This limited contribution of hemoperfusion to the total clearance makes it ineffective. Conclusion: Hemoperfusion is not effective in severe chloroquine poisoning, even when started (relatively) early in the course of the intoxication. Toxicokinetic evaluation of a chloroquine poisoning should be based on the evaluation of plasma and whole blood concentrations.","author":[{"dropping-particle":"","family":"Boereboom","given":"Frans T.J.","non-dropping-particle":"","parse-names":false,"suffix":""},{"dropping-particle":"","family":"Ververs","given":"F. F.Tessa","non-dropping-particle":"","parse-names":false,"suffix":""},{"dropping-particle":"","family":"Meulenbelt","given":"Jan","non-dropping-particle":"","parse-names":false,"suffix":""},{"dropping-particle":"","family":"Dijk","given":"Aalt","non-dropping-particle":"Van","parse-names":false,"suffix":""}],"container-title":"Critical Care Medicine","id":"ITEM-1","issue":"9","issued":{"date-parts":[["2000"]]},"page":"3346-3350","title":"Hemoperfusion is ineffectual in severe chloroquine poisoning","type":"article-journal","volume":"28"},"uris":["http://www.mendeley.com/documents/?uuid=ffbc1fba-6750-48e4-8e2b-22ae5524ff8e"]}],"mendeley":{"formattedCitation":"[26]","plainTextFormattedCitation":"[26]","previouslyFormattedCitation":"[26]"},"properties":{"noteIndex":0},"schema":"https://github.com/citation-style-language/schema/raw/master/csl-citation.json"}</w:instrText>
      </w:r>
      <w:r>
        <w:rPr>
          <w:rFonts w:cstheme="minorHAnsi"/>
          <w:lang w:val="en-US"/>
        </w:rPr>
        <w:fldChar w:fldCharType="separate"/>
      </w:r>
      <w:r w:rsidR="00110471" w:rsidRPr="00110471">
        <w:rPr>
          <w:rFonts w:cstheme="minorHAnsi"/>
          <w:noProof/>
          <w:lang w:val="en-US"/>
        </w:rPr>
        <w:t>[26]</w:t>
      </w:r>
      <w:r>
        <w:rPr>
          <w:rFonts w:cstheme="minorHAnsi"/>
          <w:lang w:val="en-US"/>
        </w:rPr>
        <w:fldChar w:fldCharType="end"/>
      </w:r>
      <w:r>
        <w:rPr>
          <w:rFonts w:cstheme="minorHAnsi"/>
          <w:lang w:val="en-US"/>
        </w:rPr>
        <w:t xml:space="preserve">. Simulations are depicted by the solid lines, based on the pharmacokinetic model from Zhao et al </w:t>
      </w:r>
      <w:r>
        <w:rPr>
          <w:rFonts w:cstheme="minorHAnsi"/>
          <w:lang w:val="en-US"/>
        </w:rPr>
        <w:fldChar w:fldCharType="begin" w:fldLock="1"/>
      </w:r>
      <w:r w:rsidR="00BE1F70">
        <w:rPr>
          <w:rFonts w:cstheme="minorHAnsi"/>
          <w:lang w:val="en-US"/>
        </w:rPr>
        <w:instrText>ADDIN CSL_CITATION {"citationItems":[{"id":"ITEM-1","itemData":{"DOI":"10.1186/1475-2875-13-36","ISSN":"14752875","abstract":"Background: Population pharmacokinetics (PK) of azithromycin (AZ) and chloroquine (CQ) following administration of fixed-dose combination tablet formulations of AZ and CQ (AZCQ) was evaluated using data from two studies: 1) in children with symptomatic uncomplicated falciparum malaria in sub-Saharan Africa; and 2) in healthy adults in the United States. Methods. Study 1 included paediatric subjects randomized to either AZCQ or artemether-lumefantrine treatment in Cohort 1 (age 5-12 years) and Cohort 2 (age 6-59 months). Dosing of AZCQ was approximately 30 mg/kg AZ and 10 mg/kg CQ once daily for 3 days (for ≥20 kg weight: AZ/CQ 300/100 mg per tablet; 5 to &lt;20 kg weight: AZ/CQ 150/50 mg per tablet). Study 2 included adults randomized to receive either two AZCQ tablets (AZ/CQ 250/155 mg per tablet) or individual commercial tablets of AZ 500 mg and CQ 300 mg. Serum AZ and plasma CQ concentrations from both studies were pooled. Population PK models were constructed using standard approaches to evaluate the concentration-time data for AZ and CQ and to identify any covariates predictive of PK behaviour. Results: A three-compartment PK model with linear clearance and absorption adequately described AZ data, while a two-compartment model with linear clearance and absorption and an absorption lag adequately described CQ data. No overall bias or substantial model misspecification was evident using diagnostic plots and visual predictive checks. Body weight as an allometric function was the only covariate in the final AZ and CQ PK models. There were significantly lower AZ (0.488 vs 0.745 [mg•h/L]/[mg/kg], p &lt; 0.00001) and CQ (0.836 vs 1.27 [mg•h/L]/[mg/kg], p &lt; 0.00001) exposures (AUC§ssub§inf§ esub§) normalized by dose (mg/kg) in children compared with the adults. Conclusions: The PK of AZ and CQ following administration of AZCQ was well described using a three- and two-compartment model, respectively. AZ and CQ exhibited linear absorption and clearance; the model for CQ included an absorption lag. Weight was predictive of exposure for both AZ and CQ. Assuming equivalent dosing (mg/kg), AZ and CQ exposure in children would be expected to be lower than that in adults, suggesting that children may require a higher dose (mg/kg) than adults to achieve the same AZ and CQ exposure. © 2014 Zhao et al.; licensee BioMed Central Ltd.","author":[{"dropping-particle":"","family":"Zhao","given":"Qinying","non-dropping-particle":"","parse-names":false,"suffix":""},{"dropping-particle":"","family":"Tensfeldt","given":"Thomas G.","non-dropping-particle":"","parse-names":false,"suffix":""},{"dropping-particle":"","family":"Chandra","given":"Richa","non-dropping-particle":"","parse-names":false,"suffix":""},{"dropping-particle":"","family":"Mould","given":"Diane R.","non-dropping-particle":"","parse-names":false,"suffix":""}],"container-title":"Malaria Journal","id":"ITEM-1","issue":"1","issued":{"date-parts":[["2014"]]},"page":"1-8","title":"Population pharmacokinetics of azithromycin and chloroquine in healthy adults and paediatric malaria subjects following oral administration of fixed-dose azithromycin and chloroquine combination tablets","type":"article-journal","volume":"13"},"uris":["http://www.mendeley.com/documents/?uuid=286aa8c0-9b2d-4c73-b6a2-6c27bcff2c7d"]}],"mendeley":{"formattedCitation":"[6]","plainTextFormattedCitation":"[6]","previouslyFormattedCitation":"[6]"},"properties":{"noteIndex":0},"schema":"https://github.com/citation-style-language/schema/raw/master/csl-citation.json"}</w:instrText>
      </w:r>
      <w:r>
        <w:rPr>
          <w:rFonts w:cstheme="minorHAnsi"/>
          <w:lang w:val="en-US"/>
        </w:rPr>
        <w:fldChar w:fldCharType="separate"/>
      </w:r>
      <w:r w:rsidR="00BD7649" w:rsidRPr="00BD7649">
        <w:rPr>
          <w:rFonts w:cstheme="minorHAnsi"/>
          <w:noProof/>
          <w:lang w:val="en-US"/>
        </w:rPr>
        <w:t>[6]</w:t>
      </w:r>
      <w:r>
        <w:rPr>
          <w:rFonts w:cstheme="minorHAnsi"/>
          <w:lang w:val="en-US"/>
        </w:rPr>
        <w:fldChar w:fldCharType="end"/>
      </w:r>
      <w:r>
        <w:rPr>
          <w:rFonts w:cstheme="minorHAnsi"/>
          <w:lang w:val="en-US"/>
        </w:rPr>
        <w:t xml:space="preserve"> which was adapted for children below 5 and 1 years to be in agreement with observations in children in other reports </w:t>
      </w:r>
      <w:r>
        <w:rPr>
          <w:rFonts w:cstheme="minorHAnsi"/>
          <w:lang w:val="en-US"/>
        </w:rPr>
        <w:fldChar w:fldCharType="begin" w:fldLock="1"/>
      </w:r>
      <w:r w:rsidR="00BE1F70">
        <w:rPr>
          <w:rFonts w:cstheme="minorHAnsi"/>
          <w:lang w:val="en-US"/>
        </w:rPr>
        <w:instrText>ADDIN CSL_CITATION {"citationItems":[{"id":"ITEM-1","itemData":{"DOI":"10.1111/j.1365-2125.1982.tb02016.x","ISSN":"13652125","abstract":"1 Ten children with Plasmodium falciparum malaria were treated with 25 mg/kg chloroquine over 3 days and observed for 7 days. 2 Chloroquine was determined in the red blood cells and plasma, and the red blood cell/plasma chloroquine concentration ratio was correlated with the disappearance of the parasites from the blood. It was found that this ratio decreased with the disappearance of the parasites and remained almost steady after the parasites had disappeared completely from the blood. 3 The half‐life (t1/2) and the elimination rate constant of the ‘terminal’ elimination slope (lambda beta) of the plasma log concentration‐time curve were estimated to be 135.9 +/‐ 9.92 h and 0.005 +/‐ 0.001 h‐1 (s.d.) respectively. 4 The t1/2 and lambda beta calculated from the red blood cell log concentration‐time curve were not significantly different from the corresponding values calculated from the plasma log concentration‐time curve. 1982 The British Pharmacological Society","author":[{"dropping-particle":"","family":"Adelusi","given":"SA","non-dropping-particle":"","parse-names":false,"suffix":""},{"dropping-particle":"","family":"Dawodu","given":"AH","non-dropping-particle":"","parse-names":false,"suffix":""},{"dropping-particle":"","family":"Salako","given":"LA","non-dropping-particle":"","parse-names":false,"suffix":""}],"container-title":"British Journal of Clinical Pharmacology","id":"ITEM-1","issue":"4","issued":{"date-parts":[["1982"]]},"page":"483-487","title":"Kinetics of the uptake and elimination of chloroquine in children with malaria.","type":"article-journal","volume":"14"},"uris":["http://www.mendeley.com/documents/?uuid=6131fc34-88ce-415a-9d2e-a7cbf3ebdb71"]},{"id":"ITEM-2","itemData":{"DOI":"10.1128/AAC.01846-19","ISSN":"10986596","abstract":"Higher chloroquine doses can effectively treat up to 93 to 96% of malaria infections caused by Plasmodium falciparum carrying the resistance-conferring chloroquine resistance transporter (pfcrt) 76T allele. The tolerability of 50 (double the standard dose) and 70 mg/kg total chloroquine doses were assessed in this study. Fifteen 4- to 8-year-old children with uncomplicated malaria were given 10 mg/kg of chloroquine twice daily for 2 days and 5 mg/kg twice daily on the third day. Fifteen additional children were given 5 mg/kg twice daily for 2 more days. Chloroquine concentrations, blood pressure, electrocardiograms (ECGs), parasite density, and adverse events were assessed until day 28. Both dosages were well tolerated, and symptoms resolved by day 3 in parallel with increasing chloroquine concentrations. The median corrected QT (QTc) interval was 12 to 26 ms higher at expected peak concentrations than at day 0 (P &lt; 0.001). Pfcrt 76T was associated with delayed parasite clearance. Day 28 clinical and parasitological responses against P. falciparum with pfcrt 76T were 57% (4/7) and 67% (4/6) after treatment with 50 and 70 mg/kg, respectively. Dosages were well tolerated, and no severe cardiac adverse events occurred. The QTc interval increase was similar to that found in adults taking 25 mg/kg of chloroquine.","author":[{"dropping-particle":"","family":"Ursing","given":"Johan","non-dropping-particle":"","parse-names":false,"suffix":""},{"dropping-particle":"","family":"Rombo","given":"Lars","non-dropping-particle":"","parse-names":false,"suffix":""},{"dropping-particle":"","family":"Eksborg","given":"Staffan","non-dropping-particle":"","parse-names":false,"suffix":""},{"dropping-particle":"","family":"Larson","given":"Lena","non-dropping-particle":"","parse-names":false,"suffix":""},{"dropping-particle":"","family":"Bruvoll","given":"Anita","non-dropping-particle":"","parse-names":false,"suffix":""},{"dropping-particle":"","family":"Tarning","given":"Joel","non-dropping-particle":"","parse-names":false,"suffix":""},{"dropping-particle":"","family":"Rodrigues","given":"Amabelia","non-dropping-particle":"","parse-names":false,"suffix":""},{"dropping-particle":"","family":"Kofoed","given":"Poul Erik","non-dropping-particle":"","parse-names":false,"suffix":""}],"container-title":"Antimicrobial Agents and Chemotherapy","id":"ITEM-2","issue":"3","issued":{"date-parts":[["2020"]]},"page":"1-12","title":"High-dose chloroquine for uncomplicated plasmodium falciparum malaria is well tolerated and causes similar QT interval prolongation as standard-dose chloroquine in children","type":"article-journal","volume":"64"},"uris":["http://www.mendeley.com/documents/?uuid=de5c46c6-27cb-4ac0-b788-54885b9c377f"]},{"id":"ITEM-3","itemData":{"DOI":"10.1111/j.1365-2125.2007.03050.x","ISSN":"03065251","abstract":"AIMS: To describe the pharmacokinetics of chloroquine (CQ) and sulfadoxine (SDx), and to identify predictors of treatment response in children with malaria given the CQ + SDx and pyrimethamine (PYR) combination. METHODS: Eighty-six Ugandan children with uncomplicated falciparum malaria, 6 months to 5 years old, were randomly treated with prepacked fixed-dose CQ + SDx/PYR. The youngest children (&lt;24 months) received half strength and the older (&gt;24 months) full strength treatment. The reported day 14 failure rates were 48% and 18%, respectively. Capillary blood (100 μl) applied on to filter paper was collected on eight occasions during 28 days of follow up. Concentrations of CQ and SDx were determined. A population approach was used for the pharmacokinetic analysis. RESULTS: A two-compartment model adequately described the data for both CQ and SDx. For CQ, the typical apparent clearance (CL/F) and volume of distribution (VC/F) values were estimated to be 2.84 l h-1 and 230 l. The typical CL/F for SDx was 0.023 l h-1, while the factor relating its VC/F to normalized body weight was 1.6 l kg -1. Post hoc parameter estimates for both drugs showed lower maximum concentrations (Cmax) and concentration-time curve areas (AUC(0,336 h)) in younger children. The AUC(0,336 h) for SDx and CQ were independently significant factors for prediction of cure. Simulations suggest that giving the higher dose to the youngest children would result in higher CQ and SDx concentrations and improved outcome. CONCLUSIONS: The study results suggest that full-strength combination to all children would improve the cure rate. © 2007 The Authors.","author":[{"dropping-particle":"","family":"Obua","given":"Celestino","non-dropping-particle":"","parse-names":false,"suffix":""},{"dropping-particle":"","family":"Hellgren","given":"Urban","non-dropping-particle":"","parse-names":false,"suffix":""},{"dropping-particle":"","family":"Ntale","given":"Muhammed","non-dropping-particle":"","parse-names":false,"suffix":""},{"dropping-particle":"","family":"Gustafsson","given":"Lars L.","non-dropping-particle":"","parse-names":false,"suffix":""},{"dropping-particle":"","family":"Ogwal-Okeng","given":"Jasper W.","non-dropping-particle":"","parse-names":false,"suffix":""},{"dropping-particle":"","family":"Gordi","given":"Toufigh","non-dropping-particle":"","parse-names":false,"suffix":""},{"dropping-particle":"","family":"Jerling","given":"Markus","non-dropping-particle":"","parse-names":false,"suffix":""}],"container-title":"British Journal of Clinical Pharmacology","id":"ITEM-3","issue":"4","issued":{"date-parts":[["2008"]]},"page":"493-501","title":"Population pharmacokinetics of chloroquine and sulfadoxine and treatment response in children with malaria: Suggestions for an improved dose regimen","type":"article-journal","volume":"65"},"uris":["http://www.mendeley.com/documents/?uuid=77464ec4-29e9-41be-bf58-8592491964a2"]}],"mendeley":{"formattedCitation":"[8,9,12]","plainTextFormattedCitation":"[8,9,12]","previouslyFormattedCitation":"[8,9,12]"},"properties":{"noteIndex":0},"schema":"https://github.com/citation-style-language/schema/raw/master/csl-citation.json"}</w:instrText>
      </w:r>
      <w:r>
        <w:rPr>
          <w:rFonts w:cstheme="minorHAnsi"/>
          <w:lang w:val="en-US"/>
        </w:rPr>
        <w:fldChar w:fldCharType="separate"/>
      </w:r>
      <w:r w:rsidR="00BD7649" w:rsidRPr="00BD7649">
        <w:rPr>
          <w:rFonts w:cstheme="minorHAnsi"/>
          <w:noProof/>
          <w:lang w:val="en-US"/>
        </w:rPr>
        <w:t>[8,9,12]</w:t>
      </w:r>
      <w:r>
        <w:rPr>
          <w:rFonts w:cstheme="minorHAnsi"/>
          <w:lang w:val="en-US"/>
        </w:rPr>
        <w:fldChar w:fldCharType="end"/>
      </w:r>
      <w:r>
        <w:rPr>
          <w:rFonts w:cstheme="minorHAnsi"/>
          <w:lang w:val="en-US"/>
        </w:rPr>
        <w:t xml:space="preserve"> (i.e. a reduction in Cl to 75% and 50% on top of allometric scaling (that was already in the model) for children below 5 and 1 year of age, respectively, see under 4. for details). Dots represent reported observations as reported in the original publications, where chloroquine was measured in A. serum, B. serum, C. plasma and </w:t>
      </w:r>
      <w:r w:rsidR="00BE1F70">
        <w:rPr>
          <w:rFonts w:cstheme="minorHAnsi"/>
          <w:lang w:val="en-US"/>
        </w:rPr>
        <w:t>D</w:t>
      </w:r>
      <w:r>
        <w:rPr>
          <w:rFonts w:cstheme="minorHAnsi"/>
          <w:lang w:val="en-US"/>
        </w:rPr>
        <w:t xml:space="preserve">. plasma. Chloroquine concentrations are shown in mcmol/l (left axis) and mcg/l (right axis). </w:t>
      </w:r>
    </w:p>
    <w:p w14:paraId="6D702A56" w14:textId="77777777" w:rsidR="003F516A" w:rsidRPr="003F516A" w:rsidRDefault="003F516A">
      <w:pPr>
        <w:rPr>
          <w:rFonts w:asciiTheme="majorHAnsi" w:eastAsiaTheme="majorEastAsia" w:hAnsiTheme="majorHAnsi" w:cstheme="majorBidi"/>
          <w:sz w:val="32"/>
          <w:szCs w:val="32"/>
          <w:lang w:val="en-US"/>
        </w:rPr>
      </w:pPr>
      <w:r w:rsidRPr="003F516A">
        <w:rPr>
          <w:lang w:val="en-US"/>
        </w:rPr>
        <w:br w:type="page"/>
      </w:r>
    </w:p>
    <w:p w14:paraId="5E1EACD2" w14:textId="34E7F5C1" w:rsidR="0037655F" w:rsidRPr="00351823" w:rsidRDefault="00351823" w:rsidP="00483BF9">
      <w:pPr>
        <w:pStyle w:val="Kop1"/>
        <w:numPr>
          <w:ilvl w:val="0"/>
          <w:numId w:val="29"/>
        </w:numPr>
        <w:rPr>
          <w:color w:val="auto"/>
        </w:rPr>
      </w:pPr>
      <w:bookmarkStart w:id="15" w:name="_Toc36555285"/>
      <w:r w:rsidRPr="00351823">
        <w:rPr>
          <w:color w:val="auto"/>
        </w:rPr>
        <w:lastRenderedPageBreak/>
        <w:t>References</w:t>
      </w:r>
      <w:bookmarkEnd w:id="15"/>
    </w:p>
    <w:p w14:paraId="4B29E5CD" w14:textId="2161BA2C" w:rsidR="00351823" w:rsidRDefault="00351823" w:rsidP="00351823"/>
    <w:p w14:paraId="7D587E8C" w14:textId="77777777" w:rsidR="00356C60" w:rsidRPr="00356C60" w:rsidRDefault="00356C60" w:rsidP="00356C60">
      <w:pPr>
        <w:rPr>
          <w:lang w:val="en-US"/>
        </w:rPr>
      </w:pPr>
      <w:r w:rsidRPr="00356C60">
        <w:rPr>
          <w:lang w:val="en-US"/>
        </w:rPr>
        <w:t xml:space="preserve">1. Beal SL, Sheiner LB, Boeckmann A. NONMEM user’s guide. University of California, San Francisco, California. 1999. </w:t>
      </w:r>
    </w:p>
    <w:p w14:paraId="46FBCB2D" w14:textId="77777777" w:rsidR="00356C60" w:rsidRPr="00356C60" w:rsidRDefault="00356C60" w:rsidP="00356C60">
      <w:pPr>
        <w:rPr>
          <w:lang w:val="en-US"/>
        </w:rPr>
      </w:pPr>
      <w:r w:rsidRPr="00356C60">
        <w:rPr>
          <w:lang w:val="en-US"/>
        </w:rPr>
        <w:t xml:space="preserve">2. Keizer RJ, Karlsson MO, Hooker A. Modeling and Simulation Workbench for NONMEM: Tutorial on Pirana, PsN, and Xpose. CPT Pharmacometrics Syst Pharmacol. 2013;2:e50. </w:t>
      </w:r>
    </w:p>
    <w:p w14:paraId="44AE632D" w14:textId="77777777" w:rsidR="00356C60" w:rsidRPr="00356C60" w:rsidRDefault="00356C60" w:rsidP="00356C60">
      <w:pPr>
        <w:rPr>
          <w:lang w:val="en-US"/>
        </w:rPr>
      </w:pPr>
      <w:r w:rsidRPr="00356C60">
        <w:rPr>
          <w:lang w:val="en-US"/>
        </w:rPr>
        <w:t xml:space="preserve">3. Lindbom L, Pihlgren P, Jonsson EN, Jonsson N. PsN-Toolkit--a collection of computer intensive statistical methods for non-linear mixed effect modeling using NONMEM. Comput Methods Programs Biomed. 2005;79:241–57. </w:t>
      </w:r>
    </w:p>
    <w:p w14:paraId="711F896A" w14:textId="77777777" w:rsidR="00356C60" w:rsidRPr="00356C60" w:rsidRDefault="00356C60" w:rsidP="00356C60">
      <w:pPr>
        <w:rPr>
          <w:lang w:val="en-US"/>
        </w:rPr>
      </w:pPr>
      <w:r w:rsidRPr="00356C60">
        <w:rPr>
          <w:lang w:val="en-US"/>
        </w:rPr>
        <w:t xml:space="preserve">4. R Core Team. R: A language and environment for statistical computing. 2019. </w:t>
      </w:r>
    </w:p>
    <w:p w14:paraId="61E7A011" w14:textId="77777777" w:rsidR="00356C60" w:rsidRPr="00356C60" w:rsidRDefault="00356C60" w:rsidP="00356C60">
      <w:pPr>
        <w:rPr>
          <w:lang w:val="en-US"/>
        </w:rPr>
      </w:pPr>
      <w:r w:rsidRPr="00356C60">
        <w:rPr>
          <w:lang w:val="en-US"/>
        </w:rPr>
        <w:t xml:space="preserve">5. RStudio Team. RStudio: Integrated Development for R. 2015. </w:t>
      </w:r>
    </w:p>
    <w:p w14:paraId="0DF4900F" w14:textId="77777777" w:rsidR="00356C60" w:rsidRPr="00356C60" w:rsidRDefault="00356C60" w:rsidP="00356C60">
      <w:pPr>
        <w:rPr>
          <w:lang w:val="en-US"/>
        </w:rPr>
      </w:pPr>
      <w:r w:rsidRPr="00356C60">
        <w:rPr>
          <w:lang w:val="en-US"/>
        </w:rPr>
        <w:t xml:space="preserve">6. Zhao Q, Tensfeldt TG, Chandra R, Mould DR. Population pharmacokinetics of azithromycin and chloroquine in healthy adults and paediatric malaria subjects following oral administration of fixed-dose azithromycin and chloroquine combination tablets. Malar J. 2014;13:1–8. </w:t>
      </w:r>
    </w:p>
    <w:p w14:paraId="7A4747CB" w14:textId="77777777" w:rsidR="00356C60" w:rsidRPr="00356C60" w:rsidRDefault="00356C60" w:rsidP="00356C60">
      <w:pPr>
        <w:rPr>
          <w:lang w:val="en-US"/>
        </w:rPr>
      </w:pPr>
      <w:r w:rsidRPr="00356C60">
        <w:rPr>
          <w:lang w:val="en-US"/>
        </w:rPr>
        <w:t xml:space="preserve">7. Walker O, Dawodu A, Adeyokunnu A, Salako L, Alvan G. Plasma chloroquine and desethylchloroquine concentrations in children during and after chloroquine treatment for malaria. Br J Clin Pharmacol. 1983;16:701–5. </w:t>
      </w:r>
    </w:p>
    <w:p w14:paraId="1B9A275E" w14:textId="77777777" w:rsidR="00356C60" w:rsidRPr="00356C60" w:rsidRDefault="00356C60" w:rsidP="00356C60">
      <w:pPr>
        <w:rPr>
          <w:lang w:val="en-US"/>
        </w:rPr>
      </w:pPr>
      <w:r w:rsidRPr="00356C60">
        <w:rPr>
          <w:lang w:val="en-US"/>
        </w:rPr>
        <w:t xml:space="preserve">8. Adelusi S, Dawodu A, Salako L. Kinetics of the uptake and elimination of chloroquine in children with malaria. Br J Clin Pharmacol. 1982;14:483–7. </w:t>
      </w:r>
    </w:p>
    <w:p w14:paraId="03E4F4EE" w14:textId="77777777" w:rsidR="00356C60" w:rsidRPr="00356C60" w:rsidRDefault="00356C60" w:rsidP="00356C60">
      <w:r w:rsidRPr="00356C60">
        <w:rPr>
          <w:lang w:val="en-US"/>
        </w:rPr>
        <w:t xml:space="preserve">9. Obua C, Hellgren U, Ntale M, Gustafsson LL, Ogwal-Okeng JW, Gordi T, et al. Population pharmacokinetics of chloroquine and sulfadoxine and treatment response in children with malaria: Suggestions for an improved dose regimen. </w:t>
      </w:r>
      <w:r w:rsidRPr="00356C60">
        <w:t xml:space="preserve">Br J Clin Pharmacol. 2008;65:493–501. </w:t>
      </w:r>
    </w:p>
    <w:p w14:paraId="0194EF49" w14:textId="77777777" w:rsidR="00356C60" w:rsidRPr="00356C60" w:rsidRDefault="00356C60" w:rsidP="00356C60">
      <w:pPr>
        <w:rPr>
          <w:lang w:val="en-US"/>
        </w:rPr>
      </w:pPr>
      <w:r w:rsidRPr="00356C60">
        <w:t xml:space="preserve">10. Stichting Werkgroep Antibiotica Beleid (SWAB). Medicamenteuze behandelopties bij patiënten met COVID-19 (infecties met SARS-CoV-2) [Internet]. </w:t>
      </w:r>
      <w:r w:rsidRPr="00356C60">
        <w:rPr>
          <w:lang w:val="en-US"/>
        </w:rPr>
        <w:t>[cited 2020 Mar 24]. Available from: https://swab.nl/nl/covid-19</w:t>
      </w:r>
    </w:p>
    <w:p w14:paraId="49AC6610" w14:textId="77777777" w:rsidR="00356C60" w:rsidRPr="00356C60" w:rsidRDefault="00356C60" w:rsidP="00356C60">
      <w:pPr>
        <w:rPr>
          <w:lang w:val="en-US"/>
        </w:rPr>
      </w:pPr>
      <w:r w:rsidRPr="00356C60">
        <w:rPr>
          <w:lang w:val="en-US"/>
        </w:rPr>
        <w:t xml:space="preserve">11. Pussard E, Lepers JP, Clavier F, Raharimalala L, Le Bras J, Frisk-Holmberg M, et al. Efficacy of a loading dose of oral chloroquine in a 36-hour treatment schedule for uncomplicated Plasmodium falciparum malaria. Antimicrob Agents Chemother. 1991;35:406–9. </w:t>
      </w:r>
    </w:p>
    <w:p w14:paraId="75D44389" w14:textId="77777777" w:rsidR="00356C60" w:rsidRPr="00356C60" w:rsidRDefault="00356C60" w:rsidP="00356C60">
      <w:pPr>
        <w:rPr>
          <w:lang w:val="en-US"/>
        </w:rPr>
      </w:pPr>
      <w:r w:rsidRPr="00356C60">
        <w:rPr>
          <w:lang w:val="en-US"/>
        </w:rPr>
        <w:t xml:space="preserve">12. Ursing J, Rombo L, Eksborg S, Larson L, Bruvoll A, Tarning J, et al. High-dose chloroquine for uncomplicated plasmodium falciparum malaria is well tolerated and causes similar QT interval prolongation as standard-dose chloroquine in children. Antimicrob Agents Chemother. 2020;64:1–12. </w:t>
      </w:r>
    </w:p>
    <w:p w14:paraId="6B2FCE43" w14:textId="77777777" w:rsidR="00356C60" w:rsidRPr="00356C60" w:rsidRDefault="00356C60" w:rsidP="00356C60">
      <w:pPr>
        <w:rPr>
          <w:lang w:val="en-US"/>
        </w:rPr>
      </w:pPr>
      <w:r w:rsidRPr="00356C60">
        <w:rPr>
          <w:lang w:val="en-US"/>
        </w:rPr>
        <w:t xml:space="preserve">13. Edwards G, Looareesuwan S, Davies AJ, Wattanagoon Y, Phillips RE, Warrell DA. Pharmacokinetics of chloroquine in Thais: plasma and red-cell concentrations following an intravenous infusion to healthy subjects and patients with Plasmodium vivax malaria. Br J Clin Pharmacol. 1988;25:477–85. </w:t>
      </w:r>
    </w:p>
    <w:p w14:paraId="2408C4F8" w14:textId="77777777" w:rsidR="00356C60" w:rsidRPr="00356C60" w:rsidRDefault="00356C60" w:rsidP="00356C60">
      <w:pPr>
        <w:rPr>
          <w:lang w:val="en-US"/>
        </w:rPr>
      </w:pPr>
      <w:r w:rsidRPr="00356C60">
        <w:rPr>
          <w:lang w:val="en-US"/>
        </w:rPr>
        <w:t xml:space="preserve">14. Höglund R, Moussavi Y, Ruengweerayut R, Cheomung A, Äbelö A, Na-Bangchang K. Population pharmacokinetics of a three-day chloroquine treatment in patients with Plasmodium vivax infection on the Thai-Myanmar border. Malar J. BioMed Central; 2016;15:1–9. </w:t>
      </w:r>
    </w:p>
    <w:p w14:paraId="7F7935D5" w14:textId="77777777" w:rsidR="00356C60" w:rsidRPr="00356C60" w:rsidRDefault="00356C60" w:rsidP="00356C60">
      <w:pPr>
        <w:rPr>
          <w:lang w:val="en-US"/>
        </w:rPr>
      </w:pPr>
      <w:r w:rsidRPr="00356C60">
        <w:rPr>
          <w:lang w:val="en-US"/>
        </w:rPr>
        <w:t xml:space="preserve">15. Salako LA, Walker O, Iyun AO. Pharmacokinetics of chloroquine in renal insufficiency. Afr J Med Med Sci. 2005;13:177–82. </w:t>
      </w:r>
    </w:p>
    <w:p w14:paraId="6813211D" w14:textId="77777777" w:rsidR="00356C60" w:rsidRPr="00356C60" w:rsidRDefault="00356C60" w:rsidP="00356C60">
      <w:pPr>
        <w:rPr>
          <w:lang w:val="en-US"/>
        </w:rPr>
      </w:pPr>
      <w:r w:rsidRPr="00356C60">
        <w:rPr>
          <w:lang w:val="en-US"/>
        </w:rPr>
        <w:lastRenderedPageBreak/>
        <w:t xml:space="preserve">16. Daher A, Aljayyoussi G, Pereira D, Lacerda MVG, Alexandre MAA, Nascimento CT, et al. Pharmacokinetics/pharmacodynamics of chloroquine and artemisinin-based combination therapy with primaquine. Malar J. 2019;18:1–9. </w:t>
      </w:r>
    </w:p>
    <w:p w14:paraId="40EA55BD" w14:textId="77777777" w:rsidR="00356C60" w:rsidRPr="00356C60" w:rsidRDefault="00356C60" w:rsidP="00356C60">
      <w:pPr>
        <w:rPr>
          <w:lang w:val="en-US"/>
        </w:rPr>
      </w:pPr>
      <w:r w:rsidRPr="00356C60">
        <w:rPr>
          <w:lang w:val="en-US"/>
        </w:rPr>
        <w:t xml:space="preserve">17. Yao X, Ye F, Zhang M, Cui C, Huang B, Niu P, et al. In vitro antiviral activity and projection of optimized dosing design of h hydroxychloroquine for the treatment of severe Acute Respiratory Syndrome Coronavirus 2 (SARS-CoV-2). Clin Infect Dis. 2020; </w:t>
      </w:r>
    </w:p>
    <w:p w14:paraId="78E80554" w14:textId="77777777" w:rsidR="00356C60" w:rsidRPr="00356C60" w:rsidRDefault="00356C60" w:rsidP="00356C60">
      <w:pPr>
        <w:rPr>
          <w:lang w:val="en-US"/>
        </w:rPr>
      </w:pPr>
      <w:r w:rsidRPr="00356C60">
        <w:rPr>
          <w:lang w:val="en-US"/>
        </w:rPr>
        <w:t xml:space="preserve">18. Berliner RW, Earle DP, Taggart J V, Zubrod CG, Welch WJ, Conan NJ, et al. Studies on the chemotherapy of the human malarias. VI. The physiological disposition, antimalarial activity, and toxicity of several derivatives of 4-aminoquinoline. J Clin Invest. 1948;27:98–107. </w:t>
      </w:r>
    </w:p>
    <w:p w14:paraId="78216744" w14:textId="77777777" w:rsidR="00356C60" w:rsidRPr="00356C60" w:rsidRDefault="00356C60" w:rsidP="00356C60">
      <w:pPr>
        <w:rPr>
          <w:lang w:val="en-US"/>
        </w:rPr>
      </w:pPr>
      <w:r w:rsidRPr="00356C60">
        <w:rPr>
          <w:lang w:val="en-US"/>
        </w:rPr>
        <w:t xml:space="preserve">19. Gustafsson LL, Bergqvist Y, Ericsson O, Larsson M, Rombo L. Pitfalls in the measurement of chloroquine concentration. Lancet (London, England). 1983;1:126. </w:t>
      </w:r>
    </w:p>
    <w:p w14:paraId="3483905E" w14:textId="77777777" w:rsidR="00356C60" w:rsidRPr="00356C60" w:rsidRDefault="00356C60" w:rsidP="00356C60">
      <w:pPr>
        <w:rPr>
          <w:lang w:val="en-US"/>
        </w:rPr>
      </w:pPr>
      <w:r w:rsidRPr="00356C60">
        <w:rPr>
          <w:lang w:val="en-US"/>
        </w:rPr>
        <w:t xml:space="preserve">20. Calvier EAM, Krekels EHJ, Välitalo PAJ, Rostami-Hodjegan A, Tibboel D, Danhof M, et al. Allometric scaling of clearance in paediatric patients: When does the magic of 0.75 fade? Clin Pharmacokinet. 2017;56:273–85. </w:t>
      </w:r>
    </w:p>
    <w:p w14:paraId="364638F2" w14:textId="77777777" w:rsidR="00356C60" w:rsidRPr="00356C60" w:rsidRDefault="00356C60" w:rsidP="00356C60">
      <w:pPr>
        <w:rPr>
          <w:lang w:val="en-US"/>
        </w:rPr>
      </w:pPr>
      <w:r w:rsidRPr="00356C60">
        <w:rPr>
          <w:lang w:val="en-US"/>
        </w:rPr>
        <w:t xml:space="preserve">21. Gustafsson LL, Walker O, Alván G, Beermann B, Estevez F, Gleisner L, et al. Disposition of chloroquine in man after single intravenous and oral doses. Br J Clin Pharmacol. 1983;15:471–9. </w:t>
      </w:r>
    </w:p>
    <w:p w14:paraId="3F036ABD" w14:textId="77777777" w:rsidR="00356C60" w:rsidRPr="00356C60" w:rsidRDefault="00356C60" w:rsidP="00356C60">
      <w:pPr>
        <w:rPr>
          <w:lang w:val="en-US"/>
        </w:rPr>
      </w:pPr>
      <w:r w:rsidRPr="00356C60">
        <w:rPr>
          <w:lang w:val="en-US"/>
        </w:rPr>
        <w:t xml:space="preserve">22. Frisk-Holmberg M, Bergqvist Y, Domeij-Nyberg B. Steady state disposition of chloroquine in patients with rheumatoid disease. Eur J Clin Pharmacol. 1983;24:837–9. </w:t>
      </w:r>
    </w:p>
    <w:p w14:paraId="0122B1CD" w14:textId="77777777" w:rsidR="00356C60" w:rsidRPr="00356C60" w:rsidRDefault="00356C60" w:rsidP="00356C60">
      <w:pPr>
        <w:rPr>
          <w:lang w:val="en-US"/>
        </w:rPr>
      </w:pPr>
      <w:r w:rsidRPr="00356C60">
        <w:rPr>
          <w:lang w:val="en-US"/>
        </w:rPr>
        <w:t xml:space="preserve">23. Kelly JC, Wasserman GS, Bernard WD, Schultz C, Knapp J. Chloroquine poisoning in a child. Ann Emerg Med. 1990;19:47–50. </w:t>
      </w:r>
    </w:p>
    <w:p w14:paraId="2B0BB07C" w14:textId="77777777" w:rsidR="00356C60" w:rsidRPr="00356C60" w:rsidRDefault="00356C60" w:rsidP="00356C60">
      <w:pPr>
        <w:rPr>
          <w:lang w:val="en-US"/>
        </w:rPr>
      </w:pPr>
      <w:r w:rsidRPr="00356C60">
        <w:rPr>
          <w:lang w:val="en-US"/>
        </w:rPr>
        <w:t xml:space="preserve">24. McCann WP, Permisohn R, Palmisano PA. Fatal chloroquine poisoning in a child: Experience with peritoneal dialysis. Pediatrics. 1975;55:536–8. </w:t>
      </w:r>
    </w:p>
    <w:p w14:paraId="7A7E4290" w14:textId="77777777" w:rsidR="00356C60" w:rsidRPr="00356C60" w:rsidRDefault="00356C60" w:rsidP="00356C60">
      <w:pPr>
        <w:rPr>
          <w:lang w:val="en-US"/>
        </w:rPr>
      </w:pPr>
      <w:r w:rsidRPr="00356C60">
        <w:rPr>
          <w:lang w:val="en-US"/>
        </w:rPr>
        <w:t xml:space="preserve">25. Collee GG, Samra GS, Hanson GC. Chloroquine poisoning: ventricular fibrillation following ‘trivial’ overdose in a child. Intensive Care Med. 1992;18:170–1. </w:t>
      </w:r>
    </w:p>
    <w:p w14:paraId="58CC7886" w14:textId="77777777" w:rsidR="00356C60" w:rsidRPr="00356C60" w:rsidRDefault="00356C60" w:rsidP="00356C60">
      <w:pPr>
        <w:rPr>
          <w:lang w:val="en-US"/>
        </w:rPr>
      </w:pPr>
      <w:r w:rsidRPr="00356C60">
        <w:rPr>
          <w:lang w:val="en-US"/>
        </w:rPr>
        <w:t xml:space="preserve">26. Boereboom FTJ, Ververs FFT, Meulenbelt J, Van Dijk A. Hemoperfusion is ineffectual in severe chloroquine poisoning. Crit Care Med. 2000;28:3346–50. </w:t>
      </w:r>
    </w:p>
    <w:p w14:paraId="3D2FF583" w14:textId="38834ED9" w:rsidR="00351823" w:rsidRPr="00341DFE" w:rsidRDefault="00351823" w:rsidP="00351823">
      <w:pPr>
        <w:rPr>
          <w:lang w:val="en-US"/>
        </w:rPr>
      </w:pPr>
    </w:p>
    <w:p w14:paraId="423B8101" w14:textId="7FD0E045" w:rsidR="00351823" w:rsidRPr="00341DFE" w:rsidRDefault="00351823" w:rsidP="00351823">
      <w:pPr>
        <w:rPr>
          <w:lang w:val="en-US"/>
        </w:rPr>
      </w:pPr>
    </w:p>
    <w:p w14:paraId="0B38C043" w14:textId="77777777" w:rsidR="00351823" w:rsidRPr="00341DFE" w:rsidRDefault="00351823" w:rsidP="00351823">
      <w:pPr>
        <w:rPr>
          <w:lang w:val="en-US"/>
        </w:rPr>
      </w:pPr>
    </w:p>
    <w:sectPr w:rsidR="00351823" w:rsidRPr="00341DFE">
      <w:footerReference w:type="default" r:id="rId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5103C4" w14:textId="77777777" w:rsidR="001417C4" w:rsidRDefault="001417C4" w:rsidP="00C92718">
      <w:pPr>
        <w:spacing w:after="0" w:line="240" w:lineRule="auto"/>
      </w:pPr>
      <w:r>
        <w:separator/>
      </w:r>
    </w:p>
  </w:endnote>
  <w:endnote w:type="continuationSeparator" w:id="0">
    <w:p w14:paraId="5A657F64" w14:textId="77777777" w:rsidR="001417C4" w:rsidRDefault="001417C4" w:rsidP="00C92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7823550"/>
      <w:docPartObj>
        <w:docPartGallery w:val="Page Numbers (Bottom of Page)"/>
        <w:docPartUnique/>
      </w:docPartObj>
    </w:sdtPr>
    <w:sdtEndPr/>
    <w:sdtContent>
      <w:p w14:paraId="34143E0B" w14:textId="28F5A485" w:rsidR="00E40494" w:rsidRDefault="00E40494">
        <w:pPr>
          <w:pStyle w:val="Voettekst"/>
          <w:jc w:val="center"/>
        </w:pPr>
        <w:r>
          <w:fldChar w:fldCharType="begin"/>
        </w:r>
        <w:r>
          <w:instrText>PAGE   \* MERGEFORMAT</w:instrText>
        </w:r>
        <w:r>
          <w:fldChar w:fldCharType="separate"/>
        </w:r>
        <w:r>
          <w:rPr>
            <w:noProof/>
          </w:rPr>
          <w:t>21</w:t>
        </w:r>
        <w:r>
          <w:fldChar w:fldCharType="end"/>
        </w:r>
      </w:p>
    </w:sdtContent>
  </w:sdt>
  <w:p w14:paraId="561615B8" w14:textId="77777777" w:rsidR="00E40494" w:rsidRDefault="00E404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DA263D" w14:textId="77777777" w:rsidR="001417C4" w:rsidRDefault="001417C4" w:rsidP="00C92718">
      <w:pPr>
        <w:spacing w:after="0" w:line="240" w:lineRule="auto"/>
      </w:pPr>
      <w:r>
        <w:separator/>
      </w:r>
    </w:p>
  </w:footnote>
  <w:footnote w:type="continuationSeparator" w:id="0">
    <w:p w14:paraId="4EC065E9" w14:textId="77777777" w:rsidR="001417C4" w:rsidRDefault="001417C4" w:rsidP="00C927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01487"/>
    <w:multiLevelType w:val="hybridMultilevel"/>
    <w:tmpl w:val="F364DA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D931DF"/>
    <w:multiLevelType w:val="multilevel"/>
    <w:tmpl w:val="E320E41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B66662"/>
    <w:multiLevelType w:val="hybridMultilevel"/>
    <w:tmpl w:val="FE5232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7E4E44"/>
    <w:multiLevelType w:val="multilevel"/>
    <w:tmpl w:val="A184D7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C071C44"/>
    <w:multiLevelType w:val="multilevel"/>
    <w:tmpl w:val="4338288C"/>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717C64"/>
    <w:multiLevelType w:val="hybridMultilevel"/>
    <w:tmpl w:val="F6D6123A"/>
    <w:lvl w:ilvl="0" w:tplc="17346396">
      <w:start w:val="9"/>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10C75E62"/>
    <w:multiLevelType w:val="multilevel"/>
    <w:tmpl w:val="52E22830"/>
    <w:lvl w:ilvl="0">
      <w:start w:val="3"/>
      <w:numFmt w:val="decimal"/>
      <w:lvlText w:val="%1"/>
      <w:lvlJc w:val="left"/>
      <w:pPr>
        <w:ind w:left="360" w:hanging="360"/>
      </w:pPr>
      <w:rPr>
        <w:rFonts w:hint="default"/>
      </w:rPr>
    </w:lvl>
    <w:lvl w:ilvl="1">
      <w:start w:val="1"/>
      <w:numFmt w:val="decimal"/>
      <w:lvlText w:val="%1.%2"/>
      <w:lvlJc w:val="left"/>
      <w:pPr>
        <w:ind w:left="1464" w:hanging="360"/>
      </w:pPr>
      <w:rPr>
        <w:rFonts w:hint="default"/>
      </w:rPr>
    </w:lvl>
    <w:lvl w:ilvl="2">
      <w:start w:val="1"/>
      <w:numFmt w:val="decimal"/>
      <w:lvlText w:val="%1.%2.%3"/>
      <w:lvlJc w:val="left"/>
      <w:pPr>
        <w:ind w:left="2928" w:hanging="720"/>
      </w:pPr>
      <w:rPr>
        <w:rFonts w:hint="default"/>
      </w:rPr>
    </w:lvl>
    <w:lvl w:ilvl="3">
      <w:start w:val="1"/>
      <w:numFmt w:val="decimal"/>
      <w:lvlText w:val="%1.%2.%3.%4"/>
      <w:lvlJc w:val="left"/>
      <w:pPr>
        <w:ind w:left="4032" w:hanging="720"/>
      </w:pPr>
      <w:rPr>
        <w:rFonts w:hint="default"/>
      </w:rPr>
    </w:lvl>
    <w:lvl w:ilvl="4">
      <w:start w:val="1"/>
      <w:numFmt w:val="decimal"/>
      <w:lvlText w:val="%1.%2.%3.%4.%5"/>
      <w:lvlJc w:val="left"/>
      <w:pPr>
        <w:ind w:left="5496" w:hanging="1080"/>
      </w:pPr>
      <w:rPr>
        <w:rFonts w:hint="default"/>
      </w:rPr>
    </w:lvl>
    <w:lvl w:ilvl="5">
      <w:start w:val="1"/>
      <w:numFmt w:val="decimal"/>
      <w:lvlText w:val="%1.%2.%3.%4.%5.%6"/>
      <w:lvlJc w:val="left"/>
      <w:pPr>
        <w:ind w:left="6960" w:hanging="1440"/>
      </w:pPr>
      <w:rPr>
        <w:rFonts w:hint="default"/>
      </w:rPr>
    </w:lvl>
    <w:lvl w:ilvl="6">
      <w:start w:val="1"/>
      <w:numFmt w:val="decimal"/>
      <w:lvlText w:val="%1.%2.%3.%4.%5.%6.%7"/>
      <w:lvlJc w:val="left"/>
      <w:pPr>
        <w:ind w:left="8064" w:hanging="1440"/>
      </w:pPr>
      <w:rPr>
        <w:rFonts w:hint="default"/>
      </w:rPr>
    </w:lvl>
    <w:lvl w:ilvl="7">
      <w:start w:val="1"/>
      <w:numFmt w:val="decimal"/>
      <w:lvlText w:val="%1.%2.%3.%4.%5.%6.%7.%8"/>
      <w:lvlJc w:val="left"/>
      <w:pPr>
        <w:ind w:left="9528" w:hanging="1800"/>
      </w:pPr>
      <w:rPr>
        <w:rFonts w:hint="default"/>
      </w:rPr>
    </w:lvl>
    <w:lvl w:ilvl="8">
      <w:start w:val="1"/>
      <w:numFmt w:val="decimal"/>
      <w:lvlText w:val="%1.%2.%3.%4.%5.%6.%7.%8.%9"/>
      <w:lvlJc w:val="left"/>
      <w:pPr>
        <w:ind w:left="10632" w:hanging="1800"/>
      </w:pPr>
      <w:rPr>
        <w:rFonts w:hint="default"/>
      </w:rPr>
    </w:lvl>
  </w:abstractNum>
  <w:abstractNum w:abstractNumId="7" w15:restartNumberingAfterBreak="0">
    <w:nsid w:val="11B90A6C"/>
    <w:multiLevelType w:val="multilevel"/>
    <w:tmpl w:val="21B6BED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BC17659"/>
    <w:multiLevelType w:val="hybridMultilevel"/>
    <w:tmpl w:val="CB8656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D895223"/>
    <w:multiLevelType w:val="multilevel"/>
    <w:tmpl w:val="9FF4F8D2"/>
    <w:lvl w:ilvl="0">
      <w:start w:val="1"/>
      <w:numFmt w:val="decimal"/>
      <w:lvlText w:val="%1."/>
      <w:lvlJc w:val="left"/>
      <w:pPr>
        <w:ind w:left="720" w:hanging="360"/>
      </w:pPr>
      <w:rPr>
        <w:rFonts w:hint="default"/>
      </w:rPr>
    </w:lvl>
    <w:lvl w:ilvl="1">
      <w:start w:val="2"/>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6861125"/>
    <w:multiLevelType w:val="hybridMultilevel"/>
    <w:tmpl w:val="448C1E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75A6AE4"/>
    <w:multiLevelType w:val="multilevel"/>
    <w:tmpl w:val="00A404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D242B7"/>
    <w:multiLevelType w:val="hybridMultilevel"/>
    <w:tmpl w:val="EA4849FC"/>
    <w:lvl w:ilvl="0" w:tplc="2326E0D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9392862"/>
    <w:multiLevelType w:val="hybridMultilevel"/>
    <w:tmpl w:val="93B4E5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C53220F"/>
    <w:multiLevelType w:val="hybridMultilevel"/>
    <w:tmpl w:val="72C0B9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03799E"/>
    <w:multiLevelType w:val="hybridMultilevel"/>
    <w:tmpl w:val="93B4E5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E1505A9"/>
    <w:multiLevelType w:val="multilevel"/>
    <w:tmpl w:val="CC6E4516"/>
    <w:lvl w:ilvl="0">
      <w:start w:val="4"/>
      <w:numFmt w:val="decimal"/>
      <w:lvlText w:val="%1"/>
      <w:lvlJc w:val="left"/>
      <w:pPr>
        <w:ind w:left="360" w:hanging="360"/>
      </w:pPr>
      <w:rPr>
        <w:rFonts w:hint="default"/>
      </w:rPr>
    </w:lvl>
    <w:lvl w:ilvl="1">
      <w:start w:val="1"/>
      <w:numFmt w:val="decimal"/>
      <w:lvlText w:val="%1.%2"/>
      <w:lvlJc w:val="left"/>
      <w:pPr>
        <w:ind w:left="1104" w:hanging="360"/>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4056" w:hanging="1080"/>
      </w:pPr>
      <w:rPr>
        <w:rFonts w:hint="default"/>
      </w:rPr>
    </w:lvl>
    <w:lvl w:ilvl="5">
      <w:start w:val="1"/>
      <w:numFmt w:val="decimal"/>
      <w:lvlText w:val="%1.%2.%3.%4.%5.%6"/>
      <w:lvlJc w:val="left"/>
      <w:pPr>
        <w:ind w:left="5160" w:hanging="1440"/>
      </w:pPr>
      <w:rPr>
        <w:rFonts w:hint="default"/>
      </w:rPr>
    </w:lvl>
    <w:lvl w:ilvl="6">
      <w:start w:val="1"/>
      <w:numFmt w:val="decimal"/>
      <w:lvlText w:val="%1.%2.%3.%4.%5.%6.%7"/>
      <w:lvlJc w:val="left"/>
      <w:pPr>
        <w:ind w:left="5904" w:hanging="1440"/>
      </w:pPr>
      <w:rPr>
        <w:rFonts w:hint="default"/>
      </w:rPr>
    </w:lvl>
    <w:lvl w:ilvl="7">
      <w:start w:val="1"/>
      <w:numFmt w:val="decimal"/>
      <w:lvlText w:val="%1.%2.%3.%4.%5.%6.%7.%8"/>
      <w:lvlJc w:val="left"/>
      <w:pPr>
        <w:ind w:left="7008" w:hanging="1800"/>
      </w:pPr>
      <w:rPr>
        <w:rFonts w:hint="default"/>
      </w:rPr>
    </w:lvl>
    <w:lvl w:ilvl="8">
      <w:start w:val="1"/>
      <w:numFmt w:val="decimal"/>
      <w:lvlText w:val="%1.%2.%3.%4.%5.%6.%7.%8.%9"/>
      <w:lvlJc w:val="left"/>
      <w:pPr>
        <w:ind w:left="7752" w:hanging="1800"/>
      </w:pPr>
      <w:rPr>
        <w:rFonts w:hint="default"/>
      </w:rPr>
    </w:lvl>
  </w:abstractNum>
  <w:abstractNum w:abstractNumId="17" w15:restartNumberingAfterBreak="0">
    <w:nsid w:val="2EEA7E2C"/>
    <w:multiLevelType w:val="hybridMultilevel"/>
    <w:tmpl w:val="A91295B4"/>
    <w:lvl w:ilvl="0" w:tplc="08C4A1F4">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9AA386B"/>
    <w:multiLevelType w:val="hybridMultilevel"/>
    <w:tmpl w:val="0C2EC598"/>
    <w:lvl w:ilvl="0" w:tplc="AB207ADE">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C1C0FF0"/>
    <w:multiLevelType w:val="multilevel"/>
    <w:tmpl w:val="4ED822F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80330D8"/>
    <w:multiLevelType w:val="multilevel"/>
    <w:tmpl w:val="9FF4F8D2"/>
    <w:lvl w:ilvl="0">
      <w:start w:val="1"/>
      <w:numFmt w:val="decimal"/>
      <w:lvlText w:val="%1."/>
      <w:lvlJc w:val="left"/>
      <w:pPr>
        <w:ind w:left="720" w:hanging="360"/>
      </w:pPr>
      <w:rPr>
        <w:rFonts w:hint="default"/>
      </w:rPr>
    </w:lvl>
    <w:lvl w:ilvl="1">
      <w:start w:val="2"/>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5B907459"/>
    <w:multiLevelType w:val="hybridMultilevel"/>
    <w:tmpl w:val="FE5232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CD34C22"/>
    <w:multiLevelType w:val="hybridMultilevel"/>
    <w:tmpl w:val="FE5232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E6B7954"/>
    <w:multiLevelType w:val="hybridMultilevel"/>
    <w:tmpl w:val="C9B01D7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4124EFE"/>
    <w:multiLevelType w:val="hybridMultilevel"/>
    <w:tmpl w:val="FE5232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53C74FE"/>
    <w:multiLevelType w:val="multilevel"/>
    <w:tmpl w:val="211EC9C0"/>
    <w:lvl w:ilvl="0">
      <w:start w:val="3"/>
      <w:numFmt w:val="decimal"/>
      <w:lvlText w:val="%1"/>
      <w:lvlJc w:val="left"/>
      <w:pPr>
        <w:ind w:left="360" w:hanging="360"/>
      </w:pPr>
      <w:rPr>
        <w:rFonts w:hint="default"/>
      </w:rPr>
    </w:lvl>
    <w:lvl w:ilvl="1">
      <w:start w:val="1"/>
      <w:numFmt w:val="decimal"/>
      <w:lvlText w:val="%1.%2"/>
      <w:lvlJc w:val="left"/>
      <w:pPr>
        <w:ind w:left="1464" w:hanging="360"/>
      </w:pPr>
      <w:rPr>
        <w:rFonts w:hint="default"/>
      </w:rPr>
    </w:lvl>
    <w:lvl w:ilvl="2">
      <w:start w:val="1"/>
      <w:numFmt w:val="decimal"/>
      <w:lvlText w:val="%1.%2.%3"/>
      <w:lvlJc w:val="left"/>
      <w:pPr>
        <w:ind w:left="2928" w:hanging="720"/>
      </w:pPr>
      <w:rPr>
        <w:rFonts w:hint="default"/>
      </w:rPr>
    </w:lvl>
    <w:lvl w:ilvl="3">
      <w:start w:val="1"/>
      <w:numFmt w:val="decimal"/>
      <w:lvlText w:val="%1.%2.%3.%4"/>
      <w:lvlJc w:val="left"/>
      <w:pPr>
        <w:ind w:left="4032" w:hanging="720"/>
      </w:pPr>
      <w:rPr>
        <w:rFonts w:hint="default"/>
      </w:rPr>
    </w:lvl>
    <w:lvl w:ilvl="4">
      <w:start w:val="1"/>
      <w:numFmt w:val="decimal"/>
      <w:lvlText w:val="%1.%2.%3.%4.%5"/>
      <w:lvlJc w:val="left"/>
      <w:pPr>
        <w:ind w:left="5496" w:hanging="1080"/>
      </w:pPr>
      <w:rPr>
        <w:rFonts w:hint="default"/>
      </w:rPr>
    </w:lvl>
    <w:lvl w:ilvl="5">
      <w:start w:val="1"/>
      <w:numFmt w:val="decimal"/>
      <w:lvlText w:val="%1.%2.%3.%4.%5.%6"/>
      <w:lvlJc w:val="left"/>
      <w:pPr>
        <w:ind w:left="6960" w:hanging="1440"/>
      </w:pPr>
      <w:rPr>
        <w:rFonts w:hint="default"/>
      </w:rPr>
    </w:lvl>
    <w:lvl w:ilvl="6">
      <w:start w:val="1"/>
      <w:numFmt w:val="decimal"/>
      <w:lvlText w:val="%1.%2.%3.%4.%5.%6.%7"/>
      <w:lvlJc w:val="left"/>
      <w:pPr>
        <w:ind w:left="8064" w:hanging="1440"/>
      </w:pPr>
      <w:rPr>
        <w:rFonts w:hint="default"/>
      </w:rPr>
    </w:lvl>
    <w:lvl w:ilvl="7">
      <w:start w:val="1"/>
      <w:numFmt w:val="decimal"/>
      <w:lvlText w:val="%1.%2.%3.%4.%5.%6.%7.%8"/>
      <w:lvlJc w:val="left"/>
      <w:pPr>
        <w:ind w:left="9528" w:hanging="1800"/>
      </w:pPr>
      <w:rPr>
        <w:rFonts w:hint="default"/>
      </w:rPr>
    </w:lvl>
    <w:lvl w:ilvl="8">
      <w:start w:val="1"/>
      <w:numFmt w:val="decimal"/>
      <w:lvlText w:val="%1.%2.%3.%4.%5.%6.%7.%8.%9"/>
      <w:lvlJc w:val="left"/>
      <w:pPr>
        <w:ind w:left="10632" w:hanging="1800"/>
      </w:pPr>
      <w:rPr>
        <w:rFonts w:hint="default"/>
      </w:rPr>
    </w:lvl>
  </w:abstractNum>
  <w:abstractNum w:abstractNumId="26" w15:restartNumberingAfterBreak="0">
    <w:nsid w:val="73EA1887"/>
    <w:multiLevelType w:val="hybridMultilevel"/>
    <w:tmpl w:val="D7C2E5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62C5231"/>
    <w:multiLevelType w:val="hybridMultilevel"/>
    <w:tmpl w:val="55643E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E222D2B"/>
    <w:multiLevelType w:val="hybridMultilevel"/>
    <w:tmpl w:val="7200C8A8"/>
    <w:lvl w:ilvl="0" w:tplc="C0980D4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4"/>
  </w:num>
  <w:num w:numId="2">
    <w:abstractNumId w:val="12"/>
  </w:num>
  <w:num w:numId="3">
    <w:abstractNumId w:val="21"/>
  </w:num>
  <w:num w:numId="4">
    <w:abstractNumId w:val="23"/>
  </w:num>
  <w:num w:numId="5">
    <w:abstractNumId w:val="18"/>
  </w:num>
  <w:num w:numId="6">
    <w:abstractNumId w:val="8"/>
  </w:num>
  <w:num w:numId="7">
    <w:abstractNumId w:val="15"/>
  </w:num>
  <w:num w:numId="8">
    <w:abstractNumId w:val="27"/>
  </w:num>
  <w:num w:numId="9">
    <w:abstractNumId w:val="22"/>
  </w:num>
  <w:num w:numId="10">
    <w:abstractNumId w:val="10"/>
  </w:num>
  <w:num w:numId="11">
    <w:abstractNumId w:val="24"/>
  </w:num>
  <w:num w:numId="12">
    <w:abstractNumId w:val="13"/>
  </w:num>
  <w:num w:numId="13">
    <w:abstractNumId w:val="2"/>
  </w:num>
  <w:num w:numId="14">
    <w:abstractNumId w:val="5"/>
  </w:num>
  <w:num w:numId="15">
    <w:abstractNumId w:val="0"/>
  </w:num>
  <w:num w:numId="16">
    <w:abstractNumId w:val="17"/>
  </w:num>
  <w:num w:numId="17">
    <w:abstractNumId w:val="9"/>
  </w:num>
  <w:num w:numId="18">
    <w:abstractNumId w:val="26"/>
  </w:num>
  <w:num w:numId="19">
    <w:abstractNumId w:val="3"/>
  </w:num>
  <w:num w:numId="20">
    <w:abstractNumId w:val="4"/>
  </w:num>
  <w:num w:numId="21">
    <w:abstractNumId w:val="16"/>
  </w:num>
  <w:num w:numId="22">
    <w:abstractNumId w:val="20"/>
  </w:num>
  <w:num w:numId="23">
    <w:abstractNumId w:val="25"/>
  </w:num>
  <w:num w:numId="24">
    <w:abstractNumId w:val="19"/>
  </w:num>
  <w:num w:numId="25">
    <w:abstractNumId w:val="6"/>
  </w:num>
  <w:num w:numId="26">
    <w:abstractNumId w:val="28"/>
  </w:num>
  <w:num w:numId="27">
    <w:abstractNumId w:val="1"/>
  </w:num>
  <w:num w:numId="28">
    <w:abstractNumId w:val="7"/>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91B"/>
    <w:rsid w:val="00003128"/>
    <w:rsid w:val="000115F1"/>
    <w:rsid w:val="0002691B"/>
    <w:rsid w:val="000310A3"/>
    <w:rsid w:val="0003564E"/>
    <w:rsid w:val="00090CD3"/>
    <w:rsid w:val="000A6123"/>
    <w:rsid w:val="000B321E"/>
    <w:rsid w:val="000B3A0C"/>
    <w:rsid w:val="000B53DD"/>
    <w:rsid w:val="00110471"/>
    <w:rsid w:val="00110DA1"/>
    <w:rsid w:val="00121BF0"/>
    <w:rsid w:val="00135FD2"/>
    <w:rsid w:val="001417C4"/>
    <w:rsid w:val="001574AB"/>
    <w:rsid w:val="00174A43"/>
    <w:rsid w:val="00191A90"/>
    <w:rsid w:val="00192D84"/>
    <w:rsid w:val="001A5F24"/>
    <w:rsid w:val="001F285E"/>
    <w:rsid w:val="00231286"/>
    <w:rsid w:val="00246D8A"/>
    <w:rsid w:val="0026142F"/>
    <w:rsid w:val="00287230"/>
    <w:rsid w:val="002A5000"/>
    <w:rsid w:val="002B3D8C"/>
    <w:rsid w:val="002E4A16"/>
    <w:rsid w:val="002F1942"/>
    <w:rsid w:val="002F4148"/>
    <w:rsid w:val="00315FCD"/>
    <w:rsid w:val="00335513"/>
    <w:rsid w:val="00341DFE"/>
    <w:rsid w:val="00344CF9"/>
    <w:rsid w:val="00351823"/>
    <w:rsid w:val="003531AC"/>
    <w:rsid w:val="0035344A"/>
    <w:rsid w:val="0035423B"/>
    <w:rsid w:val="00356C60"/>
    <w:rsid w:val="003643A8"/>
    <w:rsid w:val="003706C9"/>
    <w:rsid w:val="0037168B"/>
    <w:rsid w:val="00372ED3"/>
    <w:rsid w:val="00372F66"/>
    <w:rsid w:val="0037655F"/>
    <w:rsid w:val="00384AB7"/>
    <w:rsid w:val="0038588A"/>
    <w:rsid w:val="003968B7"/>
    <w:rsid w:val="003A1B39"/>
    <w:rsid w:val="003A3A01"/>
    <w:rsid w:val="003B04E8"/>
    <w:rsid w:val="003C7141"/>
    <w:rsid w:val="003E5779"/>
    <w:rsid w:val="003F516A"/>
    <w:rsid w:val="00402EBE"/>
    <w:rsid w:val="0040358A"/>
    <w:rsid w:val="00440E26"/>
    <w:rsid w:val="00444496"/>
    <w:rsid w:val="004534C4"/>
    <w:rsid w:val="00474EB0"/>
    <w:rsid w:val="00483BF9"/>
    <w:rsid w:val="00486C7B"/>
    <w:rsid w:val="004A3E37"/>
    <w:rsid w:val="004F6A21"/>
    <w:rsid w:val="0050387C"/>
    <w:rsid w:val="00507183"/>
    <w:rsid w:val="00511F6F"/>
    <w:rsid w:val="005435A3"/>
    <w:rsid w:val="00545EA5"/>
    <w:rsid w:val="00564F2A"/>
    <w:rsid w:val="0057284A"/>
    <w:rsid w:val="005801CD"/>
    <w:rsid w:val="00596AAC"/>
    <w:rsid w:val="005B6162"/>
    <w:rsid w:val="0064696D"/>
    <w:rsid w:val="006557D4"/>
    <w:rsid w:val="00656127"/>
    <w:rsid w:val="00660122"/>
    <w:rsid w:val="00661A80"/>
    <w:rsid w:val="006C59F2"/>
    <w:rsid w:val="006D37E7"/>
    <w:rsid w:val="006E5979"/>
    <w:rsid w:val="006F3F24"/>
    <w:rsid w:val="006F53B4"/>
    <w:rsid w:val="006F5F50"/>
    <w:rsid w:val="007029AB"/>
    <w:rsid w:val="00702E21"/>
    <w:rsid w:val="00704C08"/>
    <w:rsid w:val="007107C0"/>
    <w:rsid w:val="00710FAD"/>
    <w:rsid w:val="007957EE"/>
    <w:rsid w:val="00800F7E"/>
    <w:rsid w:val="008015F0"/>
    <w:rsid w:val="00823EBB"/>
    <w:rsid w:val="00826ED5"/>
    <w:rsid w:val="00830AC7"/>
    <w:rsid w:val="00854DC7"/>
    <w:rsid w:val="00857BA1"/>
    <w:rsid w:val="0088127A"/>
    <w:rsid w:val="008A0B4E"/>
    <w:rsid w:val="009051D7"/>
    <w:rsid w:val="009508F8"/>
    <w:rsid w:val="0095669C"/>
    <w:rsid w:val="009662E9"/>
    <w:rsid w:val="0097080A"/>
    <w:rsid w:val="009709DB"/>
    <w:rsid w:val="00971E69"/>
    <w:rsid w:val="00980AED"/>
    <w:rsid w:val="009B4CB6"/>
    <w:rsid w:val="009C399D"/>
    <w:rsid w:val="009C3D26"/>
    <w:rsid w:val="009E7DE5"/>
    <w:rsid w:val="00A0707A"/>
    <w:rsid w:val="00A12804"/>
    <w:rsid w:val="00A33656"/>
    <w:rsid w:val="00A34372"/>
    <w:rsid w:val="00A42426"/>
    <w:rsid w:val="00A55653"/>
    <w:rsid w:val="00A631A1"/>
    <w:rsid w:val="00AA4A70"/>
    <w:rsid w:val="00AA734F"/>
    <w:rsid w:val="00AB0ABD"/>
    <w:rsid w:val="00AB4EBD"/>
    <w:rsid w:val="00AF0E16"/>
    <w:rsid w:val="00B17DA4"/>
    <w:rsid w:val="00B226E5"/>
    <w:rsid w:val="00B332A7"/>
    <w:rsid w:val="00B46A94"/>
    <w:rsid w:val="00B567CF"/>
    <w:rsid w:val="00B90C07"/>
    <w:rsid w:val="00B93771"/>
    <w:rsid w:val="00BA1ED5"/>
    <w:rsid w:val="00BA3F93"/>
    <w:rsid w:val="00BB439B"/>
    <w:rsid w:val="00BC55F7"/>
    <w:rsid w:val="00BD06D8"/>
    <w:rsid w:val="00BD42A2"/>
    <w:rsid w:val="00BD499C"/>
    <w:rsid w:val="00BD5772"/>
    <w:rsid w:val="00BD7649"/>
    <w:rsid w:val="00BE1F70"/>
    <w:rsid w:val="00BE25EA"/>
    <w:rsid w:val="00C14603"/>
    <w:rsid w:val="00C27254"/>
    <w:rsid w:val="00C374A8"/>
    <w:rsid w:val="00C60B09"/>
    <w:rsid w:val="00C62955"/>
    <w:rsid w:val="00C92718"/>
    <w:rsid w:val="00C963D9"/>
    <w:rsid w:val="00CD4C1D"/>
    <w:rsid w:val="00D22B3F"/>
    <w:rsid w:val="00D2614D"/>
    <w:rsid w:val="00D41CA4"/>
    <w:rsid w:val="00D5777A"/>
    <w:rsid w:val="00D672ED"/>
    <w:rsid w:val="00D71291"/>
    <w:rsid w:val="00D71E19"/>
    <w:rsid w:val="00DB4340"/>
    <w:rsid w:val="00DB463C"/>
    <w:rsid w:val="00DB6827"/>
    <w:rsid w:val="00DD2F53"/>
    <w:rsid w:val="00DD6498"/>
    <w:rsid w:val="00E015A2"/>
    <w:rsid w:val="00E15416"/>
    <w:rsid w:val="00E168F9"/>
    <w:rsid w:val="00E40494"/>
    <w:rsid w:val="00E437F4"/>
    <w:rsid w:val="00E44113"/>
    <w:rsid w:val="00E50A46"/>
    <w:rsid w:val="00E554A8"/>
    <w:rsid w:val="00E614E2"/>
    <w:rsid w:val="00E91F47"/>
    <w:rsid w:val="00E972F5"/>
    <w:rsid w:val="00EA11EA"/>
    <w:rsid w:val="00ED696F"/>
    <w:rsid w:val="00EF0839"/>
    <w:rsid w:val="00EF7035"/>
    <w:rsid w:val="00F12A48"/>
    <w:rsid w:val="00F34471"/>
    <w:rsid w:val="00F8204D"/>
    <w:rsid w:val="00F86172"/>
    <w:rsid w:val="00F930B5"/>
    <w:rsid w:val="00F93244"/>
    <w:rsid w:val="00F958E7"/>
    <w:rsid w:val="00FA30C7"/>
    <w:rsid w:val="00FB72D0"/>
    <w:rsid w:val="00FC4F4B"/>
    <w:rsid w:val="00FE0A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9CE877"/>
  <w15:chartTrackingRefBased/>
  <w15:docId w15:val="{010306DA-379D-4731-BAA4-3BB7E2F4B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5344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88127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2691B"/>
    <w:pPr>
      <w:ind w:left="720"/>
      <w:contextualSpacing/>
    </w:pPr>
  </w:style>
  <w:style w:type="paragraph" w:styleId="Ballontekst">
    <w:name w:val="Balloon Text"/>
    <w:basedOn w:val="Standaard"/>
    <w:link w:val="BallontekstChar"/>
    <w:uiPriority w:val="99"/>
    <w:semiHidden/>
    <w:unhideWhenUsed/>
    <w:rsid w:val="006E597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E5979"/>
    <w:rPr>
      <w:rFonts w:ascii="Segoe UI" w:hAnsi="Segoe UI" w:cs="Segoe UI"/>
      <w:sz w:val="18"/>
      <w:szCs w:val="18"/>
    </w:rPr>
  </w:style>
  <w:style w:type="character" w:styleId="Verwijzingopmerking">
    <w:name w:val="annotation reference"/>
    <w:basedOn w:val="Standaardalinea-lettertype"/>
    <w:uiPriority w:val="99"/>
    <w:semiHidden/>
    <w:unhideWhenUsed/>
    <w:rsid w:val="00D5777A"/>
    <w:rPr>
      <w:sz w:val="16"/>
      <w:szCs w:val="16"/>
    </w:rPr>
  </w:style>
  <w:style w:type="paragraph" w:styleId="Tekstopmerking">
    <w:name w:val="annotation text"/>
    <w:basedOn w:val="Standaard"/>
    <w:link w:val="TekstopmerkingChar"/>
    <w:uiPriority w:val="99"/>
    <w:unhideWhenUsed/>
    <w:rsid w:val="00D5777A"/>
    <w:pPr>
      <w:spacing w:line="240" w:lineRule="auto"/>
    </w:pPr>
    <w:rPr>
      <w:sz w:val="20"/>
      <w:szCs w:val="20"/>
    </w:rPr>
  </w:style>
  <w:style w:type="character" w:customStyle="1" w:styleId="TekstopmerkingChar">
    <w:name w:val="Tekst opmerking Char"/>
    <w:basedOn w:val="Standaardalinea-lettertype"/>
    <w:link w:val="Tekstopmerking"/>
    <w:uiPriority w:val="99"/>
    <w:rsid w:val="00D5777A"/>
    <w:rPr>
      <w:sz w:val="20"/>
      <w:szCs w:val="20"/>
    </w:rPr>
  </w:style>
  <w:style w:type="paragraph" w:styleId="Onderwerpvanopmerking">
    <w:name w:val="annotation subject"/>
    <w:basedOn w:val="Tekstopmerking"/>
    <w:next w:val="Tekstopmerking"/>
    <w:link w:val="OnderwerpvanopmerkingChar"/>
    <w:uiPriority w:val="99"/>
    <w:semiHidden/>
    <w:unhideWhenUsed/>
    <w:rsid w:val="00D5777A"/>
    <w:rPr>
      <w:b/>
      <w:bCs/>
    </w:rPr>
  </w:style>
  <w:style w:type="character" w:customStyle="1" w:styleId="OnderwerpvanopmerkingChar">
    <w:name w:val="Onderwerp van opmerking Char"/>
    <w:basedOn w:val="TekstopmerkingChar"/>
    <w:link w:val="Onderwerpvanopmerking"/>
    <w:uiPriority w:val="99"/>
    <w:semiHidden/>
    <w:rsid w:val="00D5777A"/>
    <w:rPr>
      <w:b/>
      <w:bCs/>
      <w:sz w:val="20"/>
      <w:szCs w:val="20"/>
    </w:rPr>
  </w:style>
  <w:style w:type="table" w:styleId="Tabelraster">
    <w:name w:val="Table Grid"/>
    <w:basedOn w:val="Standaardtabel"/>
    <w:uiPriority w:val="39"/>
    <w:rsid w:val="00D672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5344A"/>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88127A"/>
    <w:rPr>
      <w:rFonts w:asciiTheme="majorHAnsi" w:eastAsiaTheme="majorEastAsia" w:hAnsiTheme="majorHAnsi" w:cstheme="majorBidi"/>
      <w:color w:val="2F5496" w:themeColor="accent1" w:themeShade="BF"/>
      <w:sz w:val="26"/>
      <w:szCs w:val="26"/>
    </w:rPr>
  </w:style>
  <w:style w:type="paragraph" w:styleId="Koptekst">
    <w:name w:val="header"/>
    <w:basedOn w:val="Standaard"/>
    <w:link w:val="KoptekstChar"/>
    <w:uiPriority w:val="99"/>
    <w:unhideWhenUsed/>
    <w:rsid w:val="00C9271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2718"/>
  </w:style>
  <w:style w:type="paragraph" w:styleId="Voettekst">
    <w:name w:val="footer"/>
    <w:basedOn w:val="Standaard"/>
    <w:link w:val="VoettekstChar"/>
    <w:uiPriority w:val="99"/>
    <w:unhideWhenUsed/>
    <w:rsid w:val="00C9271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2718"/>
  </w:style>
  <w:style w:type="paragraph" w:styleId="Kopvaninhoudsopgave">
    <w:name w:val="TOC Heading"/>
    <w:basedOn w:val="Kop1"/>
    <w:next w:val="Standaard"/>
    <w:uiPriority w:val="39"/>
    <w:unhideWhenUsed/>
    <w:qFormat/>
    <w:rsid w:val="00C92718"/>
    <w:pPr>
      <w:outlineLvl w:val="9"/>
    </w:pPr>
    <w:rPr>
      <w:lang w:eastAsia="nl-NL"/>
    </w:rPr>
  </w:style>
  <w:style w:type="paragraph" w:styleId="Inhopg1">
    <w:name w:val="toc 1"/>
    <w:basedOn w:val="Standaard"/>
    <w:next w:val="Standaard"/>
    <w:autoRedefine/>
    <w:uiPriority w:val="39"/>
    <w:unhideWhenUsed/>
    <w:rsid w:val="00C92718"/>
    <w:pPr>
      <w:spacing w:after="100"/>
    </w:pPr>
  </w:style>
  <w:style w:type="paragraph" w:styleId="Inhopg2">
    <w:name w:val="toc 2"/>
    <w:basedOn w:val="Standaard"/>
    <w:next w:val="Standaard"/>
    <w:autoRedefine/>
    <w:uiPriority w:val="39"/>
    <w:unhideWhenUsed/>
    <w:rsid w:val="00C92718"/>
    <w:pPr>
      <w:spacing w:after="100"/>
      <w:ind w:left="220"/>
    </w:pPr>
  </w:style>
  <w:style w:type="character" w:styleId="Hyperlink">
    <w:name w:val="Hyperlink"/>
    <w:basedOn w:val="Standaardalinea-lettertype"/>
    <w:uiPriority w:val="99"/>
    <w:unhideWhenUsed/>
    <w:rsid w:val="00C9271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9232906">
      <w:bodyDiv w:val="1"/>
      <w:marLeft w:val="0"/>
      <w:marRight w:val="0"/>
      <w:marTop w:val="0"/>
      <w:marBottom w:val="0"/>
      <w:divBdr>
        <w:top w:val="none" w:sz="0" w:space="0" w:color="auto"/>
        <w:left w:val="none" w:sz="0" w:space="0" w:color="auto"/>
        <w:bottom w:val="none" w:sz="0" w:space="0" w:color="auto"/>
        <w:right w:val="none" w:sz="0" w:space="0" w:color="auto"/>
      </w:divBdr>
    </w:div>
    <w:div w:id="1229876011">
      <w:bodyDiv w:val="1"/>
      <w:marLeft w:val="0"/>
      <w:marRight w:val="0"/>
      <w:marTop w:val="0"/>
      <w:marBottom w:val="0"/>
      <w:divBdr>
        <w:top w:val="none" w:sz="0" w:space="0" w:color="auto"/>
        <w:left w:val="none" w:sz="0" w:space="0" w:color="auto"/>
        <w:bottom w:val="none" w:sz="0" w:space="0" w:color="auto"/>
        <w:right w:val="none" w:sz="0" w:space="0" w:color="auto"/>
      </w:divBdr>
    </w:div>
    <w:div w:id="1615015044">
      <w:bodyDiv w:val="1"/>
      <w:marLeft w:val="0"/>
      <w:marRight w:val="0"/>
      <w:marTop w:val="0"/>
      <w:marBottom w:val="0"/>
      <w:divBdr>
        <w:top w:val="none" w:sz="0" w:space="0" w:color="auto"/>
        <w:left w:val="none" w:sz="0" w:space="0" w:color="auto"/>
        <w:bottom w:val="none" w:sz="0" w:space="0" w:color="auto"/>
        <w:right w:val="none" w:sz="0" w:space="0" w:color="auto"/>
      </w:divBdr>
    </w:div>
    <w:div w:id="190999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D7155-2A2E-4D92-ACEF-A508E03D4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23</Pages>
  <Words>31677</Words>
  <Characters>174224</Characters>
  <Application>Microsoft Office Word</Application>
  <DocSecurity>0</DocSecurity>
  <Lines>1451</Lines>
  <Paragraphs>410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Cornelis Smit</dc:creator>
  <cp:keywords/>
  <dc:description/>
  <cp:lastModifiedBy>Cornelis Smit</cp:lastModifiedBy>
  <cp:revision>16</cp:revision>
  <dcterms:created xsi:type="dcterms:W3CDTF">2020-03-30T18:43:00Z</dcterms:created>
  <dcterms:modified xsi:type="dcterms:W3CDTF">2020-04-09T15:37:00Z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http://csl.mendeley.com/styles/189242271/american-medical-association-brackets</vt:lpwstr>
  </property>
  <property fmtid="{D5CDD505-2E9C-101B-9397-08002B2CF9AE}" pid="3" name="Mendeley Recent Style Name 0_1">
    <vt:lpwstr>American Medical Association - Cornelis Smit</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http://www.zotero.org/styles/clinical-pharmacokinetics</vt:lpwstr>
  </property>
  <property fmtid="{D5CDD505-2E9C-101B-9397-08002B2CF9AE}" pid="9" name="Mendeley Recent Style Name 3_1">
    <vt:lpwstr>Clinical Pharmacokinetics</vt:lpwstr>
  </property>
  <property fmtid="{D5CDD505-2E9C-101B-9397-08002B2CF9AE}" pid="10" name="Mendeley Recent Style Id 4_1">
    <vt:lpwstr>http://www.zotero.org/styles/national-library-of-medicine-brackets-no-et-al</vt:lpwstr>
  </property>
  <property fmtid="{D5CDD505-2E9C-101B-9397-08002B2CF9AE}" pid="11" name="Mendeley Recent Style Name 4_1">
    <vt:lpwstr>National Library of Medicine (brackets, no "et al.")</vt:lpwstr>
  </property>
  <property fmtid="{D5CDD505-2E9C-101B-9397-08002B2CF9AE}" pid="12" name="Mendeley Recent Style Id 5_1">
    <vt:lpwstr>http://www.zotero.org/styles/pediatric-critical-care-medicine</vt:lpwstr>
  </property>
  <property fmtid="{D5CDD505-2E9C-101B-9397-08002B2CF9AE}" pid="13" name="Mendeley Recent Style Name 5_1">
    <vt:lpwstr>Pediatric Critical Care Medicine</vt:lpwstr>
  </property>
  <property fmtid="{D5CDD505-2E9C-101B-9397-08002B2CF9AE}" pid="14" name="Mendeley Recent Style Id 6_1">
    <vt:lpwstr>http://csl.mendeley.com/styles/189242271/springer-vancouver-brackets</vt:lpwstr>
  </property>
  <property fmtid="{D5CDD505-2E9C-101B-9397-08002B2CF9AE}" pid="15" name="Mendeley Recent Style Name 6_1">
    <vt:lpwstr>Springer - Vancouver (brackets) - Cornelis Smit</vt:lpwstr>
  </property>
  <property fmtid="{D5CDD505-2E9C-101B-9397-08002B2CF9AE}" pid="16" name="Mendeley Recent Style Id 7_1">
    <vt:lpwstr>http://www.zotero.org/styles/vancouver-brackets</vt:lpwstr>
  </property>
  <property fmtid="{D5CDD505-2E9C-101B-9397-08002B2CF9AE}" pid="17" name="Mendeley Recent Style Name 7_1">
    <vt:lpwstr>Vancouver (brackets)</vt:lpwstr>
  </property>
  <property fmtid="{D5CDD505-2E9C-101B-9397-08002B2CF9AE}" pid="18" name="Mendeley Recent Style Id 8_1">
    <vt:lpwstr>https://csl.mendeley.com/styles/189242271/vancouver-brackets-CS-PHD</vt:lpwstr>
  </property>
  <property fmtid="{D5CDD505-2E9C-101B-9397-08002B2CF9AE}" pid="19" name="Mendeley Recent Style Name 8_1">
    <vt:lpwstr>Vancouver (brackets) - CS - PHD THESIS</vt:lpwstr>
  </property>
  <property fmtid="{D5CDD505-2E9C-101B-9397-08002B2CF9AE}" pid="20" name="Mendeley Recent Style Id 9_1">
    <vt:lpwstr>http://csl.mendeley.com/styles/189242271/vancouver-brackets-CS-PHD</vt:lpwstr>
  </property>
  <property fmtid="{D5CDD505-2E9C-101B-9397-08002B2CF9AE}" pid="21" name="Mendeley Recent Style Name 9_1">
    <vt:lpwstr>Vancouver (brackets) - Cornelis Smit</vt:lpwstr>
  </property>
  <property fmtid="{D5CDD505-2E9C-101B-9397-08002B2CF9AE}" pid="22" name="Mendeley Document_1">
    <vt:lpwstr>True</vt:lpwstr>
  </property>
  <property fmtid="{D5CDD505-2E9C-101B-9397-08002B2CF9AE}" pid="23" name="Mendeley Unique User Id_1">
    <vt:lpwstr>a354504b-b230-387e-9b6c-feb997ad626d</vt:lpwstr>
  </property>
  <property fmtid="{D5CDD505-2E9C-101B-9397-08002B2CF9AE}" pid="24" name="Mendeley Citation Style_1">
    <vt:lpwstr>http://www.zotero.org/styles/clinical-pharmacokinetics</vt:lpwstr>
  </property>
</Properties>
</file>