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522" w:rsidRPr="001F63D9" w:rsidRDefault="00466522">
      <w:pPr>
        <w:spacing w:line="480" w:lineRule="auto"/>
        <w:rPr>
          <w:color w:val="auto"/>
        </w:rPr>
      </w:pPr>
      <w:r w:rsidRPr="001F63D9">
        <w:rPr>
          <w:rFonts w:ascii="Times New Roman" w:hAnsi="Times New Roman" w:cs="Times New Roman"/>
          <w:b/>
          <w:bCs/>
          <w:color w:val="auto"/>
        </w:rPr>
        <w:t>Title</w:t>
      </w:r>
    </w:p>
    <w:p w:rsidR="00466522" w:rsidRPr="001F63D9" w:rsidRDefault="00466522">
      <w:pPr>
        <w:spacing w:line="480" w:lineRule="auto"/>
        <w:rPr>
          <w:color w:val="auto"/>
        </w:rPr>
      </w:pPr>
      <w:r w:rsidRPr="001F63D9">
        <w:rPr>
          <w:rFonts w:ascii="Times New Roman" w:hAnsi="Times New Roman" w:cs="Times New Roman"/>
          <w:color w:val="auto"/>
        </w:rPr>
        <w:t>Exploration of reduced doses and short cycle therapy for darunavir/cobicistat in HIV patients using population pharmacokinetic modeling and simulations</w:t>
      </w:r>
    </w:p>
    <w:p w:rsidR="00466522" w:rsidRPr="001F63D9" w:rsidRDefault="00466522">
      <w:pPr>
        <w:spacing w:line="480" w:lineRule="auto"/>
        <w:rPr>
          <w:color w:val="auto"/>
        </w:rPr>
      </w:pPr>
    </w:p>
    <w:p w:rsidR="00466522" w:rsidRPr="001F63D9" w:rsidRDefault="00466522">
      <w:pPr>
        <w:spacing w:line="480" w:lineRule="auto"/>
        <w:rPr>
          <w:color w:val="auto"/>
        </w:rPr>
      </w:pPr>
      <w:r w:rsidRPr="001F63D9">
        <w:rPr>
          <w:rFonts w:ascii="Times New Roman" w:hAnsi="Times New Roman" w:cs="Times New Roman"/>
          <w:b/>
          <w:bCs/>
          <w:color w:val="auto"/>
        </w:rPr>
        <w:t>Journal</w:t>
      </w:r>
    </w:p>
    <w:p w:rsidR="00466522" w:rsidRPr="001F63D9" w:rsidRDefault="00466522">
      <w:pPr>
        <w:spacing w:line="480" w:lineRule="auto"/>
        <w:rPr>
          <w:color w:val="auto"/>
        </w:rPr>
      </w:pPr>
      <w:r w:rsidRPr="001F63D9">
        <w:rPr>
          <w:rFonts w:ascii="Times New Roman" w:hAnsi="Times New Roman" w:cs="Times New Roman"/>
          <w:color w:val="auto"/>
        </w:rPr>
        <w:t>Clinical Pharmacokinetics</w:t>
      </w:r>
    </w:p>
    <w:p w:rsidR="00466522" w:rsidRPr="001F63D9" w:rsidRDefault="00466522">
      <w:pPr>
        <w:spacing w:line="480" w:lineRule="auto"/>
        <w:rPr>
          <w:color w:val="auto"/>
        </w:rPr>
      </w:pPr>
    </w:p>
    <w:p w:rsidR="00466522" w:rsidRPr="001F63D9" w:rsidRDefault="00466522">
      <w:pPr>
        <w:spacing w:line="480" w:lineRule="auto"/>
        <w:rPr>
          <w:color w:val="auto"/>
        </w:rPr>
      </w:pPr>
      <w:r w:rsidRPr="001F63D9">
        <w:rPr>
          <w:rFonts w:ascii="Times New Roman" w:hAnsi="Times New Roman" w:cs="Times New Roman"/>
          <w:b/>
          <w:bCs/>
          <w:color w:val="auto"/>
        </w:rPr>
        <w:t>Authors</w:t>
      </w:r>
    </w:p>
    <w:p w:rsidR="00466522" w:rsidRPr="001F63D9" w:rsidRDefault="00466522">
      <w:pPr>
        <w:pStyle w:val="NoSpacing"/>
        <w:spacing w:line="480" w:lineRule="auto"/>
        <w:jc w:val="both"/>
        <w:rPr>
          <w:color w:val="auto"/>
        </w:rPr>
      </w:pPr>
      <w:r w:rsidRPr="001F63D9">
        <w:rPr>
          <w:rFonts w:cs="Times New Roman"/>
          <w:color w:val="auto"/>
          <w:szCs w:val="24"/>
          <w:lang/>
        </w:rPr>
        <w:t>Gabriel Stillemans</w:t>
      </w:r>
      <w:r w:rsidRPr="001F63D9">
        <w:rPr>
          <w:rFonts w:cs="Times New Roman"/>
          <w:color w:val="auto"/>
          <w:szCs w:val="24"/>
          <w:vertAlign w:val="superscript"/>
          <w:lang/>
        </w:rPr>
        <w:t>1,2*</w:t>
      </w:r>
      <w:r w:rsidRPr="001F63D9">
        <w:rPr>
          <w:rFonts w:cs="Times New Roman"/>
          <w:color w:val="auto"/>
          <w:szCs w:val="24"/>
          <w:lang/>
        </w:rPr>
        <w:t>, Leila Belkhir</w:t>
      </w:r>
      <w:r w:rsidRPr="001F63D9">
        <w:rPr>
          <w:rFonts w:cs="Times New Roman"/>
          <w:color w:val="auto"/>
          <w:szCs w:val="24"/>
          <w:vertAlign w:val="superscript"/>
          <w:lang/>
        </w:rPr>
        <w:t>2,3</w:t>
      </w:r>
      <w:r w:rsidRPr="001F63D9">
        <w:rPr>
          <w:rFonts w:cs="Times New Roman"/>
          <w:color w:val="auto"/>
          <w:szCs w:val="24"/>
          <w:lang/>
        </w:rPr>
        <w:t>, Bernard Vandercam</w:t>
      </w:r>
      <w:r w:rsidRPr="001F63D9">
        <w:rPr>
          <w:rFonts w:cs="Times New Roman"/>
          <w:color w:val="auto"/>
          <w:szCs w:val="24"/>
          <w:vertAlign w:val="superscript"/>
          <w:lang/>
        </w:rPr>
        <w:t>3</w:t>
      </w:r>
      <w:r w:rsidRPr="001F63D9">
        <w:rPr>
          <w:rFonts w:cs="Times New Roman"/>
          <w:color w:val="auto"/>
          <w:szCs w:val="24"/>
          <w:lang/>
        </w:rPr>
        <w:t>, Anne Vincent</w:t>
      </w:r>
      <w:r w:rsidRPr="001F63D9">
        <w:rPr>
          <w:rFonts w:cs="Times New Roman"/>
          <w:color w:val="auto"/>
          <w:szCs w:val="24"/>
          <w:vertAlign w:val="superscript"/>
          <w:lang/>
        </w:rPr>
        <w:t>3</w:t>
      </w:r>
      <w:r w:rsidRPr="001F63D9">
        <w:rPr>
          <w:rFonts w:cs="Times New Roman"/>
          <w:color w:val="auto"/>
          <w:szCs w:val="24"/>
          <w:lang/>
        </w:rPr>
        <w:t>, Vincent Haufroid</w:t>
      </w:r>
      <w:r w:rsidRPr="001F63D9">
        <w:rPr>
          <w:rFonts w:cs="Times New Roman"/>
          <w:color w:val="auto"/>
          <w:szCs w:val="24"/>
          <w:vertAlign w:val="superscript"/>
          <w:lang/>
        </w:rPr>
        <w:t>2,4</w:t>
      </w:r>
      <w:r w:rsidRPr="001F63D9">
        <w:rPr>
          <w:rFonts w:cs="Times New Roman"/>
          <w:color w:val="auto"/>
          <w:szCs w:val="24"/>
          <w:lang/>
        </w:rPr>
        <w:t>, Laure Elens</w:t>
      </w:r>
      <w:r w:rsidRPr="001F63D9">
        <w:rPr>
          <w:rFonts w:cs="Times New Roman"/>
          <w:color w:val="auto"/>
          <w:szCs w:val="24"/>
          <w:vertAlign w:val="superscript"/>
          <w:lang/>
        </w:rPr>
        <w:t>1,2</w:t>
      </w:r>
    </w:p>
    <w:p w:rsidR="00466522" w:rsidRPr="001F63D9" w:rsidRDefault="00466522">
      <w:pPr>
        <w:pStyle w:val="NoSpacing"/>
        <w:spacing w:line="480" w:lineRule="auto"/>
        <w:jc w:val="both"/>
        <w:rPr>
          <w:rFonts w:cs="Times New Roman"/>
          <w:color w:val="auto"/>
          <w:szCs w:val="24"/>
          <w:lang/>
        </w:rPr>
      </w:pPr>
    </w:p>
    <w:p w:rsidR="00466522" w:rsidRPr="001F63D9" w:rsidRDefault="00466522">
      <w:pPr>
        <w:pStyle w:val="NoSpacing"/>
        <w:spacing w:line="480" w:lineRule="auto"/>
        <w:jc w:val="both"/>
        <w:rPr>
          <w:color w:val="auto"/>
        </w:rPr>
      </w:pPr>
      <w:r w:rsidRPr="001F63D9">
        <w:rPr>
          <w:rFonts w:cs="Times New Roman"/>
          <w:color w:val="auto"/>
          <w:szCs w:val="24"/>
          <w:vertAlign w:val="superscript"/>
          <w:lang/>
        </w:rPr>
        <w:t>1</w:t>
      </w:r>
      <w:r w:rsidRPr="001F63D9">
        <w:rPr>
          <w:rFonts w:cs="Times New Roman"/>
          <w:color w:val="auto"/>
          <w:szCs w:val="24"/>
          <w:lang/>
        </w:rPr>
        <w:t xml:space="preserve"> Integrated PharmacoMetrics, PharmacoGenomics and PharmacoKinetics, Louvain Drug Research Institute, Université catholique de Louvain, Brussels, Belgium</w:t>
      </w:r>
    </w:p>
    <w:p w:rsidR="00466522" w:rsidRPr="001F63D9" w:rsidRDefault="00466522">
      <w:pPr>
        <w:spacing w:line="480" w:lineRule="auto"/>
        <w:jc w:val="both"/>
        <w:rPr>
          <w:color w:val="auto"/>
        </w:rPr>
      </w:pPr>
      <w:r w:rsidRPr="001F63D9">
        <w:rPr>
          <w:rFonts w:ascii="Times New Roman" w:hAnsi="Times New Roman" w:cs="Times New Roman"/>
          <w:color w:val="auto"/>
          <w:vertAlign w:val="superscript"/>
          <w:lang w:val="fr-BE"/>
        </w:rPr>
        <w:t>2</w:t>
      </w:r>
      <w:r w:rsidRPr="001F63D9">
        <w:rPr>
          <w:rFonts w:ascii="Times New Roman" w:hAnsi="Times New Roman" w:cs="Times New Roman"/>
          <w:color w:val="auto"/>
          <w:lang w:val="fr-BE"/>
        </w:rPr>
        <w:t xml:space="preserve"> Louvain centre for Toxicology and Applied Pharmacology, Institut de recherche expérimentale et clinique, Université catholique de Louvain, Brussels, Belgium</w:t>
      </w:r>
    </w:p>
    <w:p w:rsidR="00466522" w:rsidRPr="001F63D9" w:rsidRDefault="00466522">
      <w:pPr>
        <w:spacing w:line="480" w:lineRule="auto"/>
        <w:jc w:val="both"/>
        <w:rPr>
          <w:color w:val="auto"/>
        </w:rPr>
      </w:pPr>
      <w:r w:rsidRPr="001F63D9">
        <w:rPr>
          <w:rFonts w:ascii="Times New Roman" w:hAnsi="Times New Roman" w:cs="Times New Roman"/>
          <w:color w:val="auto"/>
          <w:vertAlign w:val="superscript"/>
          <w:lang w:val="fr-BE"/>
        </w:rPr>
        <w:t>3</w:t>
      </w:r>
      <w:r w:rsidRPr="001F63D9">
        <w:rPr>
          <w:rFonts w:ascii="Times New Roman" w:hAnsi="Times New Roman" w:cs="Times New Roman"/>
          <w:color w:val="auto"/>
          <w:lang w:val="fr-BE"/>
        </w:rPr>
        <w:t xml:space="preserve"> </w:t>
      </w:r>
      <w:r w:rsidRPr="001F63D9">
        <w:rPr>
          <w:rFonts w:ascii="Times New Roman" w:hAnsi="Times New Roman" w:cs="Times New Roman"/>
          <w:color w:val="auto"/>
          <w:lang w:val="nl-NL"/>
        </w:rPr>
        <w:t>AIDS Reference Center, Department of Internal Medicine, Cliniques universitaires Saint-Luc, Université catholique de Louvain, Brussels, Belgium</w:t>
      </w:r>
    </w:p>
    <w:p w:rsidR="00466522" w:rsidRPr="001F63D9" w:rsidRDefault="00466522">
      <w:pPr>
        <w:pStyle w:val="NoSpacing"/>
        <w:spacing w:line="480" w:lineRule="auto"/>
        <w:jc w:val="both"/>
        <w:rPr>
          <w:color w:val="auto"/>
        </w:rPr>
      </w:pPr>
      <w:r w:rsidRPr="001F63D9">
        <w:rPr>
          <w:rFonts w:cs="Times New Roman"/>
          <w:color w:val="auto"/>
          <w:szCs w:val="24"/>
          <w:vertAlign w:val="superscript"/>
        </w:rPr>
        <w:t>4</w:t>
      </w:r>
      <w:r w:rsidRPr="001F63D9">
        <w:rPr>
          <w:rFonts w:cs="Times New Roman"/>
          <w:color w:val="auto"/>
          <w:szCs w:val="24"/>
        </w:rPr>
        <w:t xml:space="preserve"> Department of Clinical Chemistry, Cliniques universitaires Saint-Luc, Brussels, Belgium</w:t>
      </w:r>
    </w:p>
    <w:p w:rsidR="00466522" w:rsidRPr="001F63D9" w:rsidRDefault="00466522">
      <w:pPr>
        <w:spacing w:line="480" w:lineRule="auto"/>
        <w:rPr>
          <w:rFonts w:ascii="Times New Roman" w:hAnsi="Times New Roman" w:cs="Times New Roman"/>
          <w:color w:val="auto"/>
        </w:rPr>
      </w:pPr>
    </w:p>
    <w:p w:rsidR="00466522" w:rsidRPr="001F63D9" w:rsidRDefault="00466522">
      <w:pPr>
        <w:spacing w:line="480" w:lineRule="auto"/>
        <w:rPr>
          <w:color w:val="auto"/>
        </w:rPr>
      </w:pPr>
      <w:r w:rsidRPr="001F63D9">
        <w:rPr>
          <w:rFonts w:ascii="Times New Roman" w:hAnsi="Times New Roman" w:cs="Times New Roman"/>
          <w:color w:val="auto"/>
        </w:rPr>
        <w:t>*Corresponding author</w:t>
      </w:r>
    </w:p>
    <w:p w:rsidR="00466522" w:rsidRPr="001F63D9" w:rsidRDefault="00466522">
      <w:pPr>
        <w:spacing w:line="480" w:lineRule="auto"/>
        <w:rPr>
          <w:color w:val="auto"/>
        </w:rPr>
      </w:pPr>
      <w:r w:rsidRPr="001F63D9">
        <w:rPr>
          <w:rFonts w:ascii="Times New Roman" w:hAnsi="Times New Roman" w:cs="Times New Roman"/>
          <w:color w:val="auto"/>
        </w:rPr>
        <w:t>Postal address: Avenue E. Mounier 72, B01.72.02, Brussels, Belgium</w:t>
      </w:r>
    </w:p>
    <w:p w:rsidR="00466522" w:rsidRPr="001F63D9" w:rsidRDefault="00466522">
      <w:pPr>
        <w:spacing w:line="480" w:lineRule="auto"/>
        <w:rPr>
          <w:color w:val="auto"/>
        </w:rPr>
      </w:pPr>
      <w:r w:rsidRPr="001F63D9">
        <w:rPr>
          <w:rFonts w:ascii="Times New Roman" w:hAnsi="Times New Roman" w:cs="Times New Roman"/>
          <w:color w:val="auto"/>
        </w:rPr>
        <w:t>Phone number: +32 2 764 72 97</w:t>
      </w:r>
    </w:p>
    <w:p w:rsidR="00466522" w:rsidRPr="001F63D9" w:rsidRDefault="00466522">
      <w:pPr>
        <w:spacing w:line="480" w:lineRule="auto"/>
        <w:rPr>
          <w:color w:val="auto"/>
        </w:rPr>
      </w:pPr>
      <w:r w:rsidRPr="001F63D9">
        <w:rPr>
          <w:rFonts w:ascii="Times New Roman" w:hAnsi="Times New Roman" w:cs="Times New Roman"/>
          <w:color w:val="auto"/>
        </w:rPr>
        <w:t>e-mail: gabriel.stillemans@uclouvain.be</w:t>
      </w:r>
    </w:p>
    <w:p w:rsidR="00466522" w:rsidRPr="001F63D9" w:rsidRDefault="00466522">
      <w:pPr>
        <w:pStyle w:val="Heading1"/>
        <w:pageBreakBefore/>
        <w:rPr>
          <w:color w:val="auto"/>
        </w:rPr>
      </w:pPr>
      <w:r w:rsidRPr="001F63D9">
        <w:rPr>
          <w:rFonts w:ascii="Times New Roman" w:hAnsi="Times New Roman" w:cs="Times New Roman"/>
          <w:color w:val="auto"/>
        </w:rPr>
        <w:lastRenderedPageBreak/>
        <w:t>SUPPLEMENTARY MATERIALS</w:t>
      </w:r>
    </w:p>
    <w:p w:rsidR="00466522" w:rsidRPr="001F63D9" w:rsidRDefault="00466522">
      <w:pPr>
        <w:pStyle w:val="NoSpacing"/>
        <w:spacing w:line="480" w:lineRule="auto"/>
        <w:jc w:val="both"/>
        <w:rPr>
          <w:rFonts w:cs="Times New Roman"/>
          <w:color w:val="auto"/>
          <w:szCs w:val="24"/>
          <w:lang/>
        </w:rPr>
      </w:pPr>
    </w:p>
    <w:p w:rsidR="00466522" w:rsidRPr="001F63D9" w:rsidRDefault="00466522">
      <w:pPr>
        <w:pStyle w:val="Heading2"/>
        <w:spacing w:line="480" w:lineRule="auto"/>
        <w:jc w:val="both"/>
        <w:rPr>
          <w:color w:val="auto"/>
        </w:rPr>
      </w:pPr>
      <w:r w:rsidRPr="001F63D9">
        <w:rPr>
          <w:rFonts w:ascii="Times New Roman" w:hAnsi="Times New Roman" w:cs="Times New Roman"/>
          <w:color w:val="auto"/>
          <w:szCs w:val="24"/>
        </w:rPr>
        <w:t>Online Resource 1. DRV versus COB CL in dataset B</w:t>
      </w:r>
    </w:p>
    <w:p w:rsidR="00466522" w:rsidRPr="001F63D9" w:rsidRDefault="00E44960">
      <w:pPr>
        <w:spacing w:line="48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val="en-US" w:eastAsia="en-US" w:bidi="ar-SA"/>
        </w:rPr>
        <w:drawing>
          <wp:inline distT="0" distB="0" distL="0" distR="0">
            <wp:extent cx="3905250" cy="39052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522" w:rsidRPr="001F63D9" w:rsidRDefault="00466522">
      <w:pPr>
        <w:pStyle w:val="NoSpacing"/>
        <w:spacing w:line="480" w:lineRule="auto"/>
        <w:jc w:val="both"/>
        <w:rPr>
          <w:rFonts w:cs="Times New Roman"/>
          <w:color w:val="auto"/>
          <w:szCs w:val="24"/>
          <w:lang/>
        </w:rPr>
      </w:pPr>
    </w:p>
    <w:p w:rsidR="00466522" w:rsidRPr="001F63D9" w:rsidRDefault="00466522">
      <w:pPr>
        <w:pStyle w:val="Heading2"/>
        <w:rPr>
          <w:color w:val="auto"/>
        </w:rPr>
      </w:pPr>
      <w:r w:rsidRPr="001F63D9">
        <w:rPr>
          <w:rFonts w:ascii="Times New Roman" w:hAnsi="Times New Roman" w:cs="Times New Roman"/>
          <w:color w:val="auto"/>
          <w:szCs w:val="24"/>
        </w:rPr>
        <w:t>Online Resource</w:t>
      </w:r>
      <w:r w:rsidRPr="001F63D9">
        <w:rPr>
          <w:rFonts w:ascii="Times New Roman" w:hAnsi="Times New Roman" w:cs="Times New Roman"/>
          <w:color w:val="auto"/>
        </w:rPr>
        <w:t xml:space="preserve"> 2. Covariate selection process </w:t>
      </w:r>
    </w:p>
    <w:tbl>
      <w:tblPr>
        <w:tblW w:w="0" w:type="auto"/>
        <w:tblInd w:w="108" w:type="dxa"/>
        <w:tblLayout w:type="fixed"/>
        <w:tblLook w:val="0000"/>
      </w:tblPr>
      <w:tblGrid>
        <w:gridCol w:w="2128"/>
        <w:gridCol w:w="1472"/>
        <w:gridCol w:w="1646"/>
        <w:gridCol w:w="992"/>
        <w:gridCol w:w="1279"/>
        <w:gridCol w:w="1554"/>
      </w:tblGrid>
      <w:tr w:rsidR="00466522" w:rsidRPr="001F63D9">
        <w:tc>
          <w:tcPr>
            <w:tcW w:w="2128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b/>
                <w:color w:val="auto"/>
                <w:szCs w:val="24"/>
                <w:lang/>
              </w:rPr>
              <w:t>Covariate</w:t>
            </w:r>
          </w:p>
        </w:tc>
        <w:tc>
          <w:tcPr>
            <w:tcW w:w="1472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b/>
                <w:color w:val="auto"/>
                <w:szCs w:val="24"/>
                <w:lang/>
              </w:rPr>
              <w:t>Parameter</w:t>
            </w:r>
          </w:p>
        </w:tc>
        <w:tc>
          <w:tcPr>
            <w:tcW w:w="164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b/>
                <w:color w:val="auto"/>
                <w:szCs w:val="24"/>
                <w:lang/>
              </w:rPr>
              <w:t>Equation</w:t>
            </w:r>
          </w:p>
        </w:tc>
        <w:tc>
          <w:tcPr>
            <w:tcW w:w="992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b/>
                <w:color w:val="auto"/>
                <w:szCs w:val="24"/>
                <w:lang/>
              </w:rPr>
              <w:t>DF</w:t>
            </w:r>
          </w:p>
        </w:tc>
        <w:tc>
          <w:tcPr>
            <w:tcW w:w="127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b/>
                <w:color w:val="auto"/>
                <w:szCs w:val="24"/>
                <w:lang/>
              </w:rPr>
              <w:t>ΔOFV</w:t>
            </w:r>
          </w:p>
        </w:tc>
        <w:tc>
          <w:tcPr>
            <w:tcW w:w="155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b/>
                <w:color w:val="auto"/>
                <w:szCs w:val="24"/>
                <w:lang/>
              </w:rPr>
              <w:t>p</w:t>
            </w:r>
          </w:p>
        </w:tc>
      </w:tr>
      <w:tr w:rsidR="00466522" w:rsidRPr="001F63D9">
        <w:tc>
          <w:tcPr>
            <w:tcW w:w="2128" w:type="dxa"/>
            <w:shd w:val="clear" w:color="auto" w:fill="auto"/>
          </w:tcPr>
          <w:p w:rsidR="00466522" w:rsidRPr="001F63D9" w:rsidRDefault="00466522">
            <w:pPr>
              <w:pStyle w:val="NoSpacing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Forward search</w:t>
            </w:r>
          </w:p>
        </w:tc>
        <w:tc>
          <w:tcPr>
            <w:tcW w:w="1472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b/>
                <w:color w:val="auto"/>
                <w:szCs w:val="24"/>
                <w:lang/>
              </w:rPr>
            </w:pPr>
          </w:p>
        </w:tc>
        <w:tc>
          <w:tcPr>
            <w:tcW w:w="1646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b/>
                <w:color w:val="auto"/>
                <w:szCs w:val="24"/>
                <w:lang/>
              </w:rPr>
            </w:pPr>
          </w:p>
        </w:tc>
        <w:tc>
          <w:tcPr>
            <w:tcW w:w="992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b/>
                <w:color w:val="auto"/>
                <w:szCs w:val="24"/>
                <w:lang/>
              </w:rPr>
            </w:pPr>
          </w:p>
        </w:tc>
        <w:tc>
          <w:tcPr>
            <w:tcW w:w="1279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b/>
                <w:color w:val="auto"/>
                <w:szCs w:val="24"/>
                <w:lang/>
              </w:rPr>
            </w:pPr>
          </w:p>
        </w:tc>
        <w:tc>
          <w:tcPr>
            <w:tcW w:w="1554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&lt; 0.05</w:t>
            </w:r>
          </w:p>
        </w:tc>
      </w:tr>
      <w:tr w:rsidR="00466522" w:rsidRPr="001F63D9">
        <w:tc>
          <w:tcPr>
            <w:tcW w:w="2128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AAG</w:t>
            </w:r>
          </w:p>
        </w:tc>
        <w:tc>
          <w:tcPr>
            <w:tcW w:w="147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CL</w:t>
            </w:r>
          </w:p>
        </w:tc>
        <w:tc>
          <w:tcPr>
            <w:tcW w:w="1646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Exponential</w:t>
            </w:r>
          </w:p>
        </w:tc>
        <w:tc>
          <w:tcPr>
            <w:tcW w:w="99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</w:t>
            </w:r>
          </w:p>
        </w:tc>
        <w:tc>
          <w:tcPr>
            <w:tcW w:w="127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30.64969</w:t>
            </w:r>
          </w:p>
        </w:tc>
        <w:tc>
          <w:tcPr>
            <w:tcW w:w="1554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3.09×10</w:t>
            </w:r>
            <w:r w:rsidRPr="001F63D9">
              <w:rPr>
                <w:rFonts w:cs="Times New Roman"/>
                <w:color w:val="auto"/>
                <w:szCs w:val="24"/>
                <w:vertAlign w:val="superscript"/>
                <w:lang/>
              </w:rPr>
              <w:t>-8</w:t>
            </w:r>
          </w:p>
        </w:tc>
      </w:tr>
      <w:tr w:rsidR="00466522" w:rsidRPr="001F63D9">
        <w:tc>
          <w:tcPr>
            <w:tcW w:w="2128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AAG</w:t>
            </w:r>
          </w:p>
        </w:tc>
        <w:tc>
          <w:tcPr>
            <w:tcW w:w="147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V</w:t>
            </w:r>
          </w:p>
        </w:tc>
        <w:tc>
          <w:tcPr>
            <w:tcW w:w="1646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Exponential</w:t>
            </w:r>
          </w:p>
        </w:tc>
        <w:tc>
          <w:tcPr>
            <w:tcW w:w="99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</w:t>
            </w:r>
          </w:p>
        </w:tc>
        <w:tc>
          <w:tcPr>
            <w:tcW w:w="127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14.45543</w:t>
            </w:r>
          </w:p>
        </w:tc>
        <w:tc>
          <w:tcPr>
            <w:tcW w:w="1554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0.000144</w:t>
            </w:r>
          </w:p>
        </w:tc>
      </w:tr>
      <w:tr w:rsidR="00466522" w:rsidRPr="001F63D9">
        <w:tc>
          <w:tcPr>
            <w:tcW w:w="2128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i/>
                <w:color w:val="auto"/>
                <w:szCs w:val="24"/>
                <w:lang/>
              </w:rPr>
              <w:t>SLCO3A1 G&gt;T</w:t>
            </w:r>
          </w:p>
        </w:tc>
        <w:tc>
          <w:tcPr>
            <w:tcW w:w="147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V</w:t>
            </w:r>
          </w:p>
        </w:tc>
        <w:tc>
          <w:tcPr>
            <w:tcW w:w="1646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Categorical</w:t>
            </w:r>
          </w:p>
        </w:tc>
        <w:tc>
          <w:tcPr>
            <w:tcW w:w="99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</w:t>
            </w:r>
          </w:p>
        </w:tc>
        <w:tc>
          <w:tcPr>
            <w:tcW w:w="127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7.23055</w:t>
            </w:r>
          </w:p>
        </w:tc>
        <w:tc>
          <w:tcPr>
            <w:tcW w:w="1554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0.007167</w:t>
            </w:r>
          </w:p>
        </w:tc>
      </w:tr>
      <w:tr w:rsidR="00466522" w:rsidRPr="001F63D9">
        <w:tc>
          <w:tcPr>
            <w:tcW w:w="2128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Sex</w:t>
            </w:r>
          </w:p>
        </w:tc>
        <w:tc>
          <w:tcPr>
            <w:tcW w:w="147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CL</w:t>
            </w:r>
          </w:p>
        </w:tc>
        <w:tc>
          <w:tcPr>
            <w:tcW w:w="1646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Exponential</w:t>
            </w:r>
          </w:p>
        </w:tc>
        <w:tc>
          <w:tcPr>
            <w:tcW w:w="99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</w:t>
            </w:r>
          </w:p>
        </w:tc>
        <w:tc>
          <w:tcPr>
            <w:tcW w:w="127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6.50959</w:t>
            </w:r>
          </w:p>
        </w:tc>
        <w:tc>
          <w:tcPr>
            <w:tcW w:w="1554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0.010729</w:t>
            </w:r>
          </w:p>
        </w:tc>
      </w:tr>
      <w:tr w:rsidR="00466522" w:rsidRPr="001F63D9">
        <w:tc>
          <w:tcPr>
            <w:tcW w:w="2128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i/>
                <w:color w:val="auto"/>
                <w:szCs w:val="24"/>
                <w:lang/>
              </w:rPr>
              <w:t>CYP3A5*3</w:t>
            </w:r>
          </w:p>
        </w:tc>
        <w:tc>
          <w:tcPr>
            <w:tcW w:w="147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CL</w:t>
            </w:r>
          </w:p>
        </w:tc>
        <w:tc>
          <w:tcPr>
            <w:tcW w:w="1646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Categorical</w:t>
            </w:r>
          </w:p>
        </w:tc>
        <w:tc>
          <w:tcPr>
            <w:tcW w:w="99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</w:t>
            </w:r>
          </w:p>
        </w:tc>
        <w:tc>
          <w:tcPr>
            <w:tcW w:w="127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7.60685</w:t>
            </w:r>
          </w:p>
        </w:tc>
        <w:tc>
          <w:tcPr>
            <w:tcW w:w="1554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0.005815</w:t>
            </w:r>
          </w:p>
        </w:tc>
      </w:tr>
      <w:tr w:rsidR="00466522" w:rsidRPr="001F63D9">
        <w:tc>
          <w:tcPr>
            <w:tcW w:w="2128" w:type="dxa"/>
            <w:shd w:val="clear" w:color="auto" w:fill="auto"/>
          </w:tcPr>
          <w:p w:rsidR="00466522" w:rsidRPr="001F63D9" w:rsidRDefault="00466522">
            <w:pPr>
              <w:pStyle w:val="NoSpacing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Backward search</w:t>
            </w:r>
          </w:p>
        </w:tc>
        <w:tc>
          <w:tcPr>
            <w:tcW w:w="1472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  <w:lang/>
              </w:rPr>
            </w:pPr>
          </w:p>
        </w:tc>
        <w:tc>
          <w:tcPr>
            <w:tcW w:w="1646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  <w:lang/>
              </w:rPr>
            </w:pPr>
          </w:p>
        </w:tc>
        <w:tc>
          <w:tcPr>
            <w:tcW w:w="992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  <w:lang/>
              </w:rPr>
            </w:pPr>
          </w:p>
        </w:tc>
        <w:tc>
          <w:tcPr>
            <w:tcW w:w="1279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  <w:lang/>
              </w:rPr>
            </w:pPr>
          </w:p>
        </w:tc>
        <w:tc>
          <w:tcPr>
            <w:tcW w:w="1554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&lt; 0.01</w:t>
            </w:r>
          </w:p>
        </w:tc>
      </w:tr>
      <w:tr w:rsidR="00466522" w:rsidRPr="001F63D9">
        <w:tc>
          <w:tcPr>
            <w:tcW w:w="2128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AAG</w:t>
            </w:r>
          </w:p>
        </w:tc>
        <w:tc>
          <w:tcPr>
            <w:tcW w:w="147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CL</w:t>
            </w:r>
          </w:p>
        </w:tc>
        <w:tc>
          <w:tcPr>
            <w:tcW w:w="1646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  <w:lang/>
              </w:rPr>
            </w:pPr>
          </w:p>
        </w:tc>
        <w:tc>
          <w:tcPr>
            <w:tcW w:w="99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</w:t>
            </w:r>
          </w:p>
        </w:tc>
        <w:tc>
          <w:tcPr>
            <w:tcW w:w="127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-41.68951</w:t>
            </w:r>
          </w:p>
        </w:tc>
        <w:tc>
          <w:tcPr>
            <w:tcW w:w="1554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1.07×10</w:t>
            </w:r>
            <w:r w:rsidRPr="001F63D9">
              <w:rPr>
                <w:rFonts w:cs="Times New Roman"/>
                <w:color w:val="auto"/>
                <w:szCs w:val="24"/>
                <w:vertAlign w:val="superscript"/>
                <w:lang/>
              </w:rPr>
              <w:t>-10</w:t>
            </w:r>
          </w:p>
        </w:tc>
      </w:tr>
      <w:tr w:rsidR="00466522" w:rsidRPr="001F63D9">
        <w:tc>
          <w:tcPr>
            <w:tcW w:w="2128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AAG</w:t>
            </w:r>
          </w:p>
        </w:tc>
        <w:tc>
          <w:tcPr>
            <w:tcW w:w="147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V</w:t>
            </w:r>
          </w:p>
        </w:tc>
        <w:tc>
          <w:tcPr>
            <w:tcW w:w="1646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  <w:lang/>
              </w:rPr>
            </w:pPr>
          </w:p>
        </w:tc>
        <w:tc>
          <w:tcPr>
            <w:tcW w:w="99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</w:t>
            </w:r>
          </w:p>
        </w:tc>
        <w:tc>
          <w:tcPr>
            <w:tcW w:w="127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-12.77332</w:t>
            </w:r>
          </w:p>
        </w:tc>
        <w:tc>
          <w:tcPr>
            <w:tcW w:w="1554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0.000352</w:t>
            </w:r>
          </w:p>
        </w:tc>
      </w:tr>
      <w:tr w:rsidR="00466522" w:rsidRPr="001F63D9">
        <w:tc>
          <w:tcPr>
            <w:tcW w:w="2128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i/>
                <w:color w:val="auto"/>
                <w:szCs w:val="24"/>
                <w:lang/>
              </w:rPr>
              <w:t>SLCO3A1 G&gt;T</w:t>
            </w:r>
          </w:p>
        </w:tc>
        <w:tc>
          <w:tcPr>
            <w:tcW w:w="147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V</w:t>
            </w:r>
          </w:p>
        </w:tc>
        <w:tc>
          <w:tcPr>
            <w:tcW w:w="1646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  <w:lang/>
              </w:rPr>
            </w:pPr>
          </w:p>
        </w:tc>
        <w:tc>
          <w:tcPr>
            <w:tcW w:w="99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</w:t>
            </w:r>
          </w:p>
        </w:tc>
        <w:tc>
          <w:tcPr>
            <w:tcW w:w="127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-8.01262</w:t>
            </w:r>
          </w:p>
        </w:tc>
        <w:tc>
          <w:tcPr>
            <w:tcW w:w="1554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0.004645</w:t>
            </w:r>
          </w:p>
        </w:tc>
      </w:tr>
      <w:tr w:rsidR="00466522" w:rsidRPr="001F63D9">
        <w:tc>
          <w:tcPr>
            <w:tcW w:w="2128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Sex</w:t>
            </w:r>
          </w:p>
        </w:tc>
        <w:tc>
          <w:tcPr>
            <w:tcW w:w="147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CL</w:t>
            </w:r>
          </w:p>
        </w:tc>
        <w:tc>
          <w:tcPr>
            <w:tcW w:w="1646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  <w:lang/>
              </w:rPr>
            </w:pPr>
          </w:p>
        </w:tc>
        <w:tc>
          <w:tcPr>
            <w:tcW w:w="992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</w:t>
            </w:r>
          </w:p>
        </w:tc>
        <w:tc>
          <w:tcPr>
            <w:tcW w:w="127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-11.86488</w:t>
            </w:r>
          </w:p>
        </w:tc>
        <w:tc>
          <w:tcPr>
            <w:tcW w:w="1554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0.000572</w:t>
            </w:r>
          </w:p>
        </w:tc>
      </w:tr>
      <w:tr w:rsidR="00466522" w:rsidRPr="001F63D9">
        <w:tblPrEx>
          <w:tblCellMar>
            <w:top w:w="55" w:type="dxa"/>
            <w:bottom w:w="55" w:type="dxa"/>
          </w:tblCellMar>
        </w:tblPrEx>
        <w:tc>
          <w:tcPr>
            <w:tcW w:w="2128" w:type="dxa"/>
            <w:tcBorders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i/>
                <w:color w:val="auto"/>
                <w:szCs w:val="24"/>
                <w:lang/>
              </w:rPr>
              <w:t>CYP3A5*3</w:t>
            </w:r>
          </w:p>
        </w:tc>
        <w:tc>
          <w:tcPr>
            <w:tcW w:w="1472" w:type="dxa"/>
            <w:tcBorders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CL</w:t>
            </w:r>
          </w:p>
        </w:tc>
        <w:tc>
          <w:tcPr>
            <w:tcW w:w="1646" w:type="dxa"/>
            <w:tcBorders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  <w:lang/>
              </w:rPr>
            </w:pPr>
          </w:p>
        </w:tc>
        <w:tc>
          <w:tcPr>
            <w:tcW w:w="992" w:type="dxa"/>
            <w:tcBorders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</w:t>
            </w:r>
          </w:p>
        </w:tc>
        <w:tc>
          <w:tcPr>
            <w:tcW w:w="1279" w:type="dxa"/>
            <w:tcBorders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-7.60685</w:t>
            </w:r>
          </w:p>
        </w:tc>
        <w:tc>
          <w:tcPr>
            <w:tcW w:w="1554" w:type="dxa"/>
            <w:tcBorders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0.005815</w:t>
            </w:r>
          </w:p>
        </w:tc>
      </w:tr>
    </w:tbl>
    <w:p w:rsidR="00466522" w:rsidRPr="001F63D9" w:rsidRDefault="00466522">
      <w:pPr>
        <w:pStyle w:val="NoSpacing"/>
        <w:spacing w:line="480" w:lineRule="auto"/>
        <w:jc w:val="both"/>
        <w:rPr>
          <w:color w:val="auto"/>
        </w:rPr>
      </w:pPr>
      <w:r w:rsidRPr="001F63D9">
        <w:rPr>
          <w:rFonts w:cs="Times New Roman"/>
          <w:color w:val="auto"/>
          <w:szCs w:val="24"/>
          <w:lang/>
        </w:rPr>
        <w:t>DF: degrees of freedom, ΔOFV: difference in objective function value.</w:t>
      </w:r>
    </w:p>
    <w:p w:rsidR="00466522" w:rsidRPr="001F63D9" w:rsidRDefault="00466522">
      <w:pPr>
        <w:pStyle w:val="NoSpacing"/>
        <w:spacing w:line="480" w:lineRule="auto"/>
        <w:jc w:val="both"/>
        <w:rPr>
          <w:color w:val="auto"/>
        </w:rPr>
      </w:pPr>
      <w:r w:rsidRPr="001F63D9">
        <w:rPr>
          <w:rFonts w:cs="Times New Roman"/>
          <w:color w:val="auto"/>
          <w:szCs w:val="24"/>
          <w:lang/>
        </w:rPr>
        <w:t>Only covariates retained in the forward search are indicated, in their order of inclusion.</w:t>
      </w:r>
    </w:p>
    <w:p w:rsidR="00466522" w:rsidRPr="001F63D9" w:rsidRDefault="00466522">
      <w:pPr>
        <w:pStyle w:val="NoSpacing"/>
        <w:spacing w:line="480" w:lineRule="auto"/>
        <w:jc w:val="both"/>
        <w:rPr>
          <w:color w:val="auto"/>
        </w:rPr>
      </w:pPr>
      <w:r w:rsidRPr="001F63D9">
        <w:rPr>
          <w:rFonts w:cs="Times New Roman"/>
          <w:color w:val="auto"/>
          <w:szCs w:val="24"/>
          <w:lang/>
        </w:rPr>
        <w:t>Associations tested:</w:t>
      </w:r>
    </w:p>
    <w:p w:rsidR="00466522" w:rsidRPr="001F63D9" w:rsidRDefault="00466522">
      <w:pPr>
        <w:pStyle w:val="NoSpacing"/>
        <w:numPr>
          <w:ilvl w:val="0"/>
          <w:numId w:val="2"/>
        </w:numPr>
        <w:spacing w:line="480" w:lineRule="auto"/>
        <w:jc w:val="both"/>
        <w:rPr>
          <w:color w:val="auto"/>
        </w:rPr>
      </w:pPr>
      <w:r w:rsidRPr="001F63D9">
        <w:rPr>
          <w:rFonts w:cs="Times New Roman"/>
          <w:color w:val="auto"/>
          <w:szCs w:val="24"/>
          <w:lang/>
        </w:rPr>
        <w:lastRenderedPageBreak/>
        <w:t xml:space="preserve">CL: Race, sex, </w:t>
      </w:r>
      <w:r w:rsidRPr="001F63D9">
        <w:rPr>
          <w:rFonts w:cs="Times New Roman"/>
          <w:i/>
          <w:color w:val="auto"/>
          <w:szCs w:val="24"/>
          <w:lang/>
        </w:rPr>
        <w:t>ABCB1</w:t>
      </w:r>
      <w:r w:rsidRPr="001F63D9">
        <w:rPr>
          <w:rFonts w:cs="Times New Roman"/>
          <w:color w:val="auto"/>
          <w:szCs w:val="24"/>
          <w:lang/>
        </w:rPr>
        <w:t xml:space="preserve"> 1199G&gt;A, </w:t>
      </w:r>
      <w:r w:rsidRPr="001F63D9">
        <w:rPr>
          <w:rFonts w:cs="Times New Roman"/>
          <w:i/>
          <w:color w:val="auto"/>
          <w:szCs w:val="24"/>
          <w:lang/>
        </w:rPr>
        <w:t>ABCB1</w:t>
      </w:r>
      <w:r w:rsidRPr="001F63D9">
        <w:rPr>
          <w:rFonts w:cs="Times New Roman"/>
          <w:color w:val="auto"/>
          <w:szCs w:val="24"/>
          <w:lang/>
        </w:rPr>
        <w:t xml:space="preserve"> 3435C&gt;T, </w:t>
      </w:r>
      <w:r w:rsidRPr="001F63D9">
        <w:rPr>
          <w:rFonts w:cs="Times New Roman"/>
          <w:i/>
          <w:color w:val="auto"/>
          <w:szCs w:val="24"/>
          <w:lang/>
        </w:rPr>
        <w:t>SLCO3A1</w:t>
      </w:r>
      <w:r w:rsidRPr="001F63D9">
        <w:rPr>
          <w:rFonts w:cs="Times New Roman"/>
          <w:color w:val="auto"/>
          <w:szCs w:val="24"/>
          <w:lang/>
        </w:rPr>
        <w:t xml:space="preserve"> A&gt;G, </w:t>
      </w:r>
      <w:r w:rsidRPr="001F63D9">
        <w:rPr>
          <w:rFonts w:cs="Times New Roman"/>
          <w:i/>
          <w:color w:val="auto"/>
          <w:szCs w:val="24"/>
          <w:lang/>
        </w:rPr>
        <w:t>SLCO3A1</w:t>
      </w:r>
      <w:r w:rsidRPr="001F63D9">
        <w:rPr>
          <w:rFonts w:cs="Times New Roman"/>
          <w:color w:val="auto"/>
          <w:szCs w:val="24"/>
          <w:lang/>
        </w:rPr>
        <w:t xml:space="preserve"> G&gt;T, </w:t>
      </w:r>
      <w:r w:rsidRPr="001F63D9">
        <w:rPr>
          <w:rFonts w:cs="Times New Roman"/>
          <w:i/>
          <w:color w:val="auto"/>
          <w:szCs w:val="24"/>
          <w:lang/>
        </w:rPr>
        <w:t>CYP3A4*22</w:t>
      </w:r>
      <w:r w:rsidRPr="001F63D9">
        <w:rPr>
          <w:rFonts w:cs="Times New Roman"/>
          <w:color w:val="auto"/>
          <w:szCs w:val="24"/>
          <w:lang/>
        </w:rPr>
        <w:t xml:space="preserve">, </w:t>
      </w:r>
      <w:r w:rsidRPr="001F63D9">
        <w:rPr>
          <w:rFonts w:cs="Times New Roman"/>
          <w:i/>
          <w:color w:val="auto"/>
          <w:szCs w:val="24"/>
          <w:lang/>
        </w:rPr>
        <w:t>CYP3A5*3</w:t>
      </w:r>
      <w:r w:rsidRPr="001F63D9">
        <w:rPr>
          <w:rFonts w:cs="Times New Roman"/>
          <w:color w:val="auto"/>
          <w:szCs w:val="24"/>
          <w:lang/>
        </w:rPr>
        <w:t>, age, body weight, albumin, AAG.</w:t>
      </w:r>
    </w:p>
    <w:p w:rsidR="00466522" w:rsidRPr="001F63D9" w:rsidRDefault="00466522">
      <w:pPr>
        <w:pStyle w:val="NoSpacing"/>
        <w:numPr>
          <w:ilvl w:val="0"/>
          <w:numId w:val="2"/>
        </w:numPr>
        <w:spacing w:line="480" w:lineRule="auto"/>
        <w:jc w:val="both"/>
        <w:rPr>
          <w:color w:val="auto"/>
        </w:rPr>
      </w:pPr>
      <w:r w:rsidRPr="001F63D9">
        <w:rPr>
          <w:rFonts w:cs="Times New Roman"/>
          <w:color w:val="auto"/>
          <w:szCs w:val="24"/>
          <w:lang/>
        </w:rPr>
        <w:t xml:space="preserve">V: Race, sex, </w:t>
      </w:r>
      <w:r w:rsidRPr="001F63D9">
        <w:rPr>
          <w:rFonts w:cs="Times New Roman"/>
          <w:i/>
          <w:color w:val="auto"/>
          <w:szCs w:val="24"/>
          <w:lang/>
        </w:rPr>
        <w:t>ABCB1</w:t>
      </w:r>
      <w:r w:rsidRPr="001F63D9">
        <w:rPr>
          <w:rFonts w:cs="Times New Roman"/>
          <w:color w:val="auto"/>
          <w:szCs w:val="24"/>
          <w:lang/>
        </w:rPr>
        <w:t xml:space="preserve"> 1199G&gt;A, </w:t>
      </w:r>
      <w:r w:rsidRPr="001F63D9">
        <w:rPr>
          <w:rFonts w:cs="Times New Roman"/>
          <w:i/>
          <w:color w:val="auto"/>
          <w:szCs w:val="24"/>
          <w:lang/>
        </w:rPr>
        <w:t>ABCB1</w:t>
      </w:r>
      <w:r w:rsidRPr="001F63D9">
        <w:rPr>
          <w:rFonts w:cs="Times New Roman"/>
          <w:color w:val="auto"/>
          <w:szCs w:val="24"/>
          <w:lang/>
        </w:rPr>
        <w:t xml:space="preserve"> 3435C&gt;T, </w:t>
      </w:r>
      <w:r w:rsidRPr="001F63D9">
        <w:rPr>
          <w:rFonts w:cs="Times New Roman"/>
          <w:i/>
          <w:color w:val="auto"/>
          <w:szCs w:val="24"/>
          <w:lang/>
        </w:rPr>
        <w:t>SLCO3A1</w:t>
      </w:r>
      <w:r w:rsidRPr="001F63D9">
        <w:rPr>
          <w:rFonts w:cs="Times New Roman"/>
          <w:color w:val="auto"/>
          <w:szCs w:val="24"/>
          <w:lang/>
        </w:rPr>
        <w:t xml:space="preserve"> A&gt;G, </w:t>
      </w:r>
      <w:r w:rsidRPr="001F63D9">
        <w:rPr>
          <w:rFonts w:cs="Times New Roman"/>
          <w:i/>
          <w:color w:val="auto"/>
          <w:szCs w:val="24"/>
          <w:lang/>
        </w:rPr>
        <w:t>SLCO3A1</w:t>
      </w:r>
      <w:r w:rsidRPr="001F63D9">
        <w:rPr>
          <w:rFonts w:cs="Times New Roman"/>
          <w:color w:val="auto"/>
          <w:szCs w:val="24"/>
          <w:lang/>
        </w:rPr>
        <w:t xml:space="preserve"> G&gt;T, body weight, albumin, AAG.</w:t>
      </w:r>
    </w:p>
    <w:p w:rsidR="00466522" w:rsidRPr="001F63D9" w:rsidRDefault="00466522">
      <w:pPr>
        <w:pStyle w:val="NoSpacing"/>
        <w:numPr>
          <w:ilvl w:val="0"/>
          <w:numId w:val="2"/>
        </w:numPr>
        <w:spacing w:line="480" w:lineRule="auto"/>
        <w:jc w:val="both"/>
        <w:rPr>
          <w:color w:val="auto"/>
        </w:rPr>
      </w:pPr>
      <w:r w:rsidRPr="001F63D9">
        <w:rPr>
          <w:rFonts w:cs="Times New Roman"/>
          <w:color w:val="auto"/>
          <w:szCs w:val="24"/>
          <w:lang/>
        </w:rPr>
        <w:t>k</w:t>
      </w:r>
      <w:r w:rsidRPr="001F63D9">
        <w:rPr>
          <w:rFonts w:cs="Times New Roman"/>
          <w:color w:val="auto"/>
          <w:szCs w:val="24"/>
          <w:vertAlign w:val="subscript"/>
          <w:lang/>
        </w:rPr>
        <w:t>a</w:t>
      </w:r>
      <w:r w:rsidRPr="001F63D9">
        <w:rPr>
          <w:rFonts w:cs="Times New Roman"/>
          <w:color w:val="auto"/>
          <w:szCs w:val="24"/>
          <w:lang/>
        </w:rPr>
        <w:t>: Fasting status with last dose.</w:t>
      </w:r>
    </w:p>
    <w:p w:rsidR="00466522" w:rsidRPr="001F63D9" w:rsidRDefault="00466522">
      <w:pPr>
        <w:pStyle w:val="NoSpacing"/>
        <w:spacing w:line="480" w:lineRule="auto"/>
        <w:jc w:val="both"/>
        <w:rPr>
          <w:rFonts w:cs="Times New Roman"/>
          <w:color w:val="auto"/>
          <w:szCs w:val="24"/>
          <w:lang/>
        </w:rPr>
      </w:pPr>
    </w:p>
    <w:p w:rsidR="00466522" w:rsidRPr="001F63D9" w:rsidRDefault="00466522">
      <w:pPr>
        <w:pStyle w:val="Heading2"/>
        <w:rPr>
          <w:color w:val="auto"/>
        </w:rPr>
      </w:pPr>
      <w:r w:rsidRPr="001F63D9">
        <w:rPr>
          <w:rFonts w:ascii="Times New Roman" w:hAnsi="Times New Roman" w:cs="Times New Roman"/>
          <w:color w:val="auto"/>
          <w:szCs w:val="24"/>
        </w:rPr>
        <w:t>Online Resource</w:t>
      </w:r>
      <w:r w:rsidRPr="001F63D9">
        <w:rPr>
          <w:rFonts w:ascii="Times New Roman" w:hAnsi="Times New Roman" w:cs="Times New Roman"/>
          <w:color w:val="auto"/>
        </w:rPr>
        <w:t xml:space="preserve"> 3. Outlier removal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9"/>
        <w:gridCol w:w="1526"/>
        <w:gridCol w:w="1725"/>
        <w:gridCol w:w="2339"/>
      </w:tblGrid>
      <w:tr w:rsidR="00466522" w:rsidRPr="001F63D9">
        <w:trPr>
          <w:trHeight w:val="562"/>
        </w:trPr>
        <w:tc>
          <w:tcPr>
            <w:tcW w:w="709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b/>
                <w:color w:val="auto"/>
                <w:szCs w:val="24"/>
                <w:lang/>
              </w:rPr>
              <w:t>#</w:t>
            </w:r>
          </w:p>
        </w:tc>
        <w:tc>
          <w:tcPr>
            <w:tcW w:w="1526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b/>
                <w:color w:val="auto"/>
                <w:szCs w:val="24"/>
                <w:lang/>
              </w:rPr>
              <w:t>Post-intake delay (h)</w:t>
            </w:r>
          </w:p>
        </w:tc>
        <w:tc>
          <w:tcPr>
            <w:tcW w:w="1725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b/>
                <w:color w:val="auto"/>
                <w:szCs w:val="24"/>
                <w:lang/>
              </w:rPr>
              <w:t>Concentration (mg.l</w:t>
            </w:r>
            <w:r w:rsidRPr="001F63D9">
              <w:rPr>
                <w:rFonts w:cs="Times New Roman"/>
                <w:b/>
                <w:color w:val="auto"/>
                <w:szCs w:val="24"/>
                <w:vertAlign w:val="superscript"/>
                <w:lang/>
              </w:rPr>
              <w:t>-1</w:t>
            </w:r>
            <w:r w:rsidRPr="001F63D9">
              <w:rPr>
                <w:rFonts w:cs="Times New Roman"/>
                <w:b/>
                <w:color w:val="auto"/>
                <w:szCs w:val="24"/>
                <w:lang/>
              </w:rPr>
              <w:t>)</w:t>
            </w:r>
          </w:p>
        </w:tc>
        <w:tc>
          <w:tcPr>
            <w:tcW w:w="2339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b/>
                <w:color w:val="auto"/>
                <w:szCs w:val="24"/>
                <w:lang/>
              </w:rPr>
              <w:t>Comment</w:t>
            </w:r>
          </w:p>
        </w:tc>
      </w:tr>
      <w:tr w:rsidR="00466522" w:rsidRPr="001F63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/>
        </w:trPr>
        <w:tc>
          <w:tcPr>
            <w:tcW w:w="70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</w:t>
            </w:r>
          </w:p>
        </w:tc>
        <w:tc>
          <w:tcPr>
            <w:tcW w:w="1526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18.13</w:t>
            </w:r>
          </w:p>
        </w:tc>
        <w:tc>
          <w:tcPr>
            <w:tcW w:w="1725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9.178</w:t>
            </w:r>
          </w:p>
        </w:tc>
        <w:tc>
          <w:tcPr>
            <w:tcW w:w="2339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</w:rPr>
            </w:pPr>
          </w:p>
        </w:tc>
      </w:tr>
      <w:tr w:rsidR="00466522" w:rsidRPr="001F63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/>
        </w:trPr>
        <w:tc>
          <w:tcPr>
            <w:tcW w:w="70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2</w:t>
            </w:r>
          </w:p>
        </w:tc>
        <w:tc>
          <w:tcPr>
            <w:tcW w:w="1526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4.6</w:t>
            </w:r>
          </w:p>
        </w:tc>
        <w:tc>
          <w:tcPr>
            <w:tcW w:w="1725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BLOQ</w:t>
            </w:r>
          </w:p>
        </w:tc>
        <w:tc>
          <w:tcPr>
            <w:tcW w:w="2339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  <w:lang/>
              </w:rPr>
            </w:pPr>
          </w:p>
        </w:tc>
      </w:tr>
      <w:tr w:rsidR="00466522" w:rsidRPr="001F63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/>
        </w:trPr>
        <w:tc>
          <w:tcPr>
            <w:tcW w:w="70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3</w:t>
            </w:r>
          </w:p>
        </w:tc>
        <w:tc>
          <w:tcPr>
            <w:tcW w:w="1526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12.33</w:t>
            </w:r>
          </w:p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13.42</w:t>
            </w:r>
          </w:p>
        </w:tc>
        <w:tc>
          <w:tcPr>
            <w:tcW w:w="1725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BLOQ</w:t>
            </w:r>
          </w:p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BLOQ</w:t>
            </w:r>
          </w:p>
        </w:tc>
        <w:tc>
          <w:tcPr>
            <w:tcW w:w="2339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</w:rPr>
            </w:pPr>
          </w:p>
        </w:tc>
      </w:tr>
      <w:tr w:rsidR="00466522" w:rsidRPr="001F63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/>
        </w:trPr>
        <w:tc>
          <w:tcPr>
            <w:tcW w:w="70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4</w:t>
            </w:r>
          </w:p>
        </w:tc>
        <w:tc>
          <w:tcPr>
            <w:tcW w:w="1526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22.25</w:t>
            </w:r>
          </w:p>
        </w:tc>
        <w:tc>
          <w:tcPr>
            <w:tcW w:w="1725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7.563</w:t>
            </w:r>
          </w:p>
        </w:tc>
        <w:tc>
          <w:tcPr>
            <w:tcW w:w="2339" w:type="dxa"/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  <w:lang/>
              </w:rPr>
            </w:pPr>
          </w:p>
        </w:tc>
      </w:tr>
      <w:tr w:rsidR="00466522" w:rsidRPr="001F63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/>
        </w:trPr>
        <w:tc>
          <w:tcPr>
            <w:tcW w:w="70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5</w:t>
            </w:r>
          </w:p>
        </w:tc>
        <w:tc>
          <w:tcPr>
            <w:tcW w:w="1526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3</w:t>
            </w:r>
          </w:p>
        </w:tc>
        <w:tc>
          <w:tcPr>
            <w:tcW w:w="1725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2.361</w:t>
            </w:r>
          </w:p>
        </w:tc>
        <w:tc>
          <w:tcPr>
            <w:tcW w:w="233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High AAG (2.66 g.l</w:t>
            </w:r>
            <w:r w:rsidRPr="001F63D9">
              <w:rPr>
                <w:rFonts w:cs="Times New Roman"/>
                <w:color w:val="auto"/>
                <w:szCs w:val="24"/>
                <w:vertAlign w:val="superscript"/>
                <w:lang/>
              </w:rPr>
              <w:t>-1</w:t>
            </w:r>
            <w:r w:rsidRPr="001F63D9">
              <w:rPr>
                <w:rFonts w:cs="Times New Roman"/>
                <w:color w:val="auto"/>
                <w:szCs w:val="24"/>
                <w:lang/>
              </w:rPr>
              <w:t>)</w:t>
            </w:r>
          </w:p>
        </w:tc>
      </w:tr>
      <w:tr w:rsidR="00466522" w:rsidRPr="001F63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/>
        </w:trPr>
        <w:tc>
          <w:tcPr>
            <w:tcW w:w="70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6</w:t>
            </w:r>
          </w:p>
        </w:tc>
        <w:tc>
          <w:tcPr>
            <w:tcW w:w="1526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2.75</w:t>
            </w:r>
          </w:p>
        </w:tc>
        <w:tc>
          <w:tcPr>
            <w:tcW w:w="1725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2.214</w:t>
            </w:r>
          </w:p>
        </w:tc>
        <w:tc>
          <w:tcPr>
            <w:tcW w:w="2339" w:type="dxa"/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High AAG (2.2 g.l</w:t>
            </w:r>
            <w:r w:rsidRPr="001F63D9">
              <w:rPr>
                <w:rFonts w:cs="Times New Roman"/>
                <w:color w:val="auto"/>
                <w:szCs w:val="24"/>
                <w:vertAlign w:val="superscript"/>
                <w:lang/>
              </w:rPr>
              <w:t>-1</w:t>
            </w:r>
            <w:r w:rsidRPr="001F63D9">
              <w:rPr>
                <w:rFonts w:cs="Times New Roman"/>
                <w:color w:val="auto"/>
                <w:szCs w:val="24"/>
                <w:lang/>
              </w:rPr>
              <w:t>)</w:t>
            </w:r>
          </w:p>
        </w:tc>
      </w:tr>
      <w:tr w:rsidR="00466522" w:rsidRPr="001F63D9">
        <w:trPr>
          <w:trHeight w:val="135"/>
        </w:trPr>
        <w:tc>
          <w:tcPr>
            <w:tcW w:w="709" w:type="dxa"/>
            <w:tcBorders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7</w:t>
            </w:r>
          </w:p>
        </w:tc>
        <w:tc>
          <w:tcPr>
            <w:tcW w:w="1526" w:type="dxa"/>
            <w:tcBorders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3.42</w:t>
            </w:r>
          </w:p>
        </w:tc>
        <w:tc>
          <w:tcPr>
            <w:tcW w:w="1725" w:type="dxa"/>
            <w:tcBorders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jc w:val="center"/>
              <w:rPr>
                <w:color w:val="auto"/>
              </w:rPr>
            </w:pPr>
            <w:r w:rsidRPr="001F63D9">
              <w:rPr>
                <w:rFonts w:cs="Times New Roman"/>
                <w:color w:val="auto"/>
                <w:szCs w:val="24"/>
                <w:lang/>
              </w:rPr>
              <w:t>BLOQ</w:t>
            </w:r>
          </w:p>
        </w:tc>
        <w:tc>
          <w:tcPr>
            <w:tcW w:w="2339" w:type="dxa"/>
            <w:tcBorders>
              <w:bottom w:val="single" w:sz="1" w:space="0" w:color="000000"/>
            </w:tcBorders>
            <w:shd w:val="clear" w:color="auto" w:fill="auto"/>
          </w:tcPr>
          <w:p w:rsidR="00466522" w:rsidRPr="001F63D9" w:rsidRDefault="00466522">
            <w:pPr>
              <w:pStyle w:val="NoSpacing"/>
              <w:snapToGrid w:val="0"/>
              <w:jc w:val="center"/>
              <w:rPr>
                <w:rFonts w:cs="Times New Roman"/>
                <w:color w:val="auto"/>
                <w:szCs w:val="24"/>
                <w:lang/>
              </w:rPr>
            </w:pPr>
          </w:p>
        </w:tc>
      </w:tr>
    </w:tbl>
    <w:p w:rsidR="00466522" w:rsidRPr="001F63D9" w:rsidRDefault="00466522">
      <w:pPr>
        <w:pStyle w:val="NoSpacing"/>
        <w:jc w:val="both"/>
        <w:rPr>
          <w:color w:val="auto"/>
        </w:rPr>
      </w:pPr>
      <w:r w:rsidRPr="001F63D9">
        <w:rPr>
          <w:rFonts w:cs="Times New Roman"/>
          <w:color w:val="auto"/>
          <w:szCs w:val="24"/>
          <w:lang/>
        </w:rPr>
        <w:t>AAG: Alpha-1 acid glycoprotein, BLOQ: Below limit of quantification.</w:t>
      </w:r>
    </w:p>
    <w:p w:rsidR="00F67DD9" w:rsidRPr="001F63D9" w:rsidRDefault="00F67DD9">
      <w:pPr>
        <w:pStyle w:val="NoSpacing"/>
        <w:jc w:val="both"/>
        <w:rPr>
          <w:color w:val="auto"/>
        </w:rPr>
      </w:pPr>
    </w:p>
    <w:sectPr w:rsidR="00F67DD9" w:rsidRPr="001F63D9">
      <w:pgSz w:w="11906" w:h="16838"/>
      <w:pgMar w:top="1134" w:right="1134" w:bottom="1134" w:left="1134" w:header="720" w:footer="720" w:gutter="0"/>
      <w:cols w:space="72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309">
    <w:altName w:val="Calibri"/>
    <w:charset w:val="00"/>
    <w:family w:val="auto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6F25C5"/>
    <w:rsid w:val="001F63D9"/>
    <w:rsid w:val="00466522"/>
    <w:rsid w:val="006F25C5"/>
    <w:rsid w:val="00E44960"/>
    <w:rsid w:val="00F67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Liberation Serif" w:eastAsia="SimSun" w:hAnsi="Liberation Serif" w:cs="Arial"/>
      <w:color w:val="00000A"/>
      <w:kern w:val="1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qFormat/>
    <w:pPr>
      <w:keepNext/>
      <w:keepLines/>
      <w:numPr>
        <w:numId w:val="1"/>
      </w:numPr>
      <w:outlineLvl w:val="0"/>
    </w:pPr>
    <w:rPr>
      <w:rFonts w:eastAsia="font309"/>
      <w:b/>
      <w:caps/>
    </w:rPr>
  </w:style>
  <w:style w:type="paragraph" w:styleId="Heading2">
    <w:name w:val="heading 2"/>
    <w:basedOn w:val="Normal"/>
    <w:next w:val="Normal"/>
    <w:qFormat/>
    <w:pPr>
      <w:keepNext/>
      <w:keepLines/>
      <w:numPr>
        <w:ilvl w:val="1"/>
        <w:numId w:val="1"/>
      </w:numPr>
      <w:outlineLvl w:val="1"/>
    </w:pPr>
    <w:rPr>
      <w:rFonts w:eastAsia="font309" w:cs="font309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  <w:sz w:val="24"/>
      <w:szCs w:val="24"/>
      <w:lang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ListLabel52">
    <w:name w:val="ListLabel 52"/>
    <w:rPr>
      <w:rFonts w:cs="Symbol"/>
      <w:sz w:val="24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Wingdings"/>
    </w:rPr>
  </w:style>
  <w:style w:type="character" w:customStyle="1" w:styleId="ListLabel55">
    <w:name w:val="ListLabel 55"/>
    <w:rPr>
      <w:rFonts w:cs="Symbol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Wingdings"/>
    </w:rPr>
  </w:style>
  <w:style w:type="character" w:customStyle="1" w:styleId="ListLabel58">
    <w:name w:val="ListLabel 58"/>
    <w:rPr>
      <w:rFonts w:cs="Symbol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Wingdings"/>
    </w:rPr>
  </w:style>
  <w:style w:type="character" w:customStyle="1" w:styleId="ListLabel61">
    <w:name w:val="ListLabel 61"/>
    <w:rPr>
      <w:rFonts w:cs="Symbol"/>
      <w:sz w:val="24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Wingdings"/>
    </w:rPr>
  </w:style>
  <w:style w:type="character" w:customStyle="1" w:styleId="ListLabel64">
    <w:name w:val="ListLabel 64"/>
    <w:rPr>
      <w:rFonts w:cs="Symbol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cs="Symbol"/>
      <w:sz w:val="24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Wingdings"/>
    </w:rPr>
  </w:style>
  <w:style w:type="character" w:customStyle="1" w:styleId="ListLabel73">
    <w:name w:val="ListLabel 73"/>
    <w:rPr>
      <w:rFonts w:cs="Symbol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cs="Symbol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cs="Symbol"/>
      <w:sz w:val="24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Wingdings"/>
    </w:rPr>
  </w:style>
  <w:style w:type="character" w:customStyle="1" w:styleId="ListLabel82">
    <w:name w:val="ListLabel 82"/>
    <w:rPr>
      <w:rFonts w:cs="Symbol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cs="Symbol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Wingdings"/>
    </w:rPr>
  </w:style>
  <w:style w:type="character" w:styleId="Hyperlink">
    <w:name w:val="Hyperlink"/>
    <w:rPr>
      <w:color w:val="000080"/>
      <w:u w:val="single"/>
      <w:lang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NoSpacing">
    <w:name w:val="No Spacing"/>
    <w:qFormat/>
    <w:pPr>
      <w:suppressAutoHyphens/>
    </w:pPr>
    <w:rPr>
      <w:rFonts w:eastAsia="Calibri" w:cs="font309"/>
      <w:color w:val="00000A"/>
      <w:kern w:val="1"/>
      <w:sz w:val="24"/>
      <w:szCs w:val="22"/>
      <w:lang w:val="fr-BE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0012588</dc:creator>
  <cp:lastModifiedBy>0012588</cp:lastModifiedBy>
  <cp:revision>2</cp:revision>
  <cp:lastPrinted>1601-01-01T00:00:00Z</cp:lastPrinted>
  <dcterms:created xsi:type="dcterms:W3CDTF">2020-07-07T09:04:00Z</dcterms:created>
  <dcterms:modified xsi:type="dcterms:W3CDTF">2020-07-07T09:04:00Z</dcterms:modified>
</cp:coreProperties>
</file>