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498DB" w14:textId="77777777" w:rsidR="00347CB9" w:rsidRPr="005C71C6" w:rsidRDefault="00347CB9" w:rsidP="00347CB9">
      <w:pPr>
        <w:pStyle w:val="Heading1"/>
        <w:numPr>
          <w:ilvl w:val="0"/>
          <w:numId w:val="0"/>
        </w:numPr>
        <w:rPr>
          <w:b w:val="0"/>
          <w:lang w:val="en-GB"/>
        </w:rPr>
      </w:pPr>
      <w:r w:rsidRPr="005C71C6">
        <w:rPr>
          <w:lang w:val="en-GB"/>
        </w:rPr>
        <w:t>Electronic Supplementary Table S1</w:t>
      </w:r>
      <w:r>
        <w:rPr>
          <w:lang w:val="en-GB"/>
        </w:rPr>
        <w:t xml:space="preserve"> </w:t>
      </w:r>
      <w:r w:rsidRPr="00FC7FA5">
        <w:rPr>
          <w:b w:val="0"/>
          <w:bCs/>
          <w:lang w:val="en-GB"/>
        </w:rPr>
        <w:t>Summary of plasma lorlatinib pharmacokinetic parameters following single oral doses of lorlatinib</w:t>
      </w:r>
    </w:p>
    <w:tbl>
      <w:tblPr>
        <w:tblStyle w:val="TableGrid"/>
        <w:tblW w:w="10165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155"/>
        <w:gridCol w:w="1620"/>
        <w:gridCol w:w="1530"/>
        <w:gridCol w:w="1530"/>
        <w:gridCol w:w="1710"/>
        <w:gridCol w:w="1620"/>
      </w:tblGrid>
      <w:tr w:rsidR="00347CB9" w14:paraId="62A297FF" w14:textId="77777777" w:rsidTr="00AD6F82">
        <w:tc>
          <w:tcPr>
            <w:tcW w:w="215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648F959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 w:rsidRPr="002077F5">
              <w:rPr>
                <w:b/>
                <w:bCs/>
                <w:lang w:val="en-GB"/>
              </w:rPr>
              <w:t xml:space="preserve">Parameter </w:t>
            </w:r>
            <w:r>
              <w:rPr>
                <w:b/>
                <w:bCs/>
                <w:lang w:val="en-GB"/>
              </w:rPr>
              <w:t>(</w:t>
            </w:r>
            <w:r w:rsidRPr="002077F5">
              <w:rPr>
                <w:b/>
                <w:bCs/>
                <w:lang w:val="en-GB"/>
              </w:rPr>
              <w:t>unit</w:t>
            </w:r>
            <w:r>
              <w:rPr>
                <w:b/>
                <w:bCs/>
                <w:lang w:val="en-GB"/>
              </w:rPr>
              <w:t>s)</w:t>
            </w:r>
          </w:p>
        </w:tc>
        <w:tc>
          <w:tcPr>
            <w:tcW w:w="8010" w:type="dxa"/>
            <w:gridSpan w:val="5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892CBD5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 w:rsidRPr="002077F5">
              <w:rPr>
                <w:b/>
                <w:bCs/>
                <w:lang w:val="en-GB"/>
              </w:rPr>
              <w:t>Parameter summary statistics</w:t>
            </w:r>
            <w:r w:rsidRPr="002077F5">
              <w:rPr>
                <w:b/>
                <w:bCs/>
                <w:vertAlign w:val="superscript"/>
                <w:lang w:val="en-GB"/>
              </w:rPr>
              <w:t>a</w:t>
            </w:r>
            <w:r w:rsidRPr="002077F5">
              <w:rPr>
                <w:b/>
                <w:bCs/>
                <w:lang w:val="en-GB"/>
              </w:rPr>
              <w:t xml:space="preserve"> by</w:t>
            </w:r>
            <w:r>
              <w:rPr>
                <w:b/>
                <w:bCs/>
                <w:lang w:val="en-GB"/>
              </w:rPr>
              <w:t xml:space="preserve"> dose</w:t>
            </w:r>
          </w:p>
        </w:tc>
      </w:tr>
      <w:tr w:rsidR="00347CB9" w14:paraId="143CA1B4" w14:textId="77777777" w:rsidTr="00AD6F82">
        <w:tc>
          <w:tcPr>
            <w:tcW w:w="215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2AE07E0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Day </w:t>
            </w:r>
            <w:r>
              <w:rPr>
                <w:rFonts w:cs="Times New Roman"/>
                <w:lang w:val="en-GB"/>
              </w:rPr>
              <w:t>−</w:t>
            </w:r>
            <w:r>
              <w:rPr>
                <w:b/>
                <w:bCs/>
                <w:lang w:val="en-GB"/>
              </w:rPr>
              <w:t>7 lead-in: QD doses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970E7FA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 mg QD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B80463A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50 mg QD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312E1D5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75 mg QD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66E7C26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100 mg QD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79D9A7E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200 mg QD</w:t>
            </w:r>
          </w:p>
        </w:tc>
      </w:tr>
      <w:tr w:rsidR="00347CB9" w14:paraId="1E832640" w14:textId="77777777" w:rsidTr="00AD6F82">
        <w:tc>
          <w:tcPr>
            <w:tcW w:w="2155" w:type="dxa"/>
          </w:tcPr>
          <w:p w14:paraId="75142644" w14:textId="77777777" w:rsidR="00347CB9" w:rsidRDefault="00347CB9" w:rsidP="00AD6F82">
            <w:pPr>
              <w:rPr>
                <w:lang w:val="en-GB"/>
              </w:rPr>
            </w:pPr>
            <w:r w:rsidRPr="000568C1">
              <w:rPr>
                <w:i/>
                <w:lang w:val="en-GB"/>
              </w:rPr>
              <w:t>N</w:t>
            </w:r>
            <w:r>
              <w:rPr>
                <w:lang w:val="en-GB"/>
              </w:rPr>
              <w:t xml:space="preserve">, </w:t>
            </w:r>
            <w:r w:rsidRPr="000568C1">
              <w:rPr>
                <w:i/>
                <w:lang w:val="en-GB"/>
              </w:rPr>
              <w:t>n</w:t>
            </w:r>
          </w:p>
        </w:tc>
        <w:tc>
          <w:tcPr>
            <w:tcW w:w="1620" w:type="dxa"/>
          </w:tcPr>
          <w:p w14:paraId="210D018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3, 1</w:t>
            </w:r>
          </w:p>
        </w:tc>
        <w:tc>
          <w:tcPr>
            <w:tcW w:w="1530" w:type="dxa"/>
          </w:tcPr>
          <w:p w14:paraId="0B00779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2, 2</w:t>
            </w:r>
          </w:p>
        </w:tc>
        <w:tc>
          <w:tcPr>
            <w:tcW w:w="1530" w:type="dxa"/>
          </w:tcPr>
          <w:p w14:paraId="2BF832F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12, 11</w:t>
            </w:r>
          </w:p>
        </w:tc>
        <w:tc>
          <w:tcPr>
            <w:tcW w:w="1710" w:type="dxa"/>
          </w:tcPr>
          <w:p w14:paraId="6BC7410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16, 15</w:t>
            </w:r>
          </w:p>
        </w:tc>
        <w:tc>
          <w:tcPr>
            <w:tcW w:w="1620" w:type="dxa"/>
          </w:tcPr>
          <w:p w14:paraId="5615D46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3, 3 </w:t>
            </w:r>
          </w:p>
        </w:tc>
      </w:tr>
      <w:tr w:rsidR="00347CB9" w14:paraId="64CC1320" w14:textId="77777777" w:rsidTr="00AD6F82">
        <w:tc>
          <w:tcPr>
            <w:tcW w:w="2155" w:type="dxa"/>
          </w:tcPr>
          <w:p w14:paraId="285F381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0B4978">
              <w:rPr>
                <w:vertAlign w:val="subscript"/>
                <w:lang w:val="en-GB"/>
              </w:rPr>
              <w:sym w:font="Symbol" w:char="F0A5"/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620" w:type="dxa"/>
          </w:tcPr>
          <w:p w14:paraId="67F8D30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698.0</w:t>
            </w:r>
          </w:p>
        </w:tc>
        <w:tc>
          <w:tcPr>
            <w:tcW w:w="1530" w:type="dxa"/>
          </w:tcPr>
          <w:p w14:paraId="4FC5991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(7210, 7240)</w:t>
            </w:r>
          </w:p>
        </w:tc>
        <w:tc>
          <w:tcPr>
            <w:tcW w:w="1530" w:type="dxa"/>
          </w:tcPr>
          <w:p w14:paraId="6A8F4C3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7663 (79)</w:t>
            </w:r>
          </w:p>
        </w:tc>
        <w:tc>
          <w:tcPr>
            <w:tcW w:w="1710" w:type="dxa"/>
          </w:tcPr>
          <w:p w14:paraId="166AD42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8236 (25)</w:t>
            </w:r>
          </w:p>
        </w:tc>
        <w:tc>
          <w:tcPr>
            <w:tcW w:w="1620" w:type="dxa"/>
          </w:tcPr>
          <w:p w14:paraId="1B59F30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18340 (61)</w:t>
            </w:r>
          </w:p>
        </w:tc>
      </w:tr>
      <w:tr w:rsidR="00347CB9" w14:paraId="4F1F7AFC" w14:textId="77777777" w:rsidTr="00AD6F82">
        <w:tc>
          <w:tcPr>
            <w:tcW w:w="2155" w:type="dxa"/>
          </w:tcPr>
          <w:p w14:paraId="0406A17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0B4978">
              <w:rPr>
                <w:vertAlign w:val="subscript"/>
                <w:lang w:val="en-GB"/>
              </w:rPr>
              <w:sym w:font="Symbol" w:char="F0A5"/>
            </w:r>
            <w:r>
              <w:rPr>
                <w:lang w:val="en-GB"/>
              </w:rPr>
              <w:t>(dn)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h/mL/mg)</w:t>
            </w:r>
          </w:p>
        </w:tc>
        <w:tc>
          <w:tcPr>
            <w:tcW w:w="1620" w:type="dxa"/>
          </w:tcPr>
          <w:p w14:paraId="0D6C5EB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69.80</w:t>
            </w:r>
          </w:p>
        </w:tc>
        <w:tc>
          <w:tcPr>
            <w:tcW w:w="1530" w:type="dxa"/>
          </w:tcPr>
          <w:p w14:paraId="117982B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(144, 145)</w:t>
            </w:r>
          </w:p>
        </w:tc>
        <w:tc>
          <w:tcPr>
            <w:tcW w:w="1530" w:type="dxa"/>
          </w:tcPr>
          <w:p w14:paraId="7D97AAB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102.2 (79)</w:t>
            </w:r>
          </w:p>
        </w:tc>
        <w:tc>
          <w:tcPr>
            <w:tcW w:w="1710" w:type="dxa"/>
          </w:tcPr>
          <w:p w14:paraId="3E7C6C2B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82.36 (25)</w:t>
            </w:r>
          </w:p>
        </w:tc>
        <w:tc>
          <w:tcPr>
            <w:tcW w:w="1620" w:type="dxa"/>
          </w:tcPr>
          <w:p w14:paraId="464E910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91.68 (61)</w:t>
            </w:r>
          </w:p>
        </w:tc>
      </w:tr>
      <w:tr w:rsidR="00347CB9" w14:paraId="78326BC1" w14:textId="77777777" w:rsidTr="00AD6F82">
        <w:tc>
          <w:tcPr>
            <w:tcW w:w="2155" w:type="dxa"/>
          </w:tcPr>
          <w:p w14:paraId="05BDF88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241DEC">
              <w:rPr>
                <w:rFonts w:cs="Times New Roman"/>
                <w:vertAlign w:val="subscript"/>
              </w:rPr>
              <w:t>τ</w:t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620" w:type="dxa"/>
          </w:tcPr>
          <w:p w14:paraId="63F42ADB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488.2 (21)</w:t>
            </w:r>
          </w:p>
        </w:tc>
        <w:tc>
          <w:tcPr>
            <w:tcW w:w="1530" w:type="dxa"/>
          </w:tcPr>
          <w:p w14:paraId="291D0F4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(3310, 3880)</w:t>
            </w:r>
          </w:p>
        </w:tc>
        <w:tc>
          <w:tcPr>
            <w:tcW w:w="1530" w:type="dxa"/>
          </w:tcPr>
          <w:p w14:paraId="5ADF794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3990 (55)</w:t>
            </w:r>
          </w:p>
        </w:tc>
        <w:tc>
          <w:tcPr>
            <w:tcW w:w="1710" w:type="dxa"/>
          </w:tcPr>
          <w:p w14:paraId="4A3C368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5110 (28)</w:t>
            </w:r>
          </w:p>
        </w:tc>
        <w:tc>
          <w:tcPr>
            <w:tcW w:w="1620" w:type="dxa"/>
          </w:tcPr>
          <w:p w14:paraId="03052A3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11410 (43)</w:t>
            </w:r>
          </w:p>
        </w:tc>
      </w:tr>
      <w:tr w:rsidR="00347CB9" w14:paraId="0E9A67AF" w14:textId="77777777" w:rsidTr="00AD6F82">
        <w:tc>
          <w:tcPr>
            <w:tcW w:w="2155" w:type="dxa"/>
          </w:tcPr>
          <w:p w14:paraId="415CC62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241DEC">
              <w:rPr>
                <w:rFonts w:cs="Times New Roman"/>
                <w:vertAlign w:val="subscript"/>
              </w:rPr>
              <w:t>τ</w:t>
            </w:r>
            <w:r w:rsidDel="00093F1F">
              <w:rPr>
                <w:lang w:val="en-GB"/>
              </w:rPr>
              <w:t xml:space="preserve"> </w:t>
            </w:r>
            <w:r>
              <w:rPr>
                <w:lang w:val="en-GB"/>
              </w:rPr>
              <w:t>(dn)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h/mL/mg)</w:t>
            </w:r>
          </w:p>
        </w:tc>
        <w:tc>
          <w:tcPr>
            <w:tcW w:w="1620" w:type="dxa"/>
          </w:tcPr>
          <w:p w14:paraId="1F2A741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48.82 (21)</w:t>
            </w:r>
          </w:p>
        </w:tc>
        <w:tc>
          <w:tcPr>
            <w:tcW w:w="1530" w:type="dxa"/>
          </w:tcPr>
          <w:p w14:paraId="3AB4CA2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(66.1, 77.7)</w:t>
            </w:r>
          </w:p>
        </w:tc>
        <w:tc>
          <w:tcPr>
            <w:tcW w:w="1530" w:type="dxa"/>
          </w:tcPr>
          <w:p w14:paraId="44BD448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53.14 (54)</w:t>
            </w:r>
          </w:p>
        </w:tc>
        <w:tc>
          <w:tcPr>
            <w:tcW w:w="1710" w:type="dxa"/>
          </w:tcPr>
          <w:p w14:paraId="2BFA54D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51.10 (28)</w:t>
            </w:r>
          </w:p>
        </w:tc>
        <w:tc>
          <w:tcPr>
            <w:tcW w:w="1620" w:type="dxa"/>
          </w:tcPr>
          <w:p w14:paraId="3D94C01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57.13 (43)</w:t>
            </w:r>
          </w:p>
        </w:tc>
      </w:tr>
      <w:tr w:rsidR="00347CB9" w14:paraId="331D3E7D" w14:textId="77777777" w:rsidTr="00AD6F82">
        <w:tc>
          <w:tcPr>
            <w:tcW w:w="2155" w:type="dxa"/>
          </w:tcPr>
          <w:p w14:paraId="54886DE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CL/F (L/h)</w:t>
            </w:r>
          </w:p>
        </w:tc>
        <w:tc>
          <w:tcPr>
            <w:tcW w:w="1620" w:type="dxa"/>
          </w:tcPr>
          <w:p w14:paraId="10EE16A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14.30</w:t>
            </w:r>
          </w:p>
        </w:tc>
        <w:tc>
          <w:tcPr>
            <w:tcW w:w="1530" w:type="dxa"/>
          </w:tcPr>
          <w:p w14:paraId="18E7102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(6.91, 6.94)</w:t>
            </w:r>
          </w:p>
        </w:tc>
        <w:tc>
          <w:tcPr>
            <w:tcW w:w="1530" w:type="dxa"/>
          </w:tcPr>
          <w:p w14:paraId="7363970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9.788 (79)</w:t>
            </w:r>
          </w:p>
        </w:tc>
        <w:tc>
          <w:tcPr>
            <w:tcW w:w="1710" w:type="dxa"/>
          </w:tcPr>
          <w:p w14:paraId="4EA7140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12.14 (25)</w:t>
            </w:r>
          </w:p>
        </w:tc>
        <w:tc>
          <w:tcPr>
            <w:tcW w:w="1620" w:type="dxa"/>
          </w:tcPr>
          <w:p w14:paraId="7AB955CB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10.90 (61)</w:t>
            </w:r>
          </w:p>
        </w:tc>
      </w:tr>
      <w:tr w:rsidR="00347CB9" w14:paraId="59EE9C7D" w14:textId="77777777" w:rsidTr="00AD6F82">
        <w:tc>
          <w:tcPr>
            <w:tcW w:w="2155" w:type="dxa"/>
          </w:tcPr>
          <w:p w14:paraId="03F3111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(ng/mL)</w:t>
            </w:r>
          </w:p>
        </w:tc>
        <w:tc>
          <w:tcPr>
            <w:tcW w:w="1620" w:type="dxa"/>
          </w:tcPr>
          <w:p w14:paraId="1EE2498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50.80 (17)</w:t>
            </w:r>
          </w:p>
        </w:tc>
        <w:tc>
          <w:tcPr>
            <w:tcW w:w="1530" w:type="dxa"/>
          </w:tcPr>
          <w:p w14:paraId="6A2AF0F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(390, 423)</w:t>
            </w:r>
          </w:p>
        </w:tc>
        <w:tc>
          <w:tcPr>
            <w:tcW w:w="1530" w:type="dxa"/>
          </w:tcPr>
          <w:p w14:paraId="0C6C284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489.1 (45)</w:t>
            </w:r>
          </w:p>
        </w:tc>
        <w:tc>
          <w:tcPr>
            <w:tcW w:w="1710" w:type="dxa"/>
          </w:tcPr>
          <w:p w14:paraId="2C51E3C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595.5 (37)</w:t>
            </w:r>
          </w:p>
        </w:tc>
        <w:tc>
          <w:tcPr>
            <w:tcW w:w="1620" w:type="dxa"/>
          </w:tcPr>
          <w:p w14:paraId="5C9BA3F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1201 (19)</w:t>
            </w:r>
          </w:p>
        </w:tc>
      </w:tr>
      <w:tr w:rsidR="00347CB9" w14:paraId="3EE43DE4" w14:textId="77777777" w:rsidTr="00AD6F82">
        <w:tc>
          <w:tcPr>
            <w:tcW w:w="2155" w:type="dxa"/>
          </w:tcPr>
          <w:p w14:paraId="31F64C1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>(dn) (ng/mL/mg)</w:t>
            </w:r>
          </w:p>
        </w:tc>
        <w:tc>
          <w:tcPr>
            <w:tcW w:w="1620" w:type="dxa"/>
          </w:tcPr>
          <w:p w14:paraId="50D2D32B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5.080 (17)</w:t>
            </w:r>
          </w:p>
        </w:tc>
        <w:tc>
          <w:tcPr>
            <w:tcW w:w="1530" w:type="dxa"/>
          </w:tcPr>
          <w:p w14:paraId="42FC024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(7.80, 8.46)</w:t>
            </w:r>
          </w:p>
        </w:tc>
        <w:tc>
          <w:tcPr>
            <w:tcW w:w="1530" w:type="dxa"/>
          </w:tcPr>
          <w:p w14:paraId="58EFEF4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6.523 (45)</w:t>
            </w:r>
          </w:p>
        </w:tc>
        <w:tc>
          <w:tcPr>
            <w:tcW w:w="1710" w:type="dxa"/>
          </w:tcPr>
          <w:p w14:paraId="07BA507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5.955 (37)</w:t>
            </w:r>
          </w:p>
        </w:tc>
        <w:tc>
          <w:tcPr>
            <w:tcW w:w="1620" w:type="dxa"/>
          </w:tcPr>
          <w:p w14:paraId="11AD42B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6.003 (19)</w:t>
            </w:r>
          </w:p>
        </w:tc>
      </w:tr>
      <w:tr w:rsidR="00347CB9" w14:paraId="46670659" w14:textId="77777777" w:rsidTr="00AD6F82">
        <w:tc>
          <w:tcPr>
            <w:tcW w:w="2155" w:type="dxa"/>
          </w:tcPr>
          <w:p w14:paraId="5527398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MRT (h)</w:t>
            </w:r>
          </w:p>
        </w:tc>
        <w:tc>
          <w:tcPr>
            <w:tcW w:w="1620" w:type="dxa"/>
          </w:tcPr>
          <w:p w14:paraId="5CD5F65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23.7</w:t>
            </w:r>
          </w:p>
        </w:tc>
        <w:tc>
          <w:tcPr>
            <w:tcW w:w="1530" w:type="dxa"/>
          </w:tcPr>
          <w:p w14:paraId="175901D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(27.7, 43.1)</w:t>
            </w:r>
          </w:p>
        </w:tc>
        <w:tc>
          <w:tcPr>
            <w:tcW w:w="1530" w:type="dxa"/>
          </w:tcPr>
          <w:p w14:paraId="4CA937F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36.0 </w:t>
            </w:r>
            <w:r>
              <w:rPr>
                <w:rFonts w:cs="Times New Roman"/>
                <w:lang w:val="en-GB"/>
              </w:rPr>
              <w:t xml:space="preserve">± </w:t>
            </w:r>
            <w:r>
              <w:rPr>
                <w:lang w:val="en-GB"/>
              </w:rPr>
              <w:t>11.7</w:t>
            </w:r>
          </w:p>
        </w:tc>
        <w:tc>
          <w:tcPr>
            <w:tcW w:w="1710" w:type="dxa"/>
          </w:tcPr>
          <w:p w14:paraId="12D5509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27.0 </w:t>
            </w:r>
            <w:r>
              <w:rPr>
                <w:rFonts w:cs="Times New Roman"/>
                <w:lang w:val="en-GB"/>
              </w:rPr>
              <w:t>± 7.04</w:t>
            </w:r>
          </w:p>
        </w:tc>
        <w:tc>
          <w:tcPr>
            <w:tcW w:w="1620" w:type="dxa"/>
          </w:tcPr>
          <w:p w14:paraId="1C821B8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25.8 </w:t>
            </w:r>
            <w:r>
              <w:rPr>
                <w:rFonts w:cs="Times New Roman"/>
                <w:lang w:val="en-GB"/>
              </w:rPr>
              <w:t>± 6.36</w:t>
            </w:r>
          </w:p>
        </w:tc>
      </w:tr>
      <w:tr w:rsidR="00347CB9" w14:paraId="6A7F2CF0" w14:textId="77777777" w:rsidTr="00AD6F82">
        <w:tc>
          <w:tcPr>
            <w:tcW w:w="2155" w:type="dxa"/>
          </w:tcPr>
          <w:p w14:paraId="796B6B4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620" w:type="dxa"/>
          </w:tcPr>
          <w:p w14:paraId="28FF990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1.98</w:t>
            </w:r>
            <w:r>
              <w:rPr>
                <w:lang w:val="en-GB"/>
              </w:rPr>
              <w:br/>
              <w:t>(1.00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2.97)</w:t>
            </w:r>
          </w:p>
        </w:tc>
        <w:tc>
          <w:tcPr>
            <w:tcW w:w="1530" w:type="dxa"/>
          </w:tcPr>
          <w:p w14:paraId="709E5C5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1.25</w:t>
            </w:r>
            <w:r>
              <w:rPr>
                <w:lang w:val="en-GB"/>
              </w:rPr>
              <w:br/>
              <w:t>(0.500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2.00)</w:t>
            </w:r>
          </w:p>
        </w:tc>
        <w:tc>
          <w:tcPr>
            <w:tcW w:w="1530" w:type="dxa"/>
          </w:tcPr>
          <w:p w14:paraId="064A25D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1.09</w:t>
            </w:r>
            <w:r>
              <w:rPr>
                <w:lang w:val="en-GB"/>
              </w:rPr>
              <w:br/>
              <w:t>(0.500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4.03)</w:t>
            </w:r>
          </w:p>
        </w:tc>
        <w:tc>
          <w:tcPr>
            <w:tcW w:w="1710" w:type="dxa"/>
          </w:tcPr>
          <w:p w14:paraId="6599881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1.96</w:t>
            </w:r>
            <w:r>
              <w:rPr>
                <w:lang w:val="en-GB"/>
              </w:rPr>
              <w:br/>
              <w:t>(0.517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4.33)</w:t>
            </w:r>
          </w:p>
        </w:tc>
        <w:tc>
          <w:tcPr>
            <w:tcW w:w="1620" w:type="dxa"/>
          </w:tcPr>
          <w:p w14:paraId="4E06809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2.00</w:t>
            </w:r>
            <w:r>
              <w:rPr>
                <w:lang w:val="en-GB"/>
              </w:rPr>
              <w:br/>
              <w:t>(1.18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3.00)</w:t>
            </w:r>
          </w:p>
        </w:tc>
      </w:tr>
      <w:tr w:rsidR="00347CB9" w14:paraId="37EE370F" w14:textId="77777777" w:rsidTr="00AD6F82">
        <w:tc>
          <w:tcPr>
            <w:tcW w:w="2155" w:type="dxa"/>
          </w:tcPr>
          <w:p w14:paraId="2BEBF37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Pr="00E72289">
              <w:rPr>
                <w:vertAlign w:val="subscript"/>
                <w:lang w:val="en-GB"/>
              </w:rPr>
              <w:t>z</w:t>
            </w:r>
            <w:r>
              <w:rPr>
                <w:lang w:val="en-GB"/>
              </w:rPr>
              <w:t>/F (L)</w:t>
            </w:r>
          </w:p>
        </w:tc>
        <w:tc>
          <w:tcPr>
            <w:tcW w:w="1620" w:type="dxa"/>
          </w:tcPr>
          <w:p w14:paraId="15E7F4E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373.0</w:t>
            </w:r>
          </w:p>
        </w:tc>
        <w:tc>
          <w:tcPr>
            <w:tcW w:w="1530" w:type="dxa"/>
          </w:tcPr>
          <w:p w14:paraId="7EA9E44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(166, 307)</w:t>
            </w:r>
          </w:p>
        </w:tc>
        <w:tc>
          <w:tcPr>
            <w:tcW w:w="1530" w:type="dxa"/>
          </w:tcPr>
          <w:p w14:paraId="56A76CC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367.9 (54)</w:t>
            </w:r>
          </w:p>
        </w:tc>
        <w:tc>
          <w:tcPr>
            <w:tcW w:w="1710" w:type="dxa"/>
          </w:tcPr>
          <w:p w14:paraId="700416C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356.3 (39)</w:t>
            </w:r>
          </w:p>
        </w:tc>
        <w:tc>
          <w:tcPr>
            <w:tcW w:w="1620" w:type="dxa"/>
          </w:tcPr>
          <w:p w14:paraId="67EADB5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307.8 (41)</w:t>
            </w:r>
          </w:p>
        </w:tc>
      </w:tr>
      <w:tr w:rsidR="00347CB9" w14:paraId="126DF4BA" w14:textId="77777777" w:rsidTr="00AD6F82">
        <w:tc>
          <w:tcPr>
            <w:tcW w:w="2155" w:type="dxa"/>
            <w:tcBorders>
              <w:bottom w:val="single" w:sz="12" w:space="0" w:color="auto"/>
            </w:tcBorders>
          </w:tcPr>
          <w:p w14:paraId="48C2FDB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0B4978">
              <w:rPr>
                <w:rFonts w:cs="Times New Roman"/>
                <w:bCs/>
                <w:vertAlign w:val="subscript"/>
              </w:rPr>
              <w:t>½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B8CF37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18.0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69659BE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(16.6, 30.8)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7A1A240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27.2 </w:t>
            </w:r>
            <w:r>
              <w:rPr>
                <w:rFonts w:cs="Times New Roman"/>
                <w:lang w:val="en-GB"/>
              </w:rPr>
              <w:t>± 8.30</w:t>
            </w: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57E46B0B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20.9 </w:t>
            </w:r>
            <w:r>
              <w:rPr>
                <w:rFonts w:cs="Times New Roman"/>
                <w:lang w:val="en-GB"/>
              </w:rPr>
              <w:t>± 5.03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0EB6AD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19.8 </w:t>
            </w:r>
            <w:r>
              <w:rPr>
                <w:rFonts w:cs="Times New Roman"/>
                <w:lang w:val="en-GB"/>
              </w:rPr>
              <w:t>± 3.30</w:t>
            </w:r>
          </w:p>
        </w:tc>
      </w:tr>
      <w:tr w:rsidR="00347CB9" w14:paraId="1CB518F9" w14:textId="77777777" w:rsidTr="00AD6F82">
        <w:tc>
          <w:tcPr>
            <w:tcW w:w="2155" w:type="dxa"/>
            <w:tcBorders>
              <w:top w:val="single" w:sz="12" w:space="0" w:color="auto"/>
            </w:tcBorders>
          </w:tcPr>
          <w:p w14:paraId="1F522F8E" w14:textId="77777777" w:rsidR="00347CB9" w:rsidRDefault="00347CB9" w:rsidP="00AD6F82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Day </w:t>
            </w:r>
            <w:r>
              <w:rPr>
                <w:rFonts w:cs="Times New Roman"/>
                <w:lang w:val="en-GB"/>
              </w:rPr>
              <w:t>−</w:t>
            </w:r>
            <w:r>
              <w:rPr>
                <w:b/>
                <w:bCs/>
                <w:lang w:val="en-GB"/>
              </w:rPr>
              <w:t>7 lead-in: BID doses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EF725F7" w14:textId="77777777" w:rsidR="00347CB9" w:rsidRDefault="00347CB9" w:rsidP="00AD6F82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35 mg BID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5A78443A" w14:textId="77777777" w:rsidR="00347CB9" w:rsidRPr="006628EF" w:rsidRDefault="00347CB9" w:rsidP="00AD6F82">
            <w:pPr>
              <w:rPr>
                <w:b/>
                <w:bCs/>
                <w:lang w:val="en-GB"/>
              </w:rPr>
            </w:pPr>
            <w:r w:rsidRPr="006628EF">
              <w:rPr>
                <w:b/>
                <w:bCs/>
                <w:lang w:val="en-GB"/>
              </w:rPr>
              <w:t>75 mg BID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52DE5A8F" w14:textId="77777777" w:rsidR="00347CB9" w:rsidRDefault="00347CB9" w:rsidP="00AD6F82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100 mg BID</w:t>
            </w: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3744F299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6B1B9878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34F24ED3" w14:textId="77777777" w:rsidTr="00AD6F82">
        <w:tc>
          <w:tcPr>
            <w:tcW w:w="2155" w:type="dxa"/>
          </w:tcPr>
          <w:p w14:paraId="6A8BD927" w14:textId="77777777" w:rsidR="00347CB9" w:rsidRDefault="00347CB9" w:rsidP="00AD6F82">
            <w:pPr>
              <w:rPr>
                <w:lang w:val="en-GB"/>
              </w:rPr>
            </w:pPr>
            <w:r w:rsidRPr="000568C1">
              <w:rPr>
                <w:i/>
                <w:lang w:val="en-GB"/>
              </w:rPr>
              <w:t>N</w:t>
            </w:r>
            <w:r>
              <w:rPr>
                <w:lang w:val="en-GB"/>
              </w:rPr>
              <w:t xml:space="preserve">, </w:t>
            </w:r>
            <w:r w:rsidRPr="000568C1">
              <w:rPr>
                <w:i/>
                <w:lang w:val="en-GB"/>
              </w:rPr>
              <w:t>n</w:t>
            </w:r>
          </w:p>
        </w:tc>
        <w:tc>
          <w:tcPr>
            <w:tcW w:w="1620" w:type="dxa"/>
          </w:tcPr>
          <w:p w14:paraId="12169F1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3, 2</w:t>
            </w:r>
          </w:p>
        </w:tc>
        <w:tc>
          <w:tcPr>
            <w:tcW w:w="1530" w:type="dxa"/>
          </w:tcPr>
          <w:p w14:paraId="08E0DFE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3, 1</w:t>
            </w:r>
          </w:p>
        </w:tc>
        <w:tc>
          <w:tcPr>
            <w:tcW w:w="1530" w:type="dxa"/>
          </w:tcPr>
          <w:p w14:paraId="35F9CE5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4, 4</w:t>
            </w:r>
          </w:p>
        </w:tc>
        <w:tc>
          <w:tcPr>
            <w:tcW w:w="1710" w:type="dxa"/>
          </w:tcPr>
          <w:p w14:paraId="4B6DFFBA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55F862C7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7B8EC746" w14:textId="77777777" w:rsidTr="00AD6F82">
        <w:tc>
          <w:tcPr>
            <w:tcW w:w="2155" w:type="dxa"/>
          </w:tcPr>
          <w:p w14:paraId="4EC6C90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0B4978">
              <w:rPr>
                <w:vertAlign w:val="subscript"/>
                <w:lang w:val="en-GB"/>
              </w:rPr>
              <w:sym w:font="Symbol" w:char="F0A5"/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620" w:type="dxa"/>
          </w:tcPr>
          <w:p w14:paraId="3B1AB2E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(2630, 3690)</w:t>
            </w:r>
          </w:p>
        </w:tc>
        <w:tc>
          <w:tcPr>
            <w:tcW w:w="1530" w:type="dxa"/>
          </w:tcPr>
          <w:p w14:paraId="0A4D81C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6860</w:t>
            </w:r>
          </w:p>
        </w:tc>
        <w:tc>
          <w:tcPr>
            <w:tcW w:w="1530" w:type="dxa"/>
          </w:tcPr>
          <w:p w14:paraId="5A78D54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6318 (56)</w:t>
            </w:r>
          </w:p>
        </w:tc>
        <w:tc>
          <w:tcPr>
            <w:tcW w:w="1710" w:type="dxa"/>
          </w:tcPr>
          <w:p w14:paraId="689A2BA0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7D88937B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789E50ED" w14:textId="77777777" w:rsidTr="00AD6F82">
        <w:tc>
          <w:tcPr>
            <w:tcW w:w="2155" w:type="dxa"/>
          </w:tcPr>
          <w:p w14:paraId="2F7FB05B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0B4978">
              <w:rPr>
                <w:vertAlign w:val="subscript"/>
                <w:lang w:val="en-GB"/>
              </w:rPr>
              <w:sym w:font="Symbol" w:char="F0A5"/>
            </w:r>
            <w:r>
              <w:rPr>
                <w:lang w:val="en-GB"/>
              </w:rPr>
              <w:t>(dn)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h/mL/mg)</w:t>
            </w:r>
          </w:p>
        </w:tc>
        <w:tc>
          <w:tcPr>
            <w:tcW w:w="1620" w:type="dxa"/>
          </w:tcPr>
          <w:p w14:paraId="509D6A8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(75.1, 105)</w:t>
            </w:r>
          </w:p>
        </w:tc>
        <w:tc>
          <w:tcPr>
            <w:tcW w:w="1530" w:type="dxa"/>
          </w:tcPr>
          <w:p w14:paraId="420B895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91.40</w:t>
            </w:r>
          </w:p>
        </w:tc>
        <w:tc>
          <w:tcPr>
            <w:tcW w:w="1530" w:type="dxa"/>
          </w:tcPr>
          <w:p w14:paraId="4FA19EF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63.18 (56)</w:t>
            </w:r>
          </w:p>
        </w:tc>
        <w:tc>
          <w:tcPr>
            <w:tcW w:w="1710" w:type="dxa"/>
          </w:tcPr>
          <w:p w14:paraId="065C059C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134FD4AB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2355E05B" w14:textId="77777777" w:rsidTr="00AD6F82">
        <w:tc>
          <w:tcPr>
            <w:tcW w:w="2155" w:type="dxa"/>
          </w:tcPr>
          <w:p w14:paraId="6C9385C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241DEC">
              <w:rPr>
                <w:rFonts w:cs="Times New Roman"/>
                <w:vertAlign w:val="subscript"/>
              </w:rPr>
              <w:t>τ</w:t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620" w:type="dxa"/>
          </w:tcPr>
          <w:p w14:paraId="727F78C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982.4 (9)</w:t>
            </w:r>
          </w:p>
        </w:tc>
        <w:tc>
          <w:tcPr>
            <w:tcW w:w="1530" w:type="dxa"/>
          </w:tcPr>
          <w:p w14:paraId="1F4A777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2996 (20)</w:t>
            </w:r>
          </w:p>
        </w:tc>
        <w:tc>
          <w:tcPr>
            <w:tcW w:w="1530" w:type="dxa"/>
          </w:tcPr>
          <w:p w14:paraId="06D6CB9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2925 (47)</w:t>
            </w:r>
          </w:p>
        </w:tc>
        <w:tc>
          <w:tcPr>
            <w:tcW w:w="1710" w:type="dxa"/>
          </w:tcPr>
          <w:p w14:paraId="794DC0F0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36EFA9E7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4511535F" w14:textId="77777777" w:rsidTr="00AD6F82">
        <w:tc>
          <w:tcPr>
            <w:tcW w:w="2155" w:type="dxa"/>
          </w:tcPr>
          <w:p w14:paraId="308CC9F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241DEC">
              <w:rPr>
                <w:rFonts w:cs="Times New Roman"/>
                <w:vertAlign w:val="subscript"/>
              </w:rPr>
              <w:t>τ</w:t>
            </w:r>
            <w:r w:rsidDel="00093F1F">
              <w:rPr>
                <w:lang w:val="en-GB"/>
              </w:rPr>
              <w:t xml:space="preserve"> </w:t>
            </w:r>
            <w:r>
              <w:rPr>
                <w:lang w:val="en-GB"/>
              </w:rPr>
              <w:t>(dn)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h/mL/mg)</w:t>
            </w:r>
          </w:p>
        </w:tc>
        <w:tc>
          <w:tcPr>
            <w:tcW w:w="1620" w:type="dxa"/>
          </w:tcPr>
          <w:p w14:paraId="242BF5F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28.03 (9)</w:t>
            </w:r>
          </w:p>
        </w:tc>
        <w:tc>
          <w:tcPr>
            <w:tcW w:w="1530" w:type="dxa"/>
          </w:tcPr>
          <w:p w14:paraId="4587251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40.00 (20)</w:t>
            </w:r>
          </w:p>
        </w:tc>
        <w:tc>
          <w:tcPr>
            <w:tcW w:w="1530" w:type="dxa"/>
          </w:tcPr>
          <w:p w14:paraId="6CA7F8C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29.25 (47)</w:t>
            </w:r>
          </w:p>
        </w:tc>
        <w:tc>
          <w:tcPr>
            <w:tcW w:w="1710" w:type="dxa"/>
          </w:tcPr>
          <w:p w14:paraId="0300581F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3F413EC1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1056A3A3" w14:textId="77777777" w:rsidTr="00AD6F82">
        <w:tc>
          <w:tcPr>
            <w:tcW w:w="2155" w:type="dxa"/>
          </w:tcPr>
          <w:p w14:paraId="44B84B8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CL/F (L/h)</w:t>
            </w:r>
          </w:p>
        </w:tc>
        <w:tc>
          <w:tcPr>
            <w:tcW w:w="1620" w:type="dxa"/>
          </w:tcPr>
          <w:p w14:paraId="6D35BEE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(9.48, 13.3)</w:t>
            </w:r>
          </w:p>
        </w:tc>
        <w:tc>
          <w:tcPr>
            <w:tcW w:w="1530" w:type="dxa"/>
          </w:tcPr>
          <w:p w14:paraId="41EA57E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10.9</w:t>
            </w:r>
          </w:p>
        </w:tc>
        <w:tc>
          <w:tcPr>
            <w:tcW w:w="1530" w:type="dxa"/>
          </w:tcPr>
          <w:p w14:paraId="5639F4D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15.83 (56)</w:t>
            </w:r>
          </w:p>
        </w:tc>
        <w:tc>
          <w:tcPr>
            <w:tcW w:w="1710" w:type="dxa"/>
          </w:tcPr>
          <w:p w14:paraId="08725BA9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2633126D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497562F8" w14:textId="77777777" w:rsidTr="00AD6F82">
        <w:tc>
          <w:tcPr>
            <w:tcW w:w="2155" w:type="dxa"/>
          </w:tcPr>
          <w:p w14:paraId="66D054F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(ng/mL)</w:t>
            </w:r>
          </w:p>
        </w:tc>
        <w:tc>
          <w:tcPr>
            <w:tcW w:w="1620" w:type="dxa"/>
          </w:tcPr>
          <w:p w14:paraId="615977A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202.2 (57)</w:t>
            </w:r>
          </w:p>
        </w:tc>
        <w:tc>
          <w:tcPr>
            <w:tcW w:w="1530" w:type="dxa"/>
          </w:tcPr>
          <w:p w14:paraId="404F2FC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594.9 (27)</w:t>
            </w:r>
          </w:p>
        </w:tc>
        <w:tc>
          <w:tcPr>
            <w:tcW w:w="1530" w:type="dxa"/>
          </w:tcPr>
          <w:p w14:paraId="38E8F2C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507.2 (51)</w:t>
            </w:r>
          </w:p>
        </w:tc>
        <w:tc>
          <w:tcPr>
            <w:tcW w:w="1710" w:type="dxa"/>
          </w:tcPr>
          <w:p w14:paraId="5BB5D3EB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698FB73C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5B2FECE7" w14:textId="77777777" w:rsidTr="00AD6F82">
        <w:tc>
          <w:tcPr>
            <w:tcW w:w="2155" w:type="dxa"/>
          </w:tcPr>
          <w:p w14:paraId="3762ACB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>(dn) (ng/mL/mg)</w:t>
            </w:r>
          </w:p>
        </w:tc>
        <w:tc>
          <w:tcPr>
            <w:tcW w:w="1620" w:type="dxa"/>
          </w:tcPr>
          <w:p w14:paraId="5F87F20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5.776 (57)</w:t>
            </w:r>
          </w:p>
        </w:tc>
        <w:tc>
          <w:tcPr>
            <w:tcW w:w="1530" w:type="dxa"/>
          </w:tcPr>
          <w:p w14:paraId="7D5C7CF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7.933 (27)</w:t>
            </w:r>
          </w:p>
        </w:tc>
        <w:tc>
          <w:tcPr>
            <w:tcW w:w="1530" w:type="dxa"/>
          </w:tcPr>
          <w:p w14:paraId="6033C13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5.072 (51)</w:t>
            </w:r>
          </w:p>
        </w:tc>
        <w:tc>
          <w:tcPr>
            <w:tcW w:w="1710" w:type="dxa"/>
          </w:tcPr>
          <w:p w14:paraId="3C882396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4DCA0BB5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090ED9B1" w14:textId="77777777" w:rsidTr="00AD6F82">
        <w:tc>
          <w:tcPr>
            <w:tcW w:w="2155" w:type="dxa"/>
          </w:tcPr>
          <w:p w14:paraId="58A0451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MRT (h)</w:t>
            </w:r>
          </w:p>
        </w:tc>
        <w:tc>
          <w:tcPr>
            <w:tcW w:w="1620" w:type="dxa"/>
          </w:tcPr>
          <w:p w14:paraId="17866D4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(30.8, 37.7)</w:t>
            </w:r>
          </w:p>
        </w:tc>
        <w:tc>
          <w:tcPr>
            <w:tcW w:w="1530" w:type="dxa"/>
          </w:tcPr>
          <w:p w14:paraId="1B1AF6F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33.0</w:t>
            </w:r>
          </w:p>
        </w:tc>
        <w:tc>
          <w:tcPr>
            <w:tcW w:w="1530" w:type="dxa"/>
          </w:tcPr>
          <w:p w14:paraId="74802D3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22.1 </w:t>
            </w:r>
            <w:r>
              <w:rPr>
                <w:rFonts w:cs="Times New Roman"/>
                <w:lang w:val="en-GB"/>
              </w:rPr>
              <w:t xml:space="preserve">± </w:t>
            </w:r>
            <w:r>
              <w:rPr>
                <w:lang w:val="en-GB"/>
              </w:rPr>
              <w:t>6.76</w:t>
            </w:r>
          </w:p>
        </w:tc>
        <w:tc>
          <w:tcPr>
            <w:tcW w:w="1710" w:type="dxa"/>
          </w:tcPr>
          <w:p w14:paraId="7453F451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53D0B725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0DFB5A16" w14:textId="77777777" w:rsidTr="00AD6F82">
        <w:tc>
          <w:tcPr>
            <w:tcW w:w="2155" w:type="dxa"/>
          </w:tcPr>
          <w:p w14:paraId="19C2073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620" w:type="dxa"/>
          </w:tcPr>
          <w:p w14:paraId="439B670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1.20</w:t>
            </w:r>
            <w:r>
              <w:rPr>
                <w:lang w:val="en-GB"/>
              </w:rPr>
              <w:br/>
              <w:t>(0.500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1.97)</w:t>
            </w:r>
          </w:p>
        </w:tc>
        <w:tc>
          <w:tcPr>
            <w:tcW w:w="1530" w:type="dxa"/>
          </w:tcPr>
          <w:p w14:paraId="3BCC4B2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1.23</w:t>
            </w:r>
            <w:r>
              <w:rPr>
                <w:lang w:val="en-GB"/>
              </w:rPr>
              <w:br/>
              <w:t>(1.00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2.00)</w:t>
            </w:r>
          </w:p>
        </w:tc>
        <w:tc>
          <w:tcPr>
            <w:tcW w:w="1530" w:type="dxa"/>
          </w:tcPr>
          <w:p w14:paraId="276C590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2.00</w:t>
            </w:r>
            <w:r>
              <w:rPr>
                <w:lang w:val="en-GB"/>
              </w:rPr>
              <w:br/>
              <w:t>(1.10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3.07)</w:t>
            </w:r>
          </w:p>
        </w:tc>
        <w:tc>
          <w:tcPr>
            <w:tcW w:w="1710" w:type="dxa"/>
          </w:tcPr>
          <w:p w14:paraId="029F77E6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3AC761AF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4F006426" w14:textId="77777777" w:rsidTr="00AD6F82">
        <w:tc>
          <w:tcPr>
            <w:tcW w:w="2155" w:type="dxa"/>
          </w:tcPr>
          <w:p w14:paraId="7EBBAA7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Pr="00E72289">
              <w:rPr>
                <w:vertAlign w:val="subscript"/>
                <w:lang w:val="en-GB"/>
              </w:rPr>
              <w:t>z</w:t>
            </w:r>
            <w:r>
              <w:rPr>
                <w:lang w:val="en-GB"/>
              </w:rPr>
              <w:t>/F (L)</w:t>
            </w:r>
          </w:p>
        </w:tc>
        <w:tc>
          <w:tcPr>
            <w:tcW w:w="1620" w:type="dxa"/>
          </w:tcPr>
          <w:p w14:paraId="0088C64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(362, 472)</w:t>
            </w:r>
          </w:p>
        </w:tc>
        <w:tc>
          <w:tcPr>
            <w:tcW w:w="1530" w:type="dxa"/>
          </w:tcPr>
          <w:p w14:paraId="1A2C045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410.0</w:t>
            </w:r>
          </w:p>
        </w:tc>
        <w:tc>
          <w:tcPr>
            <w:tcW w:w="1530" w:type="dxa"/>
          </w:tcPr>
          <w:p w14:paraId="25AF2FF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378.3 (54)</w:t>
            </w:r>
          </w:p>
        </w:tc>
        <w:tc>
          <w:tcPr>
            <w:tcW w:w="1710" w:type="dxa"/>
          </w:tcPr>
          <w:p w14:paraId="4CCFB1BE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56E29F26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534E68DF" w14:textId="77777777" w:rsidTr="00AD6F82">
        <w:tc>
          <w:tcPr>
            <w:tcW w:w="2155" w:type="dxa"/>
            <w:tcBorders>
              <w:bottom w:val="single" w:sz="12" w:space="0" w:color="auto"/>
            </w:tcBorders>
          </w:tcPr>
          <w:p w14:paraId="5D0EDC7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0B4978">
              <w:rPr>
                <w:rFonts w:cs="Times New Roman"/>
                <w:bCs/>
                <w:vertAlign w:val="subscript"/>
              </w:rPr>
              <w:t>½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1E2DD40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(24.6, 26.5)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5F2C970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26.00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4CAA594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17.18 </w:t>
            </w:r>
            <w:r>
              <w:rPr>
                <w:rFonts w:cs="Times New Roman"/>
                <w:lang w:val="en-GB"/>
              </w:rPr>
              <w:t>± 5.19</w:t>
            </w: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3E30F1E8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76BD32AF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027162A6" w14:textId="77777777" w:rsidTr="00AD6F82">
        <w:tc>
          <w:tcPr>
            <w:tcW w:w="2155" w:type="dxa"/>
            <w:tcBorders>
              <w:top w:val="single" w:sz="12" w:space="0" w:color="auto"/>
            </w:tcBorders>
          </w:tcPr>
          <w:p w14:paraId="021A1240" w14:textId="77777777" w:rsidR="00347CB9" w:rsidRDefault="00347CB9" w:rsidP="00AD6F82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Cycle 1 Day 1: QD doses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3D3ACF8E" w14:textId="77777777" w:rsidR="00347CB9" w:rsidRDefault="00347CB9" w:rsidP="00AD6F82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25 mg QD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14395E2C" w14:textId="77777777" w:rsidR="00347CB9" w:rsidRPr="006628EF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</w:t>
            </w:r>
            <w:r w:rsidRPr="006628EF">
              <w:rPr>
                <w:b/>
                <w:bCs/>
                <w:lang w:val="en-GB"/>
              </w:rPr>
              <w:t>5</w:t>
            </w:r>
            <w:r>
              <w:rPr>
                <w:b/>
                <w:bCs/>
                <w:lang w:val="en-GB"/>
              </w:rPr>
              <w:t>0</w:t>
            </w:r>
            <w:r w:rsidRPr="006628EF">
              <w:rPr>
                <w:b/>
                <w:bCs/>
                <w:lang w:val="en-GB"/>
              </w:rPr>
              <w:t xml:space="preserve"> mg </w:t>
            </w:r>
            <w:r>
              <w:rPr>
                <w:b/>
                <w:bCs/>
                <w:lang w:val="en-GB"/>
              </w:rPr>
              <w:t>QD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77DE7175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2BB38D8A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249C0AD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083EE831" w14:textId="77777777" w:rsidTr="00AD6F82">
        <w:tc>
          <w:tcPr>
            <w:tcW w:w="2155" w:type="dxa"/>
          </w:tcPr>
          <w:p w14:paraId="52E23DD0" w14:textId="77777777" w:rsidR="00347CB9" w:rsidRDefault="00347CB9" w:rsidP="00AD6F82">
            <w:pPr>
              <w:rPr>
                <w:lang w:val="en-GB"/>
              </w:rPr>
            </w:pPr>
            <w:r w:rsidRPr="000568C1">
              <w:rPr>
                <w:i/>
                <w:lang w:val="en-GB"/>
              </w:rPr>
              <w:t>N</w:t>
            </w:r>
            <w:r>
              <w:rPr>
                <w:lang w:val="en-GB"/>
              </w:rPr>
              <w:t xml:space="preserve">, </w:t>
            </w:r>
            <w:r w:rsidRPr="000568C1">
              <w:rPr>
                <w:i/>
                <w:lang w:val="en-GB"/>
              </w:rPr>
              <w:t>n</w:t>
            </w:r>
          </w:p>
        </w:tc>
        <w:tc>
          <w:tcPr>
            <w:tcW w:w="1620" w:type="dxa"/>
          </w:tcPr>
          <w:p w14:paraId="4C6A47A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3, 3</w:t>
            </w:r>
          </w:p>
        </w:tc>
        <w:tc>
          <w:tcPr>
            <w:tcW w:w="1530" w:type="dxa"/>
          </w:tcPr>
          <w:p w14:paraId="244BC28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3, 3</w:t>
            </w:r>
          </w:p>
        </w:tc>
        <w:tc>
          <w:tcPr>
            <w:tcW w:w="1530" w:type="dxa"/>
          </w:tcPr>
          <w:p w14:paraId="0971E433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710" w:type="dxa"/>
          </w:tcPr>
          <w:p w14:paraId="714C2C60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124F5364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60833C1C" w14:textId="77777777" w:rsidTr="00AD6F82">
        <w:tc>
          <w:tcPr>
            <w:tcW w:w="2155" w:type="dxa"/>
          </w:tcPr>
          <w:p w14:paraId="705E508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241DEC">
              <w:rPr>
                <w:rFonts w:cs="Times New Roman"/>
                <w:vertAlign w:val="subscript"/>
              </w:rPr>
              <w:t>τ</w:t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620" w:type="dxa"/>
          </w:tcPr>
          <w:p w14:paraId="6D43413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1387 (35)</w:t>
            </w:r>
          </w:p>
        </w:tc>
        <w:tc>
          <w:tcPr>
            <w:tcW w:w="1530" w:type="dxa"/>
          </w:tcPr>
          <w:p w14:paraId="482B0CB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7474 (73)</w:t>
            </w:r>
          </w:p>
        </w:tc>
        <w:tc>
          <w:tcPr>
            <w:tcW w:w="1530" w:type="dxa"/>
          </w:tcPr>
          <w:p w14:paraId="36949C6E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710" w:type="dxa"/>
          </w:tcPr>
          <w:p w14:paraId="7E4205C5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45E4404A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51459BFA" w14:textId="77777777" w:rsidTr="00AD6F82">
        <w:tc>
          <w:tcPr>
            <w:tcW w:w="2155" w:type="dxa"/>
          </w:tcPr>
          <w:p w14:paraId="25A5E73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241DEC">
              <w:rPr>
                <w:rFonts w:cs="Times New Roman"/>
                <w:vertAlign w:val="subscript"/>
              </w:rPr>
              <w:t>τ</w:t>
            </w:r>
            <w:r w:rsidDel="00093F1F">
              <w:rPr>
                <w:lang w:val="en-GB"/>
              </w:rPr>
              <w:t xml:space="preserve"> </w:t>
            </w:r>
            <w:r>
              <w:rPr>
                <w:lang w:val="en-GB"/>
              </w:rPr>
              <w:t>(dn)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h/mL/mg)</w:t>
            </w:r>
          </w:p>
        </w:tc>
        <w:tc>
          <w:tcPr>
            <w:tcW w:w="1620" w:type="dxa"/>
          </w:tcPr>
          <w:p w14:paraId="68A4428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55.49 (35)</w:t>
            </w:r>
          </w:p>
        </w:tc>
        <w:tc>
          <w:tcPr>
            <w:tcW w:w="1530" w:type="dxa"/>
          </w:tcPr>
          <w:p w14:paraId="0098560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49.80 (73)</w:t>
            </w:r>
          </w:p>
        </w:tc>
        <w:tc>
          <w:tcPr>
            <w:tcW w:w="1530" w:type="dxa"/>
          </w:tcPr>
          <w:p w14:paraId="6F2964D1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710" w:type="dxa"/>
          </w:tcPr>
          <w:p w14:paraId="220DA60E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00A83D55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4E5C4F3C" w14:textId="77777777" w:rsidTr="00AD6F82">
        <w:tc>
          <w:tcPr>
            <w:tcW w:w="2155" w:type="dxa"/>
          </w:tcPr>
          <w:p w14:paraId="767DA53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(ng/mL)</w:t>
            </w:r>
          </w:p>
        </w:tc>
        <w:tc>
          <w:tcPr>
            <w:tcW w:w="1620" w:type="dxa"/>
          </w:tcPr>
          <w:p w14:paraId="4D37A9F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149.2 (71)</w:t>
            </w:r>
          </w:p>
        </w:tc>
        <w:tc>
          <w:tcPr>
            <w:tcW w:w="1530" w:type="dxa"/>
          </w:tcPr>
          <w:p w14:paraId="6B8015C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760.0 (58)</w:t>
            </w:r>
          </w:p>
        </w:tc>
        <w:tc>
          <w:tcPr>
            <w:tcW w:w="1530" w:type="dxa"/>
          </w:tcPr>
          <w:p w14:paraId="2BCFBA0D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710" w:type="dxa"/>
          </w:tcPr>
          <w:p w14:paraId="5B2140E4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25C33F33" w14:textId="77777777" w:rsidR="00347CB9" w:rsidRDefault="00347CB9" w:rsidP="00AD6F82">
            <w:pPr>
              <w:rPr>
                <w:lang w:val="en-GB"/>
              </w:rPr>
            </w:pPr>
          </w:p>
        </w:tc>
      </w:tr>
      <w:tr w:rsidR="00347CB9" w14:paraId="11BEB4BB" w14:textId="77777777" w:rsidTr="00AD6F82">
        <w:tc>
          <w:tcPr>
            <w:tcW w:w="2155" w:type="dxa"/>
          </w:tcPr>
          <w:p w14:paraId="4658841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620" w:type="dxa"/>
          </w:tcPr>
          <w:p w14:paraId="4CD14C2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2.00</w:t>
            </w:r>
            <w:r>
              <w:rPr>
                <w:lang w:val="en-GB"/>
              </w:rPr>
              <w:br/>
              <w:t>(0.500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2.05)</w:t>
            </w:r>
          </w:p>
        </w:tc>
        <w:tc>
          <w:tcPr>
            <w:tcW w:w="1530" w:type="dxa"/>
          </w:tcPr>
          <w:p w14:paraId="1462C15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1.05</w:t>
            </w:r>
            <w:r>
              <w:rPr>
                <w:lang w:val="en-GB"/>
              </w:rPr>
              <w:br/>
              <w:t>(1.00</w:t>
            </w:r>
            <w:r>
              <w:rPr>
                <w:rFonts w:cs="Times New Roman"/>
                <w:lang w:val="en-GB"/>
              </w:rPr>
              <w:t>–</w:t>
            </w:r>
            <w:r>
              <w:rPr>
                <w:lang w:val="en-GB"/>
              </w:rPr>
              <w:t>3.00)</w:t>
            </w:r>
          </w:p>
        </w:tc>
        <w:tc>
          <w:tcPr>
            <w:tcW w:w="1530" w:type="dxa"/>
          </w:tcPr>
          <w:p w14:paraId="2BA10725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710" w:type="dxa"/>
          </w:tcPr>
          <w:p w14:paraId="5B9BE1AB" w14:textId="77777777" w:rsidR="00347CB9" w:rsidRDefault="00347CB9" w:rsidP="00AD6F82">
            <w:pPr>
              <w:rPr>
                <w:lang w:val="en-GB"/>
              </w:rPr>
            </w:pPr>
          </w:p>
        </w:tc>
        <w:tc>
          <w:tcPr>
            <w:tcW w:w="1620" w:type="dxa"/>
          </w:tcPr>
          <w:p w14:paraId="062D450D" w14:textId="77777777" w:rsidR="00347CB9" w:rsidRDefault="00347CB9" w:rsidP="00AD6F82">
            <w:pPr>
              <w:rPr>
                <w:lang w:val="en-GB"/>
              </w:rPr>
            </w:pPr>
          </w:p>
        </w:tc>
      </w:tr>
    </w:tbl>
    <w:p w14:paraId="5C281577" w14:textId="2AA5F36E" w:rsidR="00347CB9" w:rsidRDefault="00347CB9" w:rsidP="00347CB9">
      <w:pPr>
        <w:autoSpaceDE w:val="0"/>
        <w:autoSpaceDN w:val="0"/>
        <w:adjustRightInd w:val="0"/>
        <w:spacing w:line="240" w:lineRule="auto"/>
        <w:rPr>
          <w:lang w:val="en-GB"/>
        </w:rPr>
      </w:pPr>
      <w:r w:rsidRPr="00DF54C2">
        <w:rPr>
          <w:rFonts w:cs="Times New Roman"/>
          <w:vertAlign w:val="superscript"/>
          <w:lang w:val="en-GB"/>
        </w:rPr>
        <w:lastRenderedPageBreak/>
        <w:t>a</w:t>
      </w:r>
      <w:r>
        <w:rPr>
          <w:rFonts w:cs="Times New Roman"/>
          <w:vertAlign w:val="superscript"/>
          <w:lang w:val="en-GB"/>
        </w:rPr>
        <w:t> </w:t>
      </w:r>
      <w:r>
        <w:rPr>
          <w:rFonts w:cs="Times New Roman"/>
          <w:lang w:val="en-GB"/>
        </w:rPr>
        <w:t xml:space="preserve">Data are expressed as </w:t>
      </w:r>
      <w:r>
        <w:rPr>
          <w:lang w:val="en-GB"/>
        </w:rPr>
        <w:t>g</w:t>
      </w:r>
      <w:r w:rsidRPr="000F1C4E">
        <w:rPr>
          <w:lang w:val="en-GB"/>
        </w:rPr>
        <w:t xml:space="preserve">eometric mean (geometric %CV) for all </w:t>
      </w:r>
      <w:r>
        <w:rPr>
          <w:lang w:val="en-GB"/>
        </w:rPr>
        <w:t xml:space="preserve">parameters </w:t>
      </w:r>
      <w:r w:rsidRPr="000F1C4E">
        <w:rPr>
          <w:lang w:val="en-GB"/>
        </w:rPr>
        <w:t>except median (range) for T</w:t>
      </w:r>
      <w:r w:rsidRPr="000F1C4E">
        <w:rPr>
          <w:vertAlign w:val="subscript"/>
          <w:lang w:val="en-GB"/>
        </w:rPr>
        <w:t>max</w:t>
      </w:r>
      <w:r>
        <w:rPr>
          <w:lang w:val="en-GB"/>
        </w:rPr>
        <w:t xml:space="preserve"> and</w:t>
      </w:r>
      <w:r w:rsidRPr="000F1C4E">
        <w:rPr>
          <w:lang w:val="en-GB"/>
        </w:rPr>
        <w:t xml:space="preserve"> arithmetic mean </w:t>
      </w:r>
      <w:r w:rsidRPr="000F1C4E">
        <w:rPr>
          <w:rFonts w:hint="eastAsia"/>
          <w:lang w:val="en-GB"/>
        </w:rPr>
        <w:t>±</w:t>
      </w:r>
      <w:r w:rsidR="0021714A">
        <w:rPr>
          <w:rFonts w:hint="eastAsia"/>
          <w:lang w:val="en-GB"/>
        </w:rPr>
        <w:t xml:space="preserve"> </w:t>
      </w:r>
      <w:r>
        <w:rPr>
          <w:lang w:val="en-GB"/>
        </w:rPr>
        <w:t>SD</w:t>
      </w:r>
      <w:r w:rsidRPr="000F1C4E">
        <w:rPr>
          <w:lang w:val="en-GB"/>
        </w:rPr>
        <w:t xml:space="preserve"> for t</w:t>
      </w:r>
      <w:r w:rsidRPr="00FC7FA5">
        <w:rPr>
          <w:rFonts w:hint="eastAsia"/>
          <w:vertAlign w:val="subscript"/>
          <w:lang w:val="en-GB"/>
        </w:rPr>
        <w:t>½</w:t>
      </w:r>
      <w:r w:rsidRPr="000F1C4E">
        <w:rPr>
          <w:lang w:val="en-GB"/>
        </w:rPr>
        <w:t xml:space="preserve"> and</w:t>
      </w:r>
      <w:r>
        <w:rPr>
          <w:lang w:val="en-GB"/>
        </w:rPr>
        <w:t xml:space="preserve"> </w:t>
      </w:r>
      <w:r w:rsidRPr="000F1C4E">
        <w:rPr>
          <w:lang w:val="en-GB"/>
        </w:rPr>
        <w:t xml:space="preserve">MRT. The single observation was reported when </w:t>
      </w:r>
      <w:r w:rsidRPr="003A1FD0">
        <w:rPr>
          <w:i/>
          <w:iCs/>
          <w:lang w:val="en-GB"/>
        </w:rPr>
        <w:t>n</w:t>
      </w:r>
      <w:r>
        <w:rPr>
          <w:lang w:val="en-GB"/>
        </w:rPr>
        <w:t> </w:t>
      </w:r>
      <w:r w:rsidRPr="000F1C4E">
        <w:rPr>
          <w:lang w:val="en-GB"/>
        </w:rPr>
        <w:t>=</w:t>
      </w:r>
      <w:r>
        <w:rPr>
          <w:lang w:val="en-GB"/>
        </w:rPr>
        <w:t> </w:t>
      </w:r>
      <w:r w:rsidRPr="000F1C4E">
        <w:rPr>
          <w:lang w:val="en-GB"/>
        </w:rPr>
        <w:t xml:space="preserve">1 and the range was reported when </w:t>
      </w:r>
      <w:r w:rsidRPr="003A1FD0">
        <w:rPr>
          <w:i/>
          <w:iCs/>
          <w:lang w:val="en-GB"/>
        </w:rPr>
        <w:t>n</w:t>
      </w:r>
      <w:r>
        <w:rPr>
          <w:lang w:val="en-GB"/>
        </w:rPr>
        <w:t> </w:t>
      </w:r>
      <w:r w:rsidRPr="000F1C4E">
        <w:rPr>
          <w:lang w:val="en-GB"/>
        </w:rPr>
        <w:t>=</w:t>
      </w:r>
      <w:r>
        <w:rPr>
          <w:lang w:val="en-GB"/>
        </w:rPr>
        <w:t> </w:t>
      </w:r>
      <w:r w:rsidRPr="000F1C4E">
        <w:rPr>
          <w:lang w:val="en-GB"/>
        </w:rPr>
        <w:t>2</w:t>
      </w:r>
    </w:p>
    <w:p w14:paraId="08CC6487" w14:textId="77777777" w:rsidR="00347CB9" w:rsidRPr="00F04B6E" w:rsidRDefault="00347CB9" w:rsidP="00347CB9">
      <w:pPr>
        <w:autoSpaceDE w:val="0"/>
        <w:autoSpaceDN w:val="0"/>
        <w:adjustRightInd w:val="0"/>
        <w:spacing w:line="240" w:lineRule="auto"/>
        <w:rPr>
          <w:rFonts w:cs="Times New Roman"/>
          <w:lang w:val="en-GB"/>
        </w:rPr>
      </w:pPr>
      <w:r w:rsidRPr="00F04B6E">
        <w:rPr>
          <w:rFonts w:cs="Times New Roman"/>
          <w:vertAlign w:val="superscript"/>
        </w:rPr>
        <w:t>b</w:t>
      </w:r>
      <w:r>
        <w:rPr>
          <w:rFonts w:cs="Times New Roman"/>
          <w:vertAlign w:val="superscript"/>
        </w:rPr>
        <w:t> </w:t>
      </w:r>
      <w:r w:rsidRPr="00DF54C2">
        <w:rPr>
          <w:rFonts w:cs="Times New Roman"/>
        </w:rPr>
        <w:t xml:space="preserve">Because </w:t>
      </w:r>
      <w:r w:rsidRPr="00FC7FA5">
        <w:rPr>
          <w:rFonts w:cs="Times New Roman"/>
        </w:rPr>
        <w:t>midazolam</w:t>
      </w:r>
      <w:r w:rsidRPr="00DF54C2">
        <w:rPr>
          <w:rFonts w:cs="Times New Roman"/>
        </w:rPr>
        <w:t xml:space="preserve"> was administered on Day -7, pharmacokinetic data were not available at the Day </w:t>
      </w:r>
      <w:r>
        <w:rPr>
          <w:rFonts w:cs="Times New Roman"/>
          <w:lang w:val="en-GB"/>
        </w:rPr>
        <w:t>−</w:t>
      </w:r>
      <w:r w:rsidRPr="00DF54C2">
        <w:rPr>
          <w:rFonts w:cs="Times New Roman"/>
        </w:rPr>
        <w:t>7 timepoint for patients who were in the lorlatinib 25 mg QD and 150 mg QD dose groups.</w:t>
      </w:r>
    </w:p>
    <w:p w14:paraId="243950E8" w14:textId="77777777" w:rsidR="00347CB9" w:rsidRDefault="00347CB9" w:rsidP="00347CB9">
      <w:pPr>
        <w:autoSpaceDE w:val="0"/>
        <w:autoSpaceDN w:val="0"/>
        <w:adjustRightInd w:val="0"/>
        <w:spacing w:line="240" w:lineRule="auto"/>
        <w:rPr>
          <w:lang w:val="en-GB"/>
        </w:rPr>
      </w:pPr>
    </w:p>
    <w:p w14:paraId="45E1A128" w14:textId="77777777" w:rsidR="00347CB9" w:rsidRPr="000F1C4E" w:rsidRDefault="00347CB9" w:rsidP="00347CB9">
      <w:pPr>
        <w:autoSpaceDE w:val="0"/>
        <w:autoSpaceDN w:val="0"/>
        <w:adjustRightInd w:val="0"/>
        <w:spacing w:line="240" w:lineRule="auto"/>
        <w:rPr>
          <w:lang w:val="en-GB"/>
        </w:rPr>
      </w:pPr>
      <w:r w:rsidRPr="000F1C4E">
        <w:rPr>
          <w:lang w:val="en-GB"/>
        </w:rPr>
        <w:t xml:space="preserve">N = Number of patients in the treatment group; </w:t>
      </w:r>
      <w:r w:rsidRPr="003A1FD0">
        <w:rPr>
          <w:i/>
          <w:iCs/>
          <w:lang w:val="en-GB"/>
        </w:rPr>
        <w:t>n</w:t>
      </w:r>
      <w:r>
        <w:rPr>
          <w:lang w:val="en-GB"/>
        </w:rPr>
        <w:t> </w:t>
      </w:r>
      <w:r w:rsidRPr="000F1C4E">
        <w:rPr>
          <w:lang w:val="en-GB"/>
        </w:rPr>
        <w:t>=</w:t>
      </w:r>
      <w:r>
        <w:rPr>
          <w:lang w:val="en-GB"/>
        </w:rPr>
        <w:t> </w:t>
      </w:r>
      <w:r w:rsidRPr="000F1C4E">
        <w:rPr>
          <w:lang w:val="en-GB"/>
        </w:rPr>
        <w:t>number of patients where t</w:t>
      </w:r>
      <w:r w:rsidRPr="00FC7FA5">
        <w:rPr>
          <w:rFonts w:hint="eastAsia"/>
          <w:vertAlign w:val="subscript"/>
          <w:lang w:val="en-GB"/>
        </w:rPr>
        <w:t>½</w:t>
      </w:r>
      <w:r w:rsidRPr="000F1C4E">
        <w:rPr>
          <w:lang w:val="en-GB"/>
        </w:rPr>
        <w:t>, MRT, AUC</w:t>
      </w:r>
      <w:r w:rsidRPr="000B4978">
        <w:rPr>
          <w:vertAlign w:val="subscript"/>
          <w:lang w:val="en-GB"/>
        </w:rPr>
        <w:sym w:font="Symbol" w:char="F0A5"/>
      </w:r>
      <w:r w:rsidRPr="000F1C4E">
        <w:rPr>
          <w:lang w:val="en-GB"/>
        </w:rPr>
        <w:t>, CL/F and Vz/F were</w:t>
      </w:r>
      <w:r>
        <w:rPr>
          <w:lang w:val="en-GB"/>
        </w:rPr>
        <w:t xml:space="preserve"> </w:t>
      </w:r>
      <w:r w:rsidRPr="000F1C4E">
        <w:rPr>
          <w:lang w:val="en-GB"/>
        </w:rPr>
        <w:t>determined.</w:t>
      </w:r>
    </w:p>
    <w:p w14:paraId="7BF0634E" w14:textId="77777777" w:rsidR="00347CB9" w:rsidRDefault="00347CB9" w:rsidP="00347CB9">
      <w:pPr>
        <w:autoSpaceDE w:val="0"/>
        <w:autoSpaceDN w:val="0"/>
        <w:adjustRightInd w:val="0"/>
        <w:spacing w:line="240" w:lineRule="auto"/>
        <w:rPr>
          <w:i/>
          <w:lang w:val="en-GB"/>
        </w:rPr>
      </w:pPr>
    </w:p>
    <w:p w14:paraId="501E9721" w14:textId="7A58A4A9" w:rsidR="00347CB9" w:rsidRPr="00CC7E5A" w:rsidRDefault="00347CB9" w:rsidP="00347CB9">
      <w:pPr>
        <w:autoSpaceDE w:val="0"/>
        <w:autoSpaceDN w:val="0"/>
        <w:adjustRightInd w:val="0"/>
        <w:spacing w:line="240" w:lineRule="auto"/>
        <w:rPr>
          <w:rFonts w:ascii="TimesNewRoman" w:eastAsia="TimesNewRoman" w:cs="TimesNewRoman"/>
          <w:sz w:val="18"/>
          <w:szCs w:val="18"/>
        </w:rPr>
      </w:pPr>
      <w:r w:rsidRPr="000568C1">
        <w:rPr>
          <w:i/>
          <w:lang w:val="en-GB"/>
        </w:rPr>
        <w:t>AUC</w:t>
      </w:r>
      <w:r w:rsidRPr="00241DEC">
        <w:rPr>
          <w:rFonts w:cs="Times New Roman"/>
          <w:vertAlign w:val="subscript"/>
        </w:rPr>
        <w:t>τ</w:t>
      </w:r>
      <w:r>
        <w:rPr>
          <w:lang w:val="en-GB"/>
        </w:rPr>
        <w:t xml:space="preserve"> area under the concentration-time profile from time zero to time τ, the dosing interval, where </w:t>
      </w:r>
      <w:r w:rsidRPr="00FC7FA5">
        <w:rPr>
          <w:rFonts w:cs="Times New Roman"/>
        </w:rPr>
        <w:t>τ</w:t>
      </w:r>
      <w:r>
        <w:rPr>
          <w:lang w:val="en-GB"/>
        </w:rPr>
        <w:t xml:space="preserve"> = 12 or 24 h for BID or QD dosing, respectively; </w:t>
      </w:r>
      <w:r w:rsidRPr="000568C1">
        <w:rPr>
          <w:i/>
          <w:lang w:val="en-GB"/>
        </w:rPr>
        <w:t>AUC</w:t>
      </w:r>
      <w:r w:rsidRPr="000B4978">
        <w:rPr>
          <w:vertAlign w:val="subscript"/>
          <w:lang w:val="en-GB"/>
        </w:rPr>
        <w:sym w:font="Symbol" w:char="F0A5"/>
      </w:r>
      <w:r>
        <w:rPr>
          <w:lang w:val="en-GB"/>
        </w:rPr>
        <w:t xml:space="preserve"> </w:t>
      </w:r>
      <w:r w:rsidRPr="004C13C7">
        <w:rPr>
          <w:lang w:val="en-GB"/>
        </w:rPr>
        <w:t>area under the plasma concentration-time profile from time zero extrapolated to infinite time;</w:t>
      </w:r>
      <w:r>
        <w:rPr>
          <w:rFonts w:ascii="TimesNewRoman" w:eastAsia="TimesNewRoman" w:cs="TimesNewRoman"/>
          <w:sz w:val="18"/>
          <w:szCs w:val="18"/>
        </w:rPr>
        <w:t xml:space="preserve"> </w:t>
      </w:r>
      <w:r w:rsidRPr="000568C1">
        <w:rPr>
          <w:i/>
          <w:lang w:val="en-GB"/>
        </w:rPr>
        <w:t>BID</w:t>
      </w:r>
      <w:r>
        <w:rPr>
          <w:lang w:val="en-GB"/>
        </w:rPr>
        <w:t xml:space="preserve"> twice daily, </w:t>
      </w:r>
      <w:r w:rsidRPr="003D4086">
        <w:rPr>
          <w:i/>
          <w:iCs/>
          <w:lang w:val="en-GB"/>
        </w:rPr>
        <w:t>CL/F</w:t>
      </w:r>
      <w:r>
        <w:rPr>
          <w:lang w:val="en-GB"/>
        </w:rPr>
        <w:t xml:space="preserve"> apparent oral clearance at steady-state, </w:t>
      </w:r>
      <w:r w:rsidRPr="000568C1">
        <w:rPr>
          <w:i/>
          <w:lang w:val="en-GB"/>
        </w:rPr>
        <w:t>C</w:t>
      </w:r>
      <w:r w:rsidRPr="000568C1">
        <w:rPr>
          <w:i/>
          <w:vertAlign w:val="subscript"/>
          <w:lang w:val="en-GB"/>
        </w:rPr>
        <w:t>max</w:t>
      </w:r>
      <w:r>
        <w:rPr>
          <w:lang w:val="en-GB"/>
        </w:rPr>
        <w:t xml:space="preserve"> maximum observed plasma concentration, </w:t>
      </w:r>
      <w:r>
        <w:rPr>
          <w:i/>
          <w:lang w:val="en-GB"/>
        </w:rPr>
        <w:t>dn</w:t>
      </w:r>
      <w:r>
        <w:rPr>
          <w:lang w:val="en-GB"/>
        </w:rPr>
        <w:t xml:space="preserve"> dose normalized, </w:t>
      </w:r>
      <w:r w:rsidRPr="004C13C7">
        <w:rPr>
          <w:i/>
          <w:iCs/>
          <w:lang w:val="en-GB"/>
        </w:rPr>
        <w:t>MRT</w:t>
      </w:r>
      <w:r>
        <w:rPr>
          <w:lang w:val="en-GB"/>
        </w:rPr>
        <w:t xml:space="preserve"> mean residence time, </w:t>
      </w:r>
      <w:r w:rsidRPr="000568C1">
        <w:rPr>
          <w:i/>
          <w:lang w:val="en-GB"/>
        </w:rPr>
        <w:t>PK</w:t>
      </w:r>
      <w:r>
        <w:rPr>
          <w:lang w:val="en-GB"/>
        </w:rPr>
        <w:t xml:space="preserve"> pharmacokinetic, </w:t>
      </w:r>
      <w:r w:rsidRPr="00CC7E5A">
        <w:rPr>
          <w:i/>
          <w:iCs/>
          <w:lang w:val="en-GB"/>
        </w:rPr>
        <w:t>QD</w:t>
      </w:r>
      <w:r>
        <w:rPr>
          <w:lang w:val="en-GB"/>
        </w:rPr>
        <w:t xml:space="preserve"> once daily, </w:t>
      </w:r>
      <w:r>
        <w:rPr>
          <w:i/>
          <w:iCs/>
          <w:lang w:val="en-GB"/>
        </w:rPr>
        <w:t xml:space="preserve">SD </w:t>
      </w:r>
      <w:r>
        <w:rPr>
          <w:lang w:val="en-GB"/>
        </w:rPr>
        <w:t xml:space="preserve">standard deviation, </w:t>
      </w:r>
      <w:r w:rsidRPr="00CC7E5A">
        <w:rPr>
          <w:i/>
          <w:iCs/>
          <w:lang w:val="en-GB"/>
        </w:rPr>
        <w:t>t</w:t>
      </w:r>
      <w:r w:rsidRPr="00FC7FA5">
        <w:rPr>
          <w:rFonts w:cs="Times New Roman"/>
          <w:bCs/>
          <w:i/>
          <w:iCs/>
          <w:vertAlign w:val="subscript"/>
        </w:rPr>
        <w:t>½</w:t>
      </w:r>
      <w:r w:rsidRPr="00CC7E5A">
        <w:rPr>
          <w:i/>
          <w:iCs/>
          <w:lang w:val="en-GB"/>
        </w:rPr>
        <w:t xml:space="preserve"> </w:t>
      </w:r>
      <w:r>
        <w:rPr>
          <w:lang w:val="en-GB"/>
        </w:rPr>
        <w:t xml:space="preserve">terminal plasma half-life, </w:t>
      </w:r>
      <w:proofErr w:type="spellStart"/>
      <w:r w:rsidRPr="00CC7E5A">
        <w:rPr>
          <w:i/>
          <w:iCs/>
          <w:lang w:val="en-GB"/>
        </w:rPr>
        <w:t>T</w:t>
      </w:r>
      <w:r w:rsidRPr="00CC7E5A">
        <w:rPr>
          <w:i/>
          <w:iCs/>
          <w:vertAlign w:val="subscript"/>
          <w:lang w:val="en-GB"/>
        </w:rPr>
        <w:t>max</w:t>
      </w:r>
      <w:proofErr w:type="spellEnd"/>
      <w:r w:rsidRPr="00CC7E5A">
        <w:rPr>
          <w:i/>
          <w:iCs/>
          <w:lang w:val="en-GB"/>
        </w:rPr>
        <w:t xml:space="preserve"> </w:t>
      </w:r>
      <w:r>
        <w:rPr>
          <w:lang w:val="en-GB"/>
        </w:rPr>
        <w:t xml:space="preserve">time </w:t>
      </w:r>
      <w:r w:rsidR="0021714A">
        <w:rPr>
          <w:lang w:val="en-GB"/>
        </w:rPr>
        <w:t xml:space="preserve">to </w:t>
      </w:r>
      <w:proofErr w:type="spellStart"/>
      <w:r>
        <w:rPr>
          <w:lang w:val="en-GB"/>
        </w:rPr>
        <w:t>C</w:t>
      </w:r>
      <w:r w:rsidRPr="00CC7E5A">
        <w:rPr>
          <w:vertAlign w:val="subscript"/>
          <w:lang w:val="en-GB"/>
        </w:rPr>
        <w:t>max</w:t>
      </w:r>
      <w:proofErr w:type="spellEnd"/>
      <w:r>
        <w:rPr>
          <w:lang w:val="en-GB"/>
        </w:rPr>
        <w:t xml:space="preserve">, </w:t>
      </w:r>
      <w:proofErr w:type="spellStart"/>
      <w:r w:rsidRPr="003D4086">
        <w:rPr>
          <w:i/>
          <w:iCs/>
          <w:lang w:val="en-GB"/>
        </w:rPr>
        <w:t>V</w:t>
      </w:r>
      <w:r w:rsidRPr="003D4086">
        <w:rPr>
          <w:i/>
          <w:iCs/>
          <w:vertAlign w:val="subscript"/>
          <w:lang w:val="en-GB"/>
        </w:rPr>
        <w:t>z</w:t>
      </w:r>
      <w:proofErr w:type="spellEnd"/>
      <w:r w:rsidRPr="003D4086">
        <w:rPr>
          <w:i/>
          <w:iCs/>
          <w:lang w:val="en-GB"/>
        </w:rPr>
        <w:t>/F</w:t>
      </w:r>
      <w:r>
        <w:rPr>
          <w:lang w:val="en-GB"/>
        </w:rPr>
        <w:t xml:space="preserve"> apparent volume of distribution single dose</w:t>
      </w:r>
    </w:p>
    <w:p w14:paraId="4098A721" w14:textId="77777777" w:rsidR="00347CB9" w:rsidRDefault="00347CB9" w:rsidP="00347CB9"/>
    <w:p w14:paraId="3B50642C" w14:textId="77777777" w:rsidR="00347CB9" w:rsidRDefault="00347CB9" w:rsidP="00347CB9">
      <w:pPr>
        <w:sectPr w:rsidR="00347CB9">
          <w:pgSz w:w="11920" w:h="16840"/>
          <w:pgMar w:top="1400" w:right="1700" w:bottom="1400" w:left="1700" w:header="700" w:footer="700" w:gutter="0"/>
          <w:cols w:space="720"/>
          <w:docGrid w:linePitch="360"/>
        </w:sectPr>
      </w:pPr>
    </w:p>
    <w:p w14:paraId="161FB4E4" w14:textId="77777777" w:rsidR="00347CB9" w:rsidRPr="004F4E90" w:rsidRDefault="00347CB9" w:rsidP="00347CB9">
      <w:pPr>
        <w:pStyle w:val="Heading1"/>
        <w:numPr>
          <w:ilvl w:val="0"/>
          <w:numId w:val="0"/>
        </w:numPr>
        <w:ind w:left="360"/>
        <w:rPr>
          <w:b w:val="0"/>
          <w:bCs/>
          <w:lang w:val="en-GB"/>
        </w:rPr>
      </w:pPr>
      <w:bookmarkStart w:id="0" w:name="_Hlk55465403"/>
      <w:r>
        <w:rPr>
          <w:lang w:val="en-GB"/>
        </w:rPr>
        <w:lastRenderedPageBreak/>
        <w:t>Electronic Supplementary Table S2</w:t>
      </w:r>
      <w:r>
        <w:rPr>
          <w:b w:val="0"/>
          <w:lang w:val="en-GB"/>
        </w:rPr>
        <w:t xml:space="preserve"> </w:t>
      </w:r>
      <w:r w:rsidRPr="00FC7FA5">
        <w:rPr>
          <w:b w:val="0"/>
          <w:bCs/>
          <w:lang w:val="en-GB"/>
        </w:rPr>
        <w:t>Summary of trough concentration (ng/mL) of lorlatinib in patients with advanced NSCLC following administration of lorlatinib multiple oral doses (100 mg QD; phase II)</w:t>
      </w:r>
    </w:p>
    <w:tbl>
      <w:tblPr>
        <w:tblStyle w:val="TableGrid"/>
        <w:tblW w:w="0" w:type="auto"/>
        <w:tblInd w:w="-540" w:type="dxa"/>
        <w:tblLook w:val="04A0" w:firstRow="1" w:lastRow="0" w:firstColumn="1" w:lastColumn="0" w:noHBand="0" w:noVBand="1"/>
      </w:tblPr>
      <w:tblGrid>
        <w:gridCol w:w="1473"/>
        <w:gridCol w:w="823"/>
        <w:gridCol w:w="870"/>
        <w:gridCol w:w="795"/>
        <w:gridCol w:w="795"/>
        <w:gridCol w:w="795"/>
        <w:gridCol w:w="795"/>
        <w:gridCol w:w="795"/>
        <w:gridCol w:w="795"/>
        <w:gridCol w:w="839"/>
        <w:gridCol w:w="839"/>
        <w:gridCol w:w="839"/>
        <w:gridCol w:w="839"/>
        <w:gridCol w:w="839"/>
        <w:gridCol w:w="839"/>
      </w:tblGrid>
      <w:tr w:rsidR="00347CB9" w:rsidRPr="007E09E0" w14:paraId="1EE322E6" w14:textId="77777777" w:rsidTr="00AD6F82">
        <w:tc>
          <w:tcPr>
            <w:tcW w:w="1473" w:type="dxa"/>
            <w:vMerge w:val="restart"/>
            <w:shd w:val="clear" w:color="auto" w:fill="D9D9D9" w:themeFill="background1" w:themeFillShade="D9"/>
          </w:tcPr>
          <w:p w14:paraId="596B5E8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Subpopulation</w:t>
            </w:r>
          </w:p>
        </w:tc>
        <w:tc>
          <w:tcPr>
            <w:tcW w:w="11497" w:type="dxa"/>
            <w:gridSpan w:val="14"/>
            <w:shd w:val="clear" w:color="auto" w:fill="D9D9D9" w:themeFill="background1" w:themeFillShade="D9"/>
          </w:tcPr>
          <w:p w14:paraId="07172B41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Visit</w:t>
            </w:r>
          </w:p>
        </w:tc>
      </w:tr>
      <w:tr w:rsidR="00347CB9" w:rsidRPr="007E09E0" w14:paraId="5535EBD5" w14:textId="77777777" w:rsidTr="00AD6F82">
        <w:tc>
          <w:tcPr>
            <w:tcW w:w="1473" w:type="dxa"/>
            <w:vMerge/>
            <w:shd w:val="clear" w:color="auto" w:fill="D9D9D9" w:themeFill="background1" w:themeFillShade="D9"/>
          </w:tcPr>
          <w:p w14:paraId="0ABE9392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3" w:type="dxa"/>
            <w:shd w:val="clear" w:color="auto" w:fill="D9D9D9" w:themeFill="background1" w:themeFillShade="D9"/>
          </w:tcPr>
          <w:p w14:paraId="4C2FFC7D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C1D8</w:t>
            </w:r>
            <w:r w:rsidRPr="007E09E0">
              <w:rPr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870" w:type="dxa"/>
            <w:shd w:val="clear" w:color="auto" w:fill="D9D9D9" w:themeFill="background1" w:themeFillShade="D9"/>
          </w:tcPr>
          <w:p w14:paraId="67F626F1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C1D15</w:t>
            </w:r>
            <w:r w:rsidRPr="007E09E0">
              <w:rPr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6940DC17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C2D1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784857D0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C3D1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0A5DB144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C4D1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476623FE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C5D1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347F9A25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C6D1</w:t>
            </w:r>
          </w:p>
        </w:tc>
        <w:tc>
          <w:tcPr>
            <w:tcW w:w="795" w:type="dxa"/>
            <w:shd w:val="clear" w:color="auto" w:fill="D9D9D9" w:themeFill="background1" w:themeFillShade="D9"/>
          </w:tcPr>
          <w:p w14:paraId="1E49533D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C8D1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7E0AFDCF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C10D1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06B7E650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C12D1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580B4521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C14D1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4367FA6D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C16D1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06FEEF9C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C18D1</w:t>
            </w:r>
          </w:p>
        </w:tc>
        <w:tc>
          <w:tcPr>
            <w:tcW w:w="839" w:type="dxa"/>
            <w:shd w:val="clear" w:color="auto" w:fill="D9D9D9" w:themeFill="background1" w:themeFillShade="D9"/>
          </w:tcPr>
          <w:p w14:paraId="7D3AD623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E09E0">
              <w:rPr>
                <w:b/>
                <w:bCs/>
                <w:sz w:val="20"/>
                <w:szCs w:val="20"/>
                <w:lang w:val="en-GB"/>
              </w:rPr>
              <w:t>C20D1</w:t>
            </w:r>
          </w:p>
        </w:tc>
      </w:tr>
      <w:tr w:rsidR="00347CB9" w:rsidRPr="007E09E0" w14:paraId="2C933130" w14:textId="77777777" w:rsidTr="00AD6F82">
        <w:tc>
          <w:tcPr>
            <w:tcW w:w="12970" w:type="dxa"/>
            <w:gridSpan w:val="15"/>
          </w:tcPr>
          <w:p w14:paraId="10A5329B" w14:textId="77777777" w:rsidR="00347CB9" w:rsidRPr="007E09E0" w:rsidRDefault="00347CB9" w:rsidP="00AD6F8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Phase</w:t>
            </w:r>
            <w:r w:rsidRPr="007E09E0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>II</w:t>
            </w:r>
            <w:r w:rsidRPr="007E09E0">
              <w:rPr>
                <w:b/>
                <w:bCs/>
                <w:sz w:val="20"/>
                <w:szCs w:val="20"/>
                <w:lang w:val="en-GB"/>
              </w:rPr>
              <w:t xml:space="preserve"> and Japan LIC (</w:t>
            </w:r>
            <w:r w:rsidRPr="000568C1">
              <w:rPr>
                <w:b/>
                <w:bCs/>
                <w:i/>
                <w:sz w:val="20"/>
                <w:szCs w:val="20"/>
                <w:lang w:val="en-GB"/>
              </w:rPr>
              <w:t>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E09E0">
              <w:rPr>
                <w:b/>
                <w:bCs/>
                <w:sz w:val="20"/>
                <w:szCs w:val="20"/>
                <w:lang w:val="en-GB"/>
              </w:rPr>
              <w:t>=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E09E0">
              <w:rPr>
                <w:b/>
                <w:bCs/>
                <w:sz w:val="20"/>
                <w:szCs w:val="20"/>
                <w:lang w:val="en-GB"/>
              </w:rPr>
              <w:t>277)</w:t>
            </w:r>
          </w:p>
        </w:tc>
      </w:tr>
      <w:tr w:rsidR="00347CB9" w:rsidRPr="007E09E0" w14:paraId="48487F13" w14:textId="77777777" w:rsidTr="00AD6F82">
        <w:tc>
          <w:tcPr>
            <w:tcW w:w="1473" w:type="dxa"/>
          </w:tcPr>
          <w:p w14:paraId="25D2BFD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EXP-1</w:t>
            </w:r>
          </w:p>
        </w:tc>
        <w:tc>
          <w:tcPr>
            <w:tcW w:w="823" w:type="dxa"/>
          </w:tcPr>
          <w:p w14:paraId="2116D7A1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67.0</w:t>
            </w:r>
            <w:r>
              <w:rPr>
                <w:sz w:val="20"/>
                <w:szCs w:val="20"/>
                <w:lang w:val="en-GB"/>
              </w:rPr>
              <w:br/>
              <w:t>234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70" w:type="dxa"/>
          </w:tcPr>
          <w:p w14:paraId="045AEF4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70.0, 174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795" w:type="dxa"/>
          </w:tcPr>
          <w:p w14:paraId="2F99CAE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96.32 (57)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29</w:t>
            </w:r>
          </w:p>
        </w:tc>
        <w:tc>
          <w:tcPr>
            <w:tcW w:w="795" w:type="dxa"/>
          </w:tcPr>
          <w:p w14:paraId="3A092F5F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85.88 (51)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26</w:t>
            </w:r>
          </w:p>
        </w:tc>
        <w:tc>
          <w:tcPr>
            <w:tcW w:w="795" w:type="dxa"/>
          </w:tcPr>
          <w:p w14:paraId="0D6B1F3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79.68 (55)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28</w:t>
            </w:r>
          </w:p>
        </w:tc>
        <w:tc>
          <w:tcPr>
            <w:tcW w:w="795" w:type="dxa"/>
          </w:tcPr>
          <w:p w14:paraId="619A24D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86.25 (43)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28</w:t>
            </w:r>
          </w:p>
        </w:tc>
        <w:tc>
          <w:tcPr>
            <w:tcW w:w="795" w:type="dxa"/>
          </w:tcPr>
          <w:p w14:paraId="71839F4C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85.61 (51)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22</w:t>
            </w:r>
          </w:p>
        </w:tc>
        <w:tc>
          <w:tcPr>
            <w:tcW w:w="795" w:type="dxa"/>
          </w:tcPr>
          <w:p w14:paraId="61830EFC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81.88 (45)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21</w:t>
            </w:r>
          </w:p>
        </w:tc>
        <w:tc>
          <w:tcPr>
            <w:tcW w:w="839" w:type="dxa"/>
          </w:tcPr>
          <w:p w14:paraId="7BE2B46E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76.26 (52)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12</w:t>
            </w:r>
          </w:p>
        </w:tc>
        <w:tc>
          <w:tcPr>
            <w:tcW w:w="839" w:type="dxa"/>
          </w:tcPr>
          <w:p w14:paraId="4330ECD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46.43 (62)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7</w:t>
            </w:r>
          </w:p>
        </w:tc>
        <w:tc>
          <w:tcPr>
            <w:tcW w:w="839" w:type="dxa"/>
          </w:tcPr>
          <w:p w14:paraId="46FA471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71.94 (45)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7</w:t>
            </w:r>
          </w:p>
        </w:tc>
        <w:tc>
          <w:tcPr>
            <w:tcW w:w="839" w:type="dxa"/>
          </w:tcPr>
          <w:p w14:paraId="0A85776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82.87 (37)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39" w:type="dxa"/>
          </w:tcPr>
          <w:p w14:paraId="3D415EB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81.2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39" w:type="dxa"/>
          </w:tcPr>
          <w:p w14:paraId="0FDA645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57.8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</w:tr>
      <w:tr w:rsidR="00347CB9" w:rsidRPr="007E09E0" w14:paraId="60118059" w14:textId="77777777" w:rsidTr="00AD6F82">
        <w:tc>
          <w:tcPr>
            <w:tcW w:w="1473" w:type="dxa"/>
          </w:tcPr>
          <w:p w14:paraId="203FE67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EXP-2</w:t>
            </w:r>
          </w:p>
        </w:tc>
        <w:tc>
          <w:tcPr>
            <w:tcW w:w="823" w:type="dxa"/>
          </w:tcPr>
          <w:p w14:paraId="4E78AEDB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143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70" w:type="dxa"/>
          </w:tcPr>
          <w:p w14:paraId="06D8E2A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281.0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795" w:type="dxa"/>
          </w:tcPr>
          <w:p w14:paraId="497CB58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125.8 (60)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25</w:t>
            </w:r>
          </w:p>
        </w:tc>
        <w:tc>
          <w:tcPr>
            <w:tcW w:w="795" w:type="dxa"/>
          </w:tcPr>
          <w:p w14:paraId="504CDC1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99.06 (51)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25</w:t>
            </w:r>
          </w:p>
        </w:tc>
        <w:tc>
          <w:tcPr>
            <w:tcW w:w="795" w:type="dxa"/>
          </w:tcPr>
          <w:p w14:paraId="2FA4A60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94.95 (55)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24</w:t>
            </w:r>
          </w:p>
        </w:tc>
        <w:tc>
          <w:tcPr>
            <w:tcW w:w="795" w:type="dxa"/>
          </w:tcPr>
          <w:p w14:paraId="5A82AA3E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105.4 (46)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21</w:t>
            </w:r>
          </w:p>
        </w:tc>
        <w:tc>
          <w:tcPr>
            <w:tcW w:w="795" w:type="dxa"/>
          </w:tcPr>
          <w:p w14:paraId="61C9F9D8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99.87 (51)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18</w:t>
            </w:r>
          </w:p>
        </w:tc>
        <w:tc>
          <w:tcPr>
            <w:tcW w:w="795" w:type="dxa"/>
          </w:tcPr>
          <w:p w14:paraId="1C82ADD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62.48 (50)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13</w:t>
            </w:r>
          </w:p>
        </w:tc>
        <w:tc>
          <w:tcPr>
            <w:tcW w:w="839" w:type="dxa"/>
          </w:tcPr>
          <w:p w14:paraId="5C53A07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97.59 (92)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8</w:t>
            </w:r>
          </w:p>
        </w:tc>
        <w:tc>
          <w:tcPr>
            <w:tcW w:w="839" w:type="dxa"/>
          </w:tcPr>
          <w:p w14:paraId="0F3FD82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91.2, 169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39" w:type="dxa"/>
          </w:tcPr>
          <w:p w14:paraId="1F538791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75.0, 88.3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39" w:type="dxa"/>
          </w:tcPr>
          <w:p w14:paraId="628478C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60.9, 163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39" w:type="dxa"/>
          </w:tcPr>
          <w:p w14:paraId="0F1A3F7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2.84, 171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39" w:type="dxa"/>
          </w:tcPr>
          <w:p w14:paraId="7D02660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NC</w:t>
            </w:r>
          </w:p>
        </w:tc>
      </w:tr>
      <w:tr w:rsidR="00347CB9" w:rsidRPr="007E09E0" w14:paraId="699D7AEE" w14:textId="77777777" w:rsidTr="00AD6F82">
        <w:tc>
          <w:tcPr>
            <w:tcW w:w="1473" w:type="dxa"/>
          </w:tcPr>
          <w:p w14:paraId="1A75B3C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EXP-3</w:t>
            </w:r>
          </w:p>
        </w:tc>
        <w:tc>
          <w:tcPr>
            <w:tcW w:w="823" w:type="dxa"/>
          </w:tcPr>
          <w:p w14:paraId="307E537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103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70" w:type="dxa"/>
          </w:tcPr>
          <w:p w14:paraId="7954362B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16.5, 150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795" w:type="dxa"/>
          </w:tcPr>
          <w:p w14:paraId="2EAF1632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100.1 (51)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52</w:t>
            </w:r>
          </w:p>
        </w:tc>
        <w:tc>
          <w:tcPr>
            <w:tcW w:w="795" w:type="dxa"/>
          </w:tcPr>
          <w:p w14:paraId="0DF3385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98.02 (54)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51</w:t>
            </w:r>
          </w:p>
        </w:tc>
        <w:tc>
          <w:tcPr>
            <w:tcW w:w="795" w:type="dxa"/>
          </w:tcPr>
          <w:p w14:paraId="46C4E94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103.2 (44)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46</w:t>
            </w:r>
          </w:p>
        </w:tc>
        <w:tc>
          <w:tcPr>
            <w:tcW w:w="795" w:type="dxa"/>
          </w:tcPr>
          <w:p w14:paraId="0B3503F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90.37 (65)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38</w:t>
            </w:r>
          </w:p>
        </w:tc>
        <w:tc>
          <w:tcPr>
            <w:tcW w:w="795" w:type="dxa"/>
          </w:tcPr>
          <w:p w14:paraId="0BE5A15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85.49 (60)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34</w:t>
            </w:r>
          </w:p>
        </w:tc>
        <w:tc>
          <w:tcPr>
            <w:tcW w:w="795" w:type="dxa"/>
          </w:tcPr>
          <w:p w14:paraId="036AC66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74.45 (46)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24</w:t>
            </w:r>
          </w:p>
        </w:tc>
        <w:tc>
          <w:tcPr>
            <w:tcW w:w="839" w:type="dxa"/>
          </w:tcPr>
          <w:p w14:paraId="3249D0FB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88.19 (46)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19</w:t>
            </w:r>
          </w:p>
        </w:tc>
        <w:tc>
          <w:tcPr>
            <w:tcW w:w="839" w:type="dxa"/>
          </w:tcPr>
          <w:p w14:paraId="54E3012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100.6 (36)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11</w:t>
            </w:r>
          </w:p>
        </w:tc>
        <w:tc>
          <w:tcPr>
            <w:tcW w:w="839" w:type="dxa"/>
          </w:tcPr>
          <w:p w14:paraId="23B10CF1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113.1 (34)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10</w:t>
            </w:r>
          </w:p>
        </w:tc>
        <w:tc>
          <w:tcPr>
            <w:tcW w:w="839" w:type="dxa"/>
          </w:tcPr>
          <w:p w14:paraId="5A4A3B1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111.8 (44)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39" w:type="dxa"/>
          </w:tcPr>
          <w:p w14:paraId="6CCA9EE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123.4 (43)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</w:t>
            </w:r>
          </w:p>
        </w:tc>
        <w:tc>
          <w:tcPr>
            <w:tcW w:w="839" w:type="dxa"/>
          </w:tcPr>
          <w:p w14:paraId="343ED5D1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42.9, 163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</w:tr>
      <w:tr w:rsidR="00347CB9" w:rsidRPr="007E09E0" w14:paraId="5E940E5F" w14:textId="77777777" w:rsidTr="00AD6F82">
        <w:tc>
          <w:tcPr>
            <w:tcW w:w="1473" w:type="dxa"/>
          </w:tcPr>
          <w:p w14:paraId="5981EBA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EXP-4</w:t>
            </w:r>
          </w:p>
        </w:tc>
        <w:tc>
          <w:tcPr>
            <w:tcW w:w="823" w:type="dxa"/>
          </w:tcPr>
          <w:p w14:paraId="683A54C9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110.8 (22)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</w:t>
            </w:r>
          </w:p>
        </w:tc>
        <w:tc>
          <w:tcPr>
            <w:tcW w:w="870" w:type="dxa"/>
          </w:tcPr>
          <w:p w14:paraId="20D38B2C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102.6 (40)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795" w:type="dxa"/>
          </w:tcPr>
          <w:p w14:paraId="6E8EDCE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115.5 (57)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56</w:t>
            </w:r>
          </w:p>
        </w:tc>
        <w:tc>
          <w:tcPr>
            <w:tcW w:w="795" w:type="dxa"/>
          </w:tcPr>
          <w:p w14:paraId="79BD02B9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111.2 (51)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50</w:t>
            </w:r>
          </w:p>
        </w:tc>
        <w:tc>
          <w:tcPr>
            <w:tcW w:w="795" w:type="dxa"/>
          </w:tcPr>
          <w:p w14:paraId="631E62A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112.8 (41)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50</w:t>
            </w:r>
          </w:p>
        </w:tc>
        <w:tc>
          <w:tcPr>
            <w:tcW w:w="795" w:type="dxa"/>
          </w:tcPr>
          <w:p w14:paraId="1FBA71D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107.0 (40)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43</w:t>
            </w:r>
          </w:p>
        </w:tc>
        <w:tc>
          <w:tcPr>
            <w:tcW w:w="795" w:type="dxa"/>
          </w:tcPr>
          <w:p w14:paraId="4EAEE7A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109.8 (68)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33</w:t>
            </w:r>
          </w:p>
        </w:tc>
        <w:tc>
          <w:tcPr>
            <w:tcW w:w="795" w:type="dxa"/>
          </w:tcPr>
          <w:p w14:paraId="26FAC12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80.52 (83)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29</w:t>
            </w:r>
          </w:p>
        </w:tc>
        <w:tc>
          <w:tcPr>
            <w:tcW w:w="839" w:type="dxa"/>
          </w:tcPr>
          <w:p w14:paraId="7CCFA3F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78.73 (95)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28</w:t>
            </w:r>
          </w:p>
        </w:tc>
        <w:tc>
          <w:tcPr>
            <w:tcW w:w="839" w:type="dxa"/>
          </w:tcPr>
          <w:p w14:paraId="44D2358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109.0 (63)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20</w:t>
            </w:r>
          </w:p>
        </w:tc>
        <w:tc>
          <w:tcPr>
            <w:tcW w:w="839" w:type="dxa"/>
          </w:tcPr>
          <w:p w14:paraId="4F5CBDE2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113.5 (62)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13</w:t>
            </w:r>
          </w:p>
        </w:tc>
        <w:tc>
          <w:tcPr>
            <w:tcW w:w="839" w:type="dxa"/>
          </w:tcPr>
          <w:p w14:paraId="33ED5D4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92.80 (33)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39" w:type="dxa"/>
          </w:tcPr>
          <w:p w14:paraId="341FF59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69.55 (53)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39" w:type="dxa"/>
          </w:tcPr>
          <w:p w14:paraId="491C527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NC</w:t>
            </w:r>
          </w:p>
        </w:tc>
      </w:tr>
      <w:tr w:rsidR="00347CB9" w:rsidRPr="007E09E0" w14:paraId="32811D5D" w14:textId="77777777" w:rsidTr="00AD6F82">
        <w:tc>
          <w:tcPr>
            <w:tcW w:w="1473" w:type="dxa"/>
          </w:tcPr>
          <w:p w14:paraId="70F8315E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EXP-5</w:t>
            </w:r>
          </w:p>
        </w:tc>
        <w:tc>
          <w:tcPr>
            <w:tcW w:w="823" w:type="dxa"/>
          </w:tcPr>
          <w:p w14:paraId="7C8AE1B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116.2 (28)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70" w:type="dxa"/>
          </w:tcPr>
          <w:p w14:paraId="77018849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115.6 (25)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795" w:type="dxa"/>
          </w:tcPr>
          <w:p w14:paraId="10D646E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120.2 (83)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42</w:t>
            </w:r>
          </w:p>
        </w:tc>
        <w:tc>
          <w:tcPr>
            <w:tcW w:w="795" w:type="dxa"/>
          </w:tcPr>
          <w:p w14:paraId="076A61B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95.28 (45)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36</w:t>
            </w:r>
          </w:p>
        </w:tc>
        <w:tc>
          <w:tcPr>
            <w:tcW w:w="795" w:type="dxa"/>
          </w:tcPr>
          <w:p w14:paraId="1734390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101.8 (37)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35</w:t>
            </w:r>
          </w:p>
        </w:tc>
        <w:tc>
          <w:tcPr>
            <w:tcW w:w="795" w:type="dxa"/>
          </w:tcPr>
          <w:p w14:paraId="497C58D8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103.8 (47)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32</w:t>
            </w:r>
          </w:p>
        </w:tc>
        <w:tc>
          <w:tcPr>
            <w:tcW w:w="795" w:type="dxa"/>
          </w:tcPr>
          <w:p w14:paraId="4269431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75.44 (59)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28</w:t>
            </w:r>
          </w:p>
        </w:tc>
        <w:tc>
          <w:tcPr>
            <w:tcW w:w="795" w:type="dxa"/>
          </w:tcPr>
          <w:p w14:paraId="5B4097E9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85.08 (55)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22</w:t>
            </w:r>
          </w:p>
        </w:tc>
        <w:tc>
          <w:tcPr>
            <w:tcW w:w="839" w:type="dxa"/>
          </w:tcPr>
          <w:p w14:paraId="5810A07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86.96 (63)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8</w:t>
            </w:r>
          </w:p>
        </w:tc>
        <w:tc>
          <w:tcPr>
            <w:tcW w:w="839" w:type="dxa"/>
          </w:tcPr>
          <w:p w14:paraId="10E8880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87.38 (46)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39" w:type="dxa"/>
          </w:tcPr>
          <w:p w14:paraId="43B7B1D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97.31 (61)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</w:t>
            </w:r>
          </w:p>
        </w:tc>
        <w:tc>
          <w:tcPr>
            <w:tcW w:w="839" w:type="dxa"/>
          </w:tcPr>
          <w:p w14:paraId="792D4BA8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(67.5, 116)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39" w:type="dxa"/>
          </w:tcPr>
          <w:p w14:paraId="59BC56B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138.5 (42)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839" w:type="dxa"/>
          </w:tcPr>
          <w:p w14:paraId="2958109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(85.8, 105)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</w:tr>
      <w:tr w:rsidR="00347CB9" w:rsidRPr="007E09E0" w14:paraId="46B12406" w14:textId="77777777" w:rsidTr="00AD6F82">
        <w:tc>
          <w:tcPr>
            <w:tcW w:w="1473" w:type="dxa"/>
          </w:tcPr>
          <w:p w14:paraId="1E504E9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EXP-6</w:t>
            </w:r>
          </w:p>
        </w:tc>
        <w:tc>
          <w:tcPr>
            <w:tcW w:w="823" w:type="dxa"/>
          </w:tcPr>
          <w:p w14:paraId="09E35CC9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87.80 (45)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6</w:t>
            </w:r>
          </w:p>
        </w:tc>
        <w:tc>
          <w:tcPr>
            <w:tcW w:w="870" w:type="dxa"/>
          </w:tcPr>
          <w:p w14:paraId="726B366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177.2 (95)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5</w:t>
            </w:r>
          </w:p>
        </w:tc>
        <w:tc>
          <w:tcPr>
            <w:tcW w:w="795" w:type="dxa"/>
          </w:tcPr>
          <w:p w14:paraId="1612EDC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117.4 (48)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41</w:t>
            </w:r>
          </w:p>
        </w:tc>
        <w:tc>
          <w:tcPr>
            <w:tcW w:w="795" w:type="dxa"/>
          </w:tcPr>
          <w:p w14:paraId="6F38B58B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92.64 (55)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40</w:t>
            </w:r>
          </w:p>
        </w:tc>
        <w:tc>
          <w:tcPr>
            <w:tcW w:w="795" w:type="dxa"/>
          </w:tcPr>
          <w:p w14:paraId="6D9995EC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81.25 (52)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35</w:t>
            </w:r>
          </w:p>
        </w:tc>
        <w:tc>
          <w:tcPr>
            <w:tcW w:w="795" w:type="dxa"/>
          </w:tcPr>
          <w:p w14:paraId="3819657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91.01 (73)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34</w:t>
            </w:r>
          </w:p>
        </w:tc>
        <w:tc>
          <w:tcPr>
            <w:tcW w:w="795" w:type="dxa"/>
          </w:tcPr>
          <w:p w14:paraId="41563AE8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105.9 (54)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23</w:t>
            </w:r>
          </w:p>
        </w:tc>
        <w:tc>
          <w:tcPr>
            <w:tcW w:w="795" w:type="dxa"/>
          </w:tcPr>
          <w:p w14:paraId="241EA45C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81.97 (68)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22</w:t>
            </w:r>
          </w:p>
        </w:tc>
        <w:tc>
          <w:tcPr>
            <w:tcW w:w="839" w:type="dxa"/>
          </w:tcPr>
          <w:p w14:paraId="46941B3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106.0 (42)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13</w:t>
            </w:r>
          </w:p>
        </w:tc>
        <w:tc>
          <w:tcPr>
            <w:tcW w:w="839" w:type="dxa"/>
          </w:tcPr>
          <w:p w14:paraId="3AE5C761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119.1 (87)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11</w:t>
            </w:r>
          </w:p>
        </w:tc>
        <w:tc>
          <w:tcPr>
            <w:tcW w:w="839" w:type="dxa"/>
          </w:tcPr>
          <w:p w14:paraId="1C1EB46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99.35 (41)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9</w:t>
            </w:r>
          </w:p>
        </w:tc>
        <w:tc>
          <w:tcPr>
            <w:tcW w:w="839" w:type="dxa"/>
          </w:tcPr>
          <w:p w14:paraId="60FA7C1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105.2 (30)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8</w:t>
            </w:r>
          </w:p>
        </w:tc>
        <w:tc>
          <w:tcPr>
            <w:tcW w:w="839" w:type="dxa"/>
          </w:tcPr>
          <w:p w14:paraId="0476BD6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93.47 (40)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4</w:t>
            </w:r>
          </w:p>
        </w:tc>
        <w:tc>
          <w:tcPr>
            <w:tcW w:w="839" w:type="dxa"/>
          </w:tcPr>
          <w:p w14:paraId="5A4C9306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85.12 (50)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</w:tr>
      <w:tr w:rsidR="00347CB9" w:rsidRPr="007E09E0" w14:paraId="393582AF" w14:textId="77777777" w:rsidTr="00AD6F82">
        <w:tc>
          <w:tcPr>
            <w:tcW w:w="1473" w:type="dxa"/>
          </w:tcPr>
          <w:p w14:paraId="14BFC1A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Japan LIC</w:t>
            </w:r>
          </w:p>
        </w:tc>
        <w:tc>
          <w:tcPr>
            <w:tcW w:w="823" w:type="dxa"/>
          </w:tcPr>
          <w:p w14:paraId="1B75552D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135.5 (54)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870" w:type="dxa"/>
          </w:tcPr>
          <w:p w14:paraId="7F515E95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137.5 (55)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795" w:type="dxa"/>
          </w:tcPr>
          <w:p w14:paraId="6FA6860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126.7 (42)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795" w:type="dxa"/>
          </w:tcPr>
          <w:p w14:paraId="62704C7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123.8 (31)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795" w:type="dxa"/>
          </w:tcPr>
          <w:p w14:paraId="0931C181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105.3 (53)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795" w:type="dxa"/>
          </w:tcPr>
          <w:p w14:paraId="54D930A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90.49 (50)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795" w:type="dxa"/>
          </w:tcPr>
          <w:p w14:paraId="2B2C58C0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85.67 (60)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3</w:t>
            </w:r>
          </w:p>
        </w:tc>
        <w:tc>
          <w:tcPr>
            <w:tcW w:w="795" w:type="dxa"/>
          </w:tcPr>
          <w:p w14:paraId="5F558EAC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38.0, 78.7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2</w:t>
            </w:r>
          </w:p>
        </w:tc>
        <w:tc>
          <w:tcPr>
            <w:tcW w:w="839" w:type="dxa"/>
          </w:tcPr>
          <w:p w14:paraId="704F3CEA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41.70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39" w:type="dxa"/>
          </w:tcPr>
          <w:p w14:paraId="2AE0D472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36.70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39" w:type="dxa"/>
          </w:tcPr>
          <w:p w14:paraId="0E42E193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56.00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39" w:type="dxa"/>
          </w:tcPr>
          <w:p w14:paraId="36D474CF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53.80</w:t>
            </w:r>
            <w:r>
              <w:rPr>
                <w:sz w:val="20"/>
                <w:szCs w:val="20"/>
                <w:lang w:val="en-GB"/>
              </w:rPr>
              <w:br/>
            </w:r>
            <w:r w:rsidRPr="000568C1">
              <w:rPr>
                <w:i/>
                <w:sz w:val="20"/>
                <w:szCs w:val="20"/>
                <w:lang w:val="en-GB"/>
              </w:rPr>
              <w:t>n</w:t>
            </w:r>
            <w:r>
              <w:rPr>
                <w:sz w:val="20"/>
                <w:szCs w:val="20"/>
                <w:lang w:val="en-GB"/>
              </w:rPr>
              <w:t xml:space="preserve"> = 1</w:t>
            </w:r>
          </w:p>
        </w:tc>
        <w:tc>
          <w:tcPr>
            <w:tcW w:w="839" w:type="dxa"/>
          </w:tcPr>
          <w:p w14:paraId="0F91E9B7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NC</w:t>
            </w:r>
          </w:p>
        </w:tc>
        <w:tc>
          <w:tcPr>
            <w:tcW w:w="839" w:type="dxa"/>
          </w:tcPr>
          <w:p w14:paraId="6BBFD404" w14:textId="77777777" w:rsidR="00347CB9" w:rsidRPr="007E09E0" w:rsidRDefault="00347CB9" w:rsidP="00AD6F8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NC</w:t>
            </w:r>
          </w:p>
        </w:tc>
      </w:tr>
    </w:tbl>
    <w:p w14:paraId="2BA85503" w14:textId="6B7CD294" w:rsidR="00347CB9" w:rsidRPr="00100744" w:rsidRDefault="00347CB9" w:rsidP="00347CB9">
      <w:pPr>
        <w:spacing w:line="276" w:lineRule="auto"/>
      </w:pPr>
      <w:r>
        <w:rPr>
          <w:lang w:val="en-GB"/>
        </w:rPr>
        <w:t xml:space="preserve">Individual values are presented where </w:t>
      </w:r>
      <w:r w:rsidRPr="000568C1">
        <w:rPr>
          <w:i/>
          <w:lang w:val="en-GB"/>
        </w:rPr>
        <w:t>n</w:t>
      </w:r>
      <w:r>
        <w:rPr>
          <w:lang w:val="en-GB"/>
        </w:rPr>
        <w:t xml:space="preserve"> ≤ 2. Geometric means (%CV) are presented where </w:t>
      </w:r>
      <w:r w:rsidRPr="000568C1">
        <w:rPr>
          <w:i/>
          <w:lang w:val="en-GB"/>
        </w:rPr>
        <w:t>n</w:t>
      </w:r>
      <w:r>
        <w:rPr>
          <w:lang w:val="en-GB"/>
        </w:rPr>
        <w:t xml:space="preserve"> &gt; 2</w:t>
      </w:r>
    </w:p>
    <w:p w14:paraId="73D230C6" w14:textId="652EAAD4" w:rsidR="00347CB9" w:rsidRDefault="00347CB9" w:rsidP="00100744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>a </w:t>
      </w:r>
      <w:r>
        <w:rPr>
          <w:lang w:val="en-GB"/>
        </w:rPr>
        <w:t>C1D8 and C1D15 pharmacokinetics were only collected in a subset of patients</w:t>
      </w:r>
    </w:p>
    <w:p w14:paraId="4A5C6E6B" w14:textId="77777777" w:rsidR="00100744" w:rsidRDefault="00100744" w:rsidP="00100744">
      <w:pPr>
        <w:spacing w:line="240" w:lineRule="auto"/>
      </w:pPr>
    </w:p>
    <w:p w14:paraId="4DA7F8F4" w14:textId="236DF549" w:rsidR="00347CB9" w:rsidRPr="00100744" w:rsidRDefault="00347CB9" w:rsidP="00347CB9">
      <w:pPr>
        <w:spacing w:line="276" w:lineRule="auto"/>
        <w:rPr>
          <w:lang w:val="en-GB"/>
        </w:rPr>
      </w:pPr>
      <w:r w:rsidRPr="000568C1">
        <w:rPr>
          <w:i/>
          <w:lang w:val="en-GB"/>
        </w:rPr>
        <w:t>N</w:t>
      </w:r>
      <w:r>
        <w:rPr>
          <w:lang w:val="en-GB"/>
        </w:rPr>
        <w:t xml:space="preserve"> number of patients who had at least one concentration of lorlatinib, </w:t>
      </w:r>
      <w:r w:rsidRPr="000568C1">
        <w:rPr>
          <w:i/>
          <w:lang w:val="en-GB"/>
        </w:rPr>
        <w:t>n</w:t>
      </w:r>
      <w:r>
        <w:rPr>
          <w:lang w:val="en-GB"/>
        </w:rPr>
        <w:t xml:space="preserve"> number of observations, </w:t>
      </w:r>
      <w:r w:rsidRPr="000568C1">
        <w:rPr>
          <w:i/>
          <w:lang w:val="en-GB"/>
        </w:rPr>
        <w:t>C</w:t>
      </w:r>
      <w:r>
        <w:rPr>
          <w:lang w:val="en-GB"/>
        </w:rPr>
        <w:t xml:space="preserve"> Cycle, </w:t>
      </w:r>
      <w:r w:rsidRPr="0029251E">
        <w:rPr>
          <w:i/>
          <w:iCs/>
          <w:lang w:val="en-GB"/>
        </w:rPr>
        <w:t>CV</w:t>
      </w:r>
      <w:r>
        <w:rPr>
          <w:lang w:val="en-GB"/>
        </w:rPr>
        <w:t xml:space="preserve"> coefficient of variation, </w:t>
      </w:r>
      <w:r w:rsidR="00100744">
        <w:rPr>
          <w:lang w:val="en-GB"/>
        </w:rPr>
        <w:br/>
      </w:r>
      <w:r w:rsidRPr="000568C1">
        <w:rPr>
          <w:i/>
          <w:lang w:val="en-GB"/>
        </w:rPr>
        <w:t>D</w:t>
      </w:r>
      <w:r>
        <w:rPr>
          <w:lang w:val="en-GB"/>
        </w:rPr>
        <w:t xml:space="preserve"> Day, </w:t>
      </w:r>
      <w:r w:rsidRPr="0051591A">
        <w:rPr>
          <w:i/>
          <w:iCs/>
          <w:lang w:val="en-GB"/>
        </w:rPr>
        <w:t>EXP</w:t>
      </w:r>
      <w:r>
        <w:rPr>
          <w:lang w:val="en-GB"/>
        </w:rPr>
        <w:t xml:space="preserve"> expansion cohort, </w:t>
      </w:r>
      <w:r w:rsidRPr="000568C1">
        <w:rPr>
          <w:i/>
          <w:lang w:val="en-GB"/>
        </w:rPr>
        <w:t>Japan LIC</w:t>
      </w:r>
      <w:r>
        <w:rPr>
          <w:lang w:val="en-GB"/>
        </w:rPr>
        <w:t xml:space="preserve"> Japanese patient only lead-in cohort, </w:t>
      </w:r>
      <w:r w:rsidRPr="000568C1">
        <w:rPr>
          <w:i/>
          <w:lang w:val="en-GB"/>
        </w:rPr>
        <w:t>NA</w:t>
      </w:r>
      <w:r>
        <w:rPr>
          <w:lang w:val="en-GB"/>
        </w:rPr>
        <w:t xml:space="preserve"> not applicable,</w:t>
      </w:r>
      <w:r w:rsidRPr="000568C1">
        <w:rPr>
          <w:i/>
          <w:lang w:val="en-GB"/>
        </w:rPr>
        <w:t xml:space="preserve"> NC</w:t>
      </w:r>
      <w:r>
        <w:rPr>
          <w:lang w:val="en-GB"/>
        </w:rPr>
        <w:t xml:space="preserve"> not collected, </w:t>
      </w:r>
      <w:r w:rsidRPr="000568C1">
        <w:rPr>
          <w:i/>
          <w:lang w:val="en-GB"/>
        </w:rPr>
        <w:t>QD</w:t>
      </w:r>
      <w:r>
        <w:rPr>
          <w:lang w:val="en-GB"/>
        </w:rPr>
        <w:t xml:space="preserve"> once daily</w:t>
      </w:r>
      <w:bookmarkEnd w:id="0"/>
    </w:p>
    <w:p w14:paraId="40068806" w14:textId="77777777" w:rsidR="00347CB9" w:rsidRDefault="00347CB9" w:rsidP="00347CB9">
      <w:pPr>
        <w:spacing w:line="276" w:lineRule="auto"/>
        <w:sectPr w:rsidR="00347CB9" w:rsidSect="00333C95">
          <w:pgSz w:w="15840" w:h="12240" w:orient="landscape"/>
          <w:pgMar w:top="1400" w:right="1700" w:bottom="1400" w:left="1700" w:header="700" w:footer="700" w:gutter="0"/>
          <w:cols w:space="720"/>
          <w:docGrid w:linePitch="360"/>
        </w:sectPr>
      </w:pPr>
    </w:p>
    <w:p w14:paraId="559D30C9" w14:textId="77777777" w:rsidR="00347CB9" w:rsidRPr="00FC7FA5" w:rsidRDefault="00347CB9" w:rsidP="00347CB9">
      <w:pPr>
        <w:pStyle w:val="Heading1"/>
        <w:numPr>
          <w:ilvl w:val="0"/>
          <w:numId w:val="0"/>
        </w:numPr>
        <w:ind w:left="360"/>
        <w:rPr>
          <w:b w:val="0"/>
          <w:bCs/>
          <w:lang w:val="en-GB"/>
        </w:rPr>
      </w:pPr>
      <w:r>
        <w:rPr>
          <w:lang w:val="en-GB"/>
        </w:rPr>
        <w:lastRenderedPageBreak/>
        <w:t xml:space="preserve">Electronic Supplementary Table S3 </w:t>
      </w:r>
      <w:r w:rsidRPr="00FC7FA5">
        <w:rPr>
          <w:b w:val="0"/>
          <w:bCs/>
          <w:lang w:val="en-GB"/>
        </w:rPr>
        <w:t>Descriptive summary of plasma midazolam pharmacokinetic parameters following a single oral 2</w:t>
      </w:r>
      <w:r w:rsidRPr="00FC7FA5">
        <w:rPr>
          <w:b w:val="0"/>
          <w:bCs/>
        </w:rPr>
        <w:t>-</w:t>
      </w:r>
      <w:r w:rsidRPr="00FC7FA5">
        <w:rPr>
          <w:b w:val="0"/>
          <w:bCs/>
          <w:lang w:val="en-GB"/>
        </w:rPr>
        <w:t>mg dose alone and in the presence of lorlatinib (25 mg QD or 150 mg QD)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115"/>
        <w:gridCol w:w="1952"/>
        <w:gridCol w:w="2048"/>
        <w:gridCol w:w="1980"/>
        <w:gridCol w:w="1980"/>
      </w:tblGrid>
      <w:tr w:rsidR="00347CB9" w14:paraId="0382936D" w14:textId="77777777" w:rsidTr="00AD6F82">
        <w:tc>
          <w:tcPr>
            <w:tcW w:w="2115" w:type="dxa"/>
            <w:vMerge w:val="restar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A656A5C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 w:rsidRPr="002077F5">
              <w:rPr>
                <w:b/>
                <w:bCs/>
                <w:lang w:val="en-GB"/>
              </w:rPr>
              <w:t xml:space="preserve">Parameter </w:t>
            </w:r>
            <w:r>
              <w:rPr>
                <w:b/>
                <w:bCs/>
                <w:lang w:val="en-GB"/>
              </w:rPr>
              <w:t>(</w:t>
            </w:r>
            <w:r w:rsidRPr="002077F5">
              <w:rPr>
                <w:b/>
                <w:bCs/>
                <w:lang w:val="en-GB"/>
              </w:rPr>
              <w:t>units</w:t>
            </w:r>
            <w:r>
              <w:rPr>
                <w:b/>
                <w:bCs/>
                <w:lang w:val="en-GB"/>
              </w:rPr>
              <w:t>)</w:t>
            </w:r>
          </w:p>
        </w:tc>
        <w:tc>
          <w:tcPr>
            <w:tcW w:w="796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AE0F01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 w:rsidRPr="002077F5">
              <w:rPr>
                <w:b/>
                <w:bCs/>
                <w:lang w:val="en-GB"/>
              </w:rPr>
              <w:t>Parameter summary statistics</w:t>
            </w:r>
            <w:r w:rsidRPr="002077F5">
              <w:rPr>
                <w:b/>
                <w:bCs/>
                <w:vertAlign w:val="superscript"/>
                <w:lang w:val="en-GB"/>
              </w:rPr>
              <w:t>a</w:t>
            </w:r>
            <w:r w:rsidRPr="002077F5">
              <w:rPr>
                <w:b/>
                <w:bCs/>
                <w:lang w:val="en-GB"/>
              </w:rPr>
              <w:t xml:space="preserve"> by</w:t>
            </w:r>
            <w:r>
              <w:rPr>
                <w:b/>
                <w:bCs/>
                <w:lang w:val="en-GB"/>
              </w:rPr>
              <w:t xml:space="preserve"> treatment</w:t>
            </w:r>
          </w:p>
        </w:tc>
      </w:tr>
      <w:tr w:rsidR="00347CB9" w14:paraId="00245907" w14:textId="77777777" w:rsidTr="00AD6F82">
        <w:tc>
          <w:tcPr>
            <w:tcW w:w="21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35E6C07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</w:p>
        </w:tc>
        <w:tc>
          <w:tcPr>
            <w:tcW w:w="40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63218F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Day </w:t>
            </w:r>
            <w:r>
              <w:rPr>
                <w:rFonts w:cs="Times New Roman"/>
                <w:lang w:val="en-GB"/>
              </w:rPr>
              <w:t>−</w:t>
            </w:r>
            <w:r>
              <w:rPr>
                <w:b/>
                <w:bCs/>
                <w:lang w:val="en-GB"/>
              </w:rPr>
              <w:t>7 Lead-in (alone)</w:t>
            </w:r>
          </w:p>
        </w:tc>
        <w:tc>
          <w:tcPr>
            <w:tcW w:w="39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0B3CB3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Cycle 1 Day 15 (with lorlatinib)</w:t>
            </w:r>
          </w:p>
        </w:tc>
      </w:tr>
      <w:tr w:rsidR="00347CB9" w14:paraId="2374E1A3" w14:textId="77777777" w:rsidTr="00AD6F82">
        <w:tc>
          <w:tcPr>
            <w:tcW w:w="21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D78054A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</w:p>
        </w:tc>
        <w:tc>
          <w:tcPr>
            <w:tcW w:w="19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06F8DA6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25 mg QD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299F020" w14:textId="77777777" w:rsidR="00347CB9" w:rsidRPr="002077F5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150 mg QD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69DF156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25 mg QD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4057CB" w14:textId="77777777" w:rsidR="00347CB9" w:rsidRDefault="00347CB9" w:rsidP="00AD6F8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150 mg QD</w:t>
            </w:r>
          </w:p>
        </w:tc>
      </w:tr>
      <w:tr w:rsidR="00347CB9" w14:paraId="66542CD6" w14:textId="77777777" w:rsidTr="00AD6F82">
        <w:tc>
          <w:tcPr>
            <w:tcW w:w="2115" w:type="dxa"/>
            <w:tcBorders>
              <w:top w:val="single" w:sz="12" w:space="0" w:color="auto"/>
            </w:tcBorders>
          </w:tcPr>
          <w:p w14:paraId="5600EA5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N, n</w:t>
            </w:r>
          </w:p>
        </w:tc>
        <w:tc>
          <w:tcPr>
            <w:tcW w:w="1952" w:type="dxa"/>
            <w:tcBorders>
              <w:top w:val="single" w:sz="12" w:space="0" w:color="auto"/>
            </w:tcBorders>
          </w:tcPr>
          <w:p w14:paraId="7C2B6B1D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3, 3</w:t>
            </w:r>
          </w:p>
        </w:tc>
        <w:tc>
          <w:tcPr>
            <w:tcW w:w="2048" w:type="dxa"/>
            <w:tcBorders>
              <w:top w:val="single" w:sz="12" w:space="0" w:color="auto"/>
            </w:tcBorders>
          </w:tcPr>
          <w:p w14:paraId="28B9315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3, 2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63A7CA7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3, 3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370F704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3, 3</w:t>
            </w:r>
          </w:p>
        </w:tc>
      </w:tr>
      <w:tr w:rsidR="00347CB9" w14:paraId="76D17EED" w14:textId="77777777" w:rsidTr="00AD6F82">
        <w:tc>
          <w:tcPr>
            <w:tcW w:w="2115" w:type="dxa"/>
          </w:tcPr>
          <w:p w14:paraId="4648F90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0B4978">
              <w:rPr>
                <w:vertAlign w:val="subscript"/>
                <w:lang w:val="en-GB"/>
              </w:rPr>
              <w:sym w:font="Symbol" w:char="F0A5"/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952" w:type="dxa"/>
          </w:tcPr>
          <w:p w14:paraId="7886D2A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54.53 (43)</w:t>
            </w:r>
          </w:p>
        </w:tc>
        <w:tc>
          <w:tcPr>
            <w:tcW w:w="2048" w:type="dxa"/>
          </w:tcPr>
          <w:p w14:paraId="674CC262" w14:textId="35B1E36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(42.2, 46</w:t>
            </w:r>
            <w:r w:rsidR="0021714A">
              <w:rPr>
                <w:lang w:val="en-GB"/>
              </w:rPr>
              <w:t>.</w:t>
            </w:r>
            <w:r>
              <w:rPr>
                <w:lang w:val="en-GB"/>
              </w:rPr>
              <w:t>8)</w:t>
            </w:r>
          </w:p>
        </w:tc>
        <w:tc>
          <w:tcPr>
            <w:tcW w:w="1980" w:type="dxa"/>
          </w:tcPr>
          <w:p w14:paraId="06CA28E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21.32 (18)</w:t>
            </w:r>
          </w:p>
        </w:tc>
        <w:tc>
          <w:tcPr>
            <w:tcW w:w="1980" w:type="dxa"/>
          </w:tcPr>
          <w:p w14:paraId="1490171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16.09 (29)</w:t>
            </w:r>
          </w:p>
        </w:tc>
      </w:tr>
      <w:tr w:rsidR="00347CB9" w14:paraId="1CBAF947" w14:textId="77777777" w:rsidTr="00AD6F82">
        <w:tc>
          <w:tcPr>
            <w:tcW w:w="2115" w:type="dxa"/>
          </w:tcPr>
          <w:p w14:paraId="5DFF3A3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AUC</w:t>
            </w:r>
            <w:r w:rsidRPr="003B618E">
              <w:rPr>
                <w:vertAlign w:val="subscript"/>
                <w:lang w:val="en-GB"/>
              </w:rPr>
              <w:t>last</w:t>
            </w:r>
            <w:r>
              <w:rPr>
                <w:lang w:val="en-GB"/>
              </w:rPr>
              <w:t xml:space="preserve"> (ng</w:t>
            </w:r>
            <w:r>
              <w:rPr>
                <w:rFonts w:cs="Times New Roman"/>
                <w:lang w:val="en-GB"/>
              </w:rPr>
              <w:t>·</w:t>
            </w:r>
            <w:r>
              <w:rPr>
                <w:lang w:val="en-GB"/>
              </w:rPr>
              <w:t>h/mL)</w:t>
            </w:r>
          </w:p>
        </w:tc>
        <w:tc>
          <w:tcPr>
            <w:tcW w:w="1952" w:type="dxa"/>
          </w:tcPr>
          <w:p w14:paraId="2368397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51.30 (47)</w:t>
            </w:r>
          </w:p>
        </w:tc>
        <w:tc>
          <w:tcPr>
            <w:tcW w:w="2048" w:type="dxa"/>
          </w:tcPr>
          <w:p w14:paraId="7070CDD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36.49 (20)</w:t>
            </w:r>
          </w:p>
        </w:tc>
        <w:tc>
          <w:tcPr>
            <w:tcW w:w="1980" w:type="dxa"/>
          </w:tcPr>
          <w:p w14:paraId="32957B8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20.43 (18)</w:t>
            </w:r>
          </w:p>
        </w:tc>
        <w:tc>
          <w:tcPr>
            <w:tcW w:w="1980" w:type="dxa"/>
          </w:tcPr>
          <w:p w14:paraId="2BB0124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14.44 (25)</w:t>
            </w:r>
          </w:p>
        </w:tc>
      </w:tr>
      <w:tr w:rsidR="00347CB9" w14:paraId="37C41931" w14:textId="77777777" w:rsidTr="00AD6F82">
        <w:tc>
          <w:tcPr>
            <w:tcW w:w="2115" w:type="dxa"/>
          </w:tcPr>
          <w:p w14:paraId="4BF9E272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(ng/mL)</w:t>
            </w:r>
          </w:p>
        </w:tc>
        <w:tc>
          <w:tcPr>
            <w:tcW w:w="1952" w:type="dxa"/>
          </w:tcPr>
          <w:p w14:paraId="4C711E7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16.06 (42)</w:t>
            </w:r>
          </w:p>
        </w:tc>
        <w:tc>
          <w:tcPr>
            <w:tcW w:w="2048" w:type="dxa"/>
          </w:tcPr>
          <w:p w14:paraId="2AAA4FB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11.56 (48)</w:t>
            </w:r>
          </w:p>
        </w:tc>
        <w:tc>
          <w:tcPr>
            <w:tcW w:w="1980" w:type="dxa"/>
          </w:tcPr>
          <w:p w14:paraId="62BFDCF7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9.697 (40)</w:t>
            </w:r>
          </w:p>
        </w:tc>
        <w:tc>
          <w:tcPr>
            <w:tcW w:w="1980" w:type="dxa"/>
          </w:tcPr>
          <w:p w14:paraId="758CDB40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5.734 (43)</w:t>
            </w:r>
          </w:p>
        </w:tc>
      </w:tr>
      <w:tr w:rsidR="00347CB9" w14:paraId="65895487" w14:textId="77777777" w:rsidTr="00AD6F82">
        <w:tc>
          <w:tcPr>
            <w:tcW w:w="2115" w:type="dxa"/>
          </w:tcPr>
          <w:p w14:paraId="790738D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E06E7E">
              <w:rPr>
                <w:vertAlign w:val="subscript"/>
                <w:lang w:val="en-GB"/>
              </w:rPr>
              <w:t>max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952" w:type="dxa"/>
          </w:tcPr>
          <w:p w14:paraId="251CEB0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0.500 (0.500-1.00)</w:t>
            </w:r>
          </w:p>
        </w:tc>
        <w:tc>
          <w:tcPr>
            <w:tcW w:w="2048" w:type="dxa"/>
          </w:tcPr>
          <w:p w14:paraId="6171FBE8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0.500 (0.500-0.500)</w:t>
            </w:r>
          </w:p>
        </w:tc>
        <w:tc>
          <w:tcPr>
            <w:tcW w:w="1980" w:type="dxa"/>
          </w:tcPr>
          <w:p w14:paraId="6CD9D73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0.500 (0.500-1.00)</w:t>
            </w:r>
          </w:p>
        </w:tc>
        <w:tc>
          <w:tcPr>
            <w:tcW w:w="1980" w:type="dxa"/>
          </w:tcPr>
          <w:p w14:paraId="7C22FE7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0.500 (0.500-0.533)</w:t>
            </w:r>
          </w:p>
        </w:tc>
      </w:tr>
      <w:tr w:rsidR="00347CB9" w14:paraId="555BDE81" w14:textId="77777777" w:rsidTr="00AD6F82">
        <w:tc>
          <w:tcPr>
            <w:tcW w:w="2115" w:type="dxa"/>
          </w:tcPr>
          <w:p w14:paraId="607CA08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0B4978">
              <w:rPr>
                <w:rFonts w:cs="Times New Roman"/>
                <w:bCs/>
                <w:vertAlign w:val="subscript"/>
              </w:rPr>
              <w:t>½</w:t>
            </w:r>
            <w:r>
              <w:rPr>
                <w:lang w:val="en-GB"/>
              </w:rPr>
              <w:t xml:space="preserve"> (h)</w:t>
            </w:r>
          </w:p>
        </w:tc>
        <w:tc>
          <w:tcPr>
            <w:tcW w:w="1952" w:type="dxa"/>
          </w:tcPr>
          <w:p w14:paraId="28271A9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4.620 </w:t>
            </w:r>
            <w:r>
              <w:rPr>
                <w:rFonts w:cs="Times New Roman"/>
                <w:lang w:val="en-GB"/>
              </w:rPr>
              <w:t>±</w:t>
            </w:r>
            <w:r>
              <w:rPr>
                <w:lang w:val="en-GB"/>
              </w:rPr>
              <w:t xml:space="preserve"> 1.933</w:t>
            </w:r>
          </w:p>
        </w:tc>
        <w:tc>
          <w:tcPr>
            <w:tcW w:w="2048" w:type="dxa"/>
          </w:tcPr>
          <w:p w14:paraId="7F33A12A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(2.35, 7.89)</w:t>
            </w:r>
          </w:p>
        </w:tc>
        <w:tc>
          <w:tcPr>
            <w:tcW w:w="1980" w:type="dxa"/>
          </w:tcPr>
          <w:p w14:paraId="7ABABCB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3.343 </w:t>
            </w:r>
            <w:r>
              <w:rPr>
                <w:rFonts w:cs="Times New Roman"/>
                <w:lang w:val="en-GB"/>
              </w:rPr>
              <w:t>±</w:t>
            </w:r>
            <w:r>
              <w:rPr>
                <w:lang w:val="en-GB"/>
              </w:rPr>
              <w:t xml:space="preserve"> 2.036</w:t>
            </w:r>
          </w:p>
        </w:tc>
        <w:tc>
          <w:tcPr>
            <w:tcW w:w="1980" w:type="dxa"/>
          </w:tcPr>
          <w:p w14:paraId="68E5DCFE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 xml:space="preserve">5.257 </w:t>
            </w:r>
            <w:r>
              <w:rPr>
                <w:rFonts w:cs="Times New Roman"/>
                <w:lang w:val="en-GB"/>
              </w:rPr>
              <w:t>±</w:t>
            </w:r>
            <w:r>
              <w:rPr>
                <w:lang w:val="en-GB"/>
              </w:rPr>
              <w:t xml:space="preserve"> 5.064</w:t>
            </w:r>
          </w:p>
        </w:tc>
      </w:tr>
      <w:tr w:rsidR="00347CB9" w14:paraId="51E79260" w14:textId="77777777" w:rsidTr="00AD6F82">
        <w:tc>
          <w:tcPr>
            <w:tcW w:w="2115" w:type="dxa"/>
          </w:tcPr>
          <w:p w14:paraId="4073D9B9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CL/F (L/h)</w:t>
            </w:r>
          </w:p>
        </w:tc>
        <w:tc>
          <w:tcPr>
            <w:tcW w:w="1952" w:type="dxa"/>
          </w:tcPr>
          <w:p w14:paraId="37746666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36.68 (43)</w:t>
            </w:r>
          </w:p>
        </w:tc>
        <w:tc>
          <w:tcPr>
            <w:tcW w:w="2048" w:type="dxa"/>
          </w:tcPr>
          <w:p w14:paraId="078928E1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(42.7, 47.4)</w:t>
            </w:r>
          </w:p>
        </w:tc>
        <w:tc>
          <w:tcPr>
            <w:tcW w:w="1980" w:type="dxa"/>
          </w:tcPr>
          <w:p w14:paraId="33F200B4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93.86 (18)</w:t>
            </w:r>
          </w:p>
        </w:tc>
        <w:tc>
          <w:tcPr>
            <w:tcW w:w="1980" w:type="dxa"/>
          </w:tcPr>
          <w:p w14:paraId="6611BF5F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124.2 (29)</w:t>
            </w:r>
          </w:p>
        </w:tc>
      </w:tr>
      <w:tr w:rsidR="00347CB9" w14:paraId="16DBB5A0" w14:textId="77777777" w:rsidTr="00AD6F82">
        <w:tc>
          <w:tcPr>
            <w:tcW w:w="2115" w:type="dxa"/>
          </w:tcPr>
          <w:p w14:paraId="3BE7582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Vz/F (L)</w:t>
            </w:r>
          </w:p>
        </w:tc>
        <w:tc>
          <w:tcPr>
            <w:tcW w:w="1952" w:type="dxa"/>
          </w:tcPr>
          <w:p w14:paraId="352E6E0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229.0 (7)</w:t>
            </w:r>
          </w:p>
        </w:tc>
        <w:tc>
          <w:tcPr>
            <w:tcW w:w="2048" w:type="dxa"/>
          </w:tcPr>
          <w:p w14:paraId="513F8E15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(161, 486)</w:t>
            </w:r>
          </w:p>
        </w:tc>
        <w:tc>
          <w:tcPr>
            <w:tcW w:w="1980" w:type="dxa"/>
          </w:tcPr>
          <w:p w14:paraId="0E3A946C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404.4 (51)</w:t>
            </w:r>
          </w:p>
        </w:tc>
        <w:tc>
          <w:tcPr>
            <w:tcW w:w="1980" w:type="dxa"/>
          </w:tcPr>
          <w:p w14:paraId="785CB013" w14:textId="77777777" w:rsidR="00347CB9" w:rsidRDefault="00347CB9" w:rsidP="00AD6F82">
            <w:pPr>
              <w:rPr>
                <w:lang w:val="en-GB"/>
              </w:rPr>
            </w:pPr>
            <w:r>
              <w:rPr>
                <w:lang w:val="en-GB"/>
              </w:rPr>
              <w:t>702.2 (100)</w:t>
            </w:r>
          </w:p>
        </w:tc>
      </w:tr>
    </w:tbl>
    <w:p w14:paraId="05D3842F" w14:textId="77777777" w:rsidR="00347CB9" w:rsidRDefault="00347CB9" w:rsidP="00347CB9">
      <w:pPr>
        <w:autoSpaceDE w:val="0"/>
        <w:autoSpaceDN w:val="0"/>
        <w:adjustRightInd w:val="0"/>
        <w:spacing w:line="240" w:lineRule="auto"/>
        <w:rPr>
          <w:bCs/>
        </w:rPr>
      </w:pPr>
      <w:r w:rsidRPr="000A693B">
        <w:rPr>
          <w:bCs/>
          <w:vertAlign w:val="superscript"/>
        </w:rPr>
        <w:t xml:space="preserve"> a</w:t>
      </w:r>
      <w:r>
        <w:rPr>
          <w:bCs/>
          <w:vertAlign w:val="superscript"/>
        </w:rPr>
        <w:t> </w:t>
      </w:r>
      <w:r>
        <w:rPr>
          <w:bCs/>
        </w:rPr>
        <w:t>Data are expressed as g</w:t>
      </w:r>
      <w:r w:rsidRPr="000A693B">
        <w:rPr>
          <w:bCs/>
        </w:rPr>
        <w:t>eometric mean (geometric %CV) for all parameters except median (range) for T</w:t>
      </w:r>
      <w:r w:rsidRPr="000A693B">
        <w:rPr>
          <w:bCs/>
          <w:vertAlign w:val="subscript"/>
        </w:rPr>
        <w:t>max</w:t>
      </w:r>
      <w:r>
        <w:rPr>
          <w:bCs/>
        </w:rPr>
        <w:t xml:space="preserve"> and</w:t>
      </w:r>
      <w:r w:rsidRPr="000A693B">
        <w:rPr>
          <w:bCs/>
        </w:rPr>
        <w:t xml:space="preserve"> arithmetic </w:t>
      </w:r>
      <w:r>
        <w:rPr>
          <w:bCs/>
        </w:rPr>
        <w:t xml:space="preserve">mean </w:t>
      </w:r>
      <w:r>
        <w:rPr>
          <w:rFonts w:cs="Times New Roman"/>
          <w:bCs/>
        </w:rPr>
        <w:t>±</w:t>
      </w:r>
      <w:r>
        <w:rPr>
          <w:bCs/>
        </w:rPr>
        <w:t xml:space="preserve"> SD</w:t>
      </w:r>
      <w:r w:rsidRPr="000A693B">
        <w:rPr>
          <w:bCs/>
        </w:rPr>
        <w:t xml:space="preserve"> for t</w:t>
      </w:r>
      <w:r w:rsidRPr="00FC7FA5">
        <w:rPr>
          <w:rFonts w:cs="Times New Roman"/>
          <w:bCs/>
          <w:vertAlign w:val="subscript"/>
        </w:rPr>
        <w:t>½</w:t>
      </w:r>
      <w:r w:rsidRPr="000A693B">
        <w:rPr>
          <w:bCs/>
        </w:rPr>
        <w:t>. Individual values were reported</w:t>
      </w:r>
      <w:r>
        <w:rPr>
          <w:bCs/>
        </w:rPr>
        <w:t xml:space="preserve"> </w:t>
      </w:r>
      <w:r w:rsidRPr="000A693B">
        <w:rPr>
          <w:bCs/>
        </w:rPr>
        <w:t xml:space="preserve">when </w:t>
      </w:r>
      <w:r w:rsidRPr="003A1FD0">
        <w:rPr>
          <w:bCs/>
          <w:i/>
          <w:iCs/>
        </w:rPr>
        <w:t>n</w:t>
      </w:r>
      <w:r>
        <w:rPr>
          <w:bCs/>
        </w:rPr>
        <w:t> </w:t>
      </w:r>
      <w:r w:rsidRPr="000A693B">
        <w:rPr>
          <w:bCs/>
        </w:rPr>
        <w:t>=</w:t>
      </w:r>
      <w:r>
        <w:rPr>
          <w:bCs/>
        </w:rPr>
        <w:t> </w:t>
      </w:r>
      <w:r w:rsidRPr="000A693B">
        <w:rPr>
          <w:bCs/>
        </w:rPr>
        <w:t>2</w:t>
      </w:r>
    </w:p>
    <w:p w14:paraId="1E82B660" w14:textId="71B7BBD8" w:rsidR="00347CB9" w:rsidRDefault="00347CB9" w:rsidP="00347CB9">
      <w:pPr>
        <w:autoSpaceDE w:val="0"/>
        <w:autoSpaceDN w:val="0"/>
        <w:adjustRightInd w:val="0"/>
        <w:spacing w:line="240" w:lineRule="auto"/>
        <w:rPr>
          <w:i/>
          <w:lang w:val="en-GB"/>
        </w:rPr>
      </w:pPr>
      <w:r w:rsidRPr="00257CDE">
        <w:rPr>
          <w:bCs/>
        </w:rPr>
        <w:t>On Lead-in Day</w:t>
      </w:r>
      <w:r>
        <w:rPr>
          <w:bCs/>
        </w:rPr>
        <w:t xml:space="preserve"> </w:t>
      </w:r>
      <w:r>
        <w:rPr>
          <w:rFonts w:cs="Times New Roman"/>
          <w:lang w:val="en-GB"/>
        </w:rPr>
        <w:t>−</w:t>
      </w:r>
      <w:r w:rsidRPr="00257CDE">
        <w:rPr>
          <w:bCs/>
        </w:rPr>
        <w:t>7, the treatment was a 2</w:t>
      </w:r>
      <w:bookmarkStart w:id="1" w:name="_Hlk64985781"/>
      <w:r>
        <w:rPr>
          <w:bCs/>
        </w:rPr>
        <w:t>-</w:t>
      </w:r>
      <w:bookmarkEnd w:id="1"/>
      <w:r w:rsidRPr="00257CDE">
        <w:rPr>
          <w:bCs/>
        </w:rPr>
        <w:t>mg dose of midazolam and the exposure parameters were</w:t>
      </w:r>
      <w:r>
        <w:rPr>
          <w:bCs/>
        </w:rPr>
        <w:t xml:space="preserve"> </w:t>
      </w:r>
      <w:r w:rsidRPr="00257CDE">
        <w:rPr>
          <w:bCs/>
        </w:rPr>
        <w:t>reported for midazolam alone before any doses of</w:t>
      </w:r>
      <w:r>
        <w:rPr>
          <w:bCs/>
        </w:rPr>
        <w:t xml:space="preserve"> </w:t>
      </w:r>
      <w:r w:rsidRPr="00257CDE">
        <w:rPr>
          <w:bCs/>
        </w:rPr>
        <w:t xml:space="preserve">lorlatinib were </w:t>
      </w:r>
      <w:r>
        <w:rPr>
          <w:bCs/>
        </w:rPr>
        <w:t>administered</w:t>
      </w:r>
      <w:r w:rsidRPr="00257CDE">
        <w:rPr>
          <w:bCs/>
        </w:rPr>
        <w:t>. On Cycle</w:t>
      </w:r>
      <w:r w:rsidR="0021714A">
        <w:rPr>
          <w:bCs/>
        </w:rPr>
        <w:t xml:space="preserve"> </w:t>
      </w:r>
      <w:r w:rsidRPr="00257CDE">
        <w:rPr>
          <w:bCs/>
        </w:rPr>
        <w:t>1 Day</w:t>
      </w:r>
      <w:r>
        <w:rPr>
          <w:bCs/>
        </w:rPr>
        <w:t xml:space="preserve"> </w:t>
      </w:r>
      <w:r w:rsidRPr="00257CDE">
        <w:rPr>
          <w:bCs/>
        </w:rPr>
        <w:t xml:space="preserve">15, the exposures reported were </w:t>
      </w:r>
      <w:r>
        <w:rPr>
          <w:bCs/>
        </w:rPr>
        <w:t>for</w:t>
      </w:r>
      <w:r w:rsidRPr="00257CDE">
        <w:rPr>
          <w:bCs/>
        </w:rPr>
        <w:t xml:space="preserve"> 2</w:t>
      </w:r>
      <w:r>
        <w:rPr>
          <w:bCs/>
        </w:rPr>
        <w:t>-</w:t>
      </w:r>
      <w:r w:rsidRPr="00257CDE">
        <w:rPr>
          <w:bCs/>
        </w:rPr>
        <w:t>mg dose of midazolam after 15 days of continuous lorlatinib dosing at the</w:t>
      </w:r>
      <w:r>
        <w:rPr>
          <w:bCs/>
        </w:rPr>
        <w:t xml:space="preserve"> </w:t>
      </w:r>
      <w:r w:rsidRPr="00257CDE">
        <w:t>respective dose levels</w:t>
      </w:r>
    </w:p>
    <w:p w14:paraId="179B364D" w14:textId="77777777" w:rsidR="00347CB9" w:rsidRDefault="00347CB9" w:rsidP="00347CB9">
      <w:pPr>
        <w:autoSpaceDE w:val="0"/>
        <w:autoSpaceDN w:val="0"/>
        <w:adjustRightInd w:val="0"/>
        <w:spacing w:line="240" w:lineRule="auto"/>
        <w:rPr>
          <w:i/>
          <w:lang w:val="en-GB"/>
        </w:rPr>
      </w:pPr>
    </w:p>
    <w:p w14:paraId="387EEF01" w14:textId="046DB193" w:rsidR="00347CB9" w:rsidRPr="000A693B" w:rsidRDefault="00347CB9" w:rsidP="00347CB9">
      <w:pPr>
        <w:autoSpaceDE w:val="0"/>
        <w:autoSpaceDN w:val="0"/>
        <w:adjustRightInd w:val="0"/>
        <w:spacing w:line="240" w:lineRule="auto"/>
      </w:pPr>
      <w:r w:rsidRPr="000568C1">
        <w:rPr>
          <w:i/>
          <w:lang w:val="en-GB"/>
        </w:rPr>
        <w:t>AUC</w:t>
      </w:r>
      <w:r w:rsidRPr="000B4978">
        <w:rPr>
          <w:vertAlign w:val="subscript"/>
          <w:lang w:val="en-GB"/>
        </w:rPr>
        <w:sym w:font="Symbol" w:char="F0A5"/>
      </w:r>
      <w:r>
        <w:rPr>
          <w:lang w:val="en-GB"/>
        </w:rPr>
        <w:t xml:space="preserve"> area under the plasma concentration-time profile from time zero extrapolated to infinite time, </w:t>
      </w:r>
      <w:r w:rsidRPr="000568C1">
        <w:rPr>
          <w:i/>
          <w:lang w:val="en-GB"/>
        </w:rPr>
        <w:t>AUC</w:t>
      </w:r>
      <w:r>
        <w:rPr>
          <w:i/>
          <w:vertAlign w:val="subscript"/>
          <w:lang w:val="en-GB"/>
        </w:rPr>
        <w:t>last</w:t>
      </w:r>
      <w:r>
        <w:rPr>
          <w:lang w:val="en-GB"/>
        </w:rPr>
        <w:t xml:space="preserve"> area under the plasma concentration-time profile from time zero to the time of the last quantifiable concentration, </w:t>
      </w:r>
      <w:r w:rsidRPr="00A346CA">
        <w:rPr>
          <w:i/>
          <w:iCs/>
          <w:lang w:val="en-GB"/>
        </w:rPr>
        <w:t>CL/F</w:t>
      </w:r>
      <w:r>
        <w:rPr>
          <w:lang w:val="en-GB"/>
        </w:rPr>
        <w:t xml:space="preserve"> apparent oral clearance of a single dose, </w:t>
      </w:r>
      <w:r w:rsidRPr="000568C1">
        <w:rPr>
          <w:i/>
          <w:lang w:val="en-GB"/>
        </w:rPr>
        <w:t>C</w:t>
      </w:r>
      <w:r w:rsidRPr="000568C1">
        <w:rPr>
          <w:i/>
          <w:vertAlign w:val="subscript"/>
          <w:lang w:val="en-GB"/>
        </w:rPr>
        <w:t>max</w:t>
      </w:r>
      <w:r>
        <w:rPr>
          <w:lang w:val="en-GB"/>
        </w:rPr>
        <w:t xml:space="preserve"> maximum observed plasma concentration, </w:t>
      </w:r>
      <w:r w:rsidRPr="000568C1">
        <w:rPr>
          <w:i/>
          <w:lang w:val="en-GB"/>
        </w:rPr>
        <w:t>N</w:t>
      </w:r>
      <w:r>
        <w:rPr>
          <w:lang w:val="en-GB"/>
        </w:rPr>
        <w:t xml:space="preserve"> number of subjects contributing to the summary statistic, </w:t>
      </w:r>
      <w:r w:rsidRPr="000568C1">
        <w:rPr>
          <w:i/>
          <w:lang w:val="en-GB"/>
        </w:rPr>
        <w:t>n</w:t>
      </w:r>
      <w:r>
        <w:rPr>
          <w:lang w:val="en-GB"/>
        </w:rPr>
        <w:t xml:space="preserve"> number of subjects where t</w:t>
      </w:r>
      <w:r>
        <w:rPr>
          <w:vertAlign w:val="subscript"/>
          <w:lang w:val="en-GB"/>
        </w:rPr>
        <w:t>½</w:t>
      </w:r>
      <w:r>
        <w:rPr>
          <w:lang w:val="en-GB"/>
        </w:rPr>
        <w:t>, AUC</w:t>
      </w:r>
      <w:r w:rsidRPr="000B4978">
        <w:rPr>
          <w:vertAlign w:val="subscript"/>
          <w:lang w:val="en-GB"/>
        </w:rPr>
        <w:sym w:font="Symbol" w:char="F0A5"/>
      </w:r>
      <w:r>
        <w:rPr>
          <w:lang w:val="en-GB"/>
        </w:rPr>
        <w:t xml:space="preserve">, CL/F, and Vz/F could be determined, </w:t>
      </w:r>
      <w:r>
        <w:rPr>
          <w:i/>
          <w:iCs/>
          <w:lang w:val="en-GB"/>
        </w:rPr>
        <w:t xml:space="preserve">SD </w:t>
      </w:r>
      <w:r>
        <w:rPr>
          <w:lang w:val="en-GB"/>
        </w:rPr>
        <w:t xml:space="preserve">standard deviation, </w:t>
      </w:r>
      <w:r w:rsidRPr="000568C1">
        <w:rPr>
          <w:i/>
          <w:lang w:val="en-GB"/>
        </w:rPr>
        <w:t>t</w:t>
      </w:r>
      <w:r w:rsidRPr="000568C1">
        <w:rPr>
          <w:i/>
          <w:vertAlign w:val="subscript"/>
          <w:lang w:val="en-GB"/>
        </w:rPr>
        <w:t>½</w:t>
      </w:r>
      <w:r>
        <w:rPr>
          <w:lang w:val="en-GB"/>
        </w:rPr>
        <w:t xml:space="preserve"> terminal plasma half-life, </w:t>
      </w:r>
      <w:proofErr w:type="spellStart"/>
      <w:r w:rsidRPr="000568C1">
        <w:rPr>
          <w:i/>
          <w:lang w:val="en-GB"/>
        </w:rPr>
        <w:t>T</w:t>
      </w:r>
      <w:r w:rsidRPr="000568C1">
        <w:rPr>
          <w:i/>
          <w:vertAlign w:val="subscript"/>
          <w:lang w:val="en-GB"/>
        </w:rPr>
        <w:t>max</w:t>
      </w:r>
      <w:proofErr w:type="spellEnd"/>
      <w:r>
        <w:rPr>
          <w:lang w:val="en-GB"/>
        </w:rPr>
        <w:t xml:space="preserve"> time </w:t>
      </w:r>
      <w:r w:rsidR="0021714A">
        <w:rPr>
          <w:lang w:val="en-GB"/>
        </w:rPr>
        <w:t xml:space="preserve">to </w:t>
      </w:r>
      <w:proofErr w:type="spellStart"/>
      <w:r>
        <w:rPr>
          <w:lang w:val="en-GB"/>
        </w:rPr>
        <w:t>C</w:t>
      </w:r>
      <w:r>
        <w:rPr>
          <w:vertAlign w:val="subscript"/>
          <w:lang w:val="en-GB"/>
        </w:rPr>
        <w:t>max</w:t>
      </w:r>
      <w:proofErr w:type="spellEnd"/>
      <w:r>
        <w:rPr>
          <w:lang w:val="en-GB"/>
        </w:rPr>
        <w:t xml:space="preserve">, </w:t>
      </w:r>
      <w:proofErr w:type="spellStart"/>
      <w:r w:rsidRPr="000568C1">
        <w:rPr>
          <w:i/>
          <w:lang w:val="en-GB"/>
        </w:rPr>
        <w:t>Vz</w:t>
      </w:r>
      <w:proofErr w:type="spellEnd"/>
      <w:r w:rsidRPr="000568C1">
        <w:rPr>
          <w:i/>
          <w:lang w:val="en-GB"/>
        </w:rPr>
        <w:t>/F</w:t>
      </w:r>
      <w:r>
        <w:rPr>
          <w:lang w:val="en-GB"/>
        </w:rPr>
        <w:t xml:space="preserve"> apparent volume of distribution</w:t>
      </w:r>
    </w:p>
    <w:p w14:paraId="78A3DAB1" w14:textId="77777777" w:rsidR="00347CB9" w:rsidRPr="000A693B" w:rsidRDefault="00347CB9" w:rsidP="00347CB9">
      <w:pPr>
        <w:autoSpaceDE w:val="0"/>
        <w:autoSpaceDN w:val="0"/>
        <w:adjustRightInd w:val="0"/>
        <w:spacing w:line="240" w:lineRule="auto"/>
      </w:pPr>
    </w:p>
    <w:p w14:paraId="4109B6A1" w14:textId="77777777" w:rsidR="00347CB9" w:rsidRDefault="00347CB9" w:rsidP="00347CB9">
      <w:pPr>
        <w:pStyle w:val="Heading1"/>
        <w:numPr>
          <w:ilvl w:val="0"/>
          <w:numId w:val="0"/>
        </w:numPr>
        <w:ind w:left="360"/>
        <w:rPr>
          <w:lang w:val="en-GB"/>
        </w:rPr>
      </w:pPr>
    </w:p>
    <w:p w14:paraId="2CB021EB" w14:textId="77777777" w:rsidR="00347CB9" w:rsidRDefault="00347CB9" w:rsidP="00347CB9">
      <w:pPr>
        <w:rPr>
          <w:b/>
          <w:lang w:val="en-GB"/>
        </w:rPr>
      </w:pPr>
      <w:r>
        <w:rPr>
          <w:lang w:val="en-GB"/>
        </w:rPr>
        <w:br w:type="page"/>
      </w:r>
    </w:p>
    <w:p w14:paraId="7C120FA1" w14:textId="77777777" w:rsidR="00347CB9" w:rsidRPr="00DE0B4D" w:rsidRDefault="00347CB9" w:rsidP="00347CB9">
      <w:pPr>
        <w:pStyle w:val="Heading1"/>
        <w:numPr>
          <w:ilvl w:val="0"/>
          <w:numId w:val="0"/>
        </w:numPr>
        <w:rPr>
          <w:b w:val="0"/>
          <w:bCs/>
          <w:lang w:val="en-GB"/>
        </w:rPr>
      </w:pPr>
      <w:r w:rsidRPr="00DE0B4D">
        <w:rPr>
          <w:lang w:val="en-GB"/>
        </w:rPr>
        <w:lastRenderedPageBreak/>
        <w:t>Electronic Supplementary Table S4</w:t>
      </w:r>
      <w:r w:rsidRPr="00DE0B4D">
        <w:rPr>
          <w:b w:val="0"/>
          <w:bCs/>
          <w:lang w:val="en-GB"/>
        </w:rPr>
        <w:t xml:space="preserve"> </w:t>
      </w:r>
      <w:r w:rsidRPr="00DE0B4D">
        <w:rPr>
          <w:b w:val="0"/>
          <w:lang w:val="en-GB"/>
        </w:rPr>
        <w:t>Listing of lorlatinib concentration in CSF, plasma, CSF/plasma ratio, and CSF/free plasma ratio for participants in phase I and II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805"/>
        <w:gridCol w:w="1800"/>
        <w:gridCol w:w="2160"/>
        <w:gridCol w:w="2430"/>
        <w:gridCol w:w="1440"/>
        <w:gridCol w:w="1800"/>
      </w:tblGrid>
      <w:tr w:rsidR="00347CB9" w:rsidRPr="00745EA6" w14:paraId="085B65D4" w14:textId="77777777" w:rsidTr="00AD6F82">
        <w:tc>
          <w:tcPr>
            <w:tcW w:w="805" w:type="dxa"/>
            <w:vMerge w:val="restart"/>
            <w:shd w:val="clear" w:color="auto" w:fill="D9D9D9" w:themeFill="background1" w:themeFillShade="D9"/>
          </w:tcPr>
          <w:p w14:paraId="5BEE9CD5" w14:textId="77777777" w:rsidR="00347CB9" w:rsidRPr="00F02007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745EA6">
              <w:rPr>
                <w:rFonts w:cstheme="minorHAnsi"/>
                <w:b/>
                <w:bCs/>
                <w:lang w:val="en-GB"/>
              </w:rPr>
              <w:t xml:space="preserve">Study </w:t>
            </w:r>
            <w:r w:rsidRPr="00F02007">
              <w:rPr>
                <w:rFonts w:cstheme="minorHAnsi"/>
                <w:b/>
                <w:bCs/>
                <w:lang w:val="en-GB"/>
              </w:rPr>
              <w:t>phase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</w:tcPr>
          <w:p w14:paraId="6C036F44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AD0F0C">
              <w:rPr>
                <w:rFonts w:cstheme="minorHAnsi"/>
                <w:b/>
                <w:bCs/>
                <w:lang w:val="en-GB"/>
              </w:rPr>
              <w:t>Lorlatinib treatment group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</w:tcPr>
          <w:p w14:paraId="5AD08660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AD0F0C">
              <w:rPr>
                <w:rFonts w:cstheme="minorHAnsi"/>
                <w:b/>
                <w:bCs/>
                <w:lang w:val="en-GB"/>
              </w:rPr>
              <w:t>CSF concentration (ng/mL)</w:t>
            </w:r>
          </w:p>
        </w:tc>
        <w:tc>
          <w:tcPr>
            <w:tcW w:w="2430" w:type="dxa"/>
            <w:vMerge w:val="restart"/>
            <w:shd w:val="clear" w:color="auto" w:fill="D9D9D9" w:themeFill="background1" w:themeFillShade="D9"/>
          </w:tcPr>
          <w:p w14:paraId="0CC008B0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AD0F0C">
              <w:rPr>
                <w:rFonts w:cstheme="minorHAnsi"/>
                <w:b/>
                <w:bCs/>
                <w:lang w:val="en-GB"/>
              </w:rPr>
              <w:t>Plasma concentration (ng/mL)</w:t>
            </w:r>
          </w:p>
        </w:tc>
        <w:tc>
          <w:tcPr>
            <w:tcW w:w="3240" w:type="dxa"/>
            <w:gridSpan w:val="2"/>
            <w:shd w:val="clear" w:color="auto" w:fill="D9D9D9" w:themeFill="background1" w:themeFillShade="D9"/>
          </w:tcPr>
          <w:p w14:paraId="3E1A0C6C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AD0F0C">
              <w:rPr>
                <w:rFonts w:cstheme="minorHAnsi"/>
                <w:b/>
                <w:bCs/>
                <w:lang w:val="en-GB"/>
              </w:rPr>
              <w:t>Ratio</w:t>
            </w:r>
          </w:p>
        </w:tc>
      </w:tr>
      <w:tr w:rsidR="00347CB9" w:rsidRPr="00745EA6" w14:paraId="475B7658" w14:textId="77777777" w:rsidTr="00AD6F82">
        <w:tc>
          <w:tcPr>
            <w:tcW w:w="805" w:type="dxa"/>
            <w:vMerge/>
            <w:shd w:val="clear" w:color="auto" w:fill="D9D9D9" w:themeFill="background1" w:themeFillShade="D9"/>
          </w:tcPr>
          <w:p w14:paraId="355E1A48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</w:tcPr>
          <w:p w14:paraId="762312B2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14:paraId="3A912F00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2430" w:type="dxa"/>
            <w:vMerge/>
            <w:shd w:val="clear" w:color="auto" w:fill="D9D9D9" w:themeFill="background1" w:themeFillShade="D9"/>
          </w:tcPr>
          <w:p w14:paraId="6EC4E20C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1220D867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AD0F0C">
              <w:rPr>
                <w:rFonts w:cstheme="minorHAnsi"/>
                <w:b/>
                <w:bCs/>
                <w:lang w:val="en-GB"/>
              </w:rPr>
              <w:t>CSF/plasma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11AAC94" w14:textId="77777777" w:rsidR="00347CB9" w:rsidRPr="00AD0F0C" w:rsidRDefault="00347CB9" w:rsidP="00AD6F82">
            <w:pPr>
              <w:rPr>
                <w:rFonts w:cstheme="minorHAnsi"/>
                <w:b/>
                <w:bCs/>
                <w:lang w:val="en-GB"/>
              </w:rPr>
            </w:pPr>
            <w:r w:rsidRPr="00AD0F0C">
              <w:rPr>
                <w:rFonts w:cstheme="minorHAnsi"/>
                <w:b/>
                <w:bCs/>
                <w:lang w:val="en-GB"/>
              </w:rPr>
              <w:t>CSF/free plasma</w:t>
            </w:r>
          </w:p>
        </w:tc>
      </w:tr>
      <w:tr w:rsidR="00347CB9" w:rsidRPr="00745EA6" w14:paraId="2CB83EBC" w14:textId="77777777" w:rsidTr="00AD6F82">
        <w:tc>
          <w:tcPr>
            <w:tcW w:w="805" w:type="dxa"/>
          </w:tcPr>
          <w:p w14:paraId="1AD7D9E0" w14:textId="77777777" w:rsidR="00347CB9" w:rsidRPr="00F02007" w:rsidRDefault="00347CB9" w:rsidP="00AD6F82">
            <w:pPr>
              <w:rPr>
                <w:rFonts w:cstheme="minorHAnsi"/>
                <w:lang w:val="en-GB"/>
              </w:rPr>
            </w:pPr>
            <w:r w:rsidRPr="00F02007">
              <w:rPr>
                <w:rFonts w:cstheme="minorHAnsi"/>
                <w:lang w:val="en-GB"/>
              </w:rPr>
              <w:t>I</w:t>
            </w:r>
            <w:r w:rsidRPr="00F02007">
              <w:rPr>
                <w:rFonts w:cstheme="minorHAnsi"/>
                <w:vertAlign w:val="superscript"/>
                <w:lang w:val="en-GB"/>
              </w:rPr>
              <w:t>a</w:t>
            </w:r>
          </w:p>
        </w:tc>
        <w:tc>
          <w:tcPr>
            <w:tcW w:w="1800" w:type="dxa"/>
          </w:tcPr>
          <w:p w14:paraId="65CE19EC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150 mg QD</w:t>
            </w:r>
          </w:p>
        </w:tc>
        <w:tc>
          <w:tcPr>
            <w:tcW w:w="2160" w:type="dxa"/>
            <w:tcBorders>
              <w:left w:val="nil"/>
            </w:tcBorders>
          </w:tcPr>
          <w:p w14:paraId="2EC571BD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2.64</w:t>
            </w:r>
          </w:p>
        </w:tc>
        <w:tc>
          <w:tcPr>
            <w:tcW w:w="2430" w:type="dxa"/>
            <w:tcBorders>
              <w:left w:val="nil"/>
            </w:tcBorders>
          </w:tcPr>
          <w:p w14:paraId="67A934ED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12.7</w:t>
            </w:r>
          </w:p>
        </w:tc>
        <w:tc>
          <w:tcPr>
            <w:tcW w:w="1440" w:type="dxa"/>
          </w:tcPr>
          <w:p w14:paraId="61605D0F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0.2079</w:t>
            </w:r>
          </w:p>
        </w:tc>
        <w:tc>
          <w:tcPr>
            <w:tcW w:w="1800" w:type="dxa"/>
          </w:tcPr>
          <w:p w14:paraId="48DEF70B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0.6114</w:t>
            </w:r>
          </w:p>
        </w:tc>
      </w:tr>
      <w:tr w:rsidR="00347CB9" w:rsidRPr="00745EA6" w14:paraId="4F69EAB4" w14:textId="77777777" w:rsidTr="00AD6F82">
        <w:tc>
          <w:tcPr>
            <w:tcW w:w="805" w:type="dxa"/>
          </w:tcPr>
          <w:p w14:paraId="334B6EB1" w14:textId="77777777" w:rsidR="00347CB9" w:rsidRPr="00F02007" w:rsidRDefault="00347CB9" w:rsidP="00AD6F82">
            <w:pPr>
              <w:rPr>
                <w:rFonts w:cstheme="minorHAnsi"/>
                <w:lang w:val="en-GB"/>
              </w:rPr>
            </w:pPr>
            <w:r w:rsidRPr="00F02007">
              <w:rPr>
                <w:rFonts w:cstheme="minorHAnsi"/>
                <w:lang w:val="en-GB"/>
              </w:rPr>
              <w:t>I</w:t>
            </w:r>
          </w:p>
        </w:tc>
        <w:tc>
          <w:tcPr>
            <w:tcW w:w="1800" w:type="dxa"/>
          </w:tcPr>
          <w:p w14:paraId="6FE23F36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100 mg QD</w:t>
            </w:r>
          </w:p>
        </w:tc>
        <w:tc>
          <w:tcPr>
            <w:tcW w:w="2160" w:type="dxa"/>
            <w:tcBorders>
              <w:left w:val="nil"/>
            </w:tcBorders>
          </w:tcPr>
          <w:p w14:paraId="559FDC53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125</w:t>
            </w:r>
          </w:p>
        </w:tc>
        <w:tc>
          <w:tcPr>
            <w:tcW w:w="2430" w:type="dxa"/>
            <w:tcBorders>
              <w:left w:val="nil"/>
            </w:tcBorders>
          </w:tcPr>
          <w:p w14:paraId="70D43098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384</w:t>
            </w:r>
          </w:p>
        </w:tc>
        <w:tc>
          <w:tcPr>
            <w:tcW w:w="1440" w:type="dxa"/>
          </w:tcPr>
          <w:p w14:paraId="17592C42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0.3255</w:t>
            </w:r>
          </w:p>
        </w:tc>
        <w:tc>
          <w:tcPr>
            <w:tcW w:w="1800" w:type="dxa"/>
          </w:tcPr>
          <w:p w14:paraId="5303AF53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0.9574</w:t>
            </w:r>
          </w:p>
        </w:tc>
      </w:tr>
      <w:tr w:rsidR="00347CB9" w:rsidRPr="00745EA6" w14:paraId="5FBE1962" w14:textId="77777777" w:rsidTr="00AD6F82">
        <w:tc>
          <w:tcPr>
            <w:tcW w:w="805" w:type="dxa"/>
          </w:tcPr>
          <w:p w14:paraId="2D5DD648" w14:textId="77777777" w:rsidR="00347CB9" w:rsidRPr="00F02007" w:rsidRDefault="00347CB9" w:rsidP="00AD6F82">
            <w:pPr>
              <w:rPr>
                <w:rFonts w:cstheme="minorHAnsi"/>
                <w:lang w:val="en-GB"/>
              </w:rPr>
            </w:pPr>
            <w:r w:rsidRPr="00F02007">
              <w:rPr>
                <w:rFonts w:cstheme="minorHAnsi"/>
                <w:lang w:val="en-GB"/>
              </w:rPr>
              <w:t>I</w:t>
            </w:r>
          </w:p>
        </w:tc>
        <w:tc>
          <w:tcPr>
            <w:tcW w:w="1800" w:type="dxa"/>
          </w:tcPr>
          <w:p w14:paraId="03F2484D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100 mg QD</w:t>
            </w:r>
          </w:p>
        </w:tc>
        <w:tc>
          <w:tcPr>
            <w:tcW w:w="2160" w:type="dxa"/>
            <w:tcBorders>
              <w:left w:val="nil"/>
            </w:tcBorders>
          </w:tcPr>
          <w:p w14:paraId="00CC51AC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101</w:t>
            </w:r>
          </w:p>
        </w:tc>
        <w:tc>
          <w:tcPr>
            <w:tcW w:w="2430" w:type="dxa"/>
            <w:tcBorders>
              <w:left w:val="nil"/>
            </w:tcBorders>
          </w:tcPr>
          <w:p w14:paraId="3965E098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457</w:t>
            </w:r>
          </w:p>
        </w:tc>
        <w:tc>
          <w:tcPr>
            <w:tcW w:w="1440" w:type="dxa"/>
          </w:tcPr>
          <w:p w14:paraId="1465E809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0.221</w:t>
            </w:r>
          </w:p>
        </w:tc>
        <w:tc>
          <w:tcPr>
            <w:tcW w:w="1800" w:type="dxa"/>
          </w:tcPr>
          <w:p w14:paraId="248364C8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0.65</w:t>
            </w:r>
          </w:p>
        </w:tc>
      </w:tr>
      <w:tr w:rsidR="00347CB9" w:rsidRPr="00745EA6" w14:paraId="29335148" w14:textId="77777777" w:rsidTr="00AD6F82">
        <w:tc>
          <w:tcPr>
            <w:tcW w:w="805" w:type="dxa"/>
          </w:tcPr>
          <w:p w14:paraId="1AE09E71" w14:textId="77777777" w:rsidR="00347CB9" w:rsidRPr="00F02007" w:rsidRDefault="00347CB9" w:rsidP="00AD6F82">
            <w:pPr>
              <w:rPr>
                <w:rFonts w:cstheme="minorHAnsi"/>
                <w:lang w:val="en-GB"/>
              </w:rPr>
            </w:pPr>
            <w:r w:rsidRPr="00F02007">
              <w:rPr>
                <w:rFonts w:cstheme="minorHAnsi"/>
                <w:lang w:val="en-GB"/>
              </w:rPr>
              <w:t>I</w:t>
            </w:r>
          </w:p>
        </w:tc>
        <w:tc>
          <w:tcPr>
            <w:tcW w:w="1800" w:type="dxa"/>
          </w:tcPr>
          <w:p w14:paraId="362B26B9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100 mg QD</w:t>
            </w:r>
          </w:p>
        </w:tc>
        <w:tc>
          <w:tcPr>
            <w:tcW w:w="2160" w:type="dxa"/>
            <w:tcBorders>
              <w:left w:val="nil"/>
            </w:tcBorders>
          </w:tcPr>
          <w:p w14:paraId="30796099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81.8</w:t>
            </w:r>
          </w:p>
        </w:tc>
        <w:tc>
          <w:tcPr>
            <w:tcW w:w="2430" w:type="dxa"/>
            <w:tcBorders>
              <w:left w:val="nil"/>
            </w:tcBorders>
          </w:tcPr>
          <w:p w14:paraId="3B7B9BCF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311</w:t>
            </w:r>
          </w:p>
        </w:tc>
        <w:tc>
          <w:tcPr>
            <w:tcW w:w="1440" w:type="dxa"/>
          </w:tcPr>
          <w:p w14:paraId="10151FF4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0.263</w:t>
            </w:r>
          </w:p>
        </w:tc>
        <w:tc>
          <w:tcPr>
            <w:tcW w:w="1800" w:type="dxa"/>
          </w:tcPr>
          <w:p w14:paraId="15779F9F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0.7736</w:t>
            </w:r>
          </w:p>
        </w:tc>
      </w:tr>
      <w:tr w:rsidR="00347CB9" w:rsidRPr="00745EA6" w14:paraId="7098DFF1" w14:textId="77777777" w:rsidTr="00AD6F82">
        <w:tc>
          <w:tcPr>
            <w:tcW w:w="805" w:type="dxa"/>
          </w:tcPr>
          <w:p w14:paraId="30C20BAD" w14:textId="77777777" w:rsidR="00347CB9" w:rsidRPr="00F02007" w:rsidRDefault="00347CB9" w:rsidP="00AD6F82">
            <w:pPr>
              <w:rPr>
                <w:rFonts w:cstheme="minorHAnsi"/>
                <w:lang w:val="en-GB"/>
              </w:rPr>
            </w:pPr>
            <w:r w:rsidRPr="00F02007">
              <w:rPr>
                <w:rFonts w:cstheme="minorHAnsi"/>
                <w:lang w:val="en-GB"/>
              </w:rPr>
              <w:t>II</w:t>
            </w:r>
          </w:p>
        </w:tc>
        <w:tc>
          <w:tcPr>
            <w:tcW w:w="1800" w:type="dxa"/>
          </w:tcPr>
          <w:p w14:paraId="1F46C17E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EXP-1</w:t>
            </w:r>
          </w:p>
        </w:tc>
        <w:tc>
          <w:tcPr>
            <w:tcW w:w="2160" w:type="dxa"/>
            <w:tcBorders>
              <w:left w:val="nil"/>
            </w:tcBorders>
          </w:tcPr>
          <w:p w14:paraId="7879C9D9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38.1</w:t>
            </w:r>
          </w:p>
        </w:tc>
        <w:tc>
          <w:tcPr>
            <w:tcW w:w="2430" w:type="dxa"/>
            <w:tcBorders>
              <w:left w:val="nil"/>
            </w:tcBorders>
          </w:tcPr>
          <w:p w14:paraId="73418A2E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165</w:t>
            </w:r>
          </w:p>
        </w:tc>
        <w:tc>
          <w:tcPr>
            <w:tcW w:w="1440" w:type="dxa"/>
          </w:tcPr>
          <w:p w14:paraId="345F0CC2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0.2309</w:t>
            </w:r>
          </w:p>
        </w:tc>
        <w:tc>
          <w:tcPr>
            <w:tcW w:w="1800" w:type="dxa"/>
          </w:tcPr>
          <w:p w14:paraId="3D7946AB" w14:textId="77777777" w:rsidR="00347CB9" w:rsidRPr="00AD0F0C" w:rsidRDefault="00347CB9" w:rsidP="00AD6F82">
            <w:pPr>
              <w:rPr>
                <w:rFonts w:cstheme="minorHAnsi"/>
                <w:lang w:val="en-GB"/>
              </w:rPr>
            </w:pPr>
            <w:r w:rsidRPr="00AD0F0C">
              <w:rPr>
                <w:rFonts w:cstheme="minorHAnsi"/>
                <w:lang w:val="en-GB"/>
              </w:rPr>
              <w:t>0.6791</w:t>
            </w:r>
          </w:p>
        </w:tc>
      </w:tr>
    </w:tbl>
    <w:p w14:paraId="33D407E1" w14:textId="77777777" w:rsidR="00347CB9" w:rsidRPr="00AD0F0C" w:rsidRDefault="00347CB9" w:rsidP="00347CB9">
      <w:pPr>
        <w:pStyle w:val="Heading1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b w:val="0"/>
          <w:bCs/>
        </w:rPr>
      </w:pPr>
      <w:proofErr w:type="spellStart"/>
      <w:r w:rsidRPr="00AD0F0C">
        <w:rPr>
          <w:rFonts w:asciiTheme="minorHAnsi" w:hAnsiTheme="minorHAnsi" w:cstheme="minorHAnsi"/>
          <w:b w:val="0"/>
          <w:bCs/>
          <w:vertAlign w:val="superscript"/>
        </w:rPr>
        <w:t>a</w:t>
      </w:r>
      <w:proofErr w:type="spellEnd"/>
      <w:r w:rsidRPr="00AD0F0C">
        <w:rPr>
          <w:rFonts w:asciiTheme="minorHAnsi" w:hAnsiTheme="minorHAnsi" w:cstheme="minorHAnsi"/>
          <w:b w:val="0"/>
          <w:bCs/>
          <w:vertAlign w:val="superscript"/>
        </w:rPr>
        <w:t> </w:t>
      </w:r>
      <w:r w:rsidRPr="00AD0F0C">
        <w:rPr>
          <w:rFonts w:asciiTheme="minorHAnsi" w:hAnsiTheme="minorHAnsi" w:cstheme="minorHAnsi"/>
          <w:b w:val="0"/>
          <w:bCs/>
        </w:rPr>
        <w:t>This patient had been off study drug for 8 days at the time of the CSF and plasma sample draws</w:t>
      </w:r>
    </w:p>
    <w:p w14:paraId="683F08CB" w14:textId="77777777" w:rsidR="00347CB9" w:rsidRPr="00AD0F0C" w:rsidRDefault="00347CB9" w:rsidP="00347CB9">
      <w:pPr>
        <w:pStyle w:val="Heading1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b w:val="0"/>
          <w:bCs/>
        </w:rPr>
      </w:pPr>
    </w:p>
    <w:p w14:paraId="55414D94" w14:textId="77777777" w:rsidR="00347CB9" w:rsidRPr="00AD0F0C" w:rsidRDefault="00347CB9" w:rsidP="00347CB9">
      <w:pPr>
        <w:pStyle w:val="Heading1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b w:val="0"/>
          <w:bCs/>
        </w:rPr>
      </w:pPr>
      <w:r w:rsidRPr="00AD0F0C">
        <w:rPr>
          <w:rFonts w:asciiTheme="minorHAnsi" w:hAnsiTheme="minorHAnsi" w:cstheme="minorHAnsi"/>
          <w:b w:val="0"/>
          <w:bCs/>
        </w:rPr>
        <w:t>The lower limit of quantification for plasma concentration was 2.50 ng/mL</w:t>
      </w:r>
    </w:p>
    <w:p w14:paraId="454A0DF1" w14:textId="77777777" w:rsidR="00347CB9" w:rsidRPr="00AD0F0C" w:rsidRDefault="00347CB9" w:rsidP="00347CB9">
      <w:pPr>
        <w:pStyle w:val="Heading1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b w:val="0"/>
          <w:bCs/>
        </w:rPr>
      </w:pPr>
      <w:r w:rsidRPr="00AD0F0C">
        <w:rPr>
          <w:rFonts w:asciiTheme="minorHAnsi" w:hAnsiTheme="minorHAnsi" w:cstheme="minorHAnsi"/>
          <w:b w:val="0"/>
          <w:bCs/>
        </w:rPr>
        <w:t>The lower limit of quantification for CSF concentration was 1.00 ng/mL</w:t>
      </w:r>
    </w:p>
    <w:p w14:paraId="4505B4F6" w14:textId="77777777" w:rsidR="00347CB9" w:rsidRPr="00DE0B4D" w:rsidRDefault="00347CB9" w:rsidP="00347CB9">
      <w:pPr>
        <w:spacing w:line="240" w:lineRule="auto"/>
        <w:rPr>
          <w:rFonts w:cstheme="minorHAnsi"/>
        </w:rPr>
      </w:pPr>
      <w:r w:rsidRPr="00745EA6">
        <w:rPr>
          <w:rFonts w:cstheme="minorHAnsi"/>
        </w:rPr>
        <w:t>CSF/free plasma ratio = CSF/(plasma •</w:t>
      </w:r>
      <w:r w:rsidRPr="00DE0B4D">
        <w:rPr>
          <w:rFonts w:cstheme="minorHAnsi"/>
        </w:rPr>
        <w:t xml:space="preserve"> 0.34)</w:t>
      </w:r>
    </w:p>
    <w:p w14:paraId="0FE91AB9" w14:textId="77777777" w:rsidR="00347CB9" w:rsidRPr="00DE0B4D" w:rsidRDefault="00347CB9" w:rsidP="00347CB9">
      <w:pPr>
        <w:spacing w:line="240" w:lineRule="auto"/>
        <w:rPr>
          <w:rFonts w:cstheme="minorHAnsi"/>
        </w:rPr>
      </w:pPr>
      <w:r w:rsidRPr="00745EA6">
        <w:rPr>
          <w:rFonts w:cstheme="minorHAnsi"/>
        </w:rPr>
        <w:t xml:space="preserve">CSF cerebral spinal fluid, </w:t>
      </w:r>
      <w:r w:rsidRPr="00745EA6">
        <w:rPr>
          <w:rFonts w:cstheme="minorHAnsi"/>
          <w:i/>
          <w:iCs/>
          <w:lang w:val="en-GB"/>
        </w:rPr>
        <w:t>EXP</w:t>
      </w:r>
      <w:r w:rsidRPr="00DE0B4D">
        <w:rPr>
          <w:rFonts w:cstheme="minorHAnsi"/>
          <w:lang w:val="en-GB"/>
        </w:rPr>
        <w:t xml:space="preserve"> expansion cohort, </w:t>
      </w:r>
      <w:r w:rsidRPr="00DE0B4D">
        <w:rPr>
          <w:rFonts w:cstheme="minorHAnsi"/>
          <w:i/>
          <w:iCs/>
          <w:lang w:val="en-GB"/>
        </w:rPr>
        <w:t>QD</w:t>
      </w:r>
      <w:r w:rsidRPr="00DE0B4D">
        <w:rPr>
          <w:rFonts w:cstheme="minorHAnsi"/>
          <w:lang w:val="en-GB"/>
        </w:rPr>
        <w:t xml:space="preserve"> once daily</w:t>
      </w:r>
    </w:p>
    <w:p w14:paraId="7CB2E9EB" w14:textId="77777777" w:rsidR="00347CB9" w:rsidRPr="00DE0B4D" w:rsidRDefault="00347CB9" w:rsidP="00347CB9">
      <w:pPr>
        <w:rPr>
          <w:rFonts w:cstheme="minorHAnsi"/>
          <w:b/>
        </w:rPr>
      </w:pPr>
      <w:r w:rsidRPr="00DE0B4D">
        <w:rPr>
          <w:rFonts w:cstheme="minorHAnsi"/>
        </w:rPr>
        <w:br w:type="page"/>
      </w:r>
    </w:p>
    <w:p w14:paraId="76C4DDD8" w14:textId="77777777" w:rsidR="00347CB9" w:rsidRDefault="00347CB9" w:rsidP="00347CB9">
      <w:pPr>
        <w:pStyle w:val="Heading1"/>
        <w:numPr>
          <w:ilvl w:val="0"/>
          <w:numId w:val="0"/>
        </w:numPr>
        <w:rPr>
          <w:b w:val="0"/>
        </w:rPr>
      </w:pPr>
      <w:bookmarkStart w:id="2" w:name="_Hlk56586803"/>
      <w:r>
        <w:lastRenderedPageBreak/>
        <w:t xml:space="preserve">Electronic Supplementary Fig. S1 </w:t>
      </w:r>
      <w:r w:rsidRPr="00FC7FA5">
        <w:rPr>
          <w:b w:val="0"/>
          <w:bCs/>
        </w:rPr>
        <w:t>Plots of lorlatinib dose-normalized pharmacokinetic parameters vs. dose following single oral doses (QD dosing cohorts only). (a) AUC</w:t>
      </w:r>
      <w:r w:rsidRPr="00FC7FA5">
        <w:rPr>
          <w:b w:val="0"/>
          <w:bCs/>
          <w:vertAlign w:val="subscript"/>
          <w:lang w:val="en-GB"/>
        </w:rPr>
        <w:sym w:font="Symbol" w:char="F0A5"/>
      </w:r>
      <w:r w:rsidRPr="00FC7FA5">
        <w:rPr>
          <w:b w:val="0"/>
          <w:bCs/>
        </w:rPr>
        <w:t xml:space="preserve"> (b) AUC</w:t>
      </w:r>
      <w:r w:rsidRPr="00FC7FA5">
        <w:rPr>
          <w:rFonts w:cs="Times New Roman"/>
          <w:b w:val="0"/>
          <w:bCs/>
          <w:vertAlign w:val="subscript"/>
        </w:rPr>
        <w:t>τ</w:t>
      </w:r>
      <w:r w:rsidRPr="00FC7FA5">
        <w:rPr>
          <w:b w:val="0"/>
          <w:bCs/>
        </w:rPr>
        <w:t xml:space="preserve"> (c) C</w:t>
      </w:r>
      <w:r w:rsidRPr="00FC7FA5">
        <w:rPr>
          <w:b w:val="0"/>
          <w:bCs/>
          <w:vertAlign w:val="subscript"/>
        </w:rPr>
        <w:t>max</w:t>
      </w:r>
    </w:p>
    <w:p w14:paraId="797FA2DF" w14:textId="77777777" w:rsidR="00347CB9" w:rsidRDefault="00347CB9" w:rsidP="00347CB9">
      <w:pPr>
        <w:spacing w:line="276" w:lineRule="auto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B60F92" wp14:editId="347FFC20">
            <wp:simplePos x="0" y="0"/>
            <wp:positionH relativeFrom="column">
              <wp:posOffset>3311525</wp:posOffset>
            </wp:positionH>
            <wp:positionV relativeFrom="paragraph">
              <wp:posOffset>11430</wp:posOffset>
            </wp:positionV>
            <wp:extent cx="2611233" cy="2105025"/>
            <wp:effectExtent l="0" t="0" r="0" b="0"/>
            <wp:wrapTight wrapText="bothSides">
              <wp:wrapPolygon edited="0">
                <wp:start x="0" y="0"/>
                <wp:lineTo x="0" y="21307"/>
                <wp:lineTo x="21432" y="21307"/>
                <wp:lineTo x="214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1233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CF83849" wp14:editId="49940822">
            <wp:extent cx="2773152" cy="2143125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7815" cy="216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84B82" w14:textId="77777777" w:rsidR="00347CB9" w:rsidRDefault="00347CB9" w:rsidP="00347CB9">
      <w:pPr>
        <w:spacing w:line="276" w:lineRule="auto"/>
        <w:rPr>
          <w:lang w:val="en-GB"/>
        </w:rPr>
      </w:pPr>
    </w:p>
    <w:p w14:paraId="5D9595DD" w14:textId="77777777" w:rsidR="00347CB9" w:rsidRDefault="00347CB9" w:rsidP="00347CB9">
      <w:pPr>
        <w:spacing w:line="276" w:lineRule="auto"/>
        <w:rPr>
          <w:lang w:val="en-GB"/>
        </w:rPr>
      </w:pPr>
      <w:r>
        <w:rPr>
          <w:noProof/>
        </w:rPr>
        <w:drawing>
          <wp:inline distT="0" distB="0" distL="0" distR="0" wp14:anchorId="4F08E25B" wp14:editId="22E0AD61">
            <wp:extent cx="2552565" cy="2047875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5122" cy="20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1EBE" w14:textId="77777777" w:rsidR="00347CB9" w:rsidRDefault="00347CB9" w:rsidP="00347CB9">
      <w:pPr>
        <w:spacing w:line="276" w:lineRule="auto"/>
      </w:pPr>
      <w:r>
        <w:rPr>
          <w:lang w:val="en-GB"/>
        </w:rPr>
        <w:t>Circles represent individual values and stars represent geometric mean</w:t>
      </w:r>
    </w:p>
    <w:p w14:paraId="62DF4898" w14:textId="77777777" w:rsidR="00347CB9" w:rsidRDefault="00347CB9" w:rsidP="00347CB9">
      <w:pPr>
        <w:spacing w:line="276" w:lineRule="auto"/>
      </w:pPr>
      <w:r>
        <w:t>For 25 mg QD and 150 mg QD dose levels, the AUC</w:t>
      </w:r>
      <w:r w:rsidRPr="00241DEC">
        <w:rPr>
          <w:rFonts w:cs="Times New Roman"/>
          <w:vertAlign w:val="subscript"/>
        </w:rPr>
        <w:t>τ</w:t>
      </w:r>
      <w:r>
        <w:t xml:space="preserve"> was derived from Cycle 1 Day 1 data while for the remaining dose levels the AUC</w:t>
      </w:r>
      <w:r w:rsidRPr="00241DEC">
        <w:rPr>
          <w:rFonts w:cs="Times New Roman"/>
          <w:vertAlign w:val="subscript"/>
        </w:rPr>
        <w:t>τ</w:t>
      </w:r>
      <w:r>
        <w:t xml:space="preserve"> was obtained from Lead-in Day 7 data</w:t>
      </w:r>
    </w:p>
    <w:p w14:paraId="2AF0ECCD" w14:textId="77777777" w:rsidR="00347CB9" w:rsidRPr="00AE7325" w:rsidRDefault="00347CB9" w:rsidP="00347CB9">
      <w:pPr>
        <w:spacing w:line="276" w:lineRule="auto"/>
      </w:pPr>
      <w:r w:rsidRPr="000568C1">
        <w:rPr>
          <w:i/>
          <w:lang w:val="en-GB"/>
        </w:rPr>
        <w:t>AUC</w:t>
      </w:r>
      <w:r w:rsidRPr="00241DEC">
        <w:rPr>
          <w:rFonts w:cs="Times New Roman"/>
          <w:vertAlign w:val="subscript"/>
        </w:rPr>
        <w:t>τ</w:t>
      </w:r>
      <w:r>
        <w:rPr>
          <w:lang w:val="en-GB"/>
        </w:rPr>
        <w:t xml:space="preserve"> area under the concentration-time profile from time zero to time τ, the dosing interval, where </w:t>
      </w:r>
      <w:r w:rsidRPr="00FC7FA5">
        <w:rPr>
          <w:rFonts w:cs="Times New Roman"/>
        </w:rPr>
        <w:t>τ</w:t>
      </w:r>
      <w:r>
        <w:rPr>
          <w:lang w:val="en-GB"/>
        </w:rPr>
        <w:t xml:space="preserve"> = 24 h, </w:t>
      </w:r>
      <w:r w:rsidRPr="000568C1">
        <w:rPr>
          <w:i/>
          <w:lang w:val="en-GB"/>
        </w:rPr>
        <w:t>C</w:t>
      </w:r>
      <w:r w:rsidRPr="000568C1">
        <w:rPr>
          <w:i/>
          <w:vertAlign w:val="subscript"/>
          <w:lang w:val="en-GB"/>
        </w:rPr>
        <w:t>max</w:t>
      </w:r>
      <w:r>
        <w:rPr>
          <w:lang w:val="en-GB"/>
        </w:rPr>
        <w:t xml:space="preserve"> maximum observed plasma concentration, QD, once daily</w:t>
      </w:r>
      <w:r>
        <w:rPr>
          <w:highlight w:val="lightGray"/>
        </w:rPr>
        <w:br w:type="page"/>
      </w:r>
    </w:p>
    <w:p w14:paraId="77B9386E" w14:textId="77777777" w:rsidR="00347CB9" w:rsidRPr="00FC7FA5" w:rsidRDefault="00347CB9" w:rsidP="00347CB9">
      <w:pPr>
        <w:pStyle w:val="Heading1"/>
        <w:numPr>
          <w:ilvl w:val="0"/>
          <w:numId w:val="0"/>
        </w:numPr>
        <w:rPr>
          <w:b w:val="0"/>
          <w:bCs/>
        </w:rPr>
      </w:pPr>
      <w:r>
        <w:lastRenderedPageBreak/>
        <w:t xml:space="preserve">Electronic Supplementary Fig. S2 </w:t>
      </w:r>
      <w:r w:rsidRPr="00FC7FA5">
        <w:rPr>
          <w:b w:val="0"/>
          <w:bCs/>
        </w:rPr>
        <w:t>Box and whisker plot of changes from baseline in (a) plasma 4ß-hydroxycholesterol/cholesterol and (b) urine 6ß-hydroxycortisol/cortisol ratios against visit following multiple doses of lorlatinib 100 mg QD (phase I)</w:t>
      </w:r>
      <w:r w:rsidRPr="004F4E90">
        <w:rPr>
          <w:b w:val="0"/>
          <w:bCs/>
        </w:rPr>
        <w:t xml:space="preserve"> </w:t>
      </w:r>
    </w:p>
    <w:p w14:paraId="17B6CA80" w14:textId="77777777" w:rsidR="00347CB9" w:rsidRDefault="00347CB9" w:rsidP="00347CB9">
      <w:r>
        <w:rPr>
          <w:noProof/>
        </w:rPr>
        <w:drawing>
          <wp:inline distT="0" distB="0" distL="0" distR="0" wp14:anchorId="2068206E" wp14:editId="55B0ECA8">
            <wp:extent cx="3680368" cy="294160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3179" cy="296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351C3" w14:textId="77777777" w:rsidR="00347CB9" w:rsidRDefault="00347CB9" w:rsidP="00347CB9">
      <w:pPr>
        <w:pStyle w:val="MyFigure"/>
      </w:pPr>
      <w:r>
        <w:rPr>
          <w:noProof/>
        </w:rPr>
        <w:drawing>
          <wp:inline distT="0" distB="0" distL="0" distR="0" wp14:anchorId="7F73DAEB" wp14:editId="1AA26D2C">
            <wp:extent cx="3648075" cy="280973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8771" cy="282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87B1" w14:textId="77777777" w:rsidR="00347CB9" w:rsidRDefault="00347CB9" w:rsidP="00347CB9">
      <w:pPr>
        <w:spacing w:line="276" w:lineRule="auto"/>
      </w:pPr>
    </w:p>
    <w:p w14:paraId="2C369A0C" w14:textId="77777777" w:rsidR="00347CB9" w:rsidRDefault="00347CB9" w:rsidP="00347CB9">
      <w:pPr>
        <w:spacing w:line="276" w:lineRule="auto"/>
      </w:pPr>
      <w:r>
        <w:t>Open circles represent individual values. Box plot shows median and 25%/75% quartiles with whiskers to the last point within 1.5 times the interquartile range</w:t>
      </w:r>
    </w:p>
    <w:p w14:paraId="45C084DE" w14:textId="77777777" w:rsidR="00804CC9" w:rsidRDefault="00347CB9" w:rsidP="00347CB9">
      <w:pPr>
        <w:spacing w:line="276" w:lineRule="auto"/>
      </w:pPr>
      <w:r w:rsidRPr="000568C1">
        <w:rPr>
          <w:i/>
        </w:rPr>
        <w:t>QD</w:t>
      </w:r>
      <w:r>
        <w:t xml:space="preserve"> once daily</w:t>
      </w:r>
      <w:bookmarkEnd w:id="2"/>
    </w:p>
    <w:sectPr w:rsidR="00804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17E7E"/>
    <w:multiLevelType w:val="hybridMultilevel"/>
    <w:tmpl w:val="B052AD3E"/>
    <w:lvl w:ilvl="0" w:tplc="B150E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AB99C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ACEC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CD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32A3D"/>
    <w:multiLevelType w:val="multilevel"/>
    <w:tmpl w:val="4F9698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CD144C"/>
    <w:multiLevelType w:val="multilevel"/>
    <w:tmpl w:val="B6B273BA"/>
    <w:lvl w:ilvl="0">
      <w:start w:val="6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1C355191"/>
    <w:multiLevelType w:val="multilevel"/>
    <w:tmpl w:val="D38430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FBC2E71"/>
    <w:multiLevelType w:val="multilevel"/>
    <w:tmpl w:val="D7162066"/>
    <w:lvl w:ilvl="0">
      <w:start w:val="1"/>
      <w:numFmt w:val="decimal"/>
      <w:pStyle w:val="Heading1"/>
      <w:lvlText w:val="%1."/>
      <w:lvlJc w:val="left"/>
    </w:lvl>
    <w:lvl w:ilvl="1">
      <w:start w:val="1"/>
      <w:numFmt w:val="decimal"/>
      <w:pStyle w:val="Heading2"/>
      <w:lvlText w:val="%1.%2."/>
      <w:lvlJc w:val="left"/>
    </w:lvl>
    <w:lvl w:ilvl="2">
      <w:start w:val="1"/>
      <w:numFmt w:val="decimal"/>
      <w:pStyle w:val="Heading3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35011C"/>
    <w:multiLevelType w:val="multilevel"/>
    <w:tmpl w:val="7144D7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673488"/>
    <w:multiLevelType w:val="multilevel"/>
    <w:tmpl w:val="1FF0B7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905983"/>
    <w:multiLevelType w:val="hybridMultilevel"/>
    <w:tmpl w:val="75082376"/>
    <w:lvl w:ilvl="0" w:tplc="B6BA8E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E585B"/>
    <w:multiLevelType w:val="hybridMultilevel"/>
    <w:tmpl w:val="115A0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A2A67"/>
    <w:multiLevelType w:val="multilevel"/>
    <w:tmpl w:val="ED0693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E7F144E"/>
    <w:multiLevelType w:val="multilevel"/>
    <w:tmpl w:val="63485440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</w:rPr>
    </w:lvl>
  </w:abstractNum>
  <w:abstractNum w:abstractNumId="20" w15:restartNumberingAfterBreak="0">
    <w:nsid w:val="4EEE556F"/>
    <w:multiLevelType w:val="hybridMultilevel"/>
    <w:tmpl w:val="A01CC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E22BD"/>
    <w:multiLevelType w:val="hybridMultilevel"/>
    <w:tmpl w:val="9EEC4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A45B9"/>
    <w:multiLevelType w:val="hybridMultilevel"/>
    <w:tmpl w:val="4EFEE7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3810"/>
    <w:multiLevelType w:val="hybridMultilevel"/>
    <w:tmpl w:val="BE2E612C"/>
    <w:lvl w:ilvl="0" w:tplc="CEC879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9"/>
  </w:num>
  <w:num w:numId="12">
    <w:abstractNumId w:val="9"/>
  </w:num>
  <w:num w:numId="13">
    <w:abstractNumId w:val="17"/>
  </w:num>
  <w:num w:numId="14">
    <w:abstractNumId w:val="21"/>
  </w:num>
  <w:num w:numId="15">
    <w:abstractNumId w:val="15"/>
  </w:num>
  <w:num w:numId="16">
    <w:abstractNumId w:val="18"/>
  </w:num>
  <w:num w:numId="17">
    <w:abstractNumId w:val="11"/>
  </w:num>
  <w:num w:numId="18">
    <w:abstractNumId w:val="12"/>
  </w:num>
  <w:num w:numId="19">
    <w:abstractNumId w:val="22"/>
  </w:num>
  <w:num w:numId="20">
    <w:abstractNumId w:val="23"/>
  </w:num>
  <w:num w:numId="21">
    <w:abstractNumId w:val="16"/>
  </w:num>
  <w:num w:numId="22">
    <w:abstractNumId w:val="20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06"/>
    <w:rsid w:val="00000215"/>
    <w:rsid w:val="00005D92"/>
    <w:rsid w:val="000103D5"/>
    <w:rsid w:val="00011C76"/>
    <w:rsid w:val="0001723A"/>
    <w:rsid w:val="0002064E"/>
    <w:rsid w:val="000240C4"/>
    <w:rsid w:val="000349AE"/>
    <w:rsid w:val="00041894"/>
    <w:rsid w:val="00042DB5"/>
    <w:rsid w:val="00044FF5"/>
    <w:rsid w:val="000475FF"/>
    <w:rsid w:val="0006235E"/>
    <w:rsid w:val="00063F5F"/>
    <w:rsid w:val="000756BB"/>
    <w:rsid w:val="00090056"/>
    <w:rsid w:val="00093E53"/>
    <w:rsid w:val="000962C1"/>
    <w:rsid w:val="00097139"/>
    <w:rsid w:val="000A21A1"/>
    <w:rsid w:val="000B374D"/>
    <w:rsid w:val="000B6299"/>
    <w:rsid w:val="000C173E"/>
    <w:rsid w:val="000C784A"/>
    <w:rsid w:val="000D0492"/>
    <w:rsid w:val="000D2EC2"/>
    <w:rsid w:val="000D4583"/>
    <w:rsid w:val="000D64F5"/>
    <w:rsid w:val="000E04C8"/>
    <w:rsid w:val="000E35F4"/>
    <w:rsid w:val="000E4304"/>
    <w:rsid w:val="000E4F3B"/>
    <w:rsid w:val="000E5C2A"/>
    <w:rsid w:val="000E673E"/>
    <w:rsid w:val="000F447D"/>
    <w:rsid w:val="000F69A1"/>
    <w:rsid w:val="00100744"/>
    <w:rsid w:val="00103FF9"/>
    <w:rsid w:val="00113DEE"/>
    <w:rsid w:val="00114579"/>
    <w:rsid w:val="00114C14"/>
    <w:rsid w:val="00126113"/>
    <w:rsid w:val="00136C36"/>
    <w:rsid w:val="00145A59"/>
    <w:rsid w:val="00156903"/>
    <w:rsid w:val="00183009"/>
    <w:rsid w:val="001906D0"/>
    <w:rsid w:val="001C0AA0"/>
    <w:rsid w:val="001D1F89"/>
    <w:rsid w:val="001E337C"/>
    <w:rsid w:val="001E4F48"/>
    <w:rsid w:val="001E690E"/>
    <w:rsid w:val="001F2846"/>
    <w:rsid w:val="001F33A4"/>
    <w:rsid w:val="001F4361"/>
    <w:rsid w:val="001F4F66"/>
    <w:rsid w:val="00200912"/>
    <w:rsid w:val="0020202A"/>
    <w:rsid w:val="00204817"/>
    <w:rsid w:val="0021460F"/>
    <w:rsid w:val="0021714A"/>
    <w:rsid w:val="0022625E"/>
    <w:rsid w:val="00230318"/>
    <w:rsid w:val="00232197"/>
    <w:rsid w:val="0024139E"/>
    <w:rsid w:val="00252852"/>
    <w:rsid w:val="00253056"/>
    <w:rsid w:val="00265223"/>
    <w:rsid w:val="002653C1"/>
    <w:rsid w:val="00270130"/>
    <w:rsid w:val="00275DEE"/>
    <w:rsid w:val="00276354"/>
    <w:rsid w:val="0028075C"/>
    <w:rsid w:val="002837A9"/>
    <w:rsid w:val="00290BF4"/>
    <w:rsid w:val="00295689"/>
    <w:rsid w:val="002A023A"/>
    <w:rsid w:val="002A633A"/>
    <w:rsid w:val="002C3859"/>
    <w:rsid w:val="002C6B99"/>
    <w:rsid w:val="002C77E1"/>
    <w:rsid w:val="002D34B5"/>
    <w:rsid w:val="002D4C9D"/>
    <w:rsid w:val="002E1238"/>
    <w:rsid w:val="002E68EB"/>
    <w:rsid w:val="002E7134"/>
    <w:rsid w:val="00305CDE"/>
    <w:rsid w:val="00321E0C"/>
    <w:rsid w:val="00326539"/>
    <w:rsid w:val="00326E64"/>
    <w:rsid w:val="00332533"/>
    <w:rsid w:val="00334EAA"/>
    <w:rsid w:val="0033526B"/>
    <w:rsid w:val="003359F3"/>
    <w:rsid w:val="00337169"/>
    <w:rsid w:val="0034597F"/>
    <w:rsid w:val="00347CB9"/>
    <w:rsid w:val="00354B0F"/>
    <w:rsid w:val="00370E6A"/>
    <w:rsid w:val="00371A06"/>
    <w:rsid w:val="00373C1D"/>
    <w:rsid w:val="00375A9C"/>
    <w:rsid w:val="00375CD1"/>
    <w:rsid w:val="00376A93"/>
    <w:rsid w:val="00376D60"/>
    <w:rsid w:val="00377546"/>
    <w:rsid w:val="003839D7"/>
    <w:rsid w:val="00395134"/>
    <w:rsid w:val="003A42A2"/>
    <w:rsid w:val="003C782F"/>
    <w:rsid w:val="003D4788"/>
    <w:rsid w:val="003D6595"/>
    <w:rsid w:val="003E3028"/>
    <w:rsid w:val="003F07CE"/>
    <w:rsid w:val="0040284D"/>
    <w:rsid w:val="00403AE6"/>
    <w:rsid w:val="0041143A"/>
    <w:rsid w:val="004351A5"/>
    <w:rsid w:val="00435910"/>
    <w:rsid w:val="0043753B"/>
    <w:rsid w:val="00437566"/>
    <w:rsid w:val="0043769D"/>
    <w:rsid w:val="00453A68"/>
    <w:rsid w:val="00453D10"/>
    <w:rsid w:val="00455D54"/>
    <w:rsid w:val="0045601F"/>
    <w:rsid w:val="00461ADC"/>
    <w:rsid w:val="00474997"/>
    <w:rsid w:val="004872EC"/>
    <w:rsid w:val="00495DB0"/>
    <w:rsid w:val="004B1282"/>
    <w:rsid w:val="004B4748"/>
    <w:rsid w:val="004B5238"/>
    <w:rsid w:val="004C40AC"/>
    <w:rsid w:val="004D7DC8"/>
    <w:rsid w:val="004E3089"/>
    <w:rsid w:val="004E605B"/>
    <w:rsid w:val="004F0900"/>
    <w:rsid w:val="005033A2"/>
    <w:rsid w:val="00504BC2"/>
    <w:rsid w:val="0050603D"/>
    <w:rsid w:val="00510583"/>
    <w:rsid w:val="0052148B"/>
    <w:rsid w:val="0053023D"/>
    <w:rsid w:val="00533E78"/>
    <w:rsid w:val="00533ECA"/>
    <w:rsid w:val="005477DE"/>
    <w:rsid w:val="00551ACC"/>
    <w:rsid w:val="00557D16"/>
    <w:rsid w:val="005600CB"/>
    <w:rsid w:val="00560257"/>
    <w:rsid w:val="00561C3C"/>
    <w:rsid w:val="005625E2"/>
    <w:rsid w:val="0057299C"/>
    <w:rsid w:val="00574B70"/>
    <w:rsid w:val="005860E3"/>
    <w:rsid w:val="005916BF"/>
    <w:rsid w:val="00596726"/>
    <w:rsid w:val="005A5E6B"/>
    <w:rsid w:val="005C7883"/>
    <w:rsid w:val="005D0D6C"/>
    <w:rsid w:val="005D2A06"/>
    <w:rsid w:val="005D3BB9"/>
    <w:rsid w:val="005E11F0"/>
    <w:rsid w:val="005E1D7C"/>
    <w:rsid w:val="005F0EE8"/>
    <w:rsid w:val="00604D76"/>
    <w:rsid w:val="006204DD"/>
    <w:rsid w:val="00623D37"/>
    <w:rsid w:val="0063084F"/>
    <w:rsid w:val="006359F7"/>
    <w:rsid w:val="00643C50"/>
    <w:rsid w:val="006505E8"/>
    <w:rsid w:val="00657FDA"/>
    <w:rsid w:val="00661452"/>
    <w:rsid w:val="00663FDB"/>
    <w:rsid w:val="006719FF"/>
    <w:rsid w:val="006747BF"/>
    <w:rsid w:val="006822BB"/>
    <w:rsid w:val="006866FB"/>
    <w:rsid w:val="0069676C"/>
    <w:rsid w:val="006A07BE"/>
    <w:rsid w:val="006B2AFF"/>
    <w:rsid w:val="006B5532"/>
    <w:rsid w:val="006B5F78"/>
    <w:rsid w:val="006C02E1"/>
    <w:rsid w:val="006C0680"/>
    <w:rsid w:val="006C150C"/>
    <w:rsid w:val="006C5A3B"/>
    <w:rsid w:val="006E11A8"/>
    <w:rsid w:val="006E45A5"/>
    <w:rsid w:val="006F7542"/>
    <w:rsid w:val="00700726"/>
    <w:rsid w:val="00701943"/>
    <w:rsid w:val="00704800"/>
    <w:rsid w:val="0070667C"/>
    <w:rsid w:val="00710531"/>
    <w:rsid w:val="00715A8A"/>
    <w:rsid w:val="00722E20"/>
    <w:rsid w:val="0072350A"/>
    <w:rsid w:val="00725AA8"/>
    <w:rsid w:val="00745EA6"/>
    <w:rsid w:val="00753066"/>
    <w:rsid w:val="00767375"/>
    <w:rsid w:val="00783938"/>
    <w:rsid w:val="00785245"/>
    <w:rsid w:val="00785DB1"/>
    <w:rsid w:val="00792463"/>
    <w:rsid w:val="007934B0"/>
    <w:rsid w:val="007A2829"/>
    <w:rsid w:val="007A2E17"/>
    <w:rsid w:val="007A36F7"/>
    <w:rsid w:val="007A3FF9"/>
    <w:rsid w:val="007B0873"/>
    <w:rsid w:val="007B0B74"/>
    <w:rsid w:val="007B3D7A"/>
    <w:rsid w:val="007C472F"/>
    <w:rsid w:val="007C6E9D"/>
    <w:rsid w:val="007D39A9"/>
    <w:rsid w:val="007E231A"/>
    <w:rsid w:val="007E2780"/>
    <w:rsid w:val="007E6073"/>
    <w:rsid w:val="007F18BD"/>
    <w:rsid w:val="007F3546"/>
    <w:rsid w:val="00804CC9"/>
    <w:rsid w:val="00810EE9"/>
    <w:rsid w:val="0081328A"/>
    <w:rsid w:val="0082217A"/>
    <w:rsid w:val="00826B82"/>
    <w:rsid w:val="00827E8A"/>
    <w:rsid w:val="0084262D"/>
    <w:rsid w:val="00843D34"/>
    <w:rsid w:val="00844613"/>
    <w:rsid w:val="00846585"/>
    <w:rsid w:val="00847ABA"/>
    <w:rsid w:val="00852D08"/>
    <w:rsid w:val="00856A27"/>
    <w:rsid w:val="00863267"/>
    <w:rsid w:val="008638CE"/>
    <w:rsid w:val="008646D9"/>
    <w:rsid w:val="00865E48"/>
    <w:rsid w:val="00871273"/>
    <w:rsid w:val="00880647"/>
    <w:rsid w:val="00890198"/>
    <w:rsid w:val="008A30B4"/>
    <w:rsid w:val="008B3B5E"/>
    <w:rsid w:val="008C1944"/>
    <w:rsid w:val="008E1ACA"/>
    <w:rsid w:val="008E3F98"/>
    <w:rsid w:val="008E5A1E"/>
    <w:rsid w:val="00901B1F"/>
    <w:rsid w:val="0091193A"/>
    <w:rsid w:val="00913D14"/>
    <w:rsid w:val="0091560D"/>
    <w:rsid w:val="00924134"/>
    <w:rsid w:val="009261E3"/>
    <w:rsid w:val="0095132C"/>
    <w:rsid w:val="009518A5"/>
    <w:rsid w:val="00952292"/>
    <w:rsid w:val="0095461B"/>
    <w:rsid w:val="00963568"/>
    <w:rsid w:val="00965B82"/>
    <w:rsid w:val="00970F60"/>
    <w:rsid w:val="0097217A"/>
    <w:rsid w:val="00976142"/>
    <w:rsid w:val="00977EEF"/>
    <w:rsid w:val="0098680F"/>
    <w:rsid w:val="009905D5"/>
    <w:rsid w:val="009911D9"/>
    <w:rsid w:val="009917AB"/>
    <w:rsid w:val="0099230A"/>
    <w:rsid w:val="00996CA4"/>
    <w:rsid w:val="009A0F0C"/>
    <w:rsid w:val="009A34C1"/>
    <w:rsid w:val="009A49FD"/>
    <w:rsid w:val="009A53CE"/>
    <w:rsid w:val="009B7F1F"/>
    <w:rsid w:val="009C15F3"/>
    <w:rsid w:val="009C3C57"/>
    <w:rsid w:val="009C5FA2"/>
    <w:rsid w:val="009D2584"/>
    <w:rsid w:val="009D3622"/>
    <w:rsid w:val="009D4534"/>
    <w:rsid w:val="009E098D"/>
    <w:rsid w:val="009F0B5C"/>
    <w:rsid w:val="009F168D"/>
    <w:rsid w:val="009F5550"/>
    <w:rsid w:val="009F657E"/>
    <w:rsid w:val="00A01220"/>
    <w:rsid w:val="00A047B9"/>
    <w:rsid w:val="00A06668"/>
    <w:rsid w:val="00A11588"/>
    <w:rsid w:val="00A15BE6"/>
    <w:rsid w:val="00A16CDC"/>
    <w:rsid w:val="00A33B65"/>
    <w:rsid w:val="00A40333"/>
    <w:rsid w:val="00A42ADC"/>
    <w:rsid w:val="00A44817"/>
    <w:rsid w:val="00A55401"/>
    <w:rsid w:val="00A626C2"/>
    <w:rsid w:val="00A6430F"/>
    <w:rsid w:val="00A70E5C"/>
    <w:rsid w:val="00A80020"/>
    <w:rsid w:val="00A86DC5"/>
    <w:rsid w:val="00AA4344"/>
    <w:rsid w:val="00AA5469"/>
    <w:rsid w:val="00AA6D90"/>
    <w:rsid w:val="00AB0BA0"/>
    <w:rsid w:val="00AB4E53"/>
    <w:rsid w:val="00AC6DED"/>
    <w:rsid w:val="00AD0F0C"/>
    <w:rsid w:val="00AE5BB0"/>
    <w:rsid w:val="00AF1811"/>
    <w:rsid w:val="00AF2064"/>
    <w:rsid w:val="00AF447A"/>
    <w:rsid w:val="00AF7082"/>
    <w:rsid w:val="00B077BB"/>
    <w:rsid w:val="00B12539"/>
    <w:rsid w:val="00B179B9"/>
    <w:rsid w:val="00B26D6A"/>
    <w:rsid w:val="00B307C4"/>
    <w:rsid w:val="00B34373"/>
    <w:rsid w:val="00B40BE5"/>
    <w:rsid w:val="00B544C2"/>
    <w:rsid w:val="00B563FF"/>
    <w:rsid w:val="00B650AD"/>
    <w:rsid w:val="00B669FA"/>
    <w:rsid w:val="00B71BD8"/>
    <w:rsid w:val="00B73224"/>
    <w:rsid w:val="00B96F1B"/>
    <w:rsid w:val="00BA542D"/>
    <w:rsid w:val="00BA7C21"/>
    <w:rsid w:val="00BB07A1"/>
    <w:rsid w:val="00BC56BD"/>
    <w:rsid w:val="00BC72C2"/>
    <w:rsid w:val="00BE2339"/>
    <w:rsid w:val="00BE2F5D"/>
    <w:rsid w:val="00BF26B4"/>
    <w:rsid w:val="00C06D4E"/>
    <w:rsid w:val="00C10F86"/>
    <w:rsid w:val="00C20E07"/>
    <w:rsid w:val="00C21160"/>
    <w:rsid w:val="00C27E3C"/>
    <w:rsid w:val="00C33700"/>
    <w:rsid w:val="00C35B86"/>
    <w:rsid w:val="00C416AA"/>
    <w:rsid w:val="00C43A66"/>
    <w:rsid w:val="00C510FD"/>
    <w:rsid w:val="00C702B5"/>
    <w:rsid w:val="00C73599"/>
    <w:rsid w:val="00C75F78"/>
    <w:rsid w:val="00C8250C"/>
    <w:rsid w:val="00C876A8"/>
    <w:rsid w:val="00C93206"/>
    <w:rsid w:val="00C952C4"/>
    <w:rsid w:val="00C969C1"/>
    <w:rsid w:val="00CC34DF"/>
    <w:rsid w:val="00CC6965"/>
    <w:rsid w:val="00CD7024"/>
    <w:rsid w:val="00CE50E6"/>
    <w:rsid w:val="00CE76FF"/>
    <w:rsid w:val="00CF0810"/>
    <w:rsid w:val="00D0290E"/>
    <w:rsid w:val="00D03B2B"/>
    <w:rsid w:val="00D04A95"/>
    <w:rsid w:val="00D11668"/>
    <w:rsid w:val="00D140C7"/>
    <w:rsid w:val="00D3521F"/>
    <w:rsid w:val="00D35AE3"/>
    <w:rsid w:val="00D4360F"/>
    <w:rsid w:val="00D43ED5"/>
    <w:rsid w:val="00D444B7"/>
    <w:rsid w:val="00D53227"/>
    <w:rsid w:val="00D63A66"/>
    <w:rsid w:val="00D802C5"/>
    <w:rsid w:val="00DA09CE"/>
    <w:rsid w:val="00DA2673"/>
    <w:rsid w:val="00DA4F87"/>
    <w:rsid w:val="00DA7F28"/>
    <w:rsid w:val="00DB5E9F"/>
    <w:rsid w:val="00DC0224"/>
    <w:rsid w:val="00DD01B3"/>
    <w:rsid w:val="00DD0CBE"/>
    <w:rsid w:val="00DE0B4D"/>
    <w:rsid w:val="00DE7F80"/>
    <w:rsid w:val="00DF049A"/>
    <w:rsid w:val="00DF6273"/>
    <w:rsid w:val="00DF6394"/>
    <w:rsid w:val="00DF754B"/>
    <w:rsid w:val="00E0165F"/>
    <w:rsid w:val="00E34915"/>
    <w:rsid w:val="00E5626F"/>
    <w:rsid w:val="00E66776"/>
    <w:rsid w:val="00E66822"/>
    <w:rsid w:val="00E66AEB"/>
    <w:rsid w:val="00E67CF3"/>
    <w:rsid w:val="00E72702"/>
    <w:rsid w:val="00E74B40"/>
    <w:rsid w:val="00E75B26"/>
    <w:rsid w:val="00E879B2"/>
    <w:rsid w:val="00E93081"/>
    <w:rsid w:val="00EA285C"/>
    <w:rsid w:val="00EA37E7"/>
    <w:rsid w:val="00EA55EE"/>
    <w:rsid w:val="00EC08BA"/>
    <w:rsid w:val="00EC5304"/>
    <w:rsid w:val="00ED20EC"/>
    <w:rsid w:val="00ED2AC6"/>
    <w:rsid w:val="00EE3B08"/>
    <w:rsid w:val="00EE5424"/>
    <w:rsid w:val="00EF6DBB"/>
    <w:rsid w:val="00F00E7E"/>
    <w:rsid w:val="00F02007"/>
    <w:rsid w:val="00F02A84"/>
    <w:rsid w:val="00F03A91"/>
    <w:rsid w:val="00F068F1"/>
    <w:rsid w:val="00F27B4A"/>
    <w:rsid w:val="00F33CC9"/>
    <w:rsid w:val="00F37F02"/>
    <w:rsid w:val="00F445D2"/>
    <w:rsid w:val="00F45DB7"/>
    <w:rsid w:val="00F50C1C"/>
    <w:rsid w:val="00F553E6"/>
    <w:rsid w:val="00F56FD6"/>
    <w:rsid w:val="00F776F1"/>
    <w:rsid w:val="00F81324"/>
    <w:rsid w:val="00F83838"/>
    <w:rsid w:val="00FA17F8"/>
    <w:rsid w:val="00FA2C09"/>
    <w:rsid w:val="00FA2EA1"/>
    <w:rsid w:val="00FA5739"/>
    <w:rsid w:val="00FB5B12"/>
    <w:rsid w:val="00FC6EF4"/>
    <w:rsid w:val="00FD2047"/>
    <w:rsid w:val="00FD4FA1"/>
    <w:rsid w:val="00FD5008"/>
    <w:rsid w:val="00FE16AE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B2E9"/>
  <w15:chartTrackingRefBased/>
  <w15:docId w15:val="{2C830058-2825-4B27-B7A4-1D17E8B6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CB9"/>
    <w:pPr>
      <w:numPr>
        <w:numId w:val="10"/>
      </w:numPr>
      <w:spacing w:before="240" w:after="120" w:line="480" w:lineRule="auto"/>
      <w:outlineLvl w:val="0"/>
    </w:pPr>
    <w:rPr>
      <w:rFonts w:ascii="Times New Roman" w:eastAsiaTheme="minorEastAsia" w:hAnsi="Times New Roman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CB9"/>
    <w:pPr>
      <w:numPr>
        <w:ilvl w:val="1"/>
        <w:numId w:val="10"/>
      </w:numPr>
      <w:spacing w:before="240" w:after="120" w:line="480" w:lineRule="auto"/>
      <w:outlineLvl w:val="1"/>
    </w:pPr>
    <w:rPr>
      <w:rFonts w:ascii="Times New Roman" w:eastAsiaTheme="minorEastAsia" w:hAnsi="Times New Roman"/>
      <w:b/>
      <w:i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CB9"/>
    <w:pPr>
      <w:numPr>
        <w:ilvl w:val="2"/>
        <w:numId w:val="10"/>
      </w:numPr>
      <w:spacing w:before="320" w:line="319" w:lineRule="auto"/>
      <w:outlineLvl w:val="2"/>
    </w:pPr>
    <w:rPr>
      <w:rFonts w:ascii="Times New Roman" w:eastAsiaTheme="minorEastAsia" w:hAnsi="Times New Roman"/>
      <w:color w:val="000000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7CB9"/>
    <w:pPr>
      <w:spacing w:before="320" w:line="360" w:lineRule="auto"/>
      <w:outlineLvl w:val="3"/>
    </w:pPr>
    <w:rPr>
      <w:rFonts w:ascii="Times New Roman" w:eastAsiaTheme="minorEastAsia" w:hAnsi="Times New Roman"/>
      <w:color w:val="000000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CB9"/>
    <w:pPr>
      <w:spacing w:before="320" w:line="274" w:lineRule="auto"/>
      <w:outlineLvl w:val="4"/>
    </w:pPr>
    <w:rPr>
      <w:rFonts w:ascii="Times New Roman" w:eastAsiaTheme="minorEastAsia" w:hAnsi="Times New Roman"/>
      <w:color w:val="000000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7CB9"/>
    <w:pPr>
      <w:spacing w:before="320" w:line="319" w:lineRule="auto"/>
      <w:outlineLvl w:val="5"/>
    </w:pPr>
    <w:rPr>
      <w:rFonts w:ascii="Times New Roman" w:eastAsiaTheme="minorEastAsia" w:hAnsi="Times New Roman"/>
      <w:b/>
      <w:color w:val="00000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CB9"/>
    <w:pPr>
      <w:keepNext/>
      <w:keepLines/>
      <w:spacing w:before="200" w:after="0" w:line="48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CB9"/>
    <w:pPr>
      <w:keepNext/>
      <w:keepLines/>
      <w:spacing w:before="200" w:after="0" w:line="480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CB9"/>
    <w:pPr>
      <w:keepNext/>
      <w:keepLines/>
      <w:spacing w:before="200" w:after="0" w:line="48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CB9"/>
    <w:rPr>
      <w:rFonts w:ascii="Times New Roman" w:eastAsiaTheme="minorEastAsia" w:hAnsi="Times New Roman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347CB9"/>
    <w:rPr>
      <w:rFonts w:ascii="Times New Roman" w:eastAsiaTheme="minorEastAsia" w:hAnsi="Times New Roman"/>
      <w:b/>
      <w:i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347CB9"/>
    <w:rPr>
      <w:rFonts w:ascii="Times New Roman" w:eastAsiaTheme="minorEastAsia" w:hAnsi="Times New Roman"/>
      <w:color w:val="000000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47CB9"/>
    <w:rPr>
      <w:rFonts w:ascii="Times New Roman" w:eastAsiaTheme="minorEastAsia" w:hAnsi="Times New Roman"/>
      <w:color w:val="000000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347CB9"/>
    <w:rPr>
      <w:rFonts w:ascii="Times New Roman" w:eastAsiaTheme="minorEastAsia" w:hAnsi="Times New Roman"/>
      <w:color w:val="000000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47CB9"/>
    <w:rPr>
      <w:rFonts w:ascii="Times New Roman" w:eastAsiaTheme="minorEastAsia" w:hAnsi="Times New Roman"/>
      <w:b/>
      <w:color w:val="00000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C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CB9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C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7CB9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347CB9"/>
    <w:rPr>
      <w:rFonts w:ascii="Times New Roman" w:eastAsiaTheme="minorEastAsia" w:hAnsi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7CB9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347CB9"/>
    <w:rPr>
      <w:rFonts w:ascii="Times New Roman" w:eastAsiaTheme="minorEastAsia" w:hAnsi="Times New Roman"/>
      <w:color w:val="000000"/>
    </w:rPr>
  </w:style>
  <w:style w:type="paragraph" w:styleId="NoSpacing">
    <w:name w:val="No Spacing"/>
    <w:uiPriority w:val="1"/>
    <w:qFormat/>
    <w:rsid w:val="00347CB9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347CB9"/>
    <w:pPr>
      <w:spacing w:after="480" w:line="300" w:lineRule="auto"/>
    </w:pPr>
    <w:rPr>
      <w:rFonts w:ascii="Times New Roman" w:eastAsiaTheme="minorEastAsia" w:hAnsi="Times New Roman"/>
      <w:color w:val="000000"/>
      <w:sz w:val="64"/>
    </w:rPr>
  </w:style>
  <w:style w:type="character" w:customStyle="1" w:styleId="TitleChar">
    <w:name w:val="Title Char"/>
    <w:basedOn w:val="DefaultParagraphFont"/>
    <w:link w:val="Title"/>
    <w:uiPriority w:val="10"/>
    <w:rsid w:val="00347CB9"/>
    <w:rPr>
      <w:rFonts w:ascii="Times New Roman" w:eastAsiaTheme="minorEastAsia" w:hAnsi="Times New Roman"/>
      <w:color w:val="000000"/>
      <w:sz w:val="6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CB9"/>
    <w:pPr>
      <w:numPr>
        <w:ilvl w:val="1"/>
      </w:numPr>
      <w:spacing w:after="0" w:line="48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7C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347CB9"/>
    <w:pPr>
      <w:spacing w:after="0" w:line="480" w:lineRule="auto"/>
      <w:ind w:left="720"/>
      <w:contextualSpacing/>
    </w:pPr>
    <w:rPr>
      <w:rFonts w:ascii="Times New Roman" w:eastAsiaTheme="minorEastAsia" w:hAnsi="Times New Roman"/>
      <w:color w:val="000000"/>
    </w:rPr>
  </w:style>
  <w:style w:type="paragraph" w:styleId="BodyText">
    <w:name w:val="Body Text"/>
    <w:basedOn w:val="Normal"/>
    <w:link w:val="BodyTextChar"/>
    <w:uiPriority w:val="99"/>
    <w:unhideWhenUsed/>
    <w:rsid w:val="00347CB9"/>
    <w:pPr>
      <w:spacing w:after="120" w:line="480" w:lineRule="auto"/>
    </w:pPr>
    <w:rPr>
      <w:rFonts w:ascii="Times New Roman" w:eastAsiaTheme="minorEastAsia" w:hAnsi="Times New Roman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347CB9"/>
    <w:rPr>
      <w:rFonts w:ascii="Times New Roman" w:eastAsiaTheme="minorEastAsia" w:hAnsi="Times New Roman"/>
      <w:color w:val="000000"/>
    </w:rPr>
  </w:style>
  <w:style w:type="paragraph" w:styleId="BodyText2">
    <w:name w:val="Body Text 2"/>
    <w:basedOn w:val="Normal"/>
    <w:link w:val="BodyText2Char"/>
    <w:uiPriority w:val="99"/>
    <w:unhideWhenUsed/>
    <w:rsid w:val="00347CB9"/>
    <w:pPr>
      <w:spacing w:after="120" w:line="480" w:lineRule="auto"/>
    </w:pPr>
    <w:rPr>
      <w:rFonts w:ascii="Times New Roman" w:eastAsiaTheme="minorEastAsia" w:hAnsi="Times New Roman"/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rsid w:val="00347CB9"/>
    <w:rPr>
      <w:rFonts w:ascii="Times New Roman" w:eastAsiaTheme="minorEastAsia" w:hAnsi="Times New Roman"/>
      <w:color w:val="000000"/>
    </w:rPr>
  </w:style>
  <w:style w:type="paragraph" w:styleId="BodyText3">
    <w:name w:val="Body Text 3"/>
    <w:basedOn w:val="Normal"/>
    <w:link w:val="BodyText3Char"/>
    <w:uiPriority w:val="99"/>
    <w:unhideWhenUsed/>
    <w:rsid w:val="00347CB9"/>
    <w:pPr>
      <w:spacing w:after="120" w:line="480" w:lineRule="auto"/>
    </w:pPr>
    <w:rPr>
      <w:rFonts w:ascii="Times New Roman" w:eastAsiaTheme="minorEastAsia" w:hAnsi="Times New Roman"/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47CB9"/>
    <w:rPr>
      <w:rFonts w:ascii="Times New Roman" w:eastAsiaTheme="minorEastAsia" w:hAnsi="Times New Roman"/>
      <w:color w:val="000000"/>
      <w:sz w:val="16"/>
      <w:szCs w:val="16"/>
    </w:rPr>
  </w:style>
  <w:style w:type="paragraph" w:styleId="List">
    <w:name w:val="List"/>
    <w:basedOn w:val="Normal"/>
    <w:uiPriority w:val="99"/>
    <w:unhideWhenUsed/>
    <w:rsid w:val="00347CB9"/>
    <w:pPr>
      <w:spacing w:after="0" w:line="480" w:lineRule="auto"/>
      <w:ind w:left="360" w:hanging="360"/>
      <w:contextualSpacing/>
    </w:pPr>
    <w:rPr>
      <w:rFonts w:ascii="Times New Roman" w:eastAsiaTheme="minorEastAsia" w:hAnsi="Times New Roman"/>
      <w:color w:val="000000"/>
    </w:rPr>
  </w:style>
  <w:style w:type="paragraph" w:styleId="List2">
    <w:name w:val="List 2"/>
    <w:basedOn w:val="Normal"/>
    <w:uiPriority w:val="99"/>
    <w:unhideWhenUsed/>
    <w:rsid w:val="00347CB9"/>
    <w:pPr>
      <w:spacing w:after="0" w:line="480" w:lineRule="auto"/>
      <w:ind w:left="720" w:hanging="360"/>
      <w:contextualSpacing/>
    </w:pPr>
    <w:rPr>
      <w:rFonts w:ascii="Times New Roman" w:eastAsiaTheme="minorEastAsia" w:hAnsi="Times New Roman"/>
      <w:color w:val="000000"/>
    </w:rPr>
  </w:style>
  <w:style w:type="paragraph" w:styleId="List3">
    <w:name w:val="List 3"/>
    <w:basedOn w:val="Normal"/>
    <w:uiPriority w:val="99"/>
    <w:unhideWhenUsed/>
    <w:rsid w:val="00347CB9"/>
    <w:pPr>
      <w:spacing w:after="0" w:line="480" w:lineRule="auto"/>
      <w:ind w:left="1080" w:hanging="360"/>
      <w:contextualSpacing/>
    </w:pPr>
    <w:rPr>
      <w:rFonts w:ascii="Times New Roman" w:eastAsiaTheme="minorEastAsia" w:hAnsi="Times New Roman"/>
      <w:color w:val="000000"/>
    </w:rPr>
  </w:style>
  <w:style w:type="paragraph" w:styleId="ListBullet">
    <w:name w:val="List Bullet"/>
    <w:basedOn w:val="Normal"/>
    <w:uiPriority w:val="99"/>
    <w:unhideWhenUsed/>
    <w:rsid w:val="00347CB9"/>
    <w:pPr>
      <w:numPr>
        <w:numId w:val="1"/>
      </w:numPr>
      <w:spacing w:after="0" w:line="480" w:lineRule="auto"/>
      <w:contextualSpacing/>
    </w:pPr>
    <w:rPr>
      <w:rFonts w:ascii="Times New Roman" w:eastAsiaTheme="minorEastAsia" w:hAnsi="Times New Roman"/>
      <w:color w:val="000000"/>
    </w:rPr>
  </w:style>
  <w:style w:type="paragraph" w:styleId="ListBullet2">
    <w:name w:val="List Bullet 2"/>
    <w:basedOn w:val="Normal"/>
    <w:uiPriority w:val="99"/>
    <w:unhideWhenUsed/>
    <w:rsid w:val="00347CB9"/>
    <w:pPr>
      <w:numPr>
        <w:numId w:val="2"/>
      </w:numPr>
      <w:spacing w:after="0" w:line="480" w:lineRule="auto"/>
      <w:contextualSpacing/>
    </w:pPr>
    <w:rPr>
      <w:rFonts w:ascii="Times New Roman" w:eastAsiaTheme="minorEastAsia" w:hAnsi="Times New Roman"/>
      <w:color w:val="000000"/>
    </w:rPr>
  </w:style>
  <w:style w:type="paragraph" w:styleId="ListBullet3">
    <w:name w:val="List Bullet 3"/>
    <w:basedOn w:val="Normal"/>
    <w:uiPriority w:val="99"/>
    <w:unhideWhenUsed/>
    <w:rsid w:val="00347CB9"/>
    <w:pPr>
      <w:numPr>
        <w:numId w:val="3"/>
      </w:numPr>
      <w:spacing w:after="0" w:line="480" w:lineRule="auto"/>
      <w:contextualSpacing/>
    </w:pPr>
    <w:rPr>
      <w:rFonts w:ascii="Times New Roman" w:eastAsiaTheme="minorEastAsia" w:hAnsi="Times New Roman"/>
      <w:color w:val="000000"/>
    </w:rPr>
  </w:style>
  <w:style w:type="paragraph" w:styleId="ListNumber">
    <w:name w:val="List Number"/>
    <w:basedOn w:val="Normal"/>
    <w:uiPriority w:val="99"/>
    <w:unhideWhenUsed/>
    <w:rsid w:val="00347CB9"/>
    <w:pPr>
      <w:numPr>
        <w:numId w:val="5"/>
      </w:numPr>
      <w:spacing w:after="0" w:line="480" w:lineRule="auto"/>
      <w:contextualSpacing/>
    </w:pPr>
    <w:rPr>
      <w:rFonts w:ascii="Times New Roman" w:eastAsiaTheme="minorEastAsia" w:hAnsi="Times New Roman"/>
      <w:color w:val="000000"/>
    </w:rPr>
  </w:style>
  <w:style w:type="paragraph" w:styleId="ListNumber2">
    <w:name w:val="List Number 2"/>
    <w:basedOn w:val="Normal"/>
    <w:uiPriority w:val="99"/>
    <w:unhideWhenUsed/>
    <w:rsid w:val="00347CB9"/>
    <w:pPr>
      <w:numPr>
        <w:numId w:val="6"/>
      </w:numPr>
      <w:spacing w:after="0" w:line="480" w:lineRule="auto"/>
      <w:contextualSpacing/>
    </w:pPr>
    <w:rPr>
      <w:rFonts w:ascii="Times New Roman" w:eastAsiaTheme="minorEastAsia" w:hAnsi="Times New Roman"/>
      <w:color w:val="000000"/>
    </w:rPr>
  </w:style>
  <w:style w:type="paragraph" w:styleId="ListNumber3">
    <w:name w:val="List Number 3"/>
    <w:basedOn w:val="Normal"/>
    <w:uiPriority w:val="99"/>
    <w:unhideWhenUsed/>
    <w:rsid w:val="00347CB9"/>
    <w:pPr>
      <w:numPr>
        <w:numId w:val="7"/>
      </w:numPr>
      <w:spacing w:after="0" w:line="480" w:lineRule="auto"/>
      <w:contextualSpacing/>
    </w:pPr>
    <w:rPr>
      <w:rFonts w:ascii="Times New Roman" w:eastAsiaTheme="minorEastAsia" w:hAnsi="Times New Roman"/>
      <w:color w:val="000000"/>
    </w:rPr>
  </w:style>
  <w:style w:type="paragraph" w:styleId="ListContinue">
    <w:name w:val="List Continue"/>
    <w:basedOn w:val="Normal"/>
    <w:uiPriority w:val="99"/>
    <w:unhideWhenUsed/>
    <w:rsid w:val="00347CB9"/>
    <w:pPr>
      <w:spacing w:after="120" w:line="480" w:lineRule="auto"/>
      <w:ind w:left="360"/>
      <w:contextualSpacing/>
    </w:pPr>
    <w:rPr>
      <w:rFonts w:ascii="Times New Roman" w:eastAsiaTheme="minorEastAsia" w:hAnsi="Times New Roman"/>
      <w:color w:val="000000"/>
    </w:rPr>
  </w:style>
  <w:style w:type="paragraph" w:styleId="ListContinue2">
    <w:name w:val="List Continue 2"/>
    <w:basedOn w:val="Normal"/>
    <w:uiPriority w:val="99"/>
    <w:unhideWhenUsed/>
    <w:rsid w:val="00347CB9"/>
    <w:pPr>
      <w:spacing w:after="120" w:line="480" w:lineRule="auto"/>
      <w:ind w:left="720"/>
      <w:contextualSpacing/>
    </w:pPr>
    <w:rPr>
      <w:rFonts w:ascii="Times New Roman" w:eastAsiaTheme="minorEastAsia" w:hAnsi="Times New Roman"/>
      <w:color w:val="000000"/>
    </w:rPr>
  </w:style>
  <w:style w:type="paragraph" w:styleId="ListContinue3">
    <w:name w:val="List Continue 3"/>
    <w:basedOn w:val="Normal"/>
    <w:uiPriority w:val="99"/>
    <w:unhideWhenUsed/>
    <w:rsid w:val="00347CB9"/>
    <w:pPr>
      <w:spacing w:after="120" w:line="480" w:lineRule="auto"/>
      <w:ind w:left="1080"/>
      <w:contextualSpacing/>
    </w:pPr>
    <w:rPr>
      <w:rFonts w:ascii="Times New Roman" w:eastAsiaTheme="minorEastAsia" w:hAnsi="Times New Roman"/>
      <w:color w:val="000000"/>
    </w:rPr>
  </w:style>
  <w:style w:type="paragraph" w:styleId="MacroText">
    <w:name w:val="macro"/>
    <w:link w:val="MacroTextChar"/>
    <w:uiPriority w:val="99"/>
    <w:unhideWhenUsed/>
    <w:rsid w:val="00347CB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347CB9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47CB9"/>
    <w:pPr>
      <w:spacing w:after="0" w:line="480" w:lineRule="auto"/>
    </w:pPr>
    <w:rPr>
      <w:rFonts w:ascii="Times New Roman" w:eastAsiaTheme="minorEastAsia" w:hAnsi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7CB9"/>
    <w:rPr>
      <w:rFonts w:ascii="Times New Roman" w:eastAsiaTheme="minorEastAsia" w:hAnsi="Times New Roman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7CB9"/>
    <w:pPr>
      <w:spacing w:after="0" w:line="240" w:lineRule="auto"/>
    </w:pPr>
    <w:rPr>
      <w:rFonts w:ascii="Times New Roman" w:eastAsiaTheme="minorEastAsia" w:hAnsi="Times New Roman"/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347CB9"/>
    <w:rPr>
      <w:b/>
      <w:bCs/>
    </w:rPr>
  </w:style>
  <w:style w:type="character" w:styleId="Emphasis">
    <w:name w:val="Emphasis"/>
    <w:basedOn w:val="DefaultParagraphFont"/>
    <w:uiPriority w:val="20"/>
    <w:qFormat/>
    <w:rsid w:val="00347C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CB9"/>
    <w:pPr>
      <w:pBdr>
        <w:bottom w:val="single" w:sz="4" w:space="4" w:color="5B9BD5" w:themeColor="accent1"/>
      </w:pBdr>
      <w:spacing w:before="200" w:after="280" w:line="480" w:lineRule="auto"/>
      <w:ind w:left="936" w:right="936"/>
    </w:pPr>
    <w:rPr>
      <w:rFonts w:ascii="Times New Roman" w:eastAsiaTheme="minorEastAsia" w:hAnsi="Times New Roman"/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CB9"/>
    <w:rPr>
      <w:rFonts w:ascii="Times New Roman" w:eastAsiaTheme="minorEastAsia" w:hAnsi="Times New Roman"/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347CB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47CB9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47CB9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47CB9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47CB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7CB9"/>
    <w:pPr>
      <w:outlineLvl w:val="9"/>
    </w:pPr>
  </w:style>
  <w:style w:type="table" w:styleId="TableGrid">
    <w:name w:val="Table Grid"/>
    <w:basedOn w:val="TableNormal"/>
    <w:uiPriority w:val="59"/>
    <w:rsid w:val="00347CB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347CB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47CB9"/>
    <w:pPr>
      <w:spacing w:after="0" w:line="240" w:lineRule="auto"/>
    </w:pPr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47CB9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47CB9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47CB9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47CB9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47CB9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47C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47CB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47CB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47CB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abstract">
    <w:name w:val="abstract"/>
    <w:basedOn w:val="Normal"/>
    <w:qFormat/>
    <w:rsid w:val="00347CB9"/>
    <w:pPr>
      <w:spacing w:line="319" w:lineRule="auto"/>
    </w:pPr>
    <w:rPr>
      <w:rFonts w:ascii="Times New Roman" w:eastAsiaTheme="minorEastAsia" w:hAnsi="Times New Roman"/>
      <w:i/>
      <w:color w:val="000000"/>
      <w:sz w:val="20"/>
    </w:rPr>
  </w:style>
  <w:style w:type="paragraph" w:customStyle="1" w:styleId="MyAuthors">
    <w:name w:val="My Authors"/>
    <w:basedOn w:val="Normal"/>
    <w:qFormat/>
    <w:rsid w:val="00347CB9"/>
    <w:pPr>
      <w:spacing w:after="0" w:line="480" w:lineRule="auto"/>
    </w:pPr>
    <w:rPr>
      <w:rFonts w:ascii="Times New Roman" w:eastAsiaTheme="minorEastAsia" w:hAnsi="Times New Roman"/>
      <w:color w:val="000000"/>
      <w:sz w:val="20"/>
    </w:rPr>
  </w:style>
  <w:style w:type="paragraph" w:customStyle="1" w:styleId="MyEndnote">
    <w:name w:val="My Endnote"/>
    <w:basedOn w:val="Normal"/>
    <w:qFormat/>
    <w:rsid w:val="00347CB9"/>
    <w:pPr>
      <w:spacing w:after="0" w:line="480" w:lineRule="auto"/>
    </w:pPr>
    <w:rPr>
      <w:rFonts w:ascii="Times New Roman" w:eastAsiaTheme="minorEastAsia" w:hAnsi="Times New Roman"/>
      <w:color w:val="000000"/>
      <w:sz w:val="20"/>
    </w:rPr>
  </w:style>
  <w:style w:type="paragraph" w:customStyle="1" w:styleId="MyFigureCaption">
    <w:name w:val="My Figure Caption"/>
    <w:basedOn w:val="Normal"/>
    <w:qFormat/>
    <w:rsid w:val="00347CB9"/>
    <w:pPr>
      <w:spacing w:after="0" w:line="319" w:lineRule="auto"/>
      <w:jc w:val="center"/>
    </w:pPr>
    <w:rPr>
      <w:rFonts w:ascii="Times New Roman" w:eastAsiaTheme="minorEastAsia" w:hAnsi="Times New Roman"/>
      <w:color w:val="000000"/>
      <w:sz w:val="20"/>
    </w:rPr>
  </w:style>
  <w:style w:type="paragraph" w:customStyle="1" w:styleId="MyFigure">
    <w:name w:val="My Figure"/>
    <w:basedOn w:val="Normal"/>
    <w:qFormat/>
    <w:rsid w:val="00347CB9"/>
    <w:pPr>
      <w:spacing w:after="0" w:line="480" w:lineRule="auto"/>
    </w:pPr>
    <w:rPr>
      <w:rFonts w:ascii="Times New Roman" w:eastAsiaTheme="minorEastAsia" w:hAnsi="Times New Roman"/>
      <w:color w:val="000000"/>
      <w:sz w:val="20"/>
    </w:rPr>
  </w:style>
  <w:style w:type="paragraph" w:customStyle="1" w:styleId="MyFootnote">
    <w:name w:val="My Footnote"/>
    <w:basedOn w:val="Normal"/>
    <w:qFormat/>
    <w:rsid w:val="00347CB9"/>
    <w:pPr>
      <w:spacing w:after="0" w:line="480" w:lineRule="auto"/>
    </w:pPr>
    <w:rPr>
      <w:rFonts w:ascii="Times New Roman" w:eastAsiaTheme="minorEastAsia" w:hAnsi="Times New Roman"/>
      <w:color w:val="000000"/>
      <w:sz w:val="20"/>
    </w:rPr>
  </w:style>
  <w:style w:type="paragraph" w:customStyle="1" w:styleId="MyKeywords">
    <w:name w:val="My Keywords"/>
    <w:basedOn w:val="Normal"/>
    <w:qFormat/>
    <w:rsid w:val="00347CB9"/>
    <w:pPr>
      <w:spacing w:after="0" w:line="480" w:lineRule="auto"/>
    </w:pPr>
    <w:rPr>
      <w:rFonts w:ascii="Times New Roman" w:eastAsiaTheme="minorEastAsia" w:hAnsi="Times New Roman"/>
      <w:color w:val="000000"/>
      <w:sz w:val="20"/>
    </w:rPr>
  </w:style>
  <w:style w:type="paragraph" w:customStyle="1" w:styleId="MyParagraphTable">
    <w:name w:val="My Paragraph Table"/>
    <w:basedOn w:val="Normal"/>
    <w:qFormat/>
    <w:rsid w:val="00347CB9"/>
    <w:pPr>
      <w:spacing w:after="0" w:line="480" w:lineRule="auto"/>
    </w:pPr>
    <w:rPr>
      <w:rFonts w:ascii="Times New Roman" w:eastAsiaTheme="minorEastAsia" w:hAnsi="Times New Roman"/>
      <w:color w:val="000000"/>
      <w:sz w:val="20"/>
    </w:rPr>
  </w:style>
  <w:style w:type="table" w:customStyle="1" w:styleId="MyTable">
    <w:name w:val="My Table"/>
    <w:qFormat/>
    <w:rsid w:val="00347CB9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yTableCaption">
    <w:name w:val="My Table Caption"/>
    <w:basedOn w:val="Normal"/>
    <w:qFormat/>
    <w:rsid w:val="00347CB9"/>
    <w:pPr>
      <w:spacing w:after="0" w:line="319" w:lineRule="auto"/>
      <w:jc w:val="center"/>
    </w:pPr>
    <w:rPr>
      <w:rFonts w:ascii="Times New Roman" w:eastAsiaTheme="minorEastAsia" w:hAnsi="Times New Roman"/>
      <w:color w:val="000000"/>
      <w:sz w:val="20"/>
    </w:rPr>
  </w:style>
  <w:style w:type="character" w:customStyle="1" w:styleId="MyEndnoteintext">
    <w:name w:val="My Endnote in text"/>
    <w:qFormat/>
    <w:rsid w:val="00347CB9"/>
    <w:rPr>
      <w:rFonts w:ascii="Times New Roman" w:hAnsi="Times New Roman"/>
      <w:sz w:val="20"/>
      <w:vertAlign w:val="superscript"/>
    </w:rPr>
  </w:style>
  <w:style w:type="character" w:customStyle="1" w:styleId="MyFootnoteintext">
    <w:name w:val="My Footnote in text"/>
    <w:qFormat/>
    <w:rsid w:val="00347CB9"/>
    <w:rPr>
      <w:rFonts w:ascii="Times New Roman" w:hAnsi="Times New Roman"/>
      <w:sz w:val="20"/>
      <w:vertAlign w:val="superscript"/>
    </w:rPr>
  </w:style>
  <w:style w:type="paragraph" w:customStyle="1" w:styleId="FiguresSectionTitle">
    <w:name w:val="Figures Section Title"/>
    <w:basedOn w:val="Normal"/>
    <w:qFormat/>
    <w:rsid w:val="00347CB9"/>
    <w:pPr>
      <w:spacing w:before="240" w:after="120" w:line="480" w:lineRule="auto"/>
    </w:pPr>
    <w:rPr>
      <w:rFonts w:ascii="Times New Roman" w:eastAsiaTheme="minorEastAsia" w:hAnsi="Times New Roman"/>
      <w:b/>
      <w:color w:val="000000"/>
    </w:rPr>
  </w:style>
  <w:style w:type="paragraph" w:customStyle="1" w:styleId="1stlevelbulletedtext">
    <w:name w:val="1st level bulleted text"/>
    <w:qFormat/>
    <w:rsid w:val="00347CB9"/>
    <w:pPr>
      <w:spacing w:after="0" w:line="480" w:lineRule="auto"/>
      <w:ind w:left="374"/>
    </w:pPr>
    <w:rPr>
      <w:rFonts w:ascii="Times New Roman" w:eastAsiaTheme="minorEastAsia" w:hAnsi="Times New Roman"/>
      <w:color w:val="000000"/>
    </w:rPr>
  </w:style>
  <w:style w:type="paragraph" w:customStyle="1" w:styleId="2ndlevelbullet">
    <w:name w:val="2nd level bullet"/>
    <w:qFormat/>
    <w:rsid w:val="00347CB9"/>
    <w:pPr>
      <w:spacing w:after="0" w:line="480" w:lineRule="auto"/>
      <w:ind w:left="851"/>
    </w:pPr>
    <w:rPr>
      <w:rFonts w:ascii="Times New Roman" w:eastAsiaTheme="minorEastAsia" w:hAnsi="Times New Roman"/>
    </w:rPr>
  </w:style>
  <w:style w:type="paragraph" w:customStyle="1" w:styleId="3rdlevelbullet">
    <w:name w:val="3rd level bullet"/>
    <w:qFormat/>
    <w:rsid w:val="00347CB9"/>
    <w:pPr>
      <w:spacing w:after="0" w:line="480" w:lineRule="auto"/>
      <w:ind w:left="1276"/>
    </w:pPr>
    <w:rPr>
      <w:rFonts w:ascii="Times New Roman" w:eastAsiaTheme="minorEastAsia" w:hAnsi="Times New Roman"/>
    </w:rPr>
  </w:style>
  <w:style w:type="paragraph" w:customStyle="1" w:styleId="4thlevelbullet">
    <w:name w:val="4th level bullet"/>
    <w:qFormat/>
    <w:rsid w:val="00347CB9"/>
    <w:pPr>
      <w:spacing w:after="0" w:line="480" w:lineRule="auto"/>
      <w:ind w:left="1701"/>
    </w:pPr>
    <w:rPr>
      <w:rFonts w:ascii="Times New Roman" w:eastAsiaTheme="minorEastAsia" w:hAnsi="Times New Roman"/>
    </w:rPr>
  </w:style>
  <w:style w:type="paragraph" w:customStyle="1" w:styleId="EndNoteBibliography">
    <w:name w:val="EndNote Bibliography"/>
    <w:link w:val="EndNoteBibliographyChar"/>
    <w:qFormat/>
    <w:rsid w:val="00347CB9"/>
    <w:pPr>
      <w:spacing w:after="0" w:line="240" w:lineRule="auto"/>
    </w:pPr>
    <w:rPr>
      <w:rFonts w:ascii="Times New Roman" w:eastAsiaTheme="minorEastAsia" w:hAnsi="Times New Roman" w:cs="Times New Roman"/>
      <w:color w:val="000000"/>
    </w:rPr>
  </w:style>
  <w:style w:type="paragraph" w:styleId="CommentText">
    <w:name w:val="annotation text"/>
    <w:aliases w:val="- H19,Comment Text Char1,Comment Text Char Char,Comment Text Char1 Char Char,Comment Text Char Char Char Char,Comment Text Char Char1"/>
    <w:basedOn w:val="Normal"/>
    <w:link w:val="CommentTextChar"/>
    <w:uiPriority w:val="99"/>
    <w:unhideWhenUsed/>
    <w:qFormat/>
    <w:rsid w:val="00347CB9"/>
    <w:pPr>
      <w:spacing w:after="0" w:line="240" w:lineRule="auto"/>
    </w:pPr>
    <w:rPr>
      <w:rFonts w:ascii="Times New Roman" w:eastAsiaTheme="minorEastAsia" w:hAnsi="Times New Roman"/>
      <w:color w:val="000000"/>
      <w:sz w:val="20"/>
      <w:szCs w:val="20"/>
    </w:rPr>
  </w:style>
  <w:style w:type="character" w:customStyle="1" w:styleId="CommentTextChar">
    <w:name w:val="Comment Text Char"/>
    <w:aliases w:val="- H19 Char,Comment Text Char1 Char,Comment Text Char Char Char,Comment Text Char1 Char Char Char,Comment Text Char Char Char Char Char,Comment Text Char Char1 Char"/>
    <w:basedOn w:val="DefaultParagraphFont"/>
    <w:link w:val="CommentText"/>
    <w:uiPriority w:val="99"/>
    <w:rsid w:val="00347CB9"/>
    <w:rPr>
      <w:rFonts w:ascii="Times New Roman" w:eastAsiaTheme="minorEastAsia" w:hAnsi="Times New Roman"/>
      <w:color w:val="000000"/>
      <w:sz w:val="20"/>
      <w:szCs w:val="20"/>
    </w:rPr>
  </w:style>
  <w:style w:type="character" w:styleId="CommentReference">
    <w:name w:val="annotation reference"/>
    <w:aliases w:val="-H18"/>
    <w:basedOn w:val="DefaultParagraphFont"/>
    <w:uiPriority w:val="99"/>
    <w:unhideWhenUsed/>
    <w:qFormat/>
    <w:rsid w:val="00347CB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CB9"/>
    <w:pPr>
      <w:spacing w:after="0" w:line="240" w:lineRule="auto"/>
    </w:pPr>
    <w:rPr>
      <w:rFonts w:ascii="Segoe UI" w:eastAsiaTheme="minorEastAsia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B9"/>
    <w:rPr>
      <w:rFonts w:ascii="Segoe UI" w:eastAsiaTheme="minorEastAsia" w:hAnsi="Segoe UI" w:cs="Segoe UI"/>
      <w:color w:val="00000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CB9"/>
    <w:rPr>
      <w:rFonts w:ascii="Times New Roman" w:eastAsiaTheme="minorEastAsia" w:hAnsi="Times New Roman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47CB9"/>
    <w:rPr>
      <w:color w:val="0563C1" w:themeColor="hyperlink"/>
      <w:u w:val="single"/>
    </w:rPr>
  </w:style>
  <w:style w:type="character" w:customStyle="1" w:styleId="EndNoteBibliographyChar">
    <w:name w:val="EndNote Bibliography Char"/>
    <w:basedOn w:val="DefaultParagraphFont"/>
    <w:link w:val="EndNoteBibliography"/>
    <w:rsid w:val="00347CB9"/>
    <w:rPr>
      <w:rFonts w:ascii="Times New Roman" w:eastAsiaTheme="minorEastAsia" w:hAnsi="Times New Roman" w:cs="Times New Roman"/>
      <w:color w:val="000000"/>
    </w:rPr>
  </w:style>
  <w:style w:type="paragraph" w:customStyle="1" w:styleId="EndNoteBibliographyTitle">
    <w:name w:val="EndNote Bibliography Title"/>
    <w:basedOn w:val="Normal"/>
    <w:link w:val="EndNoteBibliographyTitleChar"/>
    <w:rsid w:val="00347CB9"/>
    <w:pPr>
      <w:spacing w:after="0" w:line="480" w:lineRule="auto"/>
      <w:jc w:val="center"/>
    </w:pPr>
    <w:rPr>
      <w:rFonts w:ascii="Times New Roman" w:eastAsiaTheme="minorEastAsia" w:hAnsi="Times New Roman" w:cs="Times New Roman"/>
      <w:noProof/>
      <w:color w:val="00000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7CB9"/>
    <w:rPr>
      <w:rFonts w:ascii="Times New Roman" w:eastAsiaTheme="minorEastAsia" w:hAnsi="Times New Roman" w:cs="Times New Roman"/>
      <w:noProof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7CB9"/>
    <w:rPr>
      <w:color w:val="605E5C"/>
      <w:shd w:val="clear" w:color="auto" w:fill="E1DFDD"/>
    </w:rPr>
  </w:style>
  <w:style w:type="paragraph" w:customStyle="1" w:styleId="Default">
    <w:name w:val="Default"/>
    <w:rsid w:val="00347CB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347CB9"/>
  </w:style>
  <w:style w:type="paragraph" w:customStyle="1" w:styleId="Body">
    <w:name w:val="Body"/>
    <w:rsid w:val="00347CB9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7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B9"/>
    <w:pPr>
      <w:spacing w:after="0" w:line="240" w:lineRule="auto"/>
    </w:pPr>
    <w:rPr>
      <w:rFonts w:ascii="Times New Roman" w:eastAsiaTheme="minorEastAsia" w:hAnsi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47CB9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47C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4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qFormat/>
    <w:rsid w:val="00347CB9"/>
    <w:pPr>
      <w:spacing w:after="0" w:line="240" w:lineRule="auto"/>
    </w:pPr>
    <w:rPr>
      <w:rFonts w:ascii="Consolas" w:eastAsia="Times New Roman" w:hAnsi="Consolas" w:cs="Times New Roman"/>
      <w:sz w:val="21"/>
      <w:szCs w:val="20"/>
    </w:rPr>
  </w:style>
  <w:style w:type="character" w:customStyle="1" w:styleId="PlainTextChar">
    <w:name w:val="Plain Text Char"/>
    <w:basedOn w:val="DefaultParagraphFont"/>
    <w:link w:val="PlainText"/>
    <w:rsid w:val="00347CB9"/>
    <w:rPr>
      <w:rFonts w:ascii="Consolas" w:eastAsia="Times New Roman" w:hAnsi="Consolas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40CF4B24609FBA49B0DB70ED74BD1168" ma:contentTypeVersion="0" ma:contentTypeDescription="Create a new document." ma:contentTypeScope="" ma:versionID="c58b293e83b366b02c742cb40c593e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E72C0-D382-4C58-9112-D8BAE1DBA18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405918-96FC-4635-A69C-B0BB52AFC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05BEC-EE4E-4897-9E03-61497A425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Megala Priya J.</dc:creator>
  <cp:keywords/>
  <dc:description/>
  <cp:lastModifiedBy>Rogers, Meredith (HAC-CMC)</cp:lastModifiedBy>
  <cp:revision>7</cp:revision>
  <dcterms:created xsi:type="dcterms:W3CDTF">2021-03-22T06:13:00Z</dcterms:created>
  <dcterms:modified xsi:type="dcterms:W3CDTF">2021-04-01T20:04:00Z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0x010100FA0963FA69A646AA916D2E41284FC1000040CF4B24609FBA49B0DB70ED74BD1168</vt:lpwstr>
  </property>
</Properties>
</file>