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098AD" w14:textId="423FDA9A" w:rsidR="00D014F2" w:rsidRPr="00F41C48" w:rsidRDefault="00CA7F35" w:rsidP="00293D4C">
      <w:pPr>
        <w:spacing w:line="360" w:lineRule="auto"/>
        <w:rPr>
          <w:rFonts w:cs="Arial"/>
          <w:b/>
          <w:bCs/>
        </w:rPr>
      </w:pPr>
      <w:bookmarkStart w:id="0" w:name="_Hlk13483637"/>
      <w:r w:rsidRPr="00F41C48">
        <w:rPr>
          <w:rFonts w:cs="Arial"/>
          <w:b/>
          <w:bCs/>
        </w:rPr>
        <w:t>Supplementary information</w:t>
      </w:r>
    </w:p>
    <w:p w14:paraId="746193C1" w14:textId="26B216B8" w:rsidR="00F154F8" w:rsidRPr="00F41C48" w:rsidRDefault="00F154F8" w:rsidP="00293D4C">
      <w:pPr>
        <w:spacing w:line="360" w:lineRule="auto"/>
        <w:rPr>
          <w:rFonts w:cs="Arial"/>
          <w:b/>
          <w:bCs/>
        </w:rPr>
      </w:pPr>
      <w:r w:rsidRPr="00F41C48">
        <w:rPr>
          <w:rFonts w:cs="Arial"/>
          <w:b/>
          <w:bCs/>
        </w:rPr>
        <w:t xml:space="preserve">Clinical Pharmacokinetics of Oral Semaglutide: Analyses of Data from Clinical Pharmacology </w:t>
      </w:r>
      <w:bookmarkStart w:id="1" w:name="_GoBack"/>
      <w:bookmarkEnd w:id="1"/>
      <w:r w:rsidRPr="00F41C48">
        <w:rPr>
          <w:rFonts w:cs="Arial"/>
          <w:b/>
          <w:bCs/>
        </w:rPr>
        <w:t>Trials</w:t>
      </w:r>
    </w:p>
    <w:p w14:paraId="0D757393" w14:textId="77777777" w:rsidR="00F154F8" w:rsidRPr="00F41C48" w:rsidRDefault="00F154F8" w:rsidP="00293D4C">
      <w:pPr>
        <w:spacing w:line="360" w:lineRule="auto"/>
        <w:rPr>
          <w:rFonts w:cs="Arial"/>
        </w:rPr>
      </w:pPr>
    </w:p>
    <w:p w14:paraId="55C337C4" w14:textId="3745D7D2" w:rsidR="00F154F8" w:rsidRPr="00F41C48" w:rsidRDefault="00F154F8" w:rsidP="00293D4C">
      <w:pPr>
        <w:spacing w:line="360" w:lineRule="auto"/>
        <w:rPr>
          <w:rFonts w:cs="Arial"/>
        </w:rPr>
      </w:pPr>
      <w:r w:rsidRPr="00F41C48">
        <w:rPr>
          <w:rFonts w:cs="Arial"/>
        </w:rPr>
        <w:t>Journal: Clinical Pharmacokinetics</w:t>
      </w:r>
    </w:p>
    <w:p w14:paraId="34DF2B62" w14:textId="77777777" w:rsidR="00F154F8" w:rsidRPr="00F41C48" w:rsidRDefault="00F154F8" w:rsidP="00293D4C">
      <w:pPr>
        <w:spacing w:line="360" w:lineRule="auto"/>
        <w:rPr>
          <w:rFonts w:cs="Arial"/>
        </w:rPr>
      </w:pPr>
    </w:p>
    <w:p w14:paraId="5E6E3E7C" w14:textId="5BFDD794" w:rsidR="00F154F8" w:rsidRPr="00F41C48" w:rsidRDefault="00253B8A" w:rsidP="00293D4C">
      <w:pPr>
        <w:spacing w:line="360" w:lineRule="auto"/>
        <w:rPr>
          <w:rFonts w:cs="Arial"/>
          <w:vertAlign w:val="superscript"/>
        </w:rPr>
      </w:pPr>
      <w:r w:rsidRPr="00F41C48">
        <w:rPr>
          <w:rFonts w:cs="Arial"/>
        </w:rPr>
        <w:t xml:space="preserve">Rune V. </w:t>
      </w:r>
      <w:r w:rsidR="00F154F8" w:rsidRPr="00F41C48">
        <w:rPr>
          <w:rFonts w:cs="Arial"/>
        </w:rPr>
        <w:t>Overgaard,</w:t>
      </w:r>
      <w:r w:rsidR="00F154F8" w:rsidRPr="00F41C48">
        <w:rPr>
          <w:rFonts w:cs="Arial"/>
          <w:vertAlign w:val="superscript"/>
        </w:rPr>
        <w:t>1</w:t>
      </w:r>
      <w:r w:rsidR="00F154F8" w:rsidRPr="00F41C48">
        <w:rPr>
          <w:rFonts w:cs="Arial"/>
        </w:rPr>
        <w:t xml:space="preserve"> </w:t>
      </w:r>
      <w:r w:rsidRPr="00F41C48">
        <w:rPr>
          <w:rFonts w:cs="Arial"/>
        </w:rPr>
        <w:t>A</w:t>
      </w:r>
      <w:r w:rsidR="00673CA1" w:rsidRPr="00F41C48">
        <w:rPr>
          <w:rFonts w:cs="Arial"/>
        </w:rPr>
        <w:t>ndrea</w:t>
      </w:r>
      <w:r w:rsidR="00757803" w:rsidRPr="00F41C48">
        <w:rPr>
          <w:rFonts w:cs="Arial"/>
        </w:rPr>
        <w:t xml:space="preserve"> </w:t>
      </w:r>
      <w:r w:rsidR="00F154F8" w:rsidRPr="00F41C48">
        <w:rPr>
          <w:rFonts w:cs="Arial"/>
        </w:rPr>
        <w:t>Navarria,</w:t>
      </w:r>
      <w:r w:rsidR="00FF7D01" w:rsidRPr="00F41C48">
        <w:rPr>
          <w:rFonts w:cs="Arial"/>
          <w:vertAlign w:val="superscript"/>
        </w:rPr>
        <w:t>2</w:t>
      </w:r>
      <w:r w:rsidR="00FF7D01" w:rsidRPr="00F41C48">
        <w:rPr>
          <w:rFonts w:cs="Arial"/>
        </w:rPr>
        <w:t xml:space="preserve"> </w:t>
      </w:r>
      <w:r w:rsidRPr="00F41C48">
        <w:rPr>
          <w:rFonts w:cs="Arial"/>
        </w:rPr>
        <w:t>S</w:t>
      </w:r>
      <w:r w:rsidR="00757803" w:rsidRPr="00F41C48">
        <w:rPr>
          <w:rFonts w:cs="Arial"/>
        </w:rPr>
        <w:t xml:space="preserve">teen </w:t>
      </w:r>
      <w:r w:rsidRPr="00F41C48">
        <w:rPr>
          <w:rFonts w:cs="Arial"/>
        </w:rPr>
        <w:t>H</w:t>
      </w:r>
      <w:r w:rsidR="00757803" w:rsidRPr="00F41C48">
        <w:rPr>
          <w:rFonts w:cs="Arial"/>
        </w:rPr>
        <w:t>.</w:t>
      </w:r>
      <w:r w:rsidRPr="00F41C48">
        <w:rPr>
          <w:rFonts w:cs="Arial"/>
        </w:rPr>
        <w:t xml:space="preserve"> </w:t>
      </w:r>
      <w:r w:rsidR="00F154F8" w:rsidRPr="00F41C48">
        <w:rPr>
          <w:rFonts w:cs="Arial"/>
        </w:rPr>
        <w:t>Ingwersen,</w:t>
      </w:r>
      <w:r w:rsidR="00F154F8" w:rsidRPr="00F41C48">
        <w:rPr>
          <w:rFonts w:cs="Arial"/>
          <w:vertAlign w:val="superscript"/>
        </w:rPr>
        <w:t>1</w:t>
      </w:r>
      <w:r w:rsidR="00F154F8" w:rsidRPr="00F41C48">
        <w:rPr>
          <w:rFonts w:cs="Arial"/>
        </w:rPr>
        <w:t xml:space="preserve"> </w:t>
      </w:r>
      <w:r w:rsidRPr="00F41C48">
        <w:rPr>
          <w:rFonts w:cs="Arial"/>
        </w:rPr>
        <w:t>T</w:t>
      </w:r>
      <w:r w:rsidR="00757803" w:rsidRPr="00F41C48">
        <w:rPr>
          <w:rFonts w:cs="Arial"/>
        </w:rPr>
        <w:t xml:space="preserve">ine </w:t>
      </w:r>
      <w:r w:rsidRPr="00F41C48">
        <w:rPr>
          <w:rFonts w:cs="Arial"/>
        </w:rPr>
        <w:t>A</w:t>
      </w:r>
      <w:r w:rsidR="00757803" w:rsidRPr="00F41C48">
        <w:rPr>
          <w:rFonts w:cs="Arial"/>
        </w:rPr>
        <w:t>.</w:t>
      </w:r>
      <w:r w:rsidRPr="00F41C48">
        <w:rPr>
          <w:rFonts w:cs="Arial"/>
        </w:rPr>
        <w:t xml:space="preserve"> </w:t>
      </w:r>
      <w:r w:rsidR="00F154F8" w:rsidRPr="00F41C48">
        <w:rPr>
          <w:rFonts w:cs="Arial"/>
        </w:rPr>
        <w:t>Bækdal,</w:t>
      </w:r>
      <w:r w:rsidR="00F154F8" w:rsidRPr="00F41C48">
        <w:rPr>
          <w:rFonts w:cs="Arial"/>
          <w:vertAlign w:val="superscript"/>
        </w:rPr>
        <w:t>1</w:t>
      </w:r>
      <w:r w:rsidR="00F154F8" w:rsidRPr="00F41C48">
        <w:rPr>
          <w:rFonts w:cs="Arial"/>
        </w:rPr>
        <w:t xml:space="preserve"> </w:t>
      </w:r>
      <w:r w:rsidRPr="00F41C48">
        <w:rPr>
          <w:rFonts w:cs="Arial"/>
        </w:rPr>
        <w:t>R</w:t>
      </w:r>
      <w:r w:rsidR="00757803" w:rsidRPr="00F41C48">
        <w:rPr>
          <w:rFonts w:cs="Arial"/>
        </w:rPr>
        <w:t xml:space="preserve">asmus </w:t>
      </w:r>
      <w:r w:rsidR="0020084D" w:rsidRPr="00F41C48">
        <w:rPr>
          <w:rFonts w:cs="Arial"/>
        </w:rPr>
        <w:t>Juul Kildemoes</w:t>
      </w:r>
      <w:r w:rsidR="00F154F8" w:rsidRPr="00F41C48">
        <w:rPr>
          <w:rFonts w:cs="Arial"/>
          <w:vertAlign w:val="superscript"/>
        </w:rPr>
        <w:t>1</w:t>
      </w:r>
    </w:p>
    <w:p w14:paraId="46600020" w14:textId="33D23606" w:rsidR="00F154F8" w:rsidRPr="00F41C48" w:rsidRDefault="00F154F8" w:rsidP="00293D4C">
      <w:pPr>
        <w:spacing w:line="360" w:lineRule="auto"/>
        <w:rPr>
          <w:rFonts w:cs="Arial"/>
          <w:lang w:val="da-DK"/>
        </w:rPr>
      </w:pPr>
      <w:r w:rsidRPr="00F41C48">
        <w:rPr>
          <w:rFonts w:cs="Arial"/>
          <w:vertAlign w:val="superscript"/>
          <w:lang w:val="da-DK"/>
        </w:rPr>
        <w:t>1</w:t>
      </w:r>
      <w:r w:rsidRPr="00F41C48">
        <w:rPr>
          <w:rFonts w:cs="Arial"/>
          <w:lang w:val="da-DK"/>
        </w:rPr>
        <w:t>Novo Nordisk A/S, Søborg, Denmark</w:t>
      </w:r>
      <w:r w:rsidR="00FF7D01" w:rsidRPr="00F41C48">
        <w:rPr>
          <w:rFonts w:cs="Arial"/>
          <w:lang w:val="da-DK"/>
        </w:rPr>
        <w:t xml:space="preserve">; </w:t>
      </w:r>
      <w:r w:rsidR="00FF7D01" w:rsidRPr="00F41C48">
        <w:rPr>
          <w:rFonts w:cstheme="minorHAnsi"/>
          <w:bCs/>
          <w:vertAlign w:val="superscript"/>
        </w:rPr>
        <w:t>2</w:t>
      </w:r>
      <w:r w:rsidR="00FF7D01" w:rsidRPr="00F41C48">
        <w:rPr>
          <w:rFonts w:cstheme="minorHAnsi"/>
          <w:bCs/>
        </w:rPr>
        <w:t xml:space="preserve">Novo Nordisk A/S, </w:t>
      </w:r>
      <w:proofErr w:type="spellStart"/>
      <w:r w:rsidR="00FF7D01" w:rsidRPr="00F41C48">
        <w:rPr>
          <w:rFonts w:cstheme="minorHAnsi"/>
          <w:bCs/>
        </w:rPr>
        <w:t>Bagsvaerd</w:t>
      </w:r>
      <w:proofErr w:type="spellEnd"/>
      <w:r w:rsidR="00FF7D01" w:rsidRPr="00F41C48">
        <w:rPr>
          <w:rFonts w:cstheme="minorHAnsi"/>
          <w:bCs/>
        </w:rPr>
        <w:t>, Denmark</w:t>
      </w:r>
    </w:p>
    <w:p w14:paraId="195A4641" w14:textId="77777777" w:rsidR="00F154F8" w:rsidRPr="00F41C48" w:rsidRDefault="00F154F8" w:rsidP="00293D4C">
      <w:pPr>
        <w:spacing w:line="360" w:lineRule="auto"/>
        <w:rPr>
          <w:rFonts w:cs="Arial"/>
          <w:b/>
          <w:bCs/>
          <w:lang w:val="da-DK"/>
        </w:rPr>
      </w:pPr>
    </w:p>
    <w:p w14:paraId="670AA635" w14:textId="619E9E45" w:rsidR="00F154F8" w:rsidRPr="00F41C48" w:rsidRDefault="00F154F8" w:rsidP="00293D4C">
      <w:pPr>
        <w:spacing w:line="360" w:lineRule="auto"/>
        <w:rPr>
          <w:rFonts w:cs="Arial"/>
        </w:rPr>
      </w:pPr>
      <w:r w:rsidRPr="00F41C48">
        <w:rPr>
          <w:rFonts w:cs="Arial"/>
          <w:b/>
        </w:rPr>
        <w:t>Corresponding author:</w:t>
      </w:r>
      <w:r w:rsidRPr="00F41C48">
        <w:rPr>
          <w:rFonts w:cs="Arial"/>
        </w:rPr>
        <w:t xml:space="preserve"> Rune </w:t>
      </w:r>
      <w:r w:rsidR="00253B8A" w:rsidRPr="00F41C48">
        <w:rPr>
          <w:rFonts w:cs="Arial"/>
        </w:rPr>
        <w:t xml:space="preserve">V. </w:t>
      </w:r>
      <w:r w:rsidRPr="00F41C48">
        <w:rPr>
          <w:rFonts w:cs="Arial"/>
        </w:rPr>
        <w:t>Overgaard</w:t>
      </w:r>
    </w:p>
    <w:p w14:paraId="7954E4B7" w14:textId="01F3E5FC" w:rsidR="00BF3FE9" w:rsidRPr="00F41C48" w:rsidRDefault="00BF3FE9" w:rsidP="00293D4C">
      <w:pPr>
        <w:spacing w:line="360" w:lineRule="auto"/>
        <w:rPr>
          <w:rFonts w:cs="Arial"/>
        </w:rPr>
      </w:pPr>
      <w:bookmarkStart w:id="2" w:name="_Hlk55990482"/>
      <w:bookmarkStart w:id="3" w:name="_Hlk57647785"/>
      <w:r w:rsidRPr="00F41C48">
        <w:rPr>
          <w:rFonts w:cs="Arial"/>
        </w:rPr>
        <w:t xml:space="preserve">Address: </w:t>
      </w:r>
      <w:proofErr w:type="spellStart"/>
      <w:r w:rsidRPr="00F41C48">
        <w:rPr>
          <w:rFonts w:cs="Arial"/>
        </w:rPr>
        <w:t>Vandtårnsvej</w:t>
      </w:r>
      <w:proofErr w:type="spellEnd"/>
      <w:r w:rsidRPr="00F41C48">
        <w:rPr>
          <w:rFonts w:cs="Arial"/>
        </w:rPr>
        <w:t xml:space="preserve"> 108–110, 2860 </w:t>
      </w:r>
      <w:proofErr w:type="spellStart"/>
      <w:r w:rsidRPr="00F41C48">
        <w:rPr>
          <w:rFonts w:cs="Arial"/>
        </w:rPr>
        <w:t>Søborg</w:t>
      </w:r>
      <w:proofErr w:type="spellEnd"/>
      <w:r w:rsidRPr="00F41C48">
        <w:rPr>
          <w:rFonts w:cs="Arial"/>
        </w:rPr>
        <w:t>, Denmark</w:t>
      </w:r>
      <w:bookmarkEnd w:id="2"/>
    </w:p>
    <w:bookmarkEnd w:id="3"/>
    <w:p w14:paraId="1E97302C" w14:textId="77777777" w:rsidR="00F154F8" w:rsidRPr="00F41C48" w:rsidRDefault="00F154F8" w:rsidP="00293D4C">
      <w:pPr>
        <w:spacing w:line="360" w:lineRule="auto"/>
        <w:rPr>
          <w:rFonts w:cs="Arial"/>
        </w:rPr>
      </w:pPr>
      <w:r w:rsidRPr="00F41C48">
        <w:rPr>
          <w:rFonts w:cs="Arial"/>
        </w:rPr>
        <w:t xml:space="preserve">Email: </w:t>
      </w:r>
      <w:hyperlink r:id="rId16" w:history="1">
        <w:r w:rsidRPr="00F41C48">
          <w:rPr>
            <w:rStyle w:val="Hyperlink"/>
            <w:rFonts w:cs="Arial"/>
            <w:color w:val="auto"/>
          </w:rPr>
          <w:t>ruvo@novonordisk.com</w:t>
        </w:r>
      </w:hyperlink>
    </w:p>
    <w:p w14:paraId="4C89A53E" w14:textId="4DE8486C" w:rsidR="00567A17" w:rsidRPr="00F41C48" w:rsidRDefault="00F154F8" w:rsidP="00293D4C">
      <w:pPr>
        <w:spacing w:line="360" w:lineRule="auto"/>
        <w:rPr>
          <w:rFonts w:cs="Arial"/>
          <w:b/>
          <w:bCs/>
        </w:rPr>
      </w:pPr>
      <w:r w:rsidRPr="00F41C48">
        <w:rPr>
          <w:rFonts w:cs="Arial"/>
        </w:rPr>
        <w:t>Telephone: +45 3079 0059</w:t>
      </w:r>
      <w:r w:rsidR="00BF3FE9" w:rsidRPr="00F41C48">
        <w:rPr>
          <w:rFonts w:cs="Arial"/>
          <w:b/>
          <w:bCs/>
        </w:rPr>
        <w:br w:type="page"/>
      </w:r>
    </w:p>
    <w:sdt>
      <w:sdtPr>
        <w:rPr>
          <w:rFonts w:ascii="Arial" w:eastAsiaTheme="minorHAnsi" w:hAnsi="Arial" w:cstheme="minorBidi"/>
          <w:color w:val="auto"/>
          <w:sz w:val="22"/>
          <w:szCs w:val="22"/>
          <w:lang w:val="en-GB"/>
        </w:rPr>
        <w:id w:val="457074120"/>
        <w:docPartObj>
          <w:docPartGallery w:val="Table of Contents"/>
          <w:docPartUnique/>
        </w:docPartObj>
      </w:sdtPr>
      <w:sdtEndPr>
        <w:rPr>
          <w:b/>
          <w:bCs/>
          <w:noProof/>
        </w:rPr>
      </w:sdtEndPr>
      <w:sdtContent>
        <w:p w14:paraId="579522C6" w14:textId="0EFCA6FF" w:rsidR="00567A17" w:rsidRPr="00F41C48" w:rsidRDefault="00567A17" w:rsidP="00293D4C">
          <w:pPr>
            <w:pStyle w:val="TOCHeading"/>
            <w:spacing w:line="360" w:lineRule="auto"/>
            <w:rPr>
              <w:color w:val="auto"/>
            </w:rPr>
          </w:pPr>
          <w:r w:rsidRPr="00F41C48">
            <w:rPr>
              <w:rFonts w:ascii="Arial" w:hAnsi="Arial" w:cs="Arial"/>
              <w:color w:val="auto"/>
              <w:sz w:val="24"/>
              <w:szCs w:val="24"/>
            </w:rPr>
            <w:t>Table of Contents</w:t>
          </w:r>
        </w:p>
        <w:p w14:paraId="7384A8F2" w14:textId="29BD186F" w:rsidR="009F066B" w:rsidRPr="00F41C48" w:rsidRDefault="00567A17">
          <w:pPr>
            <w:pStyle w:val="TOC1"/>
            <w:tabs>
              <w:tab w:val="right" w:leader="dot" w:pos="9016"/>
            </w:tabs>
            <w:rPr>
              <w:rFonts w:asciiTheme="minorHAnsi" w:eastAsiaTheme="minorEastAsia" w:hAnsiTheme="minorHAnsi"/>
              <w:noProof/>
              <w:lang w:eastAsia="en-GB"/>
            </w:rPr>
          </w:pPr>
          <w:r w:rsidRPr="00F41C48">
            <w:rPr>
              <w:b/>
              <w:bCs/>
              <w:noProof/>
            </w:rPr>
            <w:fldChar w:fldCharType="begin"/>
          </w:r>
          <w:r w:rsidRPr="00F41C48">
            <w:rPr>
              <w:b/>
              <w:bCs/>
              <w:noProof/>
            </w:rPr>
            <w:instrText xml:space="preserve"> TOC \o "1-3" \h \z \u </w:instrText>
          </w:r>
          <w:r w:rsidRPr="00F41C48">
            <w:rPr>
              <w:b/>
              <w:bCs/>
              <w:noProof/>
            </w:rPr>
            <w:fldChar w:fldCharType="separate"/>
          </w:r>
          <w:hyperlink w:anchor="_Toc67581059" w:history="1">
            <w:r w:rsidR="009F066B" w:rsidRPr="00F41C48">
              <w:rPr>
                <w:rStyle w:val="Hyperlink"/>
                <w:noProof/>
              </w:rPr>
              <w:t>Section 1 Equations for modelling the effects of T2D and upper GI disease</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_Toc67581059 \h </w:instrText>
            </w:r>
            <w:r w:rsidR="009F066B" w:rsidRPr="00F41C48">
              <w:rPr>
                <w:noProof/>
                <w:webHidden/>
              </w:rPr>
            </w:r>
            <w:r w:rsidR="009F066B" w:rsidRPr="00F41C48">
              <w:rPr>
                <w:noProof/>
                <w:webHidden/>
              </w:rPr>
              <w:fldChar w:fldCharType="separate"/>
            </w:r>
            <w:r w:rsidR="009F066B" w:rsidRPr="00F41C48">
              <w:rPr>
                <w:noProof/>
                <w:webHidden/>
              </w:rPr>
              <w:t>3</w:t>
            </w:r>
            <w:r w:rsidR="009F066B" w:rsidRPr="00F41C48">
              <w:rPr>
                <w:noProof/>
                <w:webHidden/>
              </w:rPr>
              <w:fldChar w:fldCharType="end"/>
            </w:r>
          </w:hyperlink>
        </w:p>
        <w:p w14:paraId="43524227" w14:textId="325BFE1B" w:rsidR="009F066B" w:rsidRPr="00F41C48" w:rsidRDefault="00F41C48">
          <w:pPr>
            <w:pStyle w:val="TOC1"/>
            <w:tabs>
              <w:tab w:val="right" w:leader="dot" w:pos="9016"/>
            </w:tabs>
            <w:rPr>
              <w:rFonts w:asciiTheme="minorHAnsi" w:eastAsiaTheme="minorEastAsia" w:hAnsiTheme="minorHAnsi"/>
              <w:noProof/>
              <w:lang w:eastAsia="en-GB"/>
            </w:rPr>
          </w:pPr>
          <w:hyperlink w:anchor="_Toc67581060" w:history="1">
            <w:r w:rsidR="009F066B" w:rsidRPr="00F41C48">
              <w:rPr>
                <w:rStyle w:val="Hyperlink"/>
                <w:noProof/>
              </w:rPr>
              <w:t>Online resource, Table 1 Parameter estimates from the final PK model</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_Toc67581060 \h </w:instrText>
            </w:r>
            <w:r w:rsidR="009F066B" w:rsidRPr="00F41C48">
              <w:rPr>
                <w:noProof/>
                <w:webHidden/>
              </w:rPr>
            </w:r>
            <w:r w:rsidR="009F066B" w:rsidRPr="00F41C48">
              <w:rPr>
                <w:noProof/>
                <w:webHidden/>
              </w:rPr>
              <w:fldChar w:fldCharType="separate"/>
            </w:r>
            <w:r w:rsidR="009F066B" w:rsidRPr="00F41C48">
              <w:rPr>
                <w:noProof/>
                <w:webHidden/>
              </w:rPr>
              <w:t>4</w:t>
            </w:r>
            <w:r w:rsidR="009F066B" w:rsidRPr="00F41C48">
              <w:rPr>
                <w:noProof/>
                <w:webHidden/>
              </w:rPr>
              <w:fldChar w:fldCharType="end"/>
            </w:r>
          </w:hyperlink>
        </w:p>
        <w:p w14:paraId="45C09DEC" w14:textId="06897DE9" w:rsidR="009F066B" w:rsidRPr="00F41C48" w:rsidRDefault="00F41C48">
          <w:pPr>
            <w:pStyle w:val="TOC1"/>
            <w:tabs>
              <w:tab w:val="right" w:leader="dot" w:pos="9016"/>
            </w:tabs>
            <w:rPr>
              <w:rFonts w:asciiTheme="minorHAnsi" w:eastAsiaTheme="minorEastAsia" w:hAnsiTheme="minorHAnsi"/>
              <w:noProof/>
              <w:lang w:eastAsia="en-GB"/>
            </w:rPr>
          </w:pPr>
          <w:hyperlink w:anchor="_Toc67581061" w:history="1">
            <w:r w:rsidR="009F066B" w:rsidRPr="00F41C48">
              <w:rPr>
                <w:rStyle w:val="Hyperlink"/>
                <w:noProof/>
              </w:rPr>
              <w:t>Online resource, Fig. 1 Diagnostic plots for the final population PK model</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_Toc67581061 \h </w:instrText>
            </w:r>
            <w:r w:rsidR="009F066B" w:rsidRPr="00F41C48">
              <w:rPr>
                <w:noProof/>
                <w:webHidden/>
              </w:rPr>
            </w:r>
            <w:r w:rsidR="009F066B" w:rsidRPr="00F41C48">
              <w:rPr>
                <w:noProof/>
                <w:webHidden/>
              </w:rPr>
              <w:fldChar w:fldCharType="separate"/>
            </w:r>
            <w:r w:rsidR="009F066B" w:rsidRPr="00F41C48">
              <w:rPr>
                <w:noProof/>
                <w:webHidden/>
              </w:rPr>
              <w:t>6</w:t>
            </w:r>
            <w:r w:rsidR="009F066B" w:rsidRPr="00F41C48">
              <w:rPr>
                <w:noProof/>
                <w:webHidden/>
              </w:rPr>
              <w:fldChar w:fldCharType="end"/>
            </w:r>
          </w:hyperlink>
        </w:p>
        <w:p w14:paraId="097732B7" w14:textId="4159CC63" w:rsidR="009F066B" w:rsidRPr="00F41C48" w:rsidRDefault="00F41C48">
          <w:pPr>
            <w:pStyle w:val="TOC1"/>
            <w:tabs>
              <w:tab w:val="right" w:leader="dot" w:pos="9016"/>
            </w:tabs>
            <w:rPr>
              <w:rFonts w:asciiTheme="minorHAnsi" w:eastAsiaTheme="minorEastAsia" w:hAnsiTheme="minorHAnsi"/>
              <w:noProof/>
              <w:lang w:eastAsia="en-GB"/>
            </w:rPr>
          </w:pPr>
          <w:hyperlink w:anchor="_Toc67581062" w:history="1">
            <w:r w:rsidR="009F066B" w:rsidRPr="00F41C48">
              <w:rPr>
                <w:rStyle w:val="Hyperlink"/>
                <w:noProof/>
              </w:rPr>
              <w:t>Online resource, Fig. 2 Distributions of individual estimated and predicted PK parameters for clearance (a), central volume (b), inter-compartmental clearance (c), and peripheral volume (d)</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_Toc67581062 \h </w:instrText>
            </w:r>
            <w:r w:rsidR="009F066B" w:rsidRPr="00F41C48">
              <w:rPr>
                <w:noProof/>
                <w:webHidden/>
              </w:rPr>
            </w:r>
            <w:r w:rsidR="009F066B" w:rsidRPr="00F41C48">
              <w:rPr>
                <w:noProof/>
                <w:webHidden/>
              </w:rPr>
              <w:fldChar w:fldCharType="separate"/>
            </w:r>
            <w:r w:rsidR="009F066B" w:rsidRPr="00F41C48">
              <w:rPr>
                <w:noProof/>
                <w:webHidden/>
              </w:rPr>
              <w:t>7</w:t>
            </w:r>
            <w:r w:rsidR="009F066B" w:rsidRPr="00F41C48">
              <w:rPr>
                <w:noProof/>
                <w:webHidden/>
              </w:rPr>
              <w:fldChar w:fldCharType="end"/>
            </w:r>
          </w:hyperlink>
        </w:p>
        <w:p w14:paraId="3CE15100" w14:textId="09E9E9DF" w:rsidR="009F066B" w:rsidRPr="00F41C48" w:rsidRDefault="00F41C48">
          <w:pPr>
            <w:pStyle w:val="TOC1"/>
            <w:tabs>
              <w:tab w:val="right" w:leader="dot" w:pos="9016"/>
            </w:tabs>
            <w:rPr>
              <w:rFonts w:asciiTheme="minorHAnsi" w:eastAsiaTheme="minorEastAsia" w:hAnsiTheme="minorHAnsi"/>
              <w:noProof/>
              <w:lang w:eastAsia="en-GB"/>
            </w:rPr>
          </w:pPr>
          <w:hyperlink w:anchor="_Toc67581063" w:history="1">
            <w:r w:rsidR="009F066B" w:rsidRPr="00F41C48">
              <w:rPr>
                <w:rStyle w:val="Hyperlink"/>
                <w:noProof/>
              </w:rPr>
              <w:t>Online resource, Fig. 3 Distribution histogram of bioavailability estimates across all dose administrations and individuals</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_Toc67581063 \h </w:instrText>
            </w:r>
            <w:r w:rsidR="009F066B" w:rsidRPr="00F41C48">
              <w:rPr>
                <w:noProof/>
                <w:webHidden/>
              </w:rPr>
            </w:r>
            <w:r w:rsidR="009F066B" w:rsidRPr="00F41C48">
              <w:rPr>
                <w:noProof/>
                <w:webHidden/>
              </w:rPr>
              <w:fldChar w:fldCharType="separate"/>
            </w:r>
            <w:r w:rsidR="009F066B" w:rsidRPr="00F41C48">
              <w:rPr>
                <w:noProof/>
                <w:webHidden/>
              </w:rPr>
              <w:t>8</w:t>
            </w:r>
            <w:r w:rsidR="009F066B" w:rsidRPr="00F41C48">
              <w:rPr>
                <w:noProof/>
                <w:webHidden/>
              </w:rPr>
              <w:fldChar w:fldCharType="end"/>
            </w:r>
          </w:hyperlink>
        </w:p>
        <w:p w14:paraId="2AED4185" w14:textId="425CC206" w:rsidR="009F066B" w:rsidRPr="00F41C48" w:rsidRDefault="00F41C48">
          <w:pPr>
            <w:pStyle w:val="TOC1"/>
            <w:tabs>
              <w:tab w:val="right" w:leader="dot" w:pos="9016"/>
            </w:tabs>
            <w:rPr>
              <w:rFonts w:asciiTheme="minorHAnsi" w:eastAsiaTheme="minorEastAsia" w:hAnsiTheme="minorHAnsi"/>
              <w:noProof/>
              <w:lang w:eastAsia="en-GB"/>
            </w:rPr>
          </w:pPr>
          <w:hyperlink w:anchor="_Toc67581064" w:history="1">
            <w:r w:rsidR="009F066B" w:rsidRPr="00F41C48">
              <w:rPr>
                <w:rStyle w:val="Hyperlink"/>
                <w:noProof/>
              </w:rPr>
              <w:t>Online resource, Fig. 4 Visual predictive check of the population PK model for data from each trial contributing data</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_Toc67581064 \h </w:instrText>
            </w:r>
            <w:r w:rsidR="009F066B" w:rsidRPr="00F41C48">
              <w:rPr>
                <w:noProof/>
                <w:webHidden/>
              </w:rPr>
            </w:r>
            <w:r w:rsidR="009F066B" w:rsidRPr="00F41C48">
              <w:rPr>
                <w:noProof/>
                <w:webHidden/>
              </w:rPr>
              <w:fldChar w:fldCharType="separate"/>
            </w:r>
            <w:r w:rsidR="009F066B" w:rsidRPr="00F41C48">
              <w:rPr>
                <w:noProof/>
                <w:webHidden/>
              </w:rPr>
              <w:t>9</w:t>
            </w:r>
            <w:r w:rsidR="009F066B" w:rsidRPr="00F41C48">
              <w:rPr>
                <w:noProof/>
                <w:webHidden/>
              </w:rPr>
              <w:fldChar w:fldCharType="end"/>
            </w:r>
          </w:hyperlink>
        </w:p>
        <w:p w14:paraId="6AF760F5" w14:textId="01086DF0" w:rsidR="009F066B" w:rsidRPr="00F41C48" w:rsidRDefault="00F41C48">
          <w:pPr>
            <w:pStyle w:val="TOC1"/>
            <w:tabs>
              <w:tab w:val="right" w:leader="dot" w:pos="9016"/>
            </w:tabs>
            <w:rPr>
              <w:rFonts w:asciiTheme="minorHAnsi" w:eastAsiaTheme="minorEastAsia" w:hAnsiTheme="minorHAnsi"/>
              <w:noProof/>
              <w:lang w:eastAsia="en-GB"/>
            </w:rPr>
          </w:pPr>
          <w:hyperlink w:anchor="_Toc67581065" w:history="1">
            <w:r w:rsidR="009F066B" w:rsidRPr="00F41C48">
              <w:rPr>
                <w:rStyle w:val="Hyperlink"/>
                <w:noProof/>
              </w:rPr>
              <w:t>Online resource, Fig. 5 Observed and predicted individual PK profiles (a) and associated bioavailabilities (b) vs. time after first dose for 12 individuals</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_Toc67581065 \h </w:instrText>
            </w:r>
            <w:r w:rsidR="009F066B" w:rsidRPr="00F41C48">
              <w:rPr>
                <w:noProof/>
                <w:webHidden/>
              </w:rPr>
            </w:r>
            <w:r w:rsidR="009F066B" w:rsidRPr="00F41C48">
              <w:rPr>
                <w:noProof/>
                <w:webHidden/>
              </w:rPr>
              <w:fldChar w:fldCharType="separate"/>
            </w:r>
            <w:r w:rsidR="009F066B" w:rsidRPr="00F41C48">
              <w:rPr>
                <w:noProof/>
                <w:webHidden/>
              </w:rPr>
              <w:t>10</w:t>
            </w:r>
            <w:r w:rsidR="009F066B" w:rsidRPr="00F41C48">
              <w:rPr>
                <w:noProof/>
                <w:webHidden/>
              </w:rPr>
              <w:fldChar w:fldCharType="end"/>
            </w:r>
          </w:hyperlink>
        </w:p>
        <w:p w14:paraId="2F4F8872" w14:textId="58C08986" w:rsidR="009F066B" w:rsidRPr="00F41C48" w:rsidRDefault="00F41C48">
          <w:pPr>
            <w:pStyle w:val="TOC1"/>
            <w:tabs>
              <w:tab w:val="right" w:leader="dot" w:pos="9016"/>
            </w:tabs>
            <w:rPr>
              <w:rFonts w:asciiTheme="minorHAnsi" w:eastAsiaTheme="minorEastAsia" w:hAnsiTheme="minorHAnsi"/>
              <w:noProof/>
              <w:lang w:eastAsia="en-GB"/>
            </w:rPr>
          </w:pPr>
          <w:hyperlink w:anchor="_Toc67581066" w:history="1">
            <w:r w:rsidR="009F066B" w:rsidRPr="00F41C48">
              <w:rPr>
                <w:rStyle w:val="Hyperlink"/>
                <w:noProof/>
              </w:rPr>
              <w:t>Online resource, Fig. 6 Observed individual and mean PK profiles from the dosing conditions trial. Dosing interval for the 1</w:t>
            </w:r>
            <w:r w:rsidR="009F066B" w:rsidRPr="00F41C48">
              <w:rPr>
                <w:rStyle w:val="Hyperlink"/>
                <w:noProof/>
                <w:vertAlign w:val="superscript"/>
              </w:rPr>
              <w:t>st</w:t>
            </w:r>
            <w:r w:rsidR="009F066B" w:rsidRPr="00F41C48">
              <w:rPr>
                <w:rStyle w:val="Hyperlink"/>
                <w:noProof/>
              </w:rPr>
              <w:t xml:space="preserve"> dose (a) and for the 10</w:t>
            </w:r>
            <w:r w:rsidR="009F066B" w:rsidRPr="00F41C48">
              <w:rPr>
                <w:rStyle w:val="Hyperlink"/>
                <w:noProof/>
                <w:vertAlign w:val="superscript"/>
              </w:rPr>
              <w:t>th</w:t>
            </w:r>
            <w:r w:rsidR="009F066B" w:rsidRPr="00F41C48">
              <w:rPr>
                <w:rStyle w:val="Hyperlink"/>
                <w:noProof/>
              </w:rPr>
              <w:t xml:space="preserve"> dose (b) of repetitive once-daily oral dosing of semaglutide</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_Toc67581066 \h </w:instrText>
            </w:r>
            <w:r w:rsidR="009F066B" w:rsidRPr="00F41C48">
              <w:rPr>
                <w:noProof/>
                <w:webHidden/>
              </w:rPr>
            </w:r>
            <w:r w:rsidR="009F066B" w:rsidRPr="00F41C48">
              <w:rPr>
                <w:noProof/>
                <w:webHidden/>
              </w:rPr>
              <w:fldChar w:fldCharType="separate"/>
            </w:r>
            <w:r w:rsidR="009F066B" w:rsidRPr="00F41C48">
              <w:rPr>
                <w:noProof/>
                <w:webHidden/>
              </w:rPr>
              <w:t>12</w:t>
            </w:r>
            <w:r w:rsidR="009F066B" w:rsidRPr="00F41C48">
              <w:rPr>
                <w:noProof/>
                <w:webHidden/>
              </w:rPr>
              <w:fldChar w:fldCharType="end"/>
            </w:r>
          </w:hyperlink>
        </w:p>
        <w:p w14:paraId="1932578E" w14:textId="7F5C49CB" w:rsidR="009F066B" w:rsidRPr="00F41C48" w:rsidRDefault="00F41C48">
          <w:pPr>
            <w:pStyle w:val="TOC1"/>
            <w:tabs>
              <w:tab w:val="right" w:leader="dot" w:pos="9016"/>
            </w:tabs>
            <w:rPr>
              <w:rFonts w:asciiTheme="minorHAnsi" w:eastAsiaTheme="minorEastAsia" w:hAnsiTheme="minorHAnsi"/>
              <w:noProof/>
              <w:lang w:eastAsia="en-GB"/>
            </w:rPr>
          </w:pPr>
          <w:hyperlink w:anchor="_Toc67581067" w:history="1">
            <w:r w:rsidR="009F066B" w:rsidRPr="00F41C48">
              <w:rPr>
                <w:rStyle w:val="Hyperlink"/>
                <w:noProof/>
              </w:rPr>
              <w:t>Online resource, Fig. 7 PK profiles during once-daily oral administration of semaglutide in subjects with T2D with or without upper GI disease</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_Toc67581067 \h </w:instrText>
            </w:r>
            <w:r w:rsidR="009F066B" w:rsidRPr="00F41C48">
              <w:rPr>
                <w:noProof/>
                <w:webHidden/>
              </w:rPr>
            </w:r>
            <w:r w:rsidR="009F066B" w:rsidRPr="00F41C48">
              <w:rPr>
                <w:noProof/>
                <w:webHidden/>
              </w:rPr>
              <w:fldChar w:fldCharType="separate"/>
            </w:r>
            <w:r w:rsidR="009F066B" w:rsidRPr="00F41C48">
              <w:rPr>
                <w:noProof/>
                <w:webHidden/>
              </w:rPr>
              <w:t>13</w:t>
            </w:r>
            <w:r w:rsidR="009F066B" w:rsidRPr="00F41C48">
              <w:rPr>
                <w:noProof/>
                <w:webHidden/>
              </w:rPr>
              <w:fldChar w:fldCharType="end"/>
            </w:r>
          </w:hyperlink>
        </w:p>
        <w:p w14:paraId="3B55A9C5" w14:textId="61ECA6EB" w:rsidR="009F066B" w:rsidRPr="00F41C48" w:rsidRDefault="00F41C48">
          <w:pPr>
            <w:pStyle w:val="TOC1"/>
            <w:tabs>
              <w:tab w:val="right" w:leader="dot" w:pos="9016"/>
            </w:tabs>
            <w:rPr>
              <w:rFonts w:asciiTheme="minorHAnsi" w:eastAsiaTheme="minorEastAsia" w:hAnsiTheme="minorHAnsi"/>
              <w:noProof/>
              <w:lang w:eastAsia="en-GB"/>
            </w:rPr>
          </w:pPr>
          <w:hyperlink w:anchor="_Toc67581068" w:history="1">
            <w:r w:rsidR="009F066B" w:rsidRPr="00F41C48">
              <w:rPr>
                <w:rStyle w:val="Hyperlink"/>
                <w:noProof/>
              </w:rPr>
              <w:t>References</w:t>
            </w:r>
            <w:r w:rsidR="009F066B" w:rsidRPr="00F41C48">
              <w:rPr>
                <w:noProof/>
                <w:webHidden/>
              </w:rPr>
              <w:tab/>
            </w:r>
            <w:r w:rsidR="009F066B" w:rsidRPr="00F41C48">
              <w:rPr>
                <w:noProof/>
                <w:webHidden/>
              </w:rPr>
              <w:fldChar w:fldCharType="begin"/>
            </w:r>
            <w:r w:rsidR="009F066B" w:rsidRPr="00F41C48">
              <w:rPr>
                <w:noProof/>
                <w:webHidden/>
              </w:rPr>
              <w:instrText xml:space="preserve"> PAGEREF _Toc67581068 \h </w:instrText>
            </w:r>
            <w:r w:rsidR="009F066B" w:rsidRPr="00F41C48">
              <w:rPr>
                <w:noProof/>
                <w:webHidden/>
              </w:rPr>
            </w:r>
            <w:r w:rsidR="009F066B" w:rsidRPr="00F41C48">
              <w:rPr>
                <w:noProof/>
                <w:webHidden/>
              </w:rPr>
              <w:fldChar w:fldCharType="separate"/>
            </w:r>
            <w:r w:rsidR="009F066B" w:rsidRPr="00F41C48">
              <w:rPr>
                <w:noProof/>
                <w:webHidden/>
              </w:rPr>
              <w:t>14</w:t>
            </w:r>
            <w:r w:rsidR="009F066B" w:rsidRPr="00F41C48">
              <w:rPr>
                <w:noProof/>
                <w:webHidden/>
              </w:rPr>
              <w:fldChar w:fldCharType="end"/>
            </w:r>
          </w:hyperlink>
        </w:p>
        <w:p w14:paraId="0F63EB50" w14:textId="605EB378" w:rsidR="00567A17" w:rsidRPr="00F41C48" w:rsidRDefault="00567A17" w:rsidP="00293D4C">
          <w:pPr>
            <w:spacing w:line="360" w:lineRule="auto"/>
          </w:pPr>
          <w:r w:rsidRPr="00F41C48">
            <w:rPr>
              <w:b/>
              <w:bCs/>
              <w:noProof/>
            </w:rPr>
            <w:fldChar w:fldCharType="end"/>
          </w:r>
        </w:p>
      </w:sdtContent>
    </w:sdt>
    <w:p w14:paraId="62E76488" w14:textId="51BCA16D" w:rsidR="008E0462" w:rsidRPr="00F41C48" w:rsidRDefault="008E0462" w:rsidP="00293D4C">
      <w:pPr>
        <w:spacing w:line="360" w:lineRule="auto"/>
        <w:rPr>
          <w:rFonts w:cs="Arial"/>
          <w:b/>
          <w:bCs/>
        </w:rPr>
      </w:pPr>
      <w:r w:rsidRPr="00F41C48">
        <w:rPr>
          <w:rFonts w:cs="Arial"/>
          <w:b/>
          <w:bCs/>
        </w:rPr>
        <w:br w:type="page"/>
      </w:r>
    </w:p>
    <w:p w14:paraId="033C4A63" w14:textId="569EB742" w:rsidR="002D50FE" w:rsidRPr="00F41C48" w:rsidRDefault="00135601" w:rsidP="001E51C8">
      <w:pPr>
        <w:pStyle w:val="Heading1"/>
        <w:spacing w:line="360" w:lineRule="auto"/>
        <w:rPr>
          <w:color w:val="auto"/>
        </w:rPr>
      </w:pPr>
      <w:bookmarkStart w:id="4" w:name="_Toc67581059"/>
      <w:r w:rsidRPr="00F41C48">
        <w:rPr>
          <w:color w:val="auto"/>
        </w:rPr>
        <w:lastRenderedPageBreak/>
        <w:t xml:space="preserve">Section </w:t>
      </w:r>
      <w:r w:rsidR="00C52E74" w:rsidRPr="00F41C48">
        <w:rPr>
          <w:color w:val="auto"/>
        </w:rPr>
        <w:t>1</w:t>
      </w:r>
      <w:r w:rsidRPr="00F41C48">
        <w:rPr>
          <w:color w:val="auto"/>
        </w:rPr>
        <w:t xml:space="preserve"> </w:t>
      </w:r>
      <w:r w:rsidR="003E5AFA" w:rsidRPr="00F41C48">
        <w:rPr>
          <w:b w:val="0"/>
          <w:bCs w:val="0"/>
          <w:color w:val="auto"/>
        </w:rPr>
        <w:t>Equations for modelling the effects of T2D and upper GI disease</w:t>
      </w:r>
      <w:bookmarkStart w:id="5" w:name="_Hlk13748992"/>
      <w:bookmarkEnd w:id="4"/>
    </w:p>
    <w:p w14:paraId="7152CDE0" w14:textId="11DCED96" w:rsidR="002D50FE" w:rsidRPr="00F41C48" w:rsidRDefault="002D50FE" w:rsidP="00293D4C">
      <w:pPr>
        <w:spacing w:line="360" w:lineRule="auto"/>
        <w:rPr>
          <w:rFonts w:cs="Arial"/>
        </w:rPr>
      </w:pPr>
      <w:r w:rsidRPr="00F41C48">
        <w:rPr>
          <w:rFonts w:cs="Arial"/>
        </w:rPr>
        <w:t xml:space="preserve">The effects of </w:t>
      </w:r>
      <w:r w:rsidR="00BF3FE9" w:rsidRPr="00F41C48">
        <w:rPr>
          <w:rFonts w:cs="Arial"/>
        </w:rPr>
        <w:t xml:space="preserve">type 2 </w:t>
      </w:r>
      <w:r w:rsidR="009E0999" w:rsidRPr="00F41C48">
        <w:rPr>
          <w:rFonts w:cs="Arial"/>
        </w:rPr>
        <w:t>diabetes (</w:t>
      </w:r>
      <w:r w:rsidRPr="00F41C48">
        <w:rPr>
          <w:rFonts w:cs="Arial"/>
        </w:rPr>
        <w:t>T2D</w:t>
      </w:r>
      <w:r w:rsidR="009E0999" w:rsidRPr="00F41C48">
        <w:rPr>
          <w:rFonts w:cs="Arial"/>
        </w:rPr>
        <w:t>)</w:t>
      </w:r>
      <w:r w:rsidRPr="00F41C48">
        <w:rPr>
          <w:rFonts w:cs="Arial"/>
        </w:rPr>
        <w:t xml:space="preserve"> and upper </w:t>
      </w:r>
      <w:r w:rsidR="009E0999" w:rsidRPr="00F41C48">
        <w:rPr>
          <w:rFonts w:cs="Arial"/>
        </w:rPr>
        <w:t>gastrointestinal (</w:t>
      </w:r>
      <w:r w:rsidRPr="00F41C48">
        <w:rPr>
          <w:rFonts w:cs="Arial"/>
        </w:rPr>
        <w:t>GI</w:t>
      </w:r>
      <w:r w:rsidR="009E0999" w:rsidRPr="00F41C48">
        <w:rPr>
          <w:rFonts w:cs="Arial"/>
        </w:rPr>
        <w:t>)</w:t>
      </w:r>
      <w:r w:rsidRPr="00F41C48">
        <w:rPr>
          <w:rFonts w:cs="Arial"/>
        </w:rPr>
        <w:t xml:space="preserve"> disease on the oral bioavailability (F) were described as:</w:t>
      </w:r>
    </w:p>
    <w:p w14:paraId="016C9558" w14:textId="47147FB4" w:rsidR="00C940AB" w:rsidRPr="00F41C48" w:rsidRDefault="00F41C48" w:rsidP="00293D4C">
      <w:pPr>
        <w:spacing w:line="360" w:lineRule="auto"/>
        <w:rPr>
          <w:rFonts w:cs="Arial"/>
        </w:rPr>
      </w:pPr>
      <m:oMathPara>
        <m:oMath>
          <m:sSup>
            <m:sSupPr>
              <m:ctrlPr>
                <w:rPr>
                  <w:rFonts w:ascii="Cambria Math" w:hAnsi="Cambria Math" w:cs="Arial"/>
                  <w:i/>
                </w:rPr>
              </m:ctrlPr>
            </m:sSupPr>
            <m:e>
              <m:r>
                <w:rPr>
                  <w:rFonts w:ascii="Cambria Math" w:hAnsi="Cambria Math" w:cs="Arial"/>
                </w:rPr>
                <m:t>F=</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θ</m:t>
                      </m:r>
                    </m:e>
                    <m:sub>
                      <m:r>
                        <w:rPr>
                          <w:rFonts w:ascii="Cambria Math" w:hAnsi="Cambria Math" w:cs="Arial"/>
                        </w:rPr>
                        <m:t>T2D,F</m:t>
                      </m:r>
                    </m:sub>
                  </m:sSub>
                </m:e>
              </m:d>
            </m:e>
            <m:sup>
              <m:r>
                <w:rPr>
                  <w:rFonts w:ascii="Cambria Math" w:hAnsi="Cambria Math" w:cs="Arial"/>
                </w:rPr>
                <m:t>T2D</m:t>
              </m:r>
            </m:sup>
          </m:sSup>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ref</m:t>
              </m:r>
            </m:sub>
          </m:sSub>
        </m:oMath>
      </m:oMathPara>
    </w:p>
    <w:p w14:paraId="563E305E" w14:textId="0FA4B0A8" w:rsidR="00AF6160" w:rsidRPr="00F41C48" w:rsidRDefault="00F41C48" w:rsidP="00293D4C">
      <w:pPr>
        <w:spacing w:line="360" w:lineRule="auto"/>
        <w:rPr>
          <w:rFonts w:eastAsiaTheme="minorEastAsia" w:cs="Arial"/>
        </w:rPr>
      </w:pPr>
      <m:oMathPara>
        <m:oMath>
          <m:sSup>
            <m:sSupPr>
              <m:ctrlPr>
                <w:rPr>
                  <w:rFonts w:ascii="Cambria Math" w:hAnsi="Cambria Math" w:cs="Arial"/>
                  <w:i/>
                </w:rPr>
              </m:ctrlPr>
            </m:sSupPr>
            <m:e>
              <m:r>
                <w:rPr>
                  <w:rFonts w:ascii="Cambria Math" w:hAnsi="Cambria Math" w:cs="Arial"/>
                </w:rPr>
                <m:t>F=</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θ</m:t>
                      </m:r>
                    </m:e>
                    <m:sub>
                      <m:r>
                        <w:rPr>
                          <w:rFonts w:ascii="Cambria Math" w:hAnsi="Cambria Math" w:cs="Arial"/>
                        </w:rPr>
                        <m:t>GI disease,F</m:t>
                      </m:r>
                    </m:sub>
                  </m:sSub>
                </m:e>
              </m:d>
            </m:e>
            <m:sup>
              <m:r>
                <w:rPr>
                  <w:rFonts w:ascii="Cambria Math" w:hAnsi="Cambria Math" w:cs="Arial"/>
                </w:rPr>
                <m:t>GI disease</m:t>
              </m:r>
            </m:sup>
          </m:sSup>
          <m:r>
            <w:rPr>
              <w:rFonts w:ascii="Cambria Math" w:hAnsi="Cambria Math" w:cs="Arial"/>
            </w:rPr>
            <m:t>∙</m:t>
          </m:r>
          <m:sSub>
            <m:sSubPr>
              <m:ctrlPr>
                <w:rPr>
                  <w:rFonts w:ascii="Cambria Math" w:hAnsi="Cambria Math" w:cs="Arial"/>
                  <w:i/>
                </w:rPr>
              </m:ctrlPr>
            </m:sSubPr>
            <m:e>
              <m:r>
                <w:rPr>
                  <w:rFonts w:ascii="Cambria Math" w:hAnsi="Cambria Math" w:cs="Arial"/>
                </w:rPr>
                <m:t>F</m:t>
              </m:r>
            </m:e>
            <m:sub>
              <m:r>
                <w:rPr>
                  <w:rFonts w:ascii="Cambria Math" w:hAnsi="Cambria Math" w:cs="Arial"/>
                </w:rPr>
                <m:t>ref</m:t>
              </m:r>
            </m:sub>
          </m:sSub>
        </m:oMath>
      </m:oMathPara>
    </w:p>
    <w:p w14:paraId="3C19DC7F" w14:textId="3F2F85B5" w:rsidR="00C940AB" w:rsidRPr="00F41C48" w:rsidRDefault="00C940AB" w:rsidP="00293D4C">
      <w:pPr>
        <w:spacing w:line="360" w:lineRule="auto"/>
        <w:rPr>
          <w:rFonts w:eastAsiaTheme="minorEastAsia" w:cs="Arial"/>
        </w:rPr>
      </w:pPr>
      <w:r w:rsidRPr="00F41C48">
        <w:rPr>
          <w:rFonts w:eastAsiaTheme="minorEastAsia" w:cs="Arial"/>
        </w:rPr>
        <w:t xml:space="preserve">where </w:t>
      </w:r>
      <w:r w:rsidRPr="00F41C48">
        <w:rPr>
          <w:rFonts w:eastAsiaTheme="minorEastAsia" w:cs="Arial"/>
          <w:i/>
          <w:iCs/>
        </w:rPr>
        <w:t>θ</w:t>
      </w:r>
      <w:r w:rsidRPr="00F41C48">
        <w:rPr>
          <w:rFonts w:eastAsiaTheme="minorEastAsia" w:cs="Arial"/>
          <w:i/>
          <w:iCs/>
          <w:vertAlign w:val="subscript"/>
        </w:rPr>
        <w:t>T2D,F</w:t>
      </w:r>
      <w:r w:rsidRPr="00F41C48">
        <w:rPr>
          <w:rFonts w:eastAsiaTheme="minorEastAsia" w:cs="Arial"/>
        </w:rPr>
        <w:t xml:space="preserve"> is the estimated effect of T2D on bioavailability and the exponents (</w:t>
      </w:r>
      <w:r w:rsidRPr="00F41C48">
        <w:rPr>
          <w:rFonts w:eastAsiaTheme="minorEastAsia" w:cs="Arial"/>
          <w:i/>
          <w:iCs/>
        </w:rPr>
        <w:t>T2D</w:t>
      </w:r>
      <w:r w:rsidRPr="00F41C48">
        <w:rPr>
          <w:rFonts w:eastAsiaTheme="minorEastAsia" w:cs="Arial"/>
        </w:rPr>
        <w:t xml:space="preserve"> and </w:t>
      </w:r>
      <w:r w:rsidRPr="00F41C48">
        <w:rPr>
          <w:rFonts w:eastAsiaTheme="minorEastAsia" w:cs="Arial"/>
          <w:i/>
          <w:iCs/>
        </w:rPr>
        <w:t>GI disease</w:t>
      </w:r>
      <w:r w:rsidRPr="00F41C48">
        <w:rPr>
          <w:rFonts w:eastAsiaTheme="minorEastAsia" w:cs="Arial"/>
        </w:rPr>
        <w:t xml:space="preserve">) are indicator variables assigned the value 1 for subjects with T2D and upper GI disease, and else </w:t>
      </w:r>
      <w:r w:rsidRPr="00F41C48">
        <w:rPr>
          <w:rFonts w:eastAsiaTheme="minorEastAsia" w:cs="Arial"/>
          <w:i/>
          <w:iCs/>
        </w:rPr>
        <w:t xml:space="preserve">0. </w:t>
      </w:r>
      <w:proofErr w:type="spellStart"/>
      <w:r w:rsidRPr="00F41C48">
        <w:rPr>
          <w:rFonts w:eastAsiaTheme="minorEastAsia" w:cs="Arial"/>
          <w:i/>
          <w:iCs/>
        </w:rPr>
        <w:t>F</w:t>
      </w:r>
      <w:r w:rsidRPr="00F41C48">
        <w:rPr>
          <w:rFonts w:eastAsiaTheme="minorEastAsia" w:cs="Arial"/>
          <w:i/>
          <w:iCs/>
          <w:vertAlign w:val="subscript"/>
        </w:rPr>
        <w:t>ref</w:t>
      </w:r>
      <w:proofErr w:type="spellEnd"/>
      <w:r w:rsidRPr="00F41C48">
        <w:rPr>
          <w:rFonts w:eastAsiaTheme="minorEastAsia" w:cs="Arial"/>
        </w:rPr>
        <w:t xml:space="preserve"> represents the oral bioavailability in subjects without T2D and upper GI disease. This model </w:t>
      </w:r>
      <w:r w:rsidR="002D50FE" w:rsidRPr="00F41C48">
        <w:rPr>
          <w:rFonts w:eastAsiaTheme="minorEastAsia" w:cs="Arial"/>
        </w:rPr>
        <w:t xml:space="preserve">also </w:t>
      </w:r>
      <w:r w:rsidRPr="00F41C48">
        <w:rPr>
          <w:rFonts w:eastAsiaTheme="minorEastAsia" w:cs="Arial"/>
        </w:rPr>
        <w:t xml:space="preserve">included an effect of off-site dosing, parametrised as follows: </w:t>
      </w:r>
    </w:p>
    <w:p w14:paraId="6EAE3B93" w14:textId="1095197C" w:rsidR="00C940AB" w:rsidRPr="00F41C48" w:rsidRDefault="00C940AB" w:rsidP="00293D4C">
      <w:pPr>
        <w:spacing w:line="360" w:lineRule="auto"/>
        <w:rPr>
          <w:rFonts w:eastAsiaTheme="minorEastAsia" w:cs="Arial"/>
        </w:rPr>
      </w:pPr>
      <m:oMathPara>
        <m:oMath>
          <m:r>
            <w:rPr>
              <w:rFonts w:ascii="Cambria Math" w:eastAsiaTheme="minorEastAsia" w:hAnsi="Cambria Math" w:cs="Arial"/>
            </w:rPr>
            <m:t>F=</m:t>
          </m:r>
          <m:sSup>
            <m:sSupPr>
              <m:ctrlPr>
                <w:rPr>
                  <w:rFonts w:ascii="Cambria Math" w:eastAsiaTheme="minorEastAsia" w:hAnsi="Cambria Math" w:cs="Arial"/>
                  <w:i/>
                </w:rPr>
              </m:ctrlPr>
            </m:sSupPr>
            <m:e>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θ</m:t>
                      </m:r>
                    </m:e>
                    <m:sub>
                      <m:r>
                        <w:rPr>
                          <w:rFonts w:ascii="Cambria Math" w:eastAsiaTheme="minorEastAsia" w:hAnsi="Cambria Math" w:cs="Arial"/>
                        </w:rPr>
                        <m:t>Off-site</m:t>
                      </m:r>
                    </m:sub>
                  </m:sSub>
                </m:e>
              </m:d>
            </m:e>
            <m:sup>
              <m:r>
                <w:rPr>
                  <w:rFonts w:ascii="Cambria Math" w:eastAsiaTheme="minorEastAsia" w:hAnsi="Cambria Math" w:cs="Arial"/>
                </w:rPr>
                <m:t>Off-site</m:t>
              </m:r>
            </m:sup>
          </m:sSup>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F</m:t>
              </m:r>
            </m:e>
            <m:sub>
              <m:r>
                <w:rPr>
                  <w:rFonts w:ascii="Cambria Math" w:eastAsiaTheme="minorEastAsia" w:hAnsi="Cambria Math" w:cs="Arial"/>
                </w:rPr>
                <m:t>ref</m:t>
              </m:r>
            </m:sub>
          </m:sSub>
        </m:oMath>
      </m:oMathPara>
    </w:p>
    <w:p w14:paraId="549C7E1C" w14:textId="563787AF" w:rsidR="00C940AB" w:rsidRPr="00F41C48" w:rsidRDefault="00C940AB" w:rsidP="00293D4C">
      <w:pPr>
        <w:spacing w:line="360" w:lineRule="auto"/>
        <w:rPr>
          <w:rFonts w:eastAsiaTheme="minorEastAsia" w:cs="Arial"/>
        </w:rPr>
      </w:pPr>
      <w:r w:rsidRPr="00F41C48">
        <w:rPr>
          <w:rFonts w:eastAsiaTheme="minorEastAsia" w:cs="Arial"/>
        </w:rPr>
        <w:t xml:space="preserve">where </w:t>
      </w:r>
      <w:proofErr w:type="spellStart"/>
      <w:r w:rsidRPr="00F41C48">
        <w:rPr>
          <w:rFonts w:eastAsiaTheme="minorEastAsia" w:cs="Arial"/>
          <w:i/>
          <w:iCs/>
        </w:rPr>
        <w:t>θ</w:t>
      </w:r>
      <w:r w:rsidRPr="00F41C48">
        <w:rPr>
          <w:rFonts w:eastAsiaTheme="minorEastAsia" w:cs="Arial"/>
          <w:i/>
          <w:iCs/>
          <w:vertAlign w:val="subscript"/>
        </w:rPr>
        <w:t>Off</w:t>
      </w:r>
      <w:proofErr w:type="spellEnd"/>
      <w:r w:rsidRPr="00F41C48">
        <w:rPr>
          <w:rFonts w:eastAsiaTheme="minorEastAsia" w:cs="Arial"/>
          <w:i/>
          <w:iCs/>
          <w:vertAlign w:val="subscript"/>
        </w:rPr>
        <w:t>-site</w:t>
      </w:r>
      <w:r w:rsidRPr="00F41C48">
        <w:rPr>
          <w:rFonts w:eastAsiaTheme="minorEastAsia" w:cs="Arial"/>
        </w:rPr>
        <w:t xml:space="preserve"> is the estimated effect of off-site dosing and the exponent (</w:t>
      </w:r>
      <w:r w:rsidRPr="00F41C48">
        <w:rPr>
          <w:rFonts w:eastAsiaTheme="minorEastAsia" w:cs="Arial"/>
          <w:i/>
          <w:iCs/>
        </w:rPr>
        <w:t>Off-site</w:t>
      </w:r>
      <w:r w:rsidRPr="00F41C48">
        <w:rPr>
          <w:rFonts w:eastAsiaTheme="minorEastAsia" w:cs="Arial"/>
        </w:rPr>
        <w:t xml:space="preserve">) is an indicator variable assigned the value 1 for off-site administration and else </w:t>
      </w:r>
      <w:r w:rsidRPr="00F41C48">
        <w:rPr>
          <w:rFonts w:eastAsiaTheme="minorEastAsia" w:cs="Arial"/>
          <w:i/>
          <w:iCs/>
        </w:rPr>
        <w:t xml:space="preserve">0. </w:t>
      </w:r>
      <w:proofErr w:type="spellStart"/>
      <w:r w:rsidRPr="00F41C48">
        <w:rPr>
          <w:rFonts w:eastAsiaTheme="minorEastAsia" w:cs="Arial"/>
          <w:i/>
          <w:iCs/>
        </w:rPr>
        <w:t>F</w:t>
      </w:r>
      <w:r w:rsidRPr="00F41C48">
        <w:rPr>
          <w:rFonts w:eastAsiaTheme="minorEastAsia" w:cs="Arial"/>
          <w:i/>
          <w:iCs/>
          <w:vertAlign w:val="subscript"/>
        </w:rPr>
        <w:t>ref</w:t>
      </w:r>
      <w:proofErr w:type="spellEnd"/>
      <w:r w:rsidRPr="00F41C48">
        <w:rPr>
          <w:rFonts w:eastAsiaTheme="minorEastAsia" w:cs="Arial"/>
        </w:rPr>
        <w:t xml:space="preserve"> represents the oral bioavailability for on-site dosing</w:t>
      </w:r>
      <w:r w:rsidR="009B632E" w:rsidRPr="00F41C48">
        <w:rPr>
          <w:rFonts w:eastAsiaTheme="minorEastAsia" w:cs="Arial"/>
        </w:rPr>
        <w:t xml:space="preserve">. </w:t>
      </w:r>
    </w:p>
    <w:p w14:paraId="1C096B74" w14:textId="77777777" w:rsidR="00C940AB" w:rsidRPr="00F41C48" w:rsidRDefault="00C940AB" w:rsidP="00293D4C">
      <w:pPr>
        <w:spacing w:line="360" w:lineRule="auto"/>
        <w:rPr>
          <w:rFonts w:cs="Arial"/>
        </w:rPr>
      </w:pPr>
    </w:p>
    <w:p w14:paraId="645C5F42" w14:textId="77777777" w:rsidR="00642A47" w:rsidRPr="00F41C48" w:rsidRDefault="00642A47" w:rsidP="00293D4C">
      <w:pPr>
        <w:spacing w:line="360" w:lineRule="auto"/>
        <w:rPr>
          <w:rFonts w:cs="Arial"/>
          <w:b/>
          <w:bCs/>
        </w:rPr>
        <w:sectPr w:rsidR="00642A47" w:rsidRPr="00F41C48" w:rsidSect="002B5401">
          <w:headerReference w:type="default" r:id="rId17"/>
          <w:footerReference w:type="default" r:id="rId18"/>
          <w:pgSz w:w="11906" w:h="16838"/>
          <w:pgMar w:top="1440" w:right="1440" w:bottom="1440" w:left="1440" w:header="708" w:footer="708" w:gutter="0"/>
          <w:cols w:space="708"/>
          <w:docGrid w:linePitch="360"/>
        </w:sectPr>
      </w:pPr>
      <w:bookmarkStart w:id="6" w:name="_Hlk13751756"/>
      <w:bookmarkStart w:id="7" w:name="_Hlk13749215"/>
      <w:bookmarkEnd w:id="5"/>
    </w:p>
    <w:p w14:paraId="6988732F" w14:textId="3E670E4C" w:rsidR="00853CD8" w:rsidRPr="00F41C48" w:rsidRDefault="00853CD8" w:rsidP="001E51C8">
      <w:pPr>
        <w:pStyle w:val="Heading1"/>
        <w:spacing w:line="360" w:lineRule="auto"/>
        <w:rPr>
          <w:rStyle w:val="CommentReference"/>
          <w:rFonts w:cs="Arial"/>
          <w:color w:val="auto"/>
          <w:sz w:val="22"/>
          <w:szCs w:val="22"/>
        </w:rPr>
      </w:pPr>
      <w:bookmarkStart w:id="8" w:name="_Toc67581060"/>
      <w:r w:rsidRPr="00F41C48">
        <w:rPr>
          <w:color w:val="auto"/>
        </w:rPr>
        <w:lastRenderedPageBreak/>
        <w:t xml:space="preserve">Online resource, Table </w:t>
      </w:r>
      <w:r w:rsidR="00200029" w:rsidRPr="00F41C48">
        <w:rPr>
          <w:color w:val="auto"/>
        </w:rPr>
        <w:t>1</w:t>
      </w:r>
      <w:r w:rsidRPr="00F41C48">
        <w:rPr>
          <w:color w:val="auto"/>
        </w:rPr>
        <w:t xml:space="preserve"> </w:t>
      </w:r>
      <w:bookmarkStart w:id="9" w:name="_Hlk13749189"/>
      <w:r w:rsidRPr="00F41C48">
        <w:rPr>
          <w:b w:val="0"/>
          <w:color w:val="auto"/>
        </w:rPr>
        <w:t>Parameter estimates from the final PK model</w:t>
      </w:r>
      <w:bookmarkEnd w:id="9"/>
      <w:bookmarkEnd w:id="8"/>
      <w:r w:rsidRPr="00F41C48">
        <w:rPr>
          <w:rStyle w:val="CommentReference"/>
          <w:rFonts w:cs="Arial"/>
          <w:b w:val="0"/>
          <w:color w:val="auto"/>
          <w:sz w:val="22"/>
          <w:szCs w:val="22"/>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LINK*: E:\Project\NN9924\Meta-analyses\ClinPharmModel\current\Documentation\Output\Tables\Report\10 TableOfEstimates Final.txt"/>
        <w:tblDescription w:val="&#10;QCPTEMPLATE:CatNumTable"/>
      </w:tblPr>
      <w:tblGrid>
        <w:gridCol w:w="4821"/>
        <w:gridCol w:w="1133"/>
        <w:gridCol w:w="2691"/>
        <w:gridCol w:w="1703"/>
        <w:gridCol w:w="2270"/>
        <w:gridCol w:w="1340"/>
      </w:tblGrid>
      <w:tr w:rsidR="0020084D" w:rsidRPr="00F41C48" w14:paraId="55F99CED" w14:textId="77777777" w:rsidTr="00EA6BB8">
        <w:trPr>
          <w:trHeight w:hRule="exact" w:val="1061"/>
          <w:tblHeader/>
        </w:trPr>
        <w:tc>
          <w:tcPr>
            <w:tcW w:w="1727" w:type="pct"/>
            <w:tcBorders>
              <w:top w:val="single" w:sz="4" w:space="0" w:color="auto"/>
              <w:bottom w:val="single" w:sz="4" w:space="0" w:color="auto"/>
            </w:tcBorders>
            <w:shd w:val="clear" w:color="auto" w:fill="auto"/>
          </w:tcPr>
          <w:p w14:paraId="6EC05485" w14:textId="77777777" w:rsidR="00421336" w:rsidRPr="00F41C48" w:rsidRDefault="00421336" w:rsidP="00293D4C">
            <w:pPr>
              <w:spacing w:after="160" w:line="360" w:lineRule="auto"/>
              <w:rPr>
                <w:rFonts w:cs="Arial"/>
                <w:b/>
                <w:bCs/>
              </w:rPr>
            </w:pPr>
            <w:r w:rsidRPr="00F41C48">
              <w:rPr>
                <w:rFonts w:cs="Arial"/>
                <w:b/>
                <w:bCs/>
              </w:rPr>
              <w:t>Description</w:t>
            </w:r>
          </w:p>
        </w:tc>
        <w:tc>
          <w:tcPr>
            <w:tcW w:w="406" w:type="pct"/>
            <w:tcBorders>
              <w:top w:val="single" w:sz="4" w:space="0" w:color="auto"/>
              <w:bottom w:val="single" w:sz="4" w:space="0" w:color="auto"/>
            </w:tcBorders>
            <w:shd w:val="clear" w:color="auto" w:fill="auto"/>
          </w:tcPr>
          <w:p w14:paraId="78C7662E" w14:textId="77777777" w:rsidR="00421336" w:rsidRPr="00F41C48" w:rsidRDefault="00421336" w:rsidP="00293D4C">
            <w:pPr>
              <w:spacing w:after="160" w:line="360" w:lineRule="auto"/>
              <w:rPr>
                <w:rFonts w:cs="Arial"/>
                <w:b/>
                <w:bCs/>
              </w:rPr>
            </w:pPr>
            <w:r w:rsidRPr="00F41C48">
              <w:rPr>
                <w:rFonts w:cs="Arial"/>
                <w:b/>
                <w:bCs/>
              </w:rPr>
              <w:t>Units</w:t>
            </w:r>
          </w:p>
        </w:tc>
        <w:tc>
          <w:tcPr>
            <w:tcW w:w="964" w:type="pct"/>
            <w:tcBorders>
              <w:top w:val="single" w:sz="4" w:space="0" w:color="auto"/>
              <w:bottom w:val="single" w:sz="4" w:space="0" w:color="auto"/>
            </w:tcBorders>
            <w:shd w:val="clear" w:color="auto" w:fill="auto"/>
          </w:tcPr>
          <w:p w14:paraId="14A7F0E5" w14:textId="01326941" w:rsidR="00421336" w:rsidRPr="00F41C48" w:rsidRDefault="00421336" w:rsidP="00293D4C">
            <w:pPr>
              <w:spacing w:after="160" w:line="360" w:lineRule="auto"/>
              <w:rPr>
                <w:rFonts w:cs="Arial"/>
                <w:b/>
                <w:bCs/>
              </w:rPr>
            </w:pPr>
            <w:r w:rsidRPr="00F41C48">
              <w:rPr>
                <w:rFonts w:cs="Arial"/>
                <w:b/>
                <w:bCs/>
              </w:rPr>
              <w:t>Estimate [95% CI]</w:t>
            </w:r>
          </w:p>
        </w:tc>
        <w:tc>
          <w:tcPr>
            <w:tcW w:w="610" w:type="pct"/>
            <w:tcBorders>
              <w:top w:val="single" w:sz="4" w:space="0" w:color="auto"/>
              <w:bottom w:val="single" w:sz="4" w:space="0" w:color="auto"/>
            </w:tcBorders>
            <w:shd w:val="clear" w:color="auto" w:fill="auto"/>
          </w:tcPr>
          <w:p w14:paraId="490D54B2" w14:textId="77777777" w:rsidR="00421336" w:rsidRPr="00F41C48" w:rsidRDefault="00421336" w:rsidP="00293D4C">
            <w:pPr>
              <w:spacing w:after="160" w:line="360" w:lineRule="auto"/>
              <w:rPr>
                <w:rFonts w:cs="Arial"/>
                <w:b/>
                <w:bCs/>
              </w:rPr>
            </w:pPr>
            <w:r w:rsidRPr="00F41C48">
              <w:rPr>
                <w:rFonts w:cs="Arial"/>
                <w:b/>
                <w:bCs/>
              </w:rPr>
              <w:t>IIV (CV%)</w:t>
            </w:r>
          </w:p>
        </w:tc>
        <w:tc>
          <w:tcPr>
            <w:tcW w:w="813" w:type="pct"/>
            <w:tcBorders>
              <w:top w:val="single" w:sz="4" w:space="0" w:color="auto"/>
              <w:bottom w:val="single" w:sz="4" w:space="0" w:color="auto"/>
            </w:tcBorders>
            <w:shd w:val="clear" w:color="auto" w:fill="auto"/>
          </w:tcPr>
          <w:p w14:paraId="1F770EC7" w14:textId="2DE6BD87" w:rsidR="00421336" w:rsidRPr="00F41C48" w:rsidRDefault="00421336" w:rsidP="00293D4C">
            <w:pPr>
              <w:spacing w:after="160" w:line="360" w:lineRule="auto"/>
              <w:rPr>
                <w:rFonts w:cs="Arial"/>
                <w:b/>
                <w:bCs/>
              </w:rPr>
            </w:pPr>
            <w:r w:rsidRPr="00F41C48">
              <w:rPr>
                <w:rFonts w:cs="Arial"/>
                <w:b/>
                <w:bCs/>
              </w:rPr>
              <w:t xml:space="preserve">Shrinkage (%) </w:t>
            </w:r>
            <w:r w:rsidR="00B94FD4" w:rsidRPr="00F41C48">
              <w:rPr>
                <w:rFonts w:cs="Arial"/>
                <w:b/>
                <w:bCs/>
              </w:rPr>
              <w:br/>
            </w:r>
            <w:r w:rsidRPr="00F41C48">
              <w:rPr>
                <w:rFonts w:cs="Arial"/>
                <w:b/>
                <w:bCs/>
              </w:rPr>
              <w:t>[IIV or residual]</w:t>
            </w:r>
          </w:p>
        </w:tc>
        <w:tc>
          <w:tcPr>
            <w:tcW w:w="480" w:type="pct"/>
            <w:tcBorders>
              <w:top w:val="single" w:sz="4" w:space="0" w:color="auto"/>
              <w:bottom w:val="single" w:sz="4" w:space="0" w:color="auto"/>
            </w:tcBorders>
            <w:shd w:val="clear" w:color="auto" w:fill="auto"/>
          </w:tcPr>
          <w:p w14:paraId="357EA12A" w14:textId="77777777" w:rsidR="00421336" w:rsidRPr="00F41C48" w:rsidRDefault="00421336" w:rsidP="00293D4C">
            <w:pPr>
              <w:spacing w:after="160" w:line="360" w:lineRule="auto"/>
              <w:rPr>
                <w:rFonts w:cs="Arial"/>
                <w:b/>
                <w:bCs/>
              </w:rPr>
            </w:pPr>
            <w:r w:rsidRPr="00F41C48">
              <w:rPr>
                <w:rFonts w:cs="Arial"/>
                <w:b/>
                <w:bCs/>
              </w:rPr>
              <w:t>IOV (CV%)</w:t>
            </w:r>
          </w:p>
        </w:tc>
      </w:tr>
      <w:tr w:rsidR="0020084D" w:rsidRPr="00F41C48" w14:paraId="32B20A8E" w14:textId="77777777" w:rsidTr="00EA6BB8">
        <w:trPr>
          <w:trHeight w:hRule="exact" w:val="771"/>
        </w:trPr>
        <w:tc>
          <w:tcPr>
            <w:tcW w:w="1727" w:type="pct"/>
            <w:tcBorders>
              <w:top w:val="single" w:sz="4" w:space="0" w:color="auto"/>
            </w:tcBorders>
            <w:shd w:val="clear" w:color="auto" w:fill="auto"/>
            <w:vAlign w:val="center"/>
          </w:tcPr>
          <w:p w14:paraId="640613AD" w14:textId="77777777" w:rsidR="00421336" w:rsidRPr="00F41C48" w:rsidRDefault="00421336" w:rsidP="00293D4C">
            <w:pPr>
              <w:spacing w:after="160" w:line="360" w:lineRule="auto"/>
              <w:rPr>
                <w:rFonts w:cs="Arial"/>
                <w:b/>
                <w:bCs/>
              </w:rPr>
            </w:pPr>
            <w:r w:rsidRPr="00F41C48">
              <w:rPr>
                <w:rFonts w:cs="Arial"/>
                <w:b/>
                <w:bCs/>
              </w:rPr>
              <w:t>Absorption rate constant (k</w:t>
            </w:r>
            <w:r w:rsidRPr="00F41C48">
              <w:rPr>
                <w:rFonts w:cs="Arial"/>
                <w:b/>
                <w:bCs/>
                <w:vertAlign w:val="subscript"/>
              </w:rPr>
              <w:t>a</w:t>
            </w:r>
            <w:r w:rsidRPr="00F41C48">
              <w:rPr>
                <w:rFonts w:cs="Arial"/>
                <w:b/>
                <w:bCs/>
              </w:rPr>
              <w:t>)</w:t>
            </w:r>
          </w:p>
        </w:tc>
        <w:tc>
          <w:tcPr>
            <w:tcW w:w="406" w:type="pct"/>
            <w:tcBorders>
              <w:top w:val="single" w:sz="4" w:space="0" w:color="auto"/>
            </w:tcBorders>
            <w:shd w:val="clear" w:color="auto" w:fill="auto"/>
            <w:vAlign w:val="center"/>
          </w:tcPr>
          <w:p w14:paraId="6DBA5018" w14:textId="77777777" w:rsidR="00421336" w:rsidRPr="00F41C48" w:rsidRDefault="00421336" w:rsidP="00293D4C">
            <w:pPr>
              <w:spacing w:after="160" w:line="360" w:lineRule="auto"/>
              <w:rPr>
                <w:rFonts w:cs="Arial"/>
              </w:rPr>
            </w:pPr>
            <w:r w:rsidRPr="00F41C48">
              <w:rPr>
                <w:rFonts w:cs="Arial"/>
              </w:rPr>
              <w:t>1/h</w:t>
            </w:r>
          </w:p>
        </w:tc>
        <w:tc>
          <w:tcPr>
            <w:tcW w:w="964" w:type="pct"/>
            <w:tcBorders>
              <w:top w:val="single" w:sz="4" w:space="0" w:color="auto"/>
            </w:tcBorders>
            <w:shd w:val="clear" w:color="auto" w:fill="auto"/>
            <w:vAlign w:val="center"/>
          </w:tcPr>
          <w:p w14:paraId="1F9FA7A6" w14:textId="2D63EEF9" w:rsidR="00421336" w:rsidRPr="00F41C48" w:rsidRDefault="00421336" w:rsidP="00293D4C">
            <w:pPr>
              <w:spacing w:after="160" w:line="360" w:lineRule="auto"/>
              <w:rPr>
                <w:rFonts w:cs="Arial"/>
              </w:rPr>
            </w:pPr>
            <w:r w:rsidRPr="00F41C48">
              <w:rPr>
                <w:rFonts w:cs="Arial"/>
              </w:rPr>
              <w:t>2.09 [1.89</w:t>
            </w:r>
            <w:r w:rsidR="00757803" w:rsidRPr="00F41C48">
              <w:rPr>
                <w:rFonts w:cs="Arial"/>
              </w:rPr>
              <w:t>,</w:t>
            </w:r>
            <w:r w:rsidR="00EA6BB8" w:rsidRPr="00F41C48">
              <w:rPr>
                <w:rFonts w:cs="Arial"/>
              </w:rPr>
              <w:t xml:space="preserve"> </w:t>
            </w:r>
            <w:r w:rsidRPr="00F41C48">
              <w:rPr>
                <w:rFonts w:cs="Arial"/>
              </w:rPr>
              <w:t>2.32]</w:t>
            </w:r>
          </w:p>
        </w:tc>
        <w:tc>
          <w:tcPr>
            <w:tcW w:w="610" w:type="pct"/>
            <w:tcBorders>
              <w:top w:val="single" w:sz="4" w:space="0" w:color="auto"/>
            </w:tcBorders>
            <w:shd w:val="clear" w:color="auto" w:fill="auto"/>
            <w:vAlign w:val="center"/>
          </w:tcPr>
          <w:p w14:paraId="1F43688C" w14:textId="77777777" w:rsidR="00421336" w:rsidRPr="00F41C48" w:rsidRDefault="00421336" w:rsidP="00293D4C">
            <w:pPr>
              <w:spacing w:after="160" w:line="360" w:lineRule="auto"/>
              <w:rPr>
                <w:rFonts w:cs="Arial"/>
              </w:rPr>
            </w:pPr>
            <w:r w:rsidRPr="00F41C48">
              <w:rPr>
                <w:rFonts w:cs="Arial"/>
              </w:rPr>
              <w:t>57.4</w:t>
            </w:r>
          </w:p>
        </w:tc>
        <w:tc>
          <w:tcPr>
            <w:tcW w:w="813" w:type="pct"/>
            <w:tcBorders>
              <w:top w:val="single" w:sz="4" w:space="0" w:color="auto"/>
            </w:tcBorders>
            <w:shd w:val="clear" w:color="auto" w:fill="auto"/>
            <w:vAlign w:val="center"/>
          </w:tcPr>
          <w:p w14:paraId="780E7E80" w14:textId="77777777" w:rsidR="00421336" w:rsidRPr="00F41C48" w:rsidRDefault="00421336" w:rsidP="00293D4C">
            <w:pPr>
              <w:spacing w:after="160" w:line="360" w:lineRule="auto"/>
              <w:rPr>
                <w:rFonts w:cs="Arial"/>
              </w:rPr>
            </w:pPr>
            <w:r w:rsidRPr="00F41C48">
              <w:rPr>
                <w:rFonts w:cs="Arial"/>
              </w:rPr>
              <w:t>17</w:t>
            </w:r>
          </w:p>
        </w:tc>
        <w:tc>
          <w:tcPr>
            <w:tcW w:w="480" w:type="pct"/>
            <w:tcBorders>
              <w:top w:val="single" w:sz="4" w:space="0" w:color="auto"/>
            </w:tcBorders>
            <w:shd w:val="clear" w:color="auto" w:fill="auto"/>
            <w:vAlign w:val="center"/>
          </w:tcPr>
          <w:p w14:paraId="5F17E4D1"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6DBDFC08" w14:textId="77777777" w:rsidTr="00EA6BB8">
        <w:trPr>
          <w:trHeight w:hRule="exact" w:val="771"/>
        </w:trPr>
        <w:tc>
          <w:tcPr>
            <w:tcW w:w="1727" w:type="pct"/>
            <w:shd w:val="clear" w:color="auto" w:fill="auto"/>
            <w:vAlign w:val="center"/>
          </w:tcPr>
          <w:p w14:paraId="734BC140" w14:textId="77777777" w:rsidR="00421336" w:rsidRPr="00F41C48" w:rsidRDefault="00421336" w:rsidP="00293D4C">
            <w:pPr>
              <w:spacing w:after="160" w:line="360" w:lineRule="auto"/>
              <w:rPr>
                <w:rFonts w:cs="Arial"/>
                <w:b/>
                <w:bCs/>
              </w:rPr>
            </w:pPr>
            <w:r w:rsidRPr="00F41C48">
              <w:rPr>
                <w:rFonts w:cs="Arial"/>
                <w:b/>
                <w:bCs/>
              </w:rPr>
              <w:t>Clearance (CL)</w:t>
            </w:r>
          </w:p>
        </w:tc>
        <w:tc>
          <w:tcPr>
            <w:tcW w:w="406" w:type="pct"/>
            <w:shd w:val="clear" w:color="auto" w:fill="auto"/>
            <w:vAlign w:val="center"/>
          </w:tcPr>
          <w:p w14:paraId="3CF177B4" w14:textId="77777777" w:rsidR="00421336" w:rsidRPr="00F41C48" w:rsidRDefault="00421336" w:rsidP="00293D4C">
            <w:pPr>
              <w:spacing w:after="160" w:line="360" w:lineRule="auto"/>
              <w:rPr>
                <w:rFonts w:cs="Arial"/>
              </w:rPr>
            </w:pPr>
            <w:r w:rsidRPr="00F41C48">
              <w:rPr>
                <w:rFonts w:cs="Arial"/>
              </w:rPr>
              <w:t>L/h</w:t>
            </w:r>
          </w:p>
        </w:tc>
        <w:tc>
          <w:tcPr>
            <w:tcW w:w="964" w:type="pct"/>
            <w:shd w:val="clear" w:color="auto" w:fill="auto"/>
            <w:vAlign w:val="center"/>
          </w:tcPr>
          <w:p w14:paraId="1689FEB9" w14:textId="77777777" w:rsidR="00421336" w:rsidRPr="00F41C48" w:rsidRDefault="00421336" w:rsidP="001E51C8">
            <w:pPr>
              <w:spacing w:after="160" w:line="240" w:lineRule="auto"/>
              <w:rPr>
                <w:rFonts w:cs="Arial"/>
              </w:rPr>
            </w:pPr>
            <w:r w:rsidRPr="00F41C48">
              <w:rPr>
                <w:rFonts w:cs="Arial"/>
              </w:rPr>
              <w:t>0.0348 fixed</w:t>
            </w:r>
          </w:p>
        </w:tc>
        <w:tc>
          <w:tcPr>
            <w:tcW w:w="610" w:type="pct"/>
            <w:shd w:val="clear" w:color="auto" w:fill="auto"/>
            <w:vAlign w:val="center"/>
          </w:tcPr>
          <w:p w14:paraId="75E9C0C7" w14:textId="77777777" w:rsidR="00421336" w:rsidRPr="00F41C48" w:rsidRDefault="00421336" w:rsidP="00293D4C">
            <w:pPr>
              <w:spacing w:after="160" w:line="360" w:lineRule="auto"/>
              <w:rPr>
                <w:rFonts w:cs="Arial"/>
              </w:rPr>
            </w:pPr>
            <w:r w:rsidRPr="00F41C48">
              <w:rPr>
                <w:rFonts w:cs="Arial"/>
              </w:rPr>
              <w:t>15.2</w:t>
            </w:r>
          </w:p>
        </w:tc>
        <w:tc>
          <w:tcPr>
            <w:tcW w:w="813" w:type="pct"/>
            <w:shd w:val="clear" w:color="auto" w:fill="auto"/>
            <w:vAlign w:val="center"/>
          </w:tcPr>
          <w:p w14:paraId="2395847C" w14:textId="77777777" w:rsidR="00421336" w:rsidRPr="00F41C48" w:rsidRDefault="00421336" w:rsidP="00293D4C">
            <w:pPr>
              <w:spacing w:after="160" w:line="360" w:lineRule="auto"/>
              <w:rPr>
                <w:rFonts w:cs="Arial"/>
              </w:rPr>
            </w:pPr>
            <w:r w:rsidRPr="00F41C48">
              <w:rPr>
                <w:rFonts w:cs="Arial"/>
              </w:rPr>
              <w:t>60.7</w:t>
            </w:r>
          </w:p>
        </w:tc>
        <w:tc>
          <w:tcPr>
            <w:tcW w:w="480" w:type="pct"/>
            <w:shd w:val="clear" w:color="auto" w:fill="auto"/>
            <w:vAlign w:val="center"/>
          </w:tcPr>
          <w:p w14:paraId="3A085BFE"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5CF0A204" w14:textId="77777777" w:rsidTr="00EA6BB8">
        <w:trPr>
          <w:trHeight w:hRule="exact" w:val="771"/>
        </w:trPr>
        <w:tc>
          <w:tcPr>
            <w:tcW w:w="1727" w:type="pct"/>
            <w:shd w:val="clear" w:color="auto" w:fill="auto"/>
            <w:vAlign w:val="center"/>
          </w:tcPr>
          <w:p w14:paraId="2C7ABA2A" w14:textId="77777777" w:rsidR="00421336" w:rsidRPr="00F41C48" w:rsidRDefault="00421336" w:rsidP="00293D4C">
            <w:pPr>
              <w:spacing w:after="160" w:line="360" w:lineRule="auto"/>
              <w:rPr>
                <w:rFonts w:cs="Arial"/>
                <w:b/>
                <w:bCs/>
              </w:rPr>
            </w:pPr>
            <w:r w:rsidRPr="00F41C48">
              <w:rPr>
                <w:rFonts w:cs="Arial"/>
                <w:b/>
                <w:bCs/>
              </w:rPr>
              <w:t>Central volume (</w:t>
            </w:r>
            <w:proofErr w:type="spellStart"/>
            <w:r w:rsidRPr="00F41C48">
              <w:rPr>
                <w:rFonts w:cs="Arial"/>
                <w:b/>
                <w:bCs/>
              </w:rPr>
              <w:t>V</w:t>
            </w:r>
            <w:r w:rsidRPr="00F41C48">
              <w:rPr>
                <w:rFonts w:cs="Arial"/>
                <w:b/>
                <w:bCs/>
                <w:vertAlign w:val="subscript"/>
              </w:rPr>
              <w:t>c</w:t>
            </w:r>
            <w:proofErr w:type="spellEnd"/>
            <w:r w:rsidRPr="00F41C48">
              <w:rPr>
                <w:rFonts w:cs="Arial"/>
                <w:b/>
                <w:bCs/>
              </w:rPr>
              <w:t>)</w:t>
            </w:r>
          </w:p>
        </w:tc>
        <w:tc>
          <w:tcPr>
            <w:tcW w:w="406" w:type="pct"/>
            <w:shd w:val="clear" w:color="auto" w:fill="auto"/>
            <w:vAlign w:val="center"/>
          </w:tcPr>
          <w:p w14:paraId="150BD8F3" w14:textId="77777777" w:rsidR="00421336" w:rsidRPr="00F41C48" w:rsidRDefault="00421336" w:rsidP="00293D4C">
            <w:pPr>
              <w:spacing w:after="160" w:line="360" w:lineRule="auto"/>
              <w:rPr>
                <w:rFonts w:cs="Arial"/>
              </w:rPr>
            </w:pPr>
            <w:r w:rsidRPr="00F41C48">
              <w:rPr>
                <w:rFonts w:cs="Arial"/>
              </w:rPr>
              <w:t>L</w:t>
            </w:r>
          </w:p>
        </w:tc>
        <w:tc>
          <w:tcPr>
            <w:tcW w:w="964" w:type="pct"/>
            <w:shd w:val="clear" w:color="auto" w:fill="auto"/>
            <w:vAlign w:val="center"/>
          </w:tcPr>
          <w:p w14:paraId="028E93A9" w14:textId="40E4AD07" w:rsidR="00421336" w:rsidRPr="00F41C48" w:rsidRDefault="00421336" w:rsidP="001E51C8">
            <w:pPr>
              <w:spacing w:after="160" w:line="240" w:lineRule="auto"/>
              <w:rPr>
                <w:rFonts w:cs="Arial"/>
              </w:rPr>
            </w:pPr>
            <w:r w:rsidRPr="00F41C48">
              <w:rPr>
                <w:rFonts w:cs="Arial"/>
              </w:rPr>
              <w:t>3.59 fixed</w:t>
            </w:r>
          </w:p>
        </w:tc>
        <w:tc>
          <w:tcPr>
            <w:tcW w:w="610" w:type="pct"/>
            <w:shd w:val="clear" w:color="auto" w:fill="auto"/>
            <w:vAlign w:val="center"/>
          </w:tcPr>
          <w:p w14:paraId="65AF41B1" w14:textId="77777777" w:rsidR="00421336" w:rsidRPr="00F41C48" w:rsidRDefault="00421336" w:rsidP="00293D4C">
            <w:pPr>
              <w:spacing w:after="160" w:line="360" w:lineRule="auto"/>
              <w:rPr>
                <w:rFonts w:cs="Arial"/>
              </w:rPr>
            </w:pPr>
            <w:r w:rsidRPr="00F41C48">
              <w:rPr>
                <w:rFonts w:cs="Arial"/>
              </w:rPr>
              <w:t>15.4</w:t>
            </w:r>
          </w:p>
        </w:tc>
        <w:tc>
          <w:tcPr>
            <w:tcW w:w="813" w:type="pct"/>
            <w:shd w:val="clear" w:color="auto" w:fill="auto"/>
            <w:vAlign w:val="center"/>
          </w:tcPr>
          <w:p w14:paraId="0F78223C" w14:textId="77777777" w:rsidR="00421336" w:rsidRPr="00F41C48" w:rsidRDefault="00421336" w:rsidP="00293D4C">
            <w:pPr>
              <w:spacing w:after="160" w:line="360" w:lineRule="auto"/>
              <w:rPr>
                <w:rFonts w:cs="Arial"/>
              </w:rPr>
            </w:pPr>
            <w:r w:rsidRPr="00F41C48">
              <w:rPr>
                <w:rFonts w:cs="Arial"/>
              </w:rPr>
              <w:t>61.7</w:t>
            </w:r>
          </w:p>
        </w:tc>
        <w:tc>
          <w:tcPr>
            <w:tcW w:w="480" w:type="pct"/>
            <w:shd w:val="clear" w:color="auto" w:fill="auto"/>
            <w:vAlign w:val="center"/>
          </w:tcPr>
          <w:p w14:paraId="0EC5FFBD"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1519EA49" w14:textId="77777777" w:rsidTr="00EA6BB8">
        <w:trPr>
          <w:trHeight w:hRule="exact" w:val="771"/>
        </w:trPr>
        <w:tc>
          <w:tcPr>
            <w:tcW w:w="1727" w:type="pct"/>
            <w:shd w:val="clear" w:color="auto" w:fill="auto"/>
            <w:vAlign w:val="center"/>
          </w:tcPr>
          <w:p w14:paraId="168461AD" w14:textId="77777777" w:rsidR="00421336" w:rsidRPr="00F41C48" w:rsidRDefault="00421336" w:rsidP="00293D4C">
            <w:pPr>
              <w:spacing w:after="160" w:line="360" w:lineRule="auto"/>
              <w:rPr>
                <w:rFonts w:cs="Arial"/>
                <w:b/>
                <w:bCs/>
              </w:rPr>
            </w:pPr>
            <w:r w:rsidRPr="00F41C48">
              <w:rPr>
                <w:rFonts w:cs="Arial"/>
                <w:b/>
                <w:bCs/>
              </w:rPr>
              <w:t>Inter-compartmental clearance (Q)</w:t>
            </w:r>
          </w:p>
        </w:tc>
        <w:tc>
          <w:tcPr>
            <w:tcW w:w="406" w:type="pct"/>
            <w:shd w:val="clear" w:color="auto" w:fill="auto"/>
            <w:vAlign w:val="center"/>
          </w:tcPr>
          <w:p w14:paraId="7D8B1E04" w14:textId="77777777" w:rsidR="00421336" w:rsidRPr="00F41C48" w:rsidRDefault="00421336" w:rsidP="00293D4C">
            <w:pPr>
              <w:spacing w:after="160" w:line="360" w:lineRule="auto"/>
              <w:rPr>
                <w:rFonts w:cs="Arial"/>
              </w:rPr>
            </w:pPr>
            <w:r w:rsidRPr="00F41C48">
              <w:rPr>
                <w:rFonts w:cs="Arial"/>
              </w:rPr>
              <w:t>L/h</w:t>
            </w:r>
          </w:p>
        </w:tc>
        <w:tc>
          <w:tcPr>
            <w:tcW w:w="964" w:type="pct"/>
            <w:shd w:val="clear" w:color="auto" w:fill="auto"/>
            <w:vAlign w:val="center"/>
          </w:tcPr>
          <w:p w14:paraId="5D0B8D4A" w14:textId="77777777" w:rsidR="00421336" w:rsidRPr="00F41C48" w:rsidRDefault="00421336" w:rsidP="001E51C8">
            <w:pPr>
              <w:spacing w:after="160" w:line="240" w:lineRule="auto"/>
              <w:rPr>
                <w:rFonts w:cs="Arial"/>
              </w:rPr>
            </w:pPr>
            <w:r w:rsidRPr="00F41C48">
              <w:rPr>
                <w:rFonts w:cs="Arial"/>
              </w:rPr>
              <w:t>0.304 fixed</w:t>
            </w:r>
          </w:p>
        </w:tc>
        <w:tc>
          <w:tcPr>
            <w:tcW w:w="610" w:type="pct"/>
            <w:shd w:val="clear" w:color="auto" w:fill="auto"/>
            <w:vAlign w:val="center"/>
          </w:tcPr>
          <w:p w14:paraId="012168AE" w14:textId="6DD3A10B" w:rsidR="00421336" w:rsidRPr="00F41C48" w:rsidRDefault="00421336" w:rsidP="001E51C8">
            <w:pPr>
              <w:spacing w:after="160" w:line="240" w:lineRule="auto"/>
              <w:rPr>
                <w:rFonts w:cs="Arial"/>
              </w:rPr>
            </w:pPr>
            <w:r w:rsidRPr="00F41C48">
              <w:rPr>
                <w:rFonts w:cs="Arial"/>
              </w:rPr>
              <w:t>15.2</w:t>
            </w:r>
            <w:r w:rsidR="00EA6BB8" w:rsidRPr="00F41C48">
              <w:rPr>
                <w:rFonts w:cs="Arial"/>
              </w:rPr>
              <w:t xml:space="preserve"> </w:t>
            </w:r>
            <w:proofErr w:type="spellStart"/>
            <w:r w:rsidRPr="00F41C48">
              <w:rPr>
                <w:rFonts w:cs="Arial"/>
              </w:rPr>
              <w:t>fixed</w:t>
            </w:r>
            <w:r w:rsidR="00B94FD4" w:rsidRPr="00F41C48">
              <w:rPr>
                <w:rFonts w:cs="Arial"/>
                <w:vertAlign w:val="superscript"/>
              </w:rPr>
              <w:t>a</w:t>
            </w:r>
            <w:proofErr w:type="spellEnd"/>
          </w:p>
        </w:tc>
        <w:tc>
          <w:tcPr>
            <w:tcW w:w="813" w:type="pct"/>
            <w:shd w:val="clear" w:color="auto" w:fill="auto"/>
            <w:vAlign w:val="center"/>
          </w:tcPr>
          <w:p w14:paraId="79B98C36" w14:textId="6AD613FC" w:rsidR="00421336" w:rsidRPr="00F41C48" w:rsidRDefault="00421336" w:rsidP="001E51C8">
            <w:pPr>
              <w:spacing w:after="160" w:line="240" w:lineRule="auto"/>
              <w:rPr>
                <w:rFonts w:cs="Arial"/>
              </w:rPr>
            </w:pPr>
            <w:r w:rsidRPr="00F41C48">
              <w:rPr>
                <w:rFonts w:cs="Arial"/>
              </w:rPr>
              <w:t>60.7</w:t>
            </w:r>
            <w:r w:rsidR="00EA6BB8" w:rsidRPr="00F41C48">
              <w:rPr>
                <w:rFonts w:cs="Arial"/>
              </w:rPr>
              <w:t xml:space="preserve"> </w:t>
            </w:r>
            <w:proofErr w:type="spellStart"/>
            <w:r w:rsidRPr="00F41C48">
              <w:rPr>
                <w:rFonts w:cs="Arial"/>
              </w:rPr>
              <w:t>fixed</w:t>
            </w:r>
            <w:r w:rsidR="00B94FD4" w:rsidRPr="00F41C48">
              <w:rPr>
                <w:rFonts w:cs="Arial"/>
                <w:vertAlign w:val="superscript"/>
              </w:rPr>
              <w:t>a</w:t>
            </w:r>
            <w:proofErr w:type="spellEnd"/>
          </w:p>
        </w:tc>
        <w:tc>
          <w:tcPr>
            <w:tcW w:w="480" w:type="pct"/>
            <w:shd w:val="clear" w:color="auto" w:fill="auto"/>
            <w:vAlign w:val="center"/>
          </w:tcPr>
          <w:p w14:paraId="5E44EBE0"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6AAD1EE4" w14:textId="77777777" w:rsidTr="00EA6BB8">
        <w:trPr>
          <w:trHeight w:hRule="exact" w:val="771"/>
        </w:trPr>
        <w:tc>
          <w:tcPr>
            <w:tcW w:w="1727" w:type="pct"/>
            <w:shd w:val="clear" w:color="auto" w:fill="auto"/>
            <w:vAlign w:val="center"/>
          </w:tcPr>
          <w:p w14:paraId="1E3DBA4E" w14:textId="77777777" w:rsidR="00421336" w:rsidRPr="00F41C48" w:rsidRDefault="00421336" w:rsidP="00293D4C">
            <w:pPr>
              <w:spacing w:after="160" w:line="360" w:lineRule="auto"/>
              <w:rPr>
                <w:rFonts w:cs="Arial"/>
                <w:b/>
                <w:bCs/>
              </w:rPr>
            </w:pPr>
            <w:r w:rsidRPr="00F41C48">
              <w:rPr>
                <w:rFonts w:cs="Arial"/>
                <w:b/>
                <w:bCs/>
              </w:rPr>
              <w:t>Peripheral volume (</w:t>
            </w:r>
            <w:proofErr w:type="spellStart"/>
            <w:r w:rsidRPr="00F41C48">
              <w:rPr>
                <w:rFonts w:cs="Arial"/>
                <w:b/>
                <w:bCs/>
              </w:rPr>
              <w:t>V</w:t>
            </w:r>
            <w:r w:rsidRPr="00F41C48">
              <w:rPr>
                <w:rFonts w:cs="Arial"/>
                <w:b/>
                <w:bCs/>
                <w:vertAlign w:val="subscript"/>
              </w:rPr>
              <w:t>p</w:t>
            </w:r>
            <w:proofErr w:type="spellEnd"/>
            <w:r w:rsidRPr="00F41C48">
              <w:rPr>
                <w:rFonts w:cs="Arial"/>
                <w:b/>
                <w:bCs/>
              </w:rPr>
              <w:t>)</w:t>
            </w:r>
          </w:p>
        </w:tc>
        <w:tc>
          <w:tcPr>
            <w:tcW w:w="406" w:type="pct"/>
            <w:shd w:val="clear" w:color="auto" w:fill="auto"/>
            <w:vAlign w:val="center"/>
          </w:tcPr>
          <w:p w14:paraId="28943D76" w14:textId="77777777" w:rsidR="00421336" w:rsidRPr="00F41C48" w:rsidRDefault="00421336" w:rsidP="00293D4C">
            <w:pPr>
              <w:spacing w:after="160" w:line="360" w:lineRule="auto"/>
              <w:rPr>
                <w:rFonts w:cs="Arial"/>
              </w:rPr>
            </w:pPr>
            <w:r w:rsidRPr="00F41C48">
              <w:rPr>
                <w:rFonts w:cs="Arial"/>
              </w:rPr>
              <w:t>L</w:t>
            </w:r>
          </w:p>
        </w:tc>
        <w:tc>
          <w:tcPr>
            <w:tcW w:w="964" w:type="pct"/>
            <w:shd w:val="clear" w:color="auto" w:fill="auto"/>
            <w:vAlign w:val="center"/>
          </w:tcPr>
          <w:p w14:paraId="5A069887" w14:textId="5B31B185" w:rsidR="00421336" w:rsidRPr="00F41C48" w:rsidRDefault="00421336" w:rsidP="001E51C8">
            <w:pPr>
              <w:spacing w:after="160" w:line="240" w:lineRule="auto"/>
              <w:rPr>
                <w:rFonts w:cs="Arial"/>
              </w:rPr>
            </w:pPr>
            <w:r w:rsidRPr="00F41C48">
              <w:rPr>
                <w:rFonts w:cs="Arial"/>
              </w:rPr>
              <w:t>4.1 fixed</w:t>
            </w:r>
          </w:p>
        </w:tc>
        <w:tc>
          <w:tcPr>
            <w:tcW w:w="610" w:type="pct"/>
            <w:shd w:val="clear" w:color="auto" w:fill="auto"/>
            <w:vAlign w:val="center"/>
          </w:tcPr>
          <w:p w14:paraId="7329D801" w14:textId="31C9A774" w:rsidR="00421336" w:rsidRPr="00F41C48" w:rsidRDefault="00421336" w:rsidP="001E51C8">
            <w:pPr>
              <w:spacing w:after="160" w:line="240" w:lineRule="auto"/>
              <w:rPr>
                <w:rFonts w:cs="Arial"/>
              </w:rPr>
            </w:pPr>
            <w:r w:rsidRPr="00F41C48">
              <w:rPr>
                <w:rFonts w:cs="Arial"/>
              </w:rPr>
              <w:t>15.4</w:t>
            </w:r>
            <w:r w:rsidR="00EA6BB8" w:rsidRPr="00F41C48">
              <w:rPr>
                <w:rFonts w:cs="Arial"/>
              </w:rPr>
              <w:t xml:space="preserve"> </w:t>
            </w:r>
            <w:proofErr w:type="spellStart"/>
            <w:r w:rsidRPr="00F41C48">
              <w:rPr>
                <w:rFonts w:cs="Arial"/>
              </w:rPr>
              <w:t>fixed</w:t>
            </w:r>
            <w:r w:rsidR="00B94FD4" w:rsidRPr="00F41C48">
              <w:rPr>
                <w:rFonts w:cs="Arial"/>
                <w:vertAlign w:val="superscript"/>
              </w:rPr>
              <w:t>b</w:t>
            </w:r>
            <w:proofErr w:type="spellEnd"/>
          </w:p>
        </w:tc>
        <w:tc>
          <w:tcPr>
            <w:tcW w:w="813" w:type="pct"/>
            <w:shd w:val="clear" w:color="auto" w:fill="auto"/>
            <w:vAlign w:val="center"/>
          </w:tcPr>
          <w:p w14:paraId="27508A7D" w14:textId="2029DF30" w:rsidR="00421336" w:rsidRPr="00F41C48" w:rsidRDefault="00421336" w:rsidP="001E51C8">
            <w:pPr>
              <w:spacing w:after="160" w:line="240" w:lineRule="auto"/>
              <w:rPr>
                <w:rFonts w:cs="Arial"/>
              </w:rPr>
            </w:pPr>
            <w:r w:rsidRPr="00F41C48">
              <w:rPr>
                <w:rFonts w:cs="Arial"/>
              </w:rPr>
              <w:t>61.7</w:t>
            </w:r>
            <w:r w:rsidR="00EA6BB8" w:rsidRPr="00F41C48">
              <w:rPr>
                <w:rFonts w:cs="Arial"/>
              </w:rPr>
              <w:t xml:space="preserve"> </w:t>
            </w:r>
            <w:proofErr w:type="spellStart"/>
            <w:r w:rsidRPr="00F41C48">
              <w:rPr>
                <w:rFonts w:cs="Arial"/>
              </w:rPr>
              <w:t>fixed</w:t>
            </w:r>
            <w:r w:rsidR="00B94FD4" w:rsidRPr="00F41C48">
              <w:rPr>
                <w:rFonts w:cs="Arial"/>
                <w:vertAlign w:val="superscript"/>
              </w:rPr>
              <w:t>b</w:t>
            </w:r>
            <w:proofErr w:type="spellEnd"/>
          </w:p>
        </w:tc>
        <w:tc>
          <w:tcPr>
            <w:tcW w:w="480" w:type="pct"/>
            <w:shd w:val="clear" w:color="auto" w:fill="auto"/>
            <w:vAlign w:val="center"/>
          </w:tcPr>
          <w:p w14:paraId="57DD9515"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4695F73B" w14:textId="77777777" w:rsidTr="00EA6BB8">
        <w:trPr>
          <w:trHeight w:hRule="exact" w:val="771"/>
        </w:trPr>
        <w:tc>
          <w:tcPr>
            <w:tcW w:w="1727" w:type="pct"/>
            <w:shd w:val="clear" w:color="auto" w:fill="auto"/>
            <w:vAlign w:val="center"/>
          </w:tcPr>
          <w:p w14:paraId="0E870FFC" w14:textId="77777777" w:rsidR="00421336" w:rsidRPr="00F41C48" w:rsidRDefault="00421336" w:rsidP="00293D4C">
            <w:pPr>
              <w:spacing w:after="160" w:line="360" w:lineRule="auto"/>
              <w:rPr>
                <w:rFonts w:cs="Arial"/>
                <w:b/>
                <w:bCs/>
              </w:rPr>
            </w:pPr>
            <w:r w:rsidRPr="00F41C48">
              <w:rPr>
                <w:rFonts w:cs="Arial"/>
                <w:b/>
                <w:bCs/>
              </w:rPr>
              <w:t>Weight exponent on clearance</w:t>
            </w:r>
          </w:p>
        </w:tc>
        <w:tc>
          <w:tcPr>
            <w:tcW w:w="406" w:type="pct"/>
            <w:shd w:val="clear" w:color="auto" w:fill="auto"/>
            <w:vAlign w:val="center"/>
          </w:tcPr>
          <w:p w14:paraId="4A9209AF"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5F8A6DFE" w14:textId="2EBAF5EB" w:rsidR="00421336" w:rsidRPr="00F41C48" w:rsidRDefault="00421336" w:rsidP="001E51C8">
            <w:pPr>
              <w:spacing w:after="160" w:line="240" w:lineRule="auto"/>
              <w:rPr>
                <w:rFonts w:cs="Arial"/>
              </w:rPr>
            </w:pPr>
            <w:r w:rsidRPr="00F41C48">
              <w:rPr>
                <w:rFonts w:cs="Arial"/>
              </w:rPr>
              <w:t>1.01 fixed</w:t>
            </w:r>
          </w:p>
        </w:tc>
        <w:tc>
          <w:tcPr>
            <w:tcW w:w="610" w:type="pct"/>
            <w:shd w:val="clear" w:color="auto" w:fill="auto"/>
            <w:vAlign w:val="center"/>
          </w:tcPr>
          <w:p w14:paraId="562C0011"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710B6D81"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5E74EC31"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29A91F20" w14:textId="77777777" w:rsidTr="00EA6BB8">
        <w:trPr>
          <w:trHeight w:hRule="exact" w:val="771"/>
        </w:trPr>
        <w:tc>
          <w:tcPr>
            <w:tcW w:w="1727" w:type="pct"/>
            <w:shd w:val="clear" w:color="auto" w:fill="auto"/>
            <w:vAlign w:val="center"/>
          </w:tcPr>
          <w:p w14:paraId="023A6DB3" w14:textId="77777777" w:rsidR="00421336" w:rsidRPr="00F41C48" w:rsidRDefault="00421336" w:rsidP="00293D4C">
            <w:pPr>
              <w:spacing w:after="160" w:line="360" w:lineRule="auto"/>
              <w:rPr>
                <w:rFonts w:cs="Arial"/>
                <w:b/>
                <w:bCs/>
              </w:rPr>
            </w:pPr>
            <w:r w:rsidRPr="00F41C48">
              <w:rPr>
                <w:rFonts w:cs="Arial"/>
                <w:b/>
                <w:bCs/>
              </w:rPr>
              <w:t>Weight exponent on volume</w:t>
            </w:r>
          </w:p>
        </w:tc>
        <w:tc>
          <w:tcPr>
            <w:tcW w:w="406" w:type="pct"/>
            <w:shd w:val="clear" w:color="auto" w:fill="auto"/>
            <w:vAlign w:val="center"/>
          </w:tcPr>
          <w:p w14:paraId="0D1719C3"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4A4413D3" w14:textId="77777777" w:rsidR="00421336" w:rsidRPr="00F41C48" w:rsidRDefault="00421336" w:rsidP="001E51C8">
            <w:pPr>
              <w:spacing w:after="160" w:line="240" w:lineRule="auto"/>
              <w:rPr>
                <w:rFonts w:cs="Arial"/>
              </w:rPr>
            </w:pPr>
            <w:r w:rsidRPr="00F41C48">
              <w:rPr>
                <w:rFonts w:cs="Arial"/>
              </w:rPr>
              <w:t>0.923 fixed</w:t>
            </w:r>
          </w:p>
        </w:tc>
        <w:tc>
          <w:tcPr>
            <w:tcW w:w="610" w:type="pct"/>
            <w:shd w:val="clear" w:color="auto" w:fill="auto"/>
            <w:vAlign w:val="center"/>
          </w:tcPr>
          <w:p w14:paraId="7AECEC43"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6E30C4F7"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60013708"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5B8FEDD4" w14:textId="77777777" w:rsidTr="00EA6BB8">
        <w:trPr>
          <w:trHeight w:hRule="exact" w:val="771"/>
        </w:trPr>
        <w:tc>
          <w:tcPr>
            <w:tcW w:w="1727" w:type="pct"/>
            <w:shd w:val="clear" w:color="auto" w:fill="auto"/>
            <w:vAlign w:val="center"/>
          </w:tcPr>
          <w:p w14:paraId="581BD3B5" w14:textId="77777777" w:rsidR="00421336" w:rsidRPr="00F41C48" w:rsidRDefault="00421336" w:rsidP="00293D4C">
            <w:pPr>
              <w:spacing w:after="160" w:line="360" w:lineRule="auto"/>
              <w:rPr>
                <w:rFonts w:cs="Arial"/>
                <w:b/>
                <w:bCs/>
              </w:rPr>
            </w:pPr>
            <w:r w:rsidRPr="00F41C48">
              <w:rPr>
                <w:rFonts w:cs="Arial"/>
                <w:b/>
                <w:bCs/>
              </w:rPr>
              <w:t>Diabetes status factor on clearance</w:t>
            </w:r>
          </w:p>
        </w:tc>
        <w:tc>
          <w:tcPr>
            <w:tcW w:w="406" w:type="pct"/>
            <w:shd w:val="clear" w:color="auto" w:fill="auto"/>
            <w:vAlign w:val="center"/>
          </w:tcPr>
          <w:p w14:paraId="0FF65999"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78D7F5C1" w14:textId="1CD7002B" w:rsidR="00421336" w:rsidRPr="00F41C48" w:rsidRDefault="00421336" w:rsidP="001E51C8">
            <w:pPr>
              <w:spacing w:after="160" w:line="240" w:lineRule="auto"/>
              <w:rPr>
                <w:rFonts w:cs="Arial"/>
              </w:rPr>
            </w:pPr>
            <w:r w:rsidRPr="00F41C48">
              <w:rPr>
                <w:rFonts w:cs="Arial"/>
              </w:rPr>
              <w:t>1.09 fixed</w:t>
            </w:r>
          </w:p>
        </w:tc>
        <w:tc>
          <w:tcPr>
            <w:tcW w:w="610" w:type="pct"/>
            <w:shd w:val="clear" w:color="auto" w:fill="auto"/>
            <w:vAlign w:val="center"/>
          </w:tcPr>
          <w:p w14:paraId="5FD240D2"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200DB040"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482F59AC"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3EC8CE23" w14:textId="77777777" w:rsidTr="00EA6BB8">
        <w:trPr>
          <w:trHeight w:hRule="exact" w:val="771"/>
        </w:trPr>
        <w:tc>
          <w:tcPr>
            <w:tcW w:w="1727" w:type="pct"/>
            <w:shd w:val="clear" w:color="auto" w:fill="auto"/>
            <w:vAlign w:val="center"/>
          </w:tcPr>
          <w:p w14:paraId="3BA3CFC2" w14:textId="77777777" w:rsidR="00421336" w:rsidRPr="00F41C48" w:rsidRDefault="00421336" w:rsidP="00293D4C">
            <w:pPr>
              <w:spacing w:after="160" w:line="360" w:lineRule="auto"/>
              <w:rPr>
                <w:rFonts w:cs="Arial"/>
                <w:b/>
                <w:bCs/>
              </w:rPr>
            </w:pPr>
            <w:r w:rsidRPr="00F41C48">
              <w:rPr>
                <w:rFonts w:cs="Arial"/>
                <w:b/>
                <w:bCs/>
              </w:rPr>
              <w:t>Bioavailability (F)</w:t>
            </w:r>
          </w:p>
        </w:tc>
        <w:tc>
          <w:tcPr>
            <w:tcW w:w="406" w:type="pct"/>
            <w:shd w:val="clear" w:color="auto" w:fill="auto"/>
            <w:vAlign w:val="center"/>
          </w:tcPr>
          <w:p w14:paraId="653F89F1"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519BDB8F" w14:textId="01640A4F" w:rsidR="00421336" w:rsidRPr="00F41C48" w:rsidRDefault="00421336" w:rsidP="00293D4C">
            <w:pPr>
              <w:spacing w:after="160" w:line="360" w:lineRule="auto"/>
              <w:rPr>
                <w:rFonts w:cs="Arial"/>
              </w:rPr>
            </w:pPr>
            <w:r w:rsidRPr="00F41C48">
              <w:rPr>
                <w:rFonts w:cs="Arial"/>
              </w:rPr>
              <w:t>0.795 [0.736</w:t>
            </w:r>
            <w:r w:rsidR="00B94FD4" w:rsidRPr="00F41C48">
              <w:rPr>
                <w:rFonts w:cs="Arial"/>
              </w:rPr>
              <w:t>,</w:t>
            </w:r>
            <w:r w:rsidRPr="00F41C48">
              <w:rPr>
                <w:rFonts w:cs="Arial"/>
              </w:rPr>
              <w:t xml:space="preserve"> 0.864]</w:t>
            </w:r>
          </w:p>
        </w:tc>
        <w:tc>
          <w:tcPr>
            <w:tcW w:w="610" w:type="pct"/>
            <w:shd w:val="clear" w:color="auto" w:fill="auto"/>
            <w:vAlign w:val="center"/>
          </w:tcPr>
          <w:p w14:paraId="6BD45DE7" w14:textId="77777777" w:rsidR="00421336" w:rsidRPr="00F41C48" w:rsidRDefault="00421336" w:rsidP="00293D4C">
            <w:pPr>
              <w:spacing w:after="160" w:line="360" w:lineRule="auto"/>
              <w:rPr>
                <w:rFonts w:cs="Arial"/>
              </w:rPr>
            </w:pPr>
            <w:r w:rsidRPr="00F41C48">
              <w:rPr>
                <w:rFonts w:cs="Arial"/>
              </w:rPr>
              <w:t>53.5</w:t>
            </w:r>
          </w:p>
        </w:tc>
        <w:tc>
          <w:tcPr>
            <w:tcW w:w="813" w:type="pct"/>
            <w:shd w:val="clear" w:color="auto" w:fill="auto"/>
            <w:vAlign w:val="center"/>
          </w:tcPr>
          <w:p w14:paraId="4D2351D7" w14:textId="77777777" w:rsidR="00421336" w:rsidRPr="00F41C48" w:rsidRDefault="00421336" w:rsidP="00293D4C">
            <w:pPr>
              <w:spacing w:after="160" w:line="360" w:lineRule="auto"/>
              <w:rPr>
                <w:rFonts w:cs="Arial"/>
              </w:rPr>
            </w:pPr>
            <w:r w:rsidRPr="00F41C48">
              <w:rPr>
                <w:rFonts w:cs="Arial"/>
              </w:rPr>
              <w:t>18.3</w:t>
            </w:r>
          </w:p>
        </w:tc>
        <w:tc>
          <w:tcPr>
            <w:tcW w:w="480" w:type="pct"/>
            <w:shd w:val="clear" w:color="auto" w:fill="auto"/>
            <w:vAlign w:val="center"/>
          </w:tcPr>
          <w:p w14:paraId="5F0786BC" w14:textId="77777777" w:rsidR="00421336" w:rsidRPr="00F41C48" w:rsidRDefault="00421336" w:rsidP="00293D4C">
            <w:pPr>
              <w:spacing w:after="160" w:line="360" w:lineRule="auto"/>
              <w:rPr>
                <w:rFonts w:cs="Arial"/>
              </w:rPr>
            </w:pPr>
            <w:r w:rsidRPr="00F41C48">
              <w:rPr>
                <w:rFonts w:cs="Arial"/>
              </w:rPr>
              <w:t>137.44</w:t>
            </w:r>
          </w:p>
        </w:tc>
      </w:tr>
      <w:tr w:rsidR="0020084D" w:rsidRPr="00F41C48" w14:paraId="53C16881" w14:textId="77777777" w:rsidTr="00EA6BB8">
        <w:trPr>
          <w:trHeight w:hRule="exact" w:val="771"/>
        </w:trPr>
        <w:tc>
          <w:tcPr>
            <w:tcW w:w="1727" w:type="pct"/>
            <w:shd w:val="clear" w:color="auto" w:fill="auto"/>
            <w:vAlign w:val="center"/>
          </w:tcPr>
          <w:p w14:paraId="3898E783" w14:textId="77777777" w:rsidR="00421336" w:rsidRPr="00F41C48" w:rsidRDefault="00421336" w:rsidP="00293D4C">
            <w:pPr>
              <w:spacing w:after="160" w:line="360" w:lineRule="auto"/>
              <w:rPr>
                <w:rFonts w:cs="Arial"/>
                <w:b/>
                <w:bCs/>
              </w:rPr>
            </w:pPr>
            <w:r w:rsidRPr="00F41C48">
              <w:rPr>
                <w:rFonts w:cs="Arial"/>
                <w:b/>
                <w:bCs/>
              </w:rPr>
              <w:lastRenderedPageBreak/>
              <w:t>Weight exponent on bioavailability</w:t>
            </w:r>
          </w:p>
        </w:tc>
        <w:tc>
          <w:tcPr>
            <w:tcW w:w="406" w:type="pct"/>
            <w:shd w:val="clear" w:color="auto" w:fill="auto"/>
            <w:vAlign w:val="center"/>
          </w:tcPr>
          <w:p w14:paraId="721DCEA4"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7C8D614F" w14:textId="75EC3251" w:rsidR="00421336" w:rsidRPr="00F41C48" w:rsidRDefault="00421336" w:rsidP="00293D4C">
            <w:pPr>
              <w:spacing w:after="160" w:line="360" w:lineRule="auto"/>
              <w:rPr>
                <w:rFonts w:cs="Arial"/>
              </w:rPr>
            </w:pPr>
            <w:r w:rsidRPr="00F41C48">
              <w:rPr>
                <w:rFonts w:cs="Arial"/>
              </w:rPr>
              <w:t>0.741 [0.199</w:t>
            </w:r>
            <w:r w:rsidR="00B94FD4" w:rsidRPr="00F41C48">
              <w:rPr>
                <w:rFonts w:cs="Arial"/>
              </w:rPr>
              <w:t>,</w:t>
            </w:r>
            <w:r w:rsidRPr="00F41C48">
              <w:rPr>
                <w:rFonts w:cs="Arial"/>
              </w:rPr>
              <w:t xml:space="preserve"> 1.19]</w:t>
            </w:r>
          </w:p>
        </w:tc>
        <w:tc>
          <w:tcPr>
            <w:tcW w:w="610" w:type="pct"/>
            <w:shd w:val="clear" w:color="auto" w:fill="auto"/>
            <w:vAlign w:val="center"/>
          </w:tcPr>
          <w:p w14:paraId="374CD93F"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1A371C95"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4F5039AC"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6C8E1473" w14:textId="77777777" w:rsidTr="00EA6BB8">
        <w:trPr>
          <w:trHeight w:hRule="exact" w:val="771"/>
        </w:trPr>
        <w:tc>
          <w:tcPr>
            <w:tcW w:w="1727" w:type="pct"/>
            <w:shd w:val="clear" w:color="auto" w:fill="auto"/>
            <w:vAlign w:val="center"/>
          </w:tcPr>
          <w:p w14:paraId="3DD301B8" w14:textId="0801B8A4" w:rsidR="00421336" w:rsidRPr="00F41C48" w:rsidRDefault="00421336" w:rsidP="00293D4C">
            <w:pPr>
              <w:spacing w:after="160" w:line="360" w:lineRule="auto"/>
              <w:rPr>
                <w:rFonts w:cs="Arial"/>
                <w:b/>
                <w:bCs/>
              </w:rPr>
            </w:pPr>
            <w:r w:rsidRPr="00F41C48">
              <w:rPr>
                <w:rFonts w:cs="Arial"/>
                <w:b/>
                <w:bCs/>
              </w:rPr>
              <w:t xml:space="preserve">Water volume factor on bioavailability </w:t>
            </w:r>
            <w:r w:rsidR="00B94FD4" w:rsidRPr="00F41C48">
              <w:rPr>
                <w:rFonts w:cs="Arial"/>
                <w:b/>
                <w:bCs/>
              </w:rPr>
              <w:br/>
            </w:r>
            <w:r w:rsidRPr="00F41C48">
              <w:rPr>
                <w:rFonts w:cs="Arial"/>
                <w:b/>
                <w:bCs/>
              </w:rPr>
              <w:t>(240 mL)</w:t>
            </w:r>
          </w:p>
        </w:tc>
        <w:tc>
          <w:tcPr>
            <w:tcW w:w="406" w:type="pct"/>
            <w:shd w:val="clear" w:color="auto" w:fill="auto"/>
            <w:vAlign w:val="center"/>
          </w:tcPr>
          <w:p w14:paraId="0755F222"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0736BAED" w14:textId="0153416C" w:rsidR="00421336" w:rsidRPr="00F41C48" w:rsidRDefault="00421336" w:rsidP="00293D4C">
            <w:pPr>
              <w:spacing w:after="160" w:line="360" w:lineRule="auto"/>
              <w:rPr>
                <w:rFonts w:cs="Arial"/>
              </w:rPr>
            </w:pPr>
            <w:r w:rsidRPr="00F41C48">
              <w:rPr>
                <w:rFonts w:cs="Arial"/>
              </w:rPr>
              <w:t>0.637 [0.467</w:t>
            </w:r>
            <w:r w:rsidR="00B94FD4" w:rsidRPr="00F41C48">
              <w:rPr>
                <w:rFonts w:cs="Arial"/>
              </w:rPr>
              <w:t>,</w:t>
            </w:r>
            <w:r w:rsidR="00EA6BB8" w:rsidRPr="00F41C48">
              <w:rPr>
                <w:rFonts w:cs="Arial"/>
              </w:rPr>
              <w:t xml:space="preserve"> </w:t>
            </w:r>
            <w:r w:rsidRPr="00F41C48">
              <w:rPr>
                <w:rFonts w:cs="Arial"/>
              </w:rPr>
              <w:t>0.897]</w:t>
            </w:r>
          </w:p>
        </w:tc>
        <w:tc>
          <w:tcPr>
            <w:tcW w:w="610" w:type="pct"/>
            <w:shd w:val="clear" w:color="auto" w:fill="auto"/>
            <w:vAlign w:val="center"/>
          </w:tcPr>
          <w:p w14:paraId="664DB687"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4E6041DE"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5DCBBFE8"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79436171" w14:textId="77777777" w:rsidTr="00EA6BB8">
        <w:trPr>
          <w:trHeight w:hRule="exact" w:val="771"/>
        </w:trPr>
        <w:tc>
          <w:tcPr>
            <w:tcW w:w="1727" w:type="pct"/>
            <w:shd w:val="clear" w:color="auto" w:fill="auto"/>
            <w:vAlign w:val="center"/>
          </w:tcPr>
          <w:p w14:paraId="21B37292" w14:textId="77777777" w:rsidR="00421336" w:rsidRPr="00F41C48" w:rsidRDefault="00421336" w:rsidP="00293D4C">
            <w:pPr>
              <w:spacing w:after="160" w:line="360" w:lineRule="auto"/>
              <w:rPr>
                <w:rFonts w:cs="Arial"/>
                <w:b/>
                <w:bCs/>
              </w:rPr>
            </w:pPr>
            <w:r w:rsidRPr="00F41C48">
              <w:rPr>
                <w:rFonts w:cs="Arial"/>
                <w:b/>
                <w:bCs/>
              </w:rPr>
              <w:t>Fasting time exponent on bioavailability</w:t>
            </w:r>
          </w:p>
        </w:tc>
        <w:tc>
          <w:tcPr>
            <w:tcW w:w="406" w:type="pct"/>
            <w:shd w:val="clear" w:color="auto" w:fill="auto"/>
            <w:vAlign w:val="center"/>
          </w:tcPr>
          <w:p w14:paraId="19494D86"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2C2FBF5C" w14:textId="72016BC7" w:rsidR="00421336" w:rsidRPr="00F41C48" w:rsidRDefault="00421336" w:rsidP="00293D4C">
            <w:pPr>
              <w:spacing w:after="160" w:line="360" w:lineRule="auto"/>
              <w:rPr>
                <w:rFonts w:cs="Arial"/>
              </w:rPr>
            </w:pPr>
            <w:r w:rsidRPr="00F41C48">
              <w:rPr>
                <w:rFonts w:cs="Arial"/>
              </w:rPr>
              <w:t>0.0266 [0.0167</w:t>
            </w:r>
            <w:r w:rsidR="00B94FD4" w:rsidRPr="00F41C48">
              <w:rPr>
                <w:rFonts w:cs="Arial"/>
              </w:rPr>
              <w:t>,</w:t>
            </w:r>
            <w:r w:rsidRPr="00F41C48">
              <w:rPr>
                <w:rFonts w:cs="Arial"/>
              </w:rPr>
              <w:t xml:space="preserve"> 0.0402] </w:t>
            </w:r>
          </w:p>
        </w:tc>
        <w:tc>
          <w:tcPr>
            <w:tcW w:w="610" w:type="pct"/>
            <w:shd w:val="clear" w:color="auto" w:fill="auto"/>
            <w:vAlign w:val="center"/>
          </w:tcPr>
          <w:p w14:paraId="46D3BC84"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43F3E780"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7F04E147"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162FC8AF" w14:textId="77777777" w:rsidTr="00EA6BB8">
        <w:trPr>
          <w:trHeight w:hRule="exact" w:val="771"/>
        </w:trPr>
        <w:tc>
          <w:tcPr>
            <w:tcW w:w="1727" w:type="pct"/>
            <w:shd w:val="clear" w:color="auto" w:fill="auto"/>
            <w:vAlign w:val="center"/>
          </w:tcPr>
          <w:p w14:paraId="28FE279C" w14:textId="77777777" w:rsidR="00421336" w:rsidRPr="00F41C48" w:rsidRDefault="00421336" w:rsidP="00293D4C">
            <w:pPr>
              <w:spacing w:after="160" w:line="360" w:lineRule="auto"/>
              <w:rPr>
                <w:rFonts w:cs="Arial"/>
                <w:b/>
                <w:bCs/>
              </w:rPr>
            </w:pPr>
            <w:r w:rsidRPr="00F41C48">
              <w:rPr>
                <w:rFonts w:cs="Arial"/>
                <w:b/>
                <w:bCs/>
              </w:rPr>
              <w:t>Fasting time exponent for k</w:t>
            </w:r>
            <w:r w:rsidRPr="00F41C48">
              <w:rPr>
                <w:rFonts w:cs="Arial"/>
                <w:b/>
                <w:bCs/>
                <w:vertAlign w:val="subscript"/>
              </w:rPr>
              <w:t>a</w:t>
            </w:r>
          </w:p>
        </w:tc>
        <w:tc>
          <w:tcPr>
            <w:tcW w:w="406" w:type="pct"/>
            <w:shd w:val="clear" w:color="auto" w:fill="auto"/>
            <w:vAlign w:val="center"/>
          </w:tcPr>
          <w:p w14:paraId="4085838F"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5D14DE30" w14:textId="3B909D31" w:rsidR="00421336" w:rsidRPr="00F41C48" w:rsidRDefault="00421336" w:rsidP="00293D4C">
            <w:pPr>
              <w:spacing w:after="160" w:line="360" w:lineRule="auto"/>
              <w:rPr>
                <w:rFonts w:cs="Arial"/>
              </w:rPr>
            </w:pPr>
            <w:r w:rsidRPr="00F41C48">
              <w:rPr>
                <w:rFonts w:cs="Arial"/>
              </w:rPr>
              <w:t>0.112 [0.068</w:t>
            </w:r>
            <w:r w:rsidR="00B94FD4" w:rsidRPr="00F41C48">
              <w:rPr>
                <w:rFonts w:cs="Arial"/>
              </w:rPr>
              <w:t>,</w:t>
            </w:r>
            <w:r w:rsidRPr="00F41C48">
              <w:rPr>
                <w:rFonts w:cs="Arial"/>
              </w:rPr>
              <w:t xml:space="preserve"> 0.179] </w:t>
            </w:r>
          </w:p>
        </w:tc>
        <w:tc>
          <w:tcPr>
            <w:tcW w:w="610" w:type="pct"/>
            <w:shd w:val="clear" w:color="auto" w:fill="auto"/>
            <w:vAlign w:val="center"/>
          </w:tcPr>
          <w:p w14:paraId="73BEE3EC"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7D3ABCA8"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516476D6"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32F18C14" w14:textId="77777777" w:rsidTr="00EA6BB8">
        <w:trPr>
          <w:trHeight w:hRule="exact" w:val="771"/>
        </w:trPr>
        <w:tc>
          <w:tcPr>
            <w:tcW w:w="1727" w:type="pct"/>
            <w:shd w:val="clear" w:color="auto" w:fill="auto"/>
            <w:vAlign w:val="center"/>
          </w:tcPr>
          <w:p w14:paraId="4232AC5A" w14:textId="35EB3565" w:rsidR="00421336" w:rsidRPr="00F41C48" w:rsidRDefault="00421336" w:rsidP="00293D4C">
            <w:pPr>
              <w:spacing w:after="160" w:line="360" w:lineRule="auto"/>
              <w:rPr>
                <w:rFonts w:cs="Arial"/>
                <w:b/>
                <w:bCs/>
              </w:rPr>
            </w:pPr>
            <w:r w:rsidRPr="00F41C48">
              <w:rPr>
                <w:rFonts w:cs="Arial"/>
                <w:b/>
                <w:bCs/>
              </w:rPr>
              <w:t>Absorption rate at long</w:t>
            </w:r>
            <w:r w:rsidR="00B94FD4" w:rsidRPr="00F41C48">
              <w:rPr>
                <w:rFonts w:cs="Arial"/>
                <w:b/>
                <w:bCs/>
              </w:rPr>
              <w:t>-</w:t>
            </w:r>
            <w:r w:rsidRPr="00F41C48">
              <w:rPr>
                <w:rFonts w:cs="Arial"/>
                <w:b/>
                <w:bCs/>
              </w:rPr>
              <w:t>term fasting</w:t>
            </w:r>
          </w:p>
        </w:tc>
        <w:tc>
          <w:tcPr>
            <w:tcW w:w="406" w:type="pct"/>
            <w:shd w:val="clear" w:color="auto" w:fill="auto"/>
            <w:vAlign w:val="center"/>
          </w:tcPr>
          <w:p w14:paraId="14D3D114" w14:textId="77777777" w:rsidR="00421336" w:rsidRPr="00F41C48" w:rsidRDefault="00421336" w:rsidP="00293D4C">
            <w:pPr>
              <w:spacing w:after="160" w:line="360" w:lineRule="auto"/>
              <w:rPr>
                <w:rFonts w:cs="Arial"/>
              </w:rPr>
            </w:pPr>
            <w:r w:rsidRPr="00F41C48">
              <w:rPr>
                <w:rFonts w:cs="Arial"/>
              </w:rPr>
              <w:t>-</w:t>
            </w:r>
          </w:p>
        </w:tc>
        <w:tc>
          <w:tcPr>
            <w:tcW w:w="964" w:type="pct"/>
            <w:shd w:val="clear" w:color="auto" w:fill="auto"/>
            <w:vAlign w:val="center"/>
          </w:tcPr>
          <w:p w14:paraId="1D08BBEB" w14:textId="1B6C404E" w:rsidR="00421336" w:rsidRPr="00F41C48" w:rsidRDefault="00421336" w:rsidP="00293D4C">
            <w:pPr>
              <w:spacing w:after="160" w:line="360" w:lineRule="auto"/>
              <w:rPr>
                <w:rFonts w:cs="Arial"/>
              </w:rPr>
            </w:pPr>
            <w:r w:rsidRPr="00F41C48">
              <w:rPr>
                <w:rFonts w:cs="Arial"/>
              </w:rPr>
              <w:t>1.35 [1.21</w:t>
            </w:r>
            <w:r w:rsidR="00B94FD4" w:rsidRPr="00F41C48">
              <w:rPr>
                <w:rFonts w:cs="Arial"/>
              </w:rPr>
              <w:t>,</w:t>
            </w:r>
            <w:r w:rsidRPr="00F41C48">
              <w:rPr>
                <w:rFonts w:cs="Arial"/>
              </w:rPr>
              <w:t xml:space="preserve"> 1.51]</w:t>
            </w:r>
          </w:p>
        </w:tc>
        <w:tc>
          <w:tcPr>
            <w:tcW w:w="610" w:type="pct"/>
            <w:shd w:val="clear" w:color="auto" w:fill="auto"/>
            <w:vAlign w:val="center"/>
          </w:tcPr>
          <w:p w14:paraId="0DD496A1" w14:textId="77777777" w:rsidR="00421336" w:rsidRPr="00F41C48" w:rsidRDefault="00421336" w:rsidP="00293D4C">
            <w:pPr>
              <w:spacing w:after="160" w:line="360" w:lineRule="auto"/>
              <w:rPr>
                <w:rFonts w:cs="Arial"/>
              </w:rPr>
            </w:pPr>
            <w:r w:rsidRPr="00F41C48">
              <w:rPr>
                <w:rFonts w:cs="Arial"/>
              </w:rPr>
              <w:t>N/A</w:t>
            </w:r>
          </w:p>
        </w:tc>
        <w:tc>
          <w:tcPr>
            <w:tcW w:w="813" w:type="pct"/>
            <w:shd w:val="clear" w:color="auto" w:fill="auto"/>
            <w:vAlign w:val="center"/>
          </w:tcPr>
          <w:p w14:paraId="2FA35D6E" w14:textId="77777777" w:rsidR="00421336" w:rsidRPr="00F41C48" w:rsidRDefault="00421336" w:rsidP="00293D4C">
            <w:pPr>
              <w:spacing w:after="160" w:line="360" w:lineRule="auto"/>
              <w:rPr>
                <w:rFonts w:cs="Arial"/>
              </w:rPr>
            </w:pPr>
            <w:r w:rsidRPr="00F41C48">
              <w:rPr>
                <w:rFonts w:cs="Arial"/>
              </w:rPr>
              <w:t>N/A</w:t>
            </w:r>
          </w:p>
        </w:tc>
        <w:tc>
          <w:tcPr>
            <w:tcW w:w="480" w:type="pct"/>
            <w:shd w:val="clear" w:color="auto" w:fill="auto"/>
            <w:vAlign w:val="center"/>
          </w:tcPr>
          <w:p w14:paraId="29440E9E" w14:textId="77777777" w:rsidR="00421336" w:rsidRPr="00F41C48" w:rsidRDefault="00421336" w:rsidP="00293D4C">
            <w:pPr>
              <w:spacing w:after="160" w:line="360" w:lineRule="auto"/>
              <w:rPr>
                <w:rFonts w:cs="Arial"/>
              </w:rPr>
            </w:pPr>
            <w:r w:rsidRPr="00F41C48">
              <w:rPr>
                <w:rFonts w:cs="Arial"/>
              </w:rPr>
              <w:t>N/A</w:t>
            </w:r>
          </w:p>
        </w:tc>
      </w:tr>
      <w:tr w:rsidR="0020084D" w:rsidRPr="00F41C48" w14:paraId="06E7E8D3" w14:textId="77777777" w:rsidTr="00EA6BB8">
        <w:trPr>
          <w:trHeight w:hRule="exact" w:val="771"/>
        </w:trPr>
        <w:tc>
          <w:tcPr>
            <w:tcW w:w="1727" w:type="pct"/>
            <w:tcBorders>
              <w:bottom w:val="single" w:sz="4" w:space="0" w:color="auto"/>
            </w:tcBorders>
            <w:shd w:val="clear" w:color="auto" w:fill="auto"/>
            <w:vAlign w:val="center"/>
          </w:tcPr>
          <w:p w14:paraId="7797BC72" w14:textId="77777777" w:rsidR="00421336" w:rsidRPr="00F41C48" w:rsidRDefault="00421336" w:rsidP="00293D4C">
            <w:pPr>
              <w:spacing w:after="160" w:line="360" w:lineRule="auto"/>
              <w:rPr>
                <w:rFonts w:cs="Arial"/>
                <w:b/>
                <w:bCs/>
              </w:rPr>
            </w:pPr>
            <w:r w:rsidRPr="00F41C48">
              <w:rPr>
                <w:rFonts w:cs="Arial"/>
                <w:b/>
                <w:bCs/>
              </w:rPr>
              <w:t>Exponential error (SD)</w:t>
            </w:r>
          </w:p>
        </w:tc>
        <w:tc>
          <w:tcPr>
            <w:tcW w:w="406" w:type="pct"/>
            <w:tcBorders>
              <w:bottom w:val="single" w:sz="4" w:space="0" w:color="auto"/>
            </w:tcBorders>
            <w:shd w:val="clear" w:color="auto" w:fill="auto"/>
            <w:vAlign w:val="center"/>
          </w:tcPr>
          <w:p w14:paraId="19C0375C" w14:textId="77777777" w:rsidR="00421336" w:rsidRPr="00F41C48" w:rsidRDefault="00421336" w:rsidP="00293D4C">
            <w:pPr>
              <w:spacing w:after="160" w:line="360" w:lineRule="auto"/>
              <w:rPr>
                <w:rFonts w:cs="Arial"/>
              </w:rPr>
            </w:pPr>
            <w:r w:rsidRPr="00F41C48">
              <w:rPr>
                <w:rFonts w:cs="Arial"/>
              </w:rPr>
              <w:t>-</w:t>
            </w:r>
          </w:p>
        </w:tc>
        <w:tc>
          <w:tcPr>
            <w:tcW w:w="964" w:type="pct"/>
            <w:tcBorders>
              <w:bottom w:val="single" w:sz="4" w:space="0" w:color="auto"/>
            </w:tcBorders>
            <w:shd w:val="clear" w:color="auto" w:fill="auto"/>
            <w:vAlign w:val="center"/>
          </w:tcPr>
          <w:p w14:paraId="7E1890FF" w14:textId="22EBB74C" w:rsidR="00421336" w:rsidRPr="00F41C48" w:rsidRDefault="00421336" w:rsidP="00293D4C">
            <w:pPr>
              <w:spacing w:after="160" w:line="360" w:lineRule="auto"/>
              <w:rPr>
                <w:rFonts w:cs="Arial"/>
              </w:rPr>
            </w:pPr>
            <w:r w:rsidRPr="00F41C48">
              <w:rPr>
                <w:rFonts w:cs="Arial"/>
              </w:rPr>
              <w:t>0.124 [0.0136</w:t>
            </w:r>
            <w:r w:rsidR="00B94FD4" w:rsidRPr="00F41C48">
              <w:rPr>
                <w:rFonts w:cs="Arial"/>
              </w:rPr>
              <w:t>,</w:t>
            </w:r>
            <w:r w:rsidRPr="00F41C48">
              <w:rPr>
                <w:rFonts w:cs="Arial"/>
              </w:rPr>
              <w:t xml:space="preserve"> 0.0174]</w:t>
            </w:r>
          </w:p>
        </w:tc>
        <w:tc>
          <w:tcPr>
            <w:tcW w:w="610" w:type="pct"/>
            <w:tcBorders>
              <w:bottom w:val="single" w:sz="4" w:space="0" w:color="auto"/>
            </w:tcBorders>
            <w:shd w:val="clear" w:color="auto" w:fill="auto"/>
            <w:vAlign w:val="center"/>
          </w:tcPr>
          <w:p w14:paraId="55C516E4" w14:textId="77777777" w:rsidR="00421336" w:rsidRPr="00F41C48" w:rsidRDefault="00421336" w:rsidP="00293D4C">
            <w:pPr>
              <w:spacing w:after="160" w:line="360" w:lineRule="auto"/>
              <w:rPr>
                <w:rFonts w:cs="Arial"/>
              </w:rPr>
            </w:pPr>
            <w:r w:rsidRPr="00F41C48">
              <w:rPr>
                <w:rFonts w:cs="Arial"/>
              </w:rPr>
              <w:t>N/A</w:t>
            </w:r>
          </w:p>
        </w:tc>
        <w:tc>
          <w:tcPr>
            <w:tcW w:w="813" w:type="pct"/>
            <w:tcBorders>
              <w:bottom w:val="single" w:sz="4" w:space="0" w:color="auto"/>
            </w:tcBorders>
            <w:shd w:val="clear" w:color="auto" w:fill="auto"/>
            <w:vAlign w:val="center"/>
          </w:tcPr>
          <w:p w14:paraId="050BF9FB" w14:textId="77777777" w:rsidR="00421336" w:rsidRPr="00F41C48" w:rsidRDefault="00421336" w:rsidP="00293D4C">
            <w:pPr>
              <w:spacing w:after="160" w:line="360" w:lineRule="auto"/>
              <w:rPr>
                <w:rFonts w:cs="Arial"/>
              </w:rPr>
            </w:pPr>
            <w:r w:rsidRPr="00F41C48">
              <w:rPr>
                <w:rFonts w:cs="Arial"/>
              </w:rPr>
              <w:t>10.4</w:t>
            </w:r>
          </w:p>
        </w:tc>
        <w:tc>
          <w:tcPr>
            <w:tcW w:w="480" w:type="pct"/>
            <w:tcBorders>
              <w:bottom w:val="single" w:sz="4" w:space="0" w:color="auto"/>
            </w:tcBorders>
            <w:shd w:val="clear" w:color="auto" w:fill="auto"/>
            <w:vAlign w:val="center"/>
          </w:tcPr>
          <w:p w14:paraId="3781BACC" w14:textId="77777777" w:rsidR="00421336" w:rsidRPr="00F41C48" w:rsidRDefault="00421336" w:rsidP="00293D4C">
            <w:pPr>
              <w:spacing w:after="160" w:line="360" w:lineRule="auto"/>
              <w:rPr>
                <w:rFonts w:cs="Arial"/>
              </w:rPr>
            </w:pPr>
            <w:r w:rsidRPr="00F41C48">
              <w:rPr>
                <w:rFonts w:cs="Arial"/>
              </w:rPr>
              <w:t>N/A</w:t>
            </w:r>
          </w:p>
        </w:tc>
      </w:tr>
    </w:tbl>
    <w:p w14:paraId="33123B5C" w14:textId="0EF87774" w:rsidR="00801B5C" w:rsidRPr="00F41C48" w:rsidRDefault="00B94FD4" w:rsidP="00293D4C">
      <w:pPr>
        <w:spacing w:line="360" w:lineRule="auto"/>
        <w:rPr>
          <w:rFonts w:cs="Arial"/>
          <w:sz w:val="20"/>
          <w:szCs w:val="20"/>
        </w:rPr>
      </w:pPr>
      <w:proofErr w:type="spellStart"/>
      <w:r w:rsidRPr="00F41C48">
        <w:rPr>
          <w:rFonts w:cs="Arial"/>
          <w:sz w:val="20"/>
          <w:szCs w:val="20"/>
          <w:vertAlign w:val="superscript"/>
        </w:rPr>
        <w:t>a</w:t>
      </w:r>
      <w:r w:rsidR="00642A47" w:rsidRPr="00F41C48">
        <w:rPr>
          <w:rFonts w:cs="Arial"/>
          <w:sz w:val="20"/>
          <w:szCs w:val="20"/>
        </w:rPr>
        <w:t>Values</w:t>
      </w:r>
      <w:proofErr w:type="spellEnd"/>
      <w:r w:rsidR="00642A47" w:rsidRPr="00F41C48">
        <w:rPr>
          <w:rFonts w:cs="Arial"/>
          <w:sz w:val="20"/>
          <w:szCs w:val="20"/>
        </w:rPr>
        <w:t xml:space="preserve"> fixed to the values for CL</w:t>
      </w:r>
      <w:r w:rsidR="00325229" w:rsidRPr="00F41C48">
        <w:rPr>
          <w:rFonts w:cs="Arial"/>
          <w:sz w:val="20"/>
          <w:szCs w:val="20"/>
        </w:rPr>
        <w:t>;</w:t>
      </w:r>
      <w:r w:rsidR="00325229" w:rsidRPr="00F41C48">
        <w:rPr>
          <w:rFonts w:cs="Arial"/>
          <w:sz w:val="20"/>
          <w:szCs w:val="20"/>
          <w:vertAlign w:val="superscript"/>
        </w:rPr>
        <w:t xml:space="preserve"> </w:t>
      </w:r>
      <w:proofErr w:type="spellStart"/>
      <w:r w:rsidRPr="00F41C48">
        <w:rPr>
          <w:rFonts w:cs="Arial"/>
          <w:sz w:val="20"/>
          <w:szCs w:val="20"/>
          <w:vertAlign w:val="superscript"/>
        </w:rPr>
        <w:t>b</w:t>
      </w:r>
      <w:r w:rsidRPr="00F41C48">
        <w:rPr>
          <w:rFonts w:cs="Arial"/>
          <w:sz w:val="20"/>
          <w:szCs w:val="20"/>
        </w:rPr>
        <w:t>v</w:t>
      </w:r>
      <w:r w:rsidR="00642A47" w:rsidRPr="00F41C48">
        <w:rPr>
          <w:rFonts w:cs="Arial"/>
          <w:sz w:val="20"/>
          <w:szCs w:val="20"/>
        </w:rPr>
        <w:t>alues</w:t>
      </w:r>
      <w:proofErr w:type="spellEnd"/>
      <w:r w:rsidR="00642A47" w:rsidRPr="00F41C48">
        <w:rPr>
          <w:rFonts w:cs="Arial"/>
          <w:sz w:val="20"/>
          <w:szCs w:val="20"/>
        </w:rPr>
        <w:t xml:space="preserve"> fixed to the values for </w:t>
      </w:r>
      <w:proofErr w:type="spellStart"/>
      <w:r w:rsidR="00642A47" w:rsidRPr="00F41C48">
        <w:rPr>
          <w:rFonts w:cs="Arial"/>
          <w:sz w:val="20"/>
          <w:szCs w:val="20"/>
        </w:rPr>
        <w:t>V</w:t>
      </w:r>
      <w:r w:rsidR="00642A47" w:rsidRPr="00F41C48">
        <w:rPr>
          <w:rFonts w:cs="Arial"/>
          <w:sz w:val="20"/>
          <w:szCs w:val="20"/>
          <w:vertAlign w:val="subscript"/>
        </w:rPr>
        <w:t>c</w:t>
      </w:r>
      <w:proofErr w:type="spellEnd"/>
    </w:p>
    <w:p w14:paraId="03E33675" w14:textId="2572F417" w:rsidR="00642A47" w:rsidRPr="00F41C48" w:rsidRDefault="00325229" w:rsidP="00293D4C">
      <w:pPr>
        <w:spacing w:line="360" w:lineRule="auto"/>
        <w:rPr>
          <w:rFonts w:cs="Arial"/>
          <w:sz w:val="20"/>
          <w:szCs w:val="20"/>
        </w:rPr>
      </w:pPr>
      <w:r w:rsidRPr="00F41C48">
        <w:rPr>
          <w:rFonts w:cs="Arial"/>
          <w:i/>
          <w:iCs/>
          <w:sz w:val="20"/>
          <w:szCs w:val="20"/>
        </w:rPr>
        <w:t>CI</w:t>
      </w:r>
      <w:r w:rsidRPr="00F41C48">
        <w:rPr>
          <w:rFonts w:cs="Arial"/>
          <w:sz w:val="20"/>
          <w:szCs w:val="20"/>
        </w:rPr>
        <w:t xml:space="preserve"> confidence interval</w:t>
      </w:r>
      <w:r w:rsidR="00B94FD4" w:rsidRPr="00F41C48">
        <w:rPr>
          <w:rFonts w:cs="Arial"/>
          <w:sz w:val="20"/>
          <w:szCs w:val="20"/>
        </w:rPr>
        <w:t>,</w:t>
      </w:r>
      <w:r w:rsidRPr="00F41C48">
        <w:rPr>
          <w:rFonts w:cs="Arial"/>
          <w:sz w:val="20"/>
          <w:szCs w:val="20"/>
        </w:rPr>
        <w:t xml:space="preserve"> </w:t>
      </w:r>
      <w:r w:rsidRPr="00F41C48">
        <w:rPr>
          <w:rFonts w:cs="Arial"/>
          <w:i/>
          <w:iCs/>
          <w:sz w:val="20"/>
          <w:szCs w:val="20"/>
        </w:rPr>
        <w:t>CV</w:t>
      </w:r>
      <w:r w:rsidRPr="00F41C48">
        <w:rPr>
          <w:rFonts w:cs="Arial"/>
          <w:sz w:val="20"/>
          <w:szCs w:val="20"/>
        </w:rPr>
        <w:t xml:space="preserve"> </w:t>
      </w:r>
      <w:r w:rsidR="00916785" w:rsidRPr="00F41C48">
        <w:rPr>
          <w:rFonts w:cs="Arial"/>
          <w:sz w:val="20"/>
          <w:szCs w:val="20"/>
        </w:rPr>
        <w:t>coefficient of variation</w:t>
      </w:r>
      <w:r w:rsidR="00B94FD4" w:rsidRPr="00F41C48">
        <w:rPr>
          <w:rFonts w:cs="Arial"/>
          <w:sz w:val="20"/>
          <w:szCs w:val="20"/>
        </w:rPr>
        <w:t>,</w:t>
      </w:r>
      <w:r w:rsidRPr="00F41C48">
        <w:rPr>
          <w:rFonts w:cs="Arial"/>
          <w:sz w:val="20"/>
          <w:szCs w:val="20"/>
        </w:rPr>
        <w:t xml:space="preserve"> </w:t>
      </w:r>
      <w:r w:rsidRPr="00F41C48">
        <w:rPr>
          <w:rFonts w:cs="Arial"/>
          <w:i/>
          <w:iCs/>
          <w:sz w:val="20"/>
          <w:szCs w:val="20"/>
        </w:rPr>
        <w:t>IIV</w:t>
      </w:r>
      <w:r w:rsidRPr="00F41C48">
        <w:rPr>
          <w:rFonts w:cs="Arial"/>
          <w:sz w:val="20"/>
          <w:szCs w:val="20"/>
        </w:rPr>
        <w:t xml:space="preserve"> inter</w:t>
      </w:r>
      <w:r w:rsidR="00816969" w:rsidRPr="00F41C48">
        <w:rPr>
          <w:rFonts w:cs="Arial"/>
          <w:sz w:val="20"/>
          <w:szCs w:val="20"/>
        </w:rPr>
        <w:t>-</w:t>
      </w:r>
      <w:r w:rsidRPr="00F41C48">
        <w:rPr>
          <w:rFonts w:cs="Arial"/>
          <w:sz w:val="20"/>
          <w:szCs w:val="20"/>
        </w:rPr>
        <w:t>individual variability</w:t>
      </w:r>
      <w:r w:rsidR="00B94FD4" w:rsidRPr="00F41C48">
        <w:rPr>
          <w:rFonts w:cs="Arial"/>
          <w:sz w:val="20"/>
          <w:szCs w:val="20"/>
        </w:rPr>
        <w:t>,</w:t>
      </w:r>
      <w:r w:rsidRPr="00F41C48">
        <w:rPr>
          <w:rFonts w:cs="Arial"/>
          <w:sz w:val="20"/>
          <w:szCs w:val="20"/>
        </w:rPr>
        <w:t xml:space="preserve"> </w:t>
      </w:r>
      <w:r w:rsidRPr="00F41C48">
        <w:rPr>
          <w:rFonts w:cs="Arial"/>
          <w:i/>
          <w:iCs/>
          <w:sz w:val="20"/>
          <w:szCs w:val="20"/>
        </w:rPr>
        <w:t>IOV</w:t>
      </w:r>
      <w:r w:rsidRPr="00F41C48">
        <w:rPr>
          <w:rFonts w:cs="Arial"/>
          <w:sz w:val="20"/>
          <w:szCs w:val="20"/>
        </w:rPr>
        <w:t xml:space="preserve"> inter</w:t>
      </w:r>
      <w:r w:rsidR="00816969" w:rsidRPr="00F41C48">
        <w:rPr>
          <w:rFonts w:cs="Arial"/>
          <w:sz w:val="20"/>
          <w:szCs w:val="20"/>
        </w:rPr>
        <w:t>-</w:t>
      </w:r>
      <w:r w:rsidRPr="00F41C48">
        <w:rPr>
          <w:rFonts w:cs="Arial"/>
          <w:sz w:val="20"/>
          <w:szCs w:val="20"/>
        </w:rPr>
        <w:t>occasion (within-individual) variability</w:t>
      </w:r>
      <w:r w:rsidR="00B94FD4" w:rsidRPr="00F41C48">
        <w:rPr>
          <w:rFonts w:cs="Arial"/>
          <w:sz w:val="20"/>
          <w:szCs w:val="20"/>
        </w:rPr>
        <w:t>,</w:t>
      </w:r>
      <w:r w:rsidRPr="00F41C48">
        <w:rPr>
          <w:rFonts w:cs="Arial"/>
          <w:sz w:val="20"/>
          <w:szCs w:val="20"/>
        </w:rPr>
        <w:t xml:space="preserve"> </w:t>
      </w:r>
      <w:r w:rsidRPr="00F41C48">
        <w:rPr>
          <w:rFonts w:cs="Arial"/>
          <w:i/>
          <w:iCs/>
          <w:sz w:val="20"/>
          <w:szCs w:val="20"/>
        </w:rPr>
        <w:t>PK</w:t>
      </w:r>
      <w:r w:rsidRPr="00F41C48">
        <w:rPr>
          <w:rFonts w:cs="Arial"/>
          <w:sz w:val="20"/>
          <w:szCs w:val="20"/>
        </w:rPr>
        <w:t xml:space="preserve"> pharmacokinetic</w:t>
      </w:r>
      <w:r w:rsidR="00B94FD4" w:rsidRPr="00F41C48">
        <w:rPr>
          <w:rFonts w:cs="Arial"/>
          <w:sz w:val="20"/>
          <w:szCs w:val="20"/>
        </w:rPr>
        <w:t>,</w:t>
      </w:r>
      <w:r w:rsidR="00460AAA" w:rsidRPr="00F41C48">
        <w:rPr>
          <w:rFonts w:cs="Arial"/>
          <w:sz w:val="20"/>
          <w:szCs w:val="20"/>
        </w:rPr>
        <w:t xml:space="preserve"> </w:t>
      </w:r>
      <w:r w:rsidR="00B94FD4" w:rsidRPr="00F41C48">
        <w:rPr>
          <w:rFonts w:cs="Arial"/>
          <w:i/>
          <w:iCs/>
          <w:sz w:val="20"/>
          <w:szCs w:val="20"/>
        </w:rPr>
        <w:t>SD</w:t>
      </w:r>
      <w:r w:rsidR="00B94FD4" w:rsidRPr="00F41C48">
        <w:rPr>
          <w:rFonts w:cs="Arial"/>
          <w:sz w:val="20"/>
          <w:szCs w:val="20"/>
        </w:rPr>
        <w:t xml:space="preserve"> standard deviation</w:t>
      </w:r>
    </w:p>
    <w:p w14:paraId="0C549870" w14:textId="77777777" w:rsidR="00FA36C2" w:rsidRPr="00F41C48" w:rsidRDefault="00FA36C2" w:rsidP="00293D4C">
      <w:pPr>
        <w:spacing w:line="360" w:lineRule="auto"/>
        <w:rPr>
          <w:rFonts w:cs="Arial"/>
          <w:sz w:val="20"/>
          <w:szCs w:val="20"/>
        </w:rPr>
      </w:pPr>
    </w:p>
    <w:p w14:paraId="6AF6E75E" w14:textId="235844D0" w:rsidR="00FA36C2" w:rsidRPr="00F41C48" w:rsidRDefault="00FA36C2" w:rsidP="00293D4C">
      <w:pPr>
        <w:spacing w:line="360" w:lineRule="auto"/>
        <w:rPr>
          <w:rFonts w:cs="Arial"/>
          <w:b/>
          <w:bCs/>
        </w:rPr>
        <w:sectPr w:rsidR="00FA36C2" w:rsidRPr="00F41C48" w:rsidSect="00642A47">
          <w:pgSz w:w="16838" w:h="11906" w:orient="landscape"/>
          <w:pgMar w:top="1440" w:right="1440" w:bottom="1440" w:left="1440" w:header="709" w:footer="709" w:gutter="0"/>
          <w:cols w:space="708"/>
          <w:docGrid w:linePitch="360"/>
        </w:sectPr>
      </w:pPr>
    </w:p>
    <w:p w14:paraId="39926C17" w14:textId="16E05219" w:rsidR="0015475C" w:rsidRPr="00F41C48" w:rsidRDefault="0015475C" w:rsidP="009F066B">
      <w:pPr>
        <w:pStyle w:val="Heading1"/>
        <w:spacing w:line="360" w:lineRule="auto"/>
      </w:pPr>
      <w:bookmarkStart w:id="10" w:name="_Toc67581061"/>
      <w:bookmarkEnd w:id="6"/>
      <w:bookmarkEnd w:id="0"/>
      <w:bookmarkEnd w:id="7"/>
      <w:r w:rsidRPr="00F41C48">
        <w:lastRenderedPageBreak/>
        <w:t>Online resource, Fig</w:t>
      </w:r>
      <w:r w:rsidR="00816969" w:rsidRPr="00F41C48">
        <w:t>.</w:t>
      </w:r>
      <w:r w:rsidRPr="00F41C48">
        <w:t xml:space="preserve"> 1 </w:t>
      </w:r>
      <w:r w:rsidRPr="00F41C48">
        <w:rPr>
          <w:b w:val="0"/>
          <w:bCs w:val="0"/>
        </w:rPr>
        <w:t xml:space="preserve">Diagnostic plots for the </w:t>
      </w:r>
      <w:r w:rsidR="001E51C8" w:rsidRPr="00F41C48">
        <w:rPr>
          <w:b w:val="0"/>
          <w:bCs w:val="0"/>
        </w:rPr>
        <w:t xml:space="preserve">final </w:t>
      </w:r>
      <w:r w:rsidRPr="00F41C48">
        <w:rPr>
          <w:b w:val="0"/>
          <w:bCs w:val="0"/>
        </w:rPr>
        <w:t>population PK model</w:t>
      </w:r>
      <w:bookmarkEnd w:id="10"/>
    </w:p>
    <w:p w14:paraId="36BA3A89" w14:textId="0CDB6C8B" w:rsidR="005D1D61" w:rsidRPr="00F41C48" w:rsidRDefault="00B22017" w:rsidP="00293D4C">
      <w:pPr>
        <w:spacing w:line="360" w:lineRule="auto"/>
        <w:rPr>
          <w:rFonts w:cs="Arial"/>
        </w:rPr>
      </w:pPr>
      <w:r w:rsidRPr="00F41C48">
        <w:rPr>
          <w:noProof/>
        </w:rPr>
        <w:t xml:space="preserve"> </w:t>
      </w:r>
      <w:r w:rsidRPr="00F41C48">
        <w:rPr>
          <w:noProof/>
          <w:lang w:val="en-IN" w:eastAsia="en-IN"/>
        </w:rPr>
        <w:drawing>
          <wp:inline distT="0" distB="0" distL="0" distR="0" wp14:anchorId="49DE65D0" wp14:editId="3B1A9F9F">
            <wp:extent cx="5366315" cy="54959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71658" cy="5501397"/>
                    </a:xfrm>
                    <a:prstGeom prst="rect">
                      <a:avLst/>
                    </a:prstGeom>
                  </pic:spPr>
                </pic:pic>
              </a:graphicData>
            </a:graphic>
          </wp:inline>
        </w:drawing>
      </w:r>
    </w:p>
    <w:p w14:paraId="1FEC0703" w14:textId="3A36D0AF" w:rsidR="00160723" w:rsidRPr="00F41C48" w:rsidRDefault="0015475C" w:rsidP="00293D4C">
      <w:pPr>
        <w:spacing w:line="360" w:lineRule="auto"/>
        <w:rPr>
          <w:rFonts w:cs="Arial"/>
          <w:sz w:val="20"/>
          <w:szCs w:val="20"/>
        </w:rPr>
      </w:pPr>
      <w:r w:rsidRPr="00F41C48">
        <w:rPr>
          <w:rFonts w:cs="Arial"/>
          <w:sz w:val="20"/>
          <w:szCs w:val="20"/>
        </w:rPr>
        <w:t>Data are observed concentrations</w:t>
      </w:r>
      <w:r w:rsidR="00D27598" w:rsidRPr="00F41C48">
        <w:rPr>
          <w:rFonts w:cs="Arial"/>
          <w:sz w:val="20"/>
          <w:szCs w:val="20"/>
        </w:rPr>
        <w:t xml:space="preserve"> (y axis)</w:t>
      </w:r>
      <w:r w:rsidRPr="00F41C48">
        <w:rPr>
          <w:rFonts w:cs="Arial"/>
          <w:sz w:val="20"/>
          <w:szCs w:val="20"/>
        </w:rPr>
        <w:t xml:space="preserve"> vs</w:t>
      </w:r>
      <w:r w:rsidR="00816969" w:rsidRPr="00F41C48">
        <w:rPr>
          <w:rFonts w:cs="Arial"/>
          <w:sz w:val="20"/>
          <w:szCs w:val="20"/>
        </w:rPr>
        <w:t>.</w:t>
      </w:r>
      <w:r w:rsidRPr="00F41C48">
        <w:rPr>
          <w:rFonts w:cs="Arial"/>
          <w:sz w:val="20"/>
          <w:szCs w:val="20"/>
        </w:rPr>
        <w:t xml:space="preserve"> population predicted</w:t>
      </w:r>
      <w:r w:rsidR="00E326C6" w:rsidRPr="00F41C48">
        <w:rPr>
          <w:rFonts w:cs="Arial"/>
          <w:sz w:val="20"/>
          <w:szCs w:val="20"/>
        </w:rPr>
        <w:t xml:space="preserve"> </w:t>
      </w:r>
      <w:r w:rsidR="00D27598" w:rsidRPr="00F41C48">
        <w:rPr>
          <w:rFonts w:cs="Arial"/>
          <w:sz w:val="20"/>
          <w:szCs w:val="20"/>
        </w:rPr>
        <w:t xml:space="preserve">(x axis) </w:t>
      </w:r>
      <w:r w:rsidR="00E326C6" w:rsidRPr="00F41C48">
        <w:rPr>
          <w:rFonts w:cs="Arial"/>
          <w:sz w:val="20"/>
          <w:szCs w:val="20"/>
        </w:rPr>
        <w:t xml:space="preserve">(a) </w:t>
      </w:r>
      <w:r w:rsidRPr="00F41C48">
        <w:rPr>
          <w:rFonts w:cs="Arial"/>
          <w:sz w:val="20"/>
          <w:szCs w:val="20"/>
        </w:rPr>
        <w:t>and individual predicted</w:t>
      </w:r>
      <w:r w:rsidR="00D27598" w:rsidRPr="00F41C48">
        <w:rPr>
          <w:rFonts w:cs="Arial"/>
          <w:sz w:val="20"/>
          <w:szCs w:val="20"/>
        </w:rPr>
        <w:t xml:space="preserve"> (x axis)</w:t>
      </w:r>
      <w:r w:rsidR="00E326C6" w:rsidRPr="00F41C48">
        <w:rPr>
          <w:rFonts w:cs="Arial"/>
          <w:sz w:val="20"/>
          <w:szCs w:val="20"/>
        </w:rPr>
        <w:t xml:space="preserve"> (</w:t>
      </w:r>
      <w:r w:rsidR="00FF7D01" w:rsidRPr="00F41C48">
        <w:rPr>
          <w:rFonts w:cs="Arial"/>
          <w:sz w:val="20"/>
          <w:szCs w:val="20"/>
        </w:rPr>
        <w:t>b</w:t>
      </w:r>
      <w:r w:rsidR="00E326C6" w:rsidRPr="00F41C48">
        <w:rPr>
          <w:rFonts w:cs="Arial"/>
          <w:sz w:val="20"/>
          <w:szCs w:val="20"/>
        </w:rPr>
        <w:t>)</w:t>
      </w:r>
      <w:r w:rsidRPr="00F41C48">
        <w:rPr>
          <w:rFonts w:cs="Arial"/>
          <w:sz w:val="20"/>
          <w:szCs w:val="20"/>
        </w:rPr>
        <w:t xml:space="preserve"> concentrations, conditional weighted residuals</w:t>
      </w:r>
      <w:r w:rsidR="00D27598" w:rsidRPr="00F41C48">
        <w:rPr>
          <w:rFonts w:cs="Arial"/>
          <w:sz w:val="20"/>
          <w:szCs w:val="20"/>
        </w:rPr>
        <w:t xml:space="preserve"> (y axis)</w:t>
      </w:r>
      <w:r w:rsidRPr="00F41C48">
        <w:rPr>
          <w:rFonts w:cs="Arial"/>
          <w:sz w:val="20"/>
          <w:szCs w:val="20"/>
        </w:rPr>
        <w:t xml:space="preserve"> </w:t>
      </w:r>
      <w:r w:rsidR="00FF7D01" w:rsidRPr="00F41C48">
        <w:rPr>
          <w:rFonts w:cs="Arial"/>
          <w:sz w:val="20"/>
          <w:szCs w:val="20"/>
        </w:rPr>
        <w:t xml:space="preserve">vs. time </w:t>
      </w:r>
      <w:r w:rsidR="00D27598" w:rsidRPr="00F41C48">
        <w:rPr>
          <w:rFonts w:cs="Arial"/>
          <w:sz w:val="20"/>
          <w:szCs w:val="20"/>
        </w:rPr>
        <w:t xml:space="preserve">(x axis) </w:t>
      </w:r>
      <w:r w:rsidR="00FF7D01" w:rsidRPr="00F41C48">
        <w:rPr>
          <w:rFonts w:cs="Arial"/>
          <w:sz w:val="20"/>
          <w:szCs w:val="20"/>
        </w:rPr>
        <w:t>(c), vs. population predicted concentrations</w:t>
      </w:r>
      <w:r w:rsidR="00D27598" w:rsidRPr="00F41C48">
        <w:rPr>
          <w:rFonts w:cs="Arial"/>
          <w:sz w:val="20"/>
          <w:szCs w:val="20"/>
        </w:rPr>
        <w:t xml:space="preserve"> (x axis)</w:t>
      </w:r>
      <w:r w:rsidR="00FF7D01" w:rsidRPr="00F41C48">
        <w:rPr>
          <w:rFonts w:cs="Arial"/>
          <w:sz w:val="20"/>
          <w:szCs w:val="20"/>
        </w:rPr>
        <w:t xml:space="preserve"> (d), and </w:t>
      </w:r>
      <w:r w:rsidRPr="00F41C48">
        <w:rPr>
          <w:rFonts w:cs="Arial"/>
          <w:sz w:val="20"/>
          <w:szCs w:val="20"/>
        </w:rPr>
        <w:t>vs</w:t>
      </w:r>
      <w:r w:rsidR="00883A90" w:rsidRPr="00F41C48">
        <w:rPr>
          <w:rFonts w:cs="Arial"/>
          <w:sz w:val="20"/>
          <w:szCs w:val="20"/>
        </w:rPr>
        <w:t>.</w:t>
      </w:r>
      <w:r w:rsidRPr="00F41C48">
        <w:rPr>
          <w:rFonts w:cs="Arial"/>
          <w:sz w:val="20"/>
          <w:szCs w:val="20"/>
        </w:rPr>
        <w:t xml:space="preserve"> theoretical quantiles from a normal distribution</w:t>
      </w:r>
      <w:r w:rsidR="00D27598" w:rsidRPr="00F41C48">
        <w:rPr>
          <w:rFonts w:cs="Arial"/>
          <w:sz w:val="20"/>
          <w:szCs w:val="20"/>
        </w:rPr>
        <w:t xml:space="preserve"> (x axis)</w:t>
      </w:r>
      <w:r w:rsidR="00E326C6" w:rsidRPr="00F41C48">
        <w:rPr>
          <w:rFonts w:cs="Arial"/>
          <w:sz w:val="20"/>
          <w:szCs w:val="20"/>
        </w:rPr>
        <w:t xml:space="preserve"> (</w:t>
      </w:r>
      <w:r w:rsidR="00FF7D01" w:rsidRPr="00F41C48">
        <w:rPr>
          <w:rFonts w:cs="Arial"/>
          <w:sz w:val="20"/>
          <w:szCs w:val="20"/>
        </w:rPr>
        <w:t>e</w:t>
      </w:r>
      <w:r w:rsidR="00E326C6" w:rsidRPr="00F41C48">
        <w:rPr>
          <w:rFonts w:cs="Arial"/>
          <w:sz w:val="20"/>
          <w:szCs w:val="20"/>
        </w:rPr>
        <w:t>)</w:t>
      </w:r>
      <w:r w:rsidR="00D27598" w:rsidRPr="00F41C48">
        <w:rPr>
          <w:rFonts w:cs="Arial"/>
          <w:sz w:val="20"/>
          <w:szCs w:val="20"/>
        </w:rPr>
        <w:t>,</w:t>
      </w:r>
      <w:r w:rsidRPr="00F41C48">
        <w:rPr>
          <w:rFonts w:cs="Arial"/>
          <w:sz w:val="20"/>
          <w:szCs w:val="20"/>
        </w:rPr>
        <w:t xml:space="preserve">and distribution densities of weighted residuals </w:t>
      </w:r>
      <w:r w:rsidR="00D27598" w:rsidRPr="00F41C48">
        <w:rPr>
          <w:rFonts w:cs="Arial"/>
          <w:sz w:val="20"/>
          <w:szCs w:val="20"/>
        </w:rPr>
        <w:t xml:space="preserve">(x axis) </w:t>
      </w:r>
      <w:r w:rsidRPr="00F41C48">
        <w:rPr>
          <w:rFonts w:cs="Arial"/>
          <w:sz w:val="20"/>
          <w:szCs w:val="20"/>
        </w:rPr>
        <w:t>compared to the standard normal density distribution</w:t>
      </w:r>
      <w:r w:rsidR="00D27598" w:rsidRPr="00F41C48">
        <w:rPr>
          <w:rFonts w:cs="Arial"/>
          <w:sz w:val="20"/>
          <w:szCs w:val="20"/>
        </w:rPr>
        <w:t xml:space="preserve"> (y axis)</w:t>
      </w:r>
      <w:r w:rsidR="00E326C6" w:rsidRPr="00F41C48">
        <w:rPr>
          <w:rFonts w:cs="Arial"/>
          <w:sz w:val="20"/>
          <w:szCs w:val="20"/>
        </w:rPr>
        <w:t xml:space="preserve"> (f)</w:t>
      </w:r>
      <w:r w:rsidRPr="00F41C48">
        <w:rPr>
          <w:rFonts w:cs="Arial"/>
          <w:sz w:val="20"/>
          <w:szCs w:val="20"/>
        </w:rPr>
        <w:t>. Light blue data points with connecting lines represent data trends in terms of mean values for quantiles of concentration or time</w:t>
      </w:r>
      <w:bookmarkStart w:id="11" w:name="_Hlk22392130"/>
    </w:p>
    <w:p w14:paraId="7486BD4B" w14:textId="1808D053" w:rsidR="00801B5C" w:rsidRPr="00F41C48" w:rsidRDefault="0015475C" w:rsidP="00293D4C">
      <w:pPr>
        <w:spacing w:line="360" w:lineRule="auto"/>
        <w:rPr>
          <w:rFonts w:cs="Arial"/>
          <w:sz w:val="20"/>
          <w:szCs w:val="20"/>
        </w:rPr>
      </w:pPr>
      <w:r w:rsidRPr="00F41C48">
        <w:rPr>
          <w:rFonts w:cs="Arial"/>
          <w:sz w:val="20"/>
          <w:szCs w:val="20"/>
        </w:rPr>
        <w:t xml:space="preserve">Data are from the following trials: </w:t>
      </w:r>
      <w:r w:rsidR="00883A90" w:rsidRPr="00F41C48">
        <w:rPr>
          <w:rFonts w:cs="Arial"/>
          <w:sz w:val="20"/>
          <w:szCs w:val="20"/>
        </w:rPr>
        <w:t>d</w:t>
      </w:r>
      <w:r w:rsidRPr="00F41C48">
        <w:rPr>
          <w:rFonts w:cs="Arial"/>
          <w:sz w:val="20"/>
          <w:szCs w:val="20"/>
        </w:rPr>
        <w:t xml:space="preserve">osing conditions (NCT01572753) </w:t>
      </w:r>
      <w:r w:rsidR="00973C9B" w:rsidRPr="00F41C48">
        <w:rPr>
          <w:rFonts w:cs="Arial"/>
          <w:sz w:val="20"/>
          <w:szCs w:val="20"/>
        </w:rPr>
        <w:t>[2]</w:t>
      </w:r>
      <w:r w:rsidRPr="00F41C48">
        <w:rPr>
          <w:rFonts w:cs="Arial"/>
          <w:sz w:val="20"/>
          <w:szCs w:val="20"/>
        </w:rPr>
        <w:t xml:space="preserve">, scintigraphy (NCT01619345) </w:t>
      </w:r>
      <w:r w:rsidR="00973C9B" w:rsidRPr="00F41C48">
        <w:rPr>
          <w:rFonts w:cs="Arial"/>
          <w:sz w:val="20"/>
          <w:szCs w:val="20"/>
        </w:rPr>
        <w:t>[3]</w:t>
      </w:r>
      <w:r w:rsidRPr="00F41C48">
        <w:rPr>
          <w:rFonts w:cs="Arial"/>
          <w:sz w:val="20"/>
          <w:szCs w:val="20"/>
        </w:rPr>
        <w:t xml:space="preserve">, renal (NCT02014259) </w:t>
      </w:r>
      <w:r w:rsidR="00883A90" w:rsidRPr="00F41C48">
        <w:rPr>
          <w:rFonts w:cs="Arial"/>
          <w:sz w:val="20"/>
          <w:szCs w:val="20"/>
        </w:rPr>
        <w:t>[</w:t>
      </w:r>
      <w:r w:rsidR="0022339E" w:rsidRPr="00F41C48">
        <w:rPr>
          <w:rFonts w:cs="Arial"/>
          <w:sz w:val="20"/>
          <w:szCs w:val="20"/>
        </w:rPr>
        <w:t>4</w:t>
      </w:r>
      <w:r w:rsidR="00883A90" w:rsidRPr="00F41C48">
        <w:rPr>
          <w:rFonts w:cs="Arial"/>
          <w:sz w:val="20"/>
          <w:szCs w:val="20"/>
        </w:rPr>
        <w:t>]</w:t>
      </w:r>
      <w:r w:rsidRPr="00F41C48">
        <w:rPr>
          <w:rFonts w:cs="Arial"/>
          <w:sz w:val="20"/>
          <w:szCs w:val="20"/>
        </w:rPr>
        <w:t xml:space="preserve">, hepatic (NCT02016911) </w:t>
      </w:r>
      <w:r w:rsidR="00883A90" w:rsidRPr="00F41C48">
        <w:rPr>
          <w:rFonts w:cs="Arial"/>
          <w:sz w:val="20"/>
          <w:szCs w:val="20"/>
        </w:rPr>
        <w:t>[</w:t>
      </w:r>
      <w:r w:rsidR="0022339E" w:rsidRPr="00F41C48">
        <w:rPr>
          <w:rFonts w:cs="Arial"/>
          <w:sz w:val="20"/>
          <w:szCs w:val="20"/>
        </w:rPr>
        <w:t>5</w:t>
      </w:r>
      <w:r w:rsidR="00883A90" w:rsidRPr="00F41C48">
        <w:rPr>
          <w:rFonts w:cs="Arial"/>
          <w:sz w:val="20"/>
          <w:szCs w:val="20"/>
        </w:rPr>
        <w:t>]</w:t>
      </w:r>
      <w:r w:rsidRPr="00F41C48">
        <w:rPr>
          <w:rFonts w:cs="Arial"/>
          <w:sz w:val="20"/>
          <w:szCs w:val="20"/>
        </w:rPr>
        <w:t xml:space="preserve">, DDI omeprazole (NCT02249871) </w:t>
      </w:r>
      <w:r w:rsidR="00883A90" w:rsidRPr="00F41C48">
        <w:rPr>
          <w:rFonts w:cs="Arial"/>
          <w:sz w:val="20"/>
          <w:szCs w:val="20"/>
        </w:rPr>
        <w:t>[</w:t>
      </w:r>
      <w:r w:rsidR="0022339E" w:rsidRPr="00F41C48">
        <w:rPr>
          <w:rFonts w:cs="Arial"/>
          <w:sz w:val="20"/>
          <w:szCs w:val="20"/>
        </w:rPr>
        <w:t>6</w:t>
      </w:r>
      <w:r w:rsidR="00883A90" w:rsidRPr="00F41C48">
        <w:rPr>
          <w:rFonts w:cs="Arial"/>
          <w:sz w:val="20"/>
          <w:szCs w:val="20"/>
        </w:rPr>
        <w:t>]</w:t>
      </w:r>
      <w:r w:rsidRPr="00F41C48">
        <w:rPr>
          <w:rFonts w:cs="Arial"/>
          <w:sz w:val="20"/>
          <w:szCs w:val="20"/>
        </w:rPr>
        <w:t xml:space="preserve"> and food effect (NCT02172313) </w:t>
      </w:r>
      <w:bookmarkEnd w:id="11"/>
      <w:r w:rsidR="001E6CA4" w:rsidRPr="00F41C48">
        <w:rPr>
          <w:rFonts w:cs="Arial"/>
          <w:sz w:val="20"/>
          <w:szCs w:val="20"/>
        </w:rPr>
        <w:t>[7]</w:t>
      </w:r>
    </w:p>
    <w:p w14:paraId="5F0E29DA" w14:textId="77777777" w:rsidR="00FA36C2" w:rsidRPr="00F41C48" w:rsidRDefault="00801B5C" w:rsidP="00293D4C">
      <w:pPr>
        <w:spacing w:line="360" w:lineRule="auto"/>
        <w:rPr>
          <w:rFonts w:cs="Arial"/>
          <w:sz w:val="20"/>
          <w:szCs w:val="20"/>
        </w:rPr>
      </w:pPr>
      <w:r w:rsidRPr="00F41C48">
        <w:rPr>
          <w:rFonts w:cs="Arial"/>
          <w:i/>
          <w:iCs/>
          <w:sz w:val="20"/>
          <w:szCs w:val="20"/>
        </w:rPr>
        <w:t>DDI</w:t>
      </w:r>
      <w:r w:rsidRPr="00F41C48">
        <w:rPr>
          <w:rFonts w:cs="Arial"/>
          <w:sz w:val="20"/>
          <w:szCs w:val="20"/>
        </w:rPr>
        <w:t xml:space="preserve"> drug-drug interaction</w:t>
      </w:r>
      <w:r w:rsidR="00883A90" w:rsidRPr="00F41C48">
        <w:rPr>
          <w:rFonts w:cs="Arial"/>
          <w:sz w:val="20"/>
          <w:szCs w:val="20"/>
        </w:rPr>
        <w:t>,</w:t>
      </w:r>
      <w:r w:rsidRPr="00F41C48">
        <w:rPr>
          <w:rFonts w:cs="Arial"/>
          <w:sz w:val="20"/>
          <w:szCs w:val="20"/>
        </w:rPr>
        <w:t xml:space="preserve"> </w:t>
      </w:r>
      <w:r w:rsidR="00816969" w:rsidRPr="00F41C48">
        <w:rPr>
          <w:rFonts w:cs="Arial"/>
          <w:i/>
          <w:iCs/>
          <w:sz w:val="20"/>
          <w:szCs w:val="20"/>
        </w:rPr>
        <w:t>NONMEM</w:t>
      </w:r>
      <w:r w:rsidR="00816969" w:rsidRPr="00F41C48">
        <w:rPr>
          <w:rFonts w:cs="Arial"/>
          <w:sz w:val="20"/>
          <w:szCs w:val="20"/>
        </w:rPr>
        <w:t xml:space="preserve"> </w:t>
      </w:r>
      <w:r w:rsidR="00883A90" w:rsidRPr="00F41C48">
        <w:rPr>
          <w:rFonts w:cs="Arial"/>
          <w:sz w:val="20"/>
          <w:szCs w:val="20"/>
        </w:rPr>
        <w:t>N</w:t>
      </w:r>
      <w:r w:rsidR="00112627" w:rsidRPr="00F41C48">
        <w:rPr>
          <w:rFonts w:cs="Arial"/>
          <w:sz w:val="20"/>
          <w:szCs w:val="20"/>
        </w:rPr>
        <w:t>on</w:t>
      </w:r>
      <w:r w:rsidR="00883A90" w:rsidRPr="00F41C48">
        <w:rPr>
          <w:rFonts w:cs="Arial"/>
          <w:sz w:val="20"/>
          <w:szCs w:val="20"/>
        </w:rPr>
        <w:t xml:space="preserve">linear </w:t>
      </w:r>
      <w:r w:rsidR="00112627" w:rsidRPr="00F41C48">
        <w:rPr>
          <w:rFonts w:cs="Arial"/>
          <w:sz w:val="20"/>
          <w:szCs w:val="20"/>
        </w:rPr>
        <w:t>m</w:t>
      </w:r>
      <w:r w:rsidR="00883A90" w:rsidRPr="00F41C48">
        <w:rPr>
          <w:rFonts w:cs="Arial"/>
          <w:sz w:val="20"/>
          <w:szCs w:val="20"/>
        </w:rPr>
        <w:t xml:space="preserve">ixed </w:t>
      </w:r>
      <w:r w:rsidR="00112627" w:rsidRPr="00F41C48">
        <w:rPr>
          <w:rFonts w:cs="Arial"/>
          <w:sz w:val="20"/>
          <w:szCs w:val="20"/>
        </w:rPr>
        <w:t>e</w:t>
      </w:r>
      <w:r w:rsidR="00883A90" w:rsidRPr="00F41C48">
        <w:rPr>
          <w:rFonts w:cs="Arial"/>
          <w:sz w:val="20"/>
          <w:szCs w:val="20"/>
        </w:rPr>
        <w:t xml:space="preserve">ffects </w:t>
      </w:r>
      <w:r w:rsidR="00112627" w:rsidRPr="00F41C48">
        <w:rPr>
          <w:rFonts w:cs="Arial"/>
          <w:sz w:val="20"/>
          <w:szCs w:val="20"/>
        </w:rPr>
        <w:t>m</w:t>
      </w:r>
      <w:r w:rsidR="00883A90" w:rsidRPr="00F41C48">
        <w:rPr>
          <w:rFonts w:cs="Arial"/>
          <w:sz w:val="20"/>
          <w:szCs w:val="20"/>
        </w:rPr>
        <w:t>odelling</w:t>
      </w:r>
      <w:r w:rsidR="00112627" w:rsidRPr="00F41C48">
        <w:rPr>
          <w:rFonts w:cs="Arial"/>
          <w:sz w:val="20"/>
          <w:szCs w:val="20"/>
        </w:rPr>
        <w:t xml:space="preserve"> software</w:t>
      </w:r>
      <w:r w:rsidR="00883A90" w:rsidRPr="00F41C48">
        <w:rPr>
          <w:rFonts w:cs="Arial"/>
          <w:sz w:val="20"/>
          <w:szCs w:val="20"/>
        </w:rPr>
        <w:t xml:space="preserve">, </w:t>
      </w:r>
      <w:r w:rsidRPr="00F41C48">
        <w:rPr>
          <w:rFonts w:cs="Arial"/>
          <w:i/>
          <w:iCs/>
          <w:sz w:val="20"/>
          <w:szCs w:val="20"/>
        </w:rPr>
        <w:t>PK</w:t>
      </w:r>
      <w:r w:rsidRPr="00F41C48">
        <w:rPr>
          <w:rFonts w:cs="Arial"/>
          <w:sz w:val="20"/>
          <w:szCs w:val="20"/>
        </w:rPr>
        <w:t xml:space="preserve"> pharmacokinetic</w:t>
      </w:r>
    </w:p>
    <w:p w14:paraId="5A3539C7" w14:textId="1D5A3D0C" w:rsidR="000A5DEA" w:rsidRPr="00F41C48" w:rsidRDefault="000A5DEA" w:rsidP="00EC1BE2">
      <w:pPr>
        <w:pStyle w:val="Heading1"/>
      </w:pPr>
      <w:bookmarkStart w:id="12" w:name="_Toc67581062"/>
      <w:r w:rsidRPr="00F41C48">
        <w:rPr>
          <w:rStyle w:val="Heading1Char"/>
          <w:rFonts w:eastAsiaTheme="minorHAnsi"/>
          <w:b/>
          <w:bCs/>
        </w:rPr>
        <w:lastRenderedPageBreak/>
        <w:t>Online resource, Fig. 2</w:t>
      </w:r>
      <w:r w:rsidRPr="00F41C48">
        <w:t xml:space="preserve"> </w:t>
      </w:r>
      <w:r w:rsidRPr="00F41C48">
        <w:rPr>
          <w:rStyle w:val="Heading1Char"/>
        </w:rPr>
        <w:t>Distributions of individual estimated and predicted PK parameters for clearance (a), central volume (b), inter-compartmental clearance (c), and peripheral volume (d)</w:t>
      </w:r>
      <w:bookmarkEnd w:id="12"/>
    </w:p>
    <w:p w14:paraId="46F663FB" w14:textId="77777777" w:rsidR="000A5DEA" w:rsidRPr="00F41C48" w:rsidRDefault="000A5DEA" w:rsidP="0013172D">
      <w:r w:rsidRPr="00F41C48">
        <w:rPr>
          <w:noProof/>
        </w:rPr>
        <w:t xml:space="preserve"> </w:t>
      </w:r>
      <w:r w:rsidRPr="00F41C48">
        <w:rPr>
          <w:noProof/>
          <w:lang w:val="en-IN" w:eastAsia="en-IN"/>
        </w:rPr>
        <w:drawing>
          <wp:inline distT="0" distB="0" distL="0" distR="0" wp14:anchorId="535C11B0" wp14:editId="0E1F6488">
            <wp:extent cx="5730240" cy="3420110"/>
            <wp:effectExtent l="0" t="0" r="381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320 - Spirit180984 Figure 2 LLv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0240" cy="3420110"/>
                    </a:xfrm>
                    <a:prstGeom prst="rect">
                      <a:avLst/>
                    </a:prstGeom>
                  </pic:spPr>
                </pic:pic>
              </a:graphicData>
            </a:graphic>
          </wp:inline>
        </w:drawing>
      </w:r>
    </w:p>
    <w:p w14:paraId="7566621B" w14:textId="77777777" w:rsidR="000A5DEA" w:rsidRPr="00F41C48" w:rsidRDefault="000A5DEA" w:rsidP="000A5DEA">
      <w:pPr>
        <w:rPr>
          <w:sz w:val="20"/>
          <w:szCs w:val="20"/>
        </w:rPr>
      </w:pPr>
      <w:r w:rsidRPr="00F41C48">
        <w:rPr>
          <w:sz w:val="20"/>
          <w:szCs w:val="20"/>
        </w:rPr>
        <w:t>Lines are simulated parameter distributions based on the covariates and the population parameters in the final model. Bars represent the distribution of the individual parameter estimates for the final model based on oral semaglutide data</w:t>
      </w:r>
    </w:p>
    <w:p w14:paraId="73CEA269" w14:textId="77777777" w:rsidR="000A5DEA" w:rsidRPr="00F41C48" w:rsidRDefault="000A5DEA" w:rsidP="000A5DEA">
      <w:pPr>
        <w:rPr>
          <w:sz w:val="20"/>
          <w:szCs w:val="20"/>
        </w:rPr>
      </w:pPr>
    </w:p>
    <w:p w14:paraId="5939990B" w14:textId="77777777" w:rsidR="000A5DEA" w:rsidRPr="00F41C48" w:rsidRDefault="000A5DEA" w:rsidP="000A5DEA">
      <w:pPr>
        <w:rPr>
          <w:sz w:val="20"/>
          <w:szCs w:val="20"/>
        </w:rPr>
      </w:pPr>
      <w:r w:rsidRPr="00F41C48">
        <w:rPr>
          <w:sz w:val="20"/>
          <w:szCs w:val="20"/>
        </w:rPr>
        <w:t>Data are from the following trials: dosing conditions (NCT01572753) [15], scintigraphy (NCT01619345) [16], renal (NCT02014259) [17], hepatic (NCT02016911) [18], DDI omeprazole (NCT02249871) [19] and food effect (NCT02172313) [20]</w:t>
      </w:r>
    </w:p>
    <w:p w14:paraId="11B1216D" w14:textId="77777777" w:rsidR="000A5DEA" w:rsidRPr="00F41C48" w:rsidRDefault="000A5DEA" w:rsidP="000A5DEA">
      <w:pPr>
        <w:rPr>
          <w:sz w:val="20"/>
          <w:szCs w:val="20"/>
        </w:rPr>
      </w:pPr>
      <w:r w:rsidRPr="00F41C48">
        <w:rPr>
          <w:i/>
          <w:iCs/>
          <w:sz w:val="20"/>
          <w:szCs w:val="20"/>
        </w:rPr>
        <w:t>DDI</w:t>
      </w:r>
      <w:r w:rsidRPr="00F41C48">
        <w:rPr>
          <w:sz w:val="20"/>
          <w:szCs w:val="20"/>
        </w:rPr>
        <w:t xml:space="preserve"> drug-drug interaction, </w:t>
      </w:r>
      <w:r w:rsidRPr="00F41C48">
        <w:rPr>
          <w:i/>
          <w:iCs/>
          <w:sz w:val="20"/>
          <w:szCs w:val="20"/>
        </w:rPr>
        <w:t>PK</w:t>
      </w:r>
      <w:r w:rsidRPr="00F41C48">
        <w:rPr>
          <w:sz w:val="20"/>
          <w:szCs w:val="20"/>
        </w:rPr>
        <w:t xml:space="preserve"> pharmacokinetic</w:t>
      </w:r>
    </w:p>
    <w:p w14:paraId="67D80B17" w14:textId="77777777" w:rsidR="000A5DEA" w:rsidRPr="00F41C48" w:rsidRDefault="000A5DEA">
      <w:pPr>
        <w:spacing w:line="259" w:lineRule="auto"/>
        <w:rPr>
          <w:rFonts w:eastAsia="Times New Roman" w:cstheme="minorHAnsi"/>
          <w:b/>
          <w:bCs/>
          <w:kern w:val="36"/>
          <w:lang w:eastAsia="en-GB"/>
        </w:rPr>
      </w:pPr>
      <w:r w:rsidRPr="00F41C48">
        <w:br w:type="page"/>
      </w:r>
    </w:p>
    <w:p w14:paraId="347FE218" w14:textId="6AE35E68" w:rsidR="00817F32" w:rsidRPr="00F41C48" w:rsidRDefault="00817F32" w:rsidP="00817F32">
      <w:pPr>
        <w:pStyle w:val="Heading1"/>
        <w:spacing w:line="360" w:lineRule="auto"/>
        <w:rPr>
          <w:color w:val="auto"/>
        </w:rPr>
      </w:pPr>
      <w:bookmarkStart w:id="13" w:name="_Toc67581063"/>
      <w:r w:rsidRPr="00F41C48">
        <w:rPr>
          <w:color w:val="auto"/>
        </w:rPr>
        <w:lastRenderedPageBreak/>
        <w:t>Online resource, Fig</w:t>
      </w:r>
      <w:r w:rsidR="00883A90" w:rsidRPr="00F41C48">
        <w:rPr>
          <w:color w:val="auto"/>
        </w:rPr>
        <w:t>.</w:t>
      </w:r>
      <w:r w:rsidRPr="00F41C48">
        <w:rPr>
          <w:color w:val="auto"/>
        </w:rPr>
        <w:t xml:space="preserve"> </w:t>
      </w:r>
      <w:r w:rsidR="000A5DEA" w:rsidRPr="00F41C48">
        <w:rPr>
          <w:color w:val="auto"/>
        </w:rPr>
        <w:t xml:space="preserve">3 </w:t>
      </w:r>
      <w:r w:rsidRPr="00F41C48">
        <w:rPr>
          <w:b w:val="0"/>
          <w:color w:val="auto"/>
        </w:rPr>
        <w:t>Distribution histogram of bioavailability estimates across all dose administrations and individuals</w:t>
      </w:r>
      <w:bookmarkEnd w:id="13"/>
    </w:p>
    <w:p w14:paraId="29117542" w14:textId="570B8B1D" w:rsidR="00817F32" w:rsidRPr="00F41C48" w:rsidRDefault="00817F32" w:rsidP="00817F32">
      <w:pPr>
        <w:spacing w:line="360" w:lineRule="auto"/>
        <w:rPr>
          <w:rFonts w:cs="Arial"/>
          <w:b/>
          <w:bCs/>
        </w:rPr>
      </w:pPr>
    </w:p>
    <w:p w14:paraId="412238BA" w14:textId="327CE75D" w:rsidR="00475FAA" w:rsidRPr="00F41C48" w:rsidRDefault="00475FAA" w:rsidP="00817F32">
      <w:pPr>
        <w:spacing w:line="360" w:lineRule="auto"/>
        <w:rPr>
          <w:rFonts w:cs="Arial"/>
          <w:b/>
          <w:bCs/>
        </w:rPr>
      </w:pPr>
      <w:r w:rsidRPr="00F41C48">
        <w:rPr>
          <w:rFonts w:cs="Arial"/>
          <w:b/>
          <w:bCs/>
          <w:noProof/>
          <w:lang w:val="en-IN" w:eastAsia="en-IN"/>
        </w:rPr>
        <w:drawing>
          <wp:inline distT="0" distB="0" distL="0" distR="0" wp14:anchorId="7CC49DEB" wp14:editId="1A7D6154">
            <wp:extent cx="3918857" cy="2380658"/>
            <wp:effectExtent l="0" t="0" r="571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320 - Spirit180984 Supplement Figure 2 LLv2.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31397" cy="2388276"/>
                    </a:xfrm>
                    <a:prstGeom prst="rect">
                      <a:avLst/>
                    </a:prstGeom>
                  </pic:spPr>
                </pic:pic>
              </a:graphicData>
            </a:graphic>
          </wp:inline>
        </w:drawing>
      </w:r>
    </w:p>
    <w:p w14:paraId="1DCC23D8" w14:textId="4088A0F2" w:rsidR="00817F32" w:rsidRPr="00F41C48" w:rsidRDefault="00817F32" w:rsidP="00817F32">
      <w:pPr>
        <w:spacing w:line="360" w:lineRule="auto"/>
        <w:rPr>
          <w:rFonts w:cs="Arial"/>
          <w:sz w:val="20"/>
          <w:szCs w:val="20"/>
        </w:rPr>
      </w:pPr>
      <w:r w:rsidRPr="00F41C48">
        <w:rPr>
          <w:rFonts w:cs="Arial"/>
          <w:sz w:val="20"/>
          <w:szCs w:val="20"/>
        </w:rPr>
        <w:t xml:space="preserve">Data are from the following trials: </w:t>
      </w:r>
      <w:r w:rsidR="009E1E25" w:rsidRPr="00F41C48">
        <w:rPr>
          <w:rFonts w:cs="Arial"/>
          <w:sz w:val="20"/>
          <w:szCs w:val="20"/>
        </w:rPr>
        <w:t>d</w:t>
      </w:r>
      <w:r w:rsidRPr="00F41C48">
        <w:rPr>
          <w:rFonts w:cs="Arial"/>
          <w:sz w:val="20"/>
          <w:szCs w:val="20"/>
        </w:rPr>
        <w:t xml:space="preserve">osing conditions (NCT01572753) </w:t>
      </w:r>
      <w:r w:rsidR="00973C9B" w:rsidRPr="00F41C48">
        <w:rPr>
          <w:rFonts w:cs="Arial"/>
          <w:sz w:val="20"/>
          <w:szCs w:val="20"/>
        </w:rPr>
        <w:t>[2]</w:t>
      </w:r>
      <w:r w:rsidR="004210A2" w:rsidRPr="00F41C48">
        <w:rPr>
          <w:rFonts w:cs="Arial"/>
          <w:sz w:val="20"/>
          <w:szCs w:val="20"/>
        </w:rPr>
        <w:t xml:space="preserve">, </w:t>
      </w:r>
      <w:r w:rsidRPr="00F41C48">
        <w:rPr>
          <w:rFonts w:cs="Arial"/>
          <w:sz w:val="20"/>
          <w:szCs w:val="20"/>
        </w:rPr>
        <w:t xml:space="preserve">scintigraphy (NCT01619345) </w:t>
      </w:r>
      <w:r w:rsidR="00973C9B" w:rsidRPr="00F41C48">
        <w:rPr>
          <w:rFonts w:cs="Arial"/>
          <w:sz w:val="20"/>
          <w:szCs w:val="20"/>
        </w:rPr>
        <w:t>[3]</w:t>
      </w:r>
      <w:r w:rsidRPr="00F41C48">
        <w:rPr>
          <w:rFonts w:cs="Arial"/>
          <w:sz w:val="20"/>
          <w:szCs w:val="20"/>
        </w:rPr>
        <w:t xml:space="preserve">, renal (NCT02014259) </w:t>
      </w:r>
      <w:r w:rsidR="009E1E25" w:rsidRPr="00F41C48">
        <w:rPr>
          <w:rFonts w:cs="Arial"/>
          <w:sz w:val="20"/>
          <w:szCs w:val="20"/>
        </w:rPr>
        <w:t>[</w:t>
      </w:r>
      <w:r w:rsidR="0022339E" w:rsidRPr="00F41C48">
        <w:rPr>
          <w:rFonts w:cs="Arial"/>
          <w:sz w:val="20"/>
          <w:szCs w:val="20"/>
        </w:rPr>
        <w:t>4</w:t>
      </w:r>
      <w:r w:rsidR="009E1E25" w:rsidRPr="00F41C48">
        <w:rPr>
          <w:rFonts w:cs="Arial"/>
          <w:sz w:val="20"/>
          <w:szCs w:val="20"/>
        </w:rPr>
        <w:t>]</w:t>
      </w:r>
      <w:r w:rsidRPr="00F41C48">
        <w:rPr>
          <w:rFonts w:cs="Arial"/>
          <w:sz w:val="20"/>
          <w:szCs w:val="20"/>
        </w:rPr>
        <w:t xml:space="preserve">, hepatic (NCT02016911) </w:t>
      </w:r>
      <w:r w:rsidR="009E1E25" w:rsidRPr="00F41C48">
        <w:rPr>
          <w:rFonts w:cs="Arial"/>
          <w:sz w:val="20"/>
          <w:szCs w:val="20"/>
        </w:rPr>
        <w:t>[</w:t>
      </w:r>
      <w:r w:rsidR="0022339E" w:rsidRPr="00F41C48">
        <w:rPr>
          <w:rFonts w:cs="Arial"/>
          <w:sz w:val="20"/>
          <w:szCs w:val="20"/>
        </w:rPr>
        <w:t>5</w:t>
      </w:r>
      <w:r w:rsidR="009E1E25" w:rsidRPr="00F41C48">
        <w:rPr>
          <w:rFonts w:cs="Arial"/>
          <w:sz w:val="20"/>
          <w:szCs w:val="20"/>
        </w:rPr>
        <w:t>]</w:t>
      </w:r>
      <w:r w:rsidRPr="00F41C48">
        <w:rPr>
          <w:rFonts w:cs="Arial"/>
          <w:sz w:val="20"/>
          <w:szCs w:val="20"/>
        </w:rPr>
        <w:t xml:space="preserve">, DDI omeprazole (NCT02249871) </w:t>
      </w:r>
      <w:r w:rsidR="009E1E25" w:rsidRPr="00F41C48">
        <w:rPr>
          <w:rFonts w:cs="Arial"/>
          <w:sz w:val="20"/>
          <w:szCs w:val="20"/>
        </w:rPr>
        <w:t>[</w:t>
      </w:r>
      <w:r w:rsidR="0022339E" w:rsidRPr="00F41C48">
        <w:rPr>
          <w:rFonts w:cs="Arial"/>
          <w:sz w:val="20"/>
          <w:szCs w:val="20"/>
        </w:rPr>
        <w:t>6</w:t>
      </w:r>
      <w:r w:rsidR="009E1E25" w:rsidRPr="00F41C48">
        <w:rPr>
          <w:rFonts w:cs="Arial"/>
          <w:sz w:val="20"/>
          <w:szCs w:val="20"/>
        </w:rPr>
        <w:t>]</w:t>
      </w:r>
      <w:r w:rsidRPr="00F41C48">
        <w:rPr>
          <w:rFonts w:cs="Arial"/>
          <w:sz w:val="20"/>
          <w:szCs w:val="20"/>
        </w:rPr>
        <w:t xml:space="preserve"> and food effect (NCT02172313) </w:t>
      </w:r>
      <w:r w:rsidR="00973C9B" w:rsidRPr="00F41C48">
        <w:rPr>
          <w:rFonts w:cs="Arial"/>
          <w:sz w:val="20"/>
          <w:szCs w:val="20"/>
        </w:rPr>
        <w:t>[7]</w:t>
      </w:r>
    </w:p>
    <w:p w14:paraId="098EC0A6" w14:textId="06DF8EEA" w:rsidR="00817F32" w:rsidRPr="00F41C48" w:rsidRDefault="00817F32" w:rsidP="00A709A2">
      <w:r w:rsidRPr="00F41C48">
        <w:rPr>
          <w:i/>
          <w:iCs/>
        </w:rPr>
        <w:t>DDI</w:t>
      </w:r>
      <w:r w:rsidRPr="00F41C48">
        <w:t xml:space="preserve"> drug-drug interaction</w:t>
      </w:r>
    </w:p>
    <w:p w14:paraId="08910251" w14:textId="3B323E87" w:rsidR="00FA36C2" w:rsidRPr="00F41C48" w:rsidRDefault="00FA36C2" w:rsidP="00817F32">
      <w:pPr>
        <w:pStyle w:val="Heading1"/>
        <w:spacing w:line="360" w:lineRule="auto"/>
        <w:rPr>
          <w:rFonts w:cs="Arial"/>
          <w:color w:val="auto"/>
          <w:sz w:val="20"/>
          <w:szCs w:val="20"/>
        </w:rPr>
      </w:pPr>
      <w:r w:rsidRPr="00F41C48">
        <w:rPr>
          <w:rFonts w:cs="Arial"/>
          <w:color w:val="auto"/>
          <w:sz w:val="20"/>
          <w:szCs w:val="20"/>
        </w:rPr>
        <w:br w:type="page"/>
      </w:r>
    </w:p>
    <w:p w14:paraId="139A583F" w14:textId="2FA9A043" w:rsidR="0015475C" w:rsidRPr="00F41C48" w:rsidRDefault="0015475C" w:rsidP="00817F32">
      <w:pPr>
        <w:pStyle w:val="Heading1"/>
        <w:spacing w:line="360" w:lineRule="auto"/>
        <w:rPr>
          <w:color w:val="auto"/>
        </w:rPr>
      </w:pPr>
      <w:bookmarkStart w:id="14" w:name="_Toc67581064"/>
      <w:r w:rsidRPr="00F41C48">
        <w:rPr>
          <w:color w:val="auto"/>
        </w:rPr>
        <w:lastRenderedPageBreak/>
        <w:t>Online resource, Fig</w:t>
      </w:r>
      <w:r w:rsidR="009E1E25" w:rsidRPr="00F41C48">
        <w:rPr>
          <w:color w:val="auto"/>
        </w:rPr>
        <w:t>.</w:t>
      </w:r>
      <w:r w:rsidRPr="00F41C48">
        <w:rPr>
          <w:color w:val="auto"/>
        </w:rPr>
        <w:t xml:space="preserve"> </w:t>
      </w:r>
      <w:r w:rsidR="000A5DEA" w:rsidRPr="00F41C48">
        <w:rPr>
          <w:color w:val="auto"/>
        </w:rPr>
        <w:t xml:space="preserve">4 </w:t>
      </w:r>
      <w:r w:rsidRPr="00F41C48">
        <w:rPr>
          <w:b w:val="0"/>
          <w:color w:val="auto"/>
        </w:rPr>
        <w:t>Visual predictive check of the population PK model for data from each trial contributing data</w:t>
      </w:r>
      <w:bookmarkEnd w:id="14"/>
    </w:p>
    <w:p w14:paraId="29CAA427" w14:textId="671647E1" w:rsidR="004278FF" w:rsidRPr="00F41C48" w:rsidRDefault="001F7846" w:rsidP="00293D4C">
      <w:pPr>
        <w:spacing w:line="360" w:lineRule="auto"/>
        <w:rPr>
          <w:rFonts w:cs="Arial"/>
          <w:sz w:val="20"/>
          <w:szCs w:val="20"/>
        </w:rPr>
      </w:pPr>
      <w:r w:rsidRPr="00F41C48">
        <w:rPr>
          <w:noProof/>
          <w:lang w:val="en-IN" w:eastAsia="en-IN"/>
        </w:rPr>
        <w:drawing>
          <wp:inline distT="0" distB="0" distL="0" distR="0" wp14:anchorId="5CD07C1F" wp14:editId="6F6ACDDA">
            <wp:extent cx="5915025" cy="399857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65868" cy="4032949"/>
                    </a:xfrm>
                    <a:prstGeom prst="rect">
                      <a:avLst/>
                    </a:prstGeom>
                  </pic:spPr>
                </pic:pic>
              </a:graphicData>
            </a:graphic>
          </wp:inline>
        </w:drawing>
      </w:r>
    </w:p>
    <w:p w14:paraId="1973CD10" w14:textId="2EB56D26" w:rsidR="00160723" w:rsidRPr="00F41C48" w:rsidRDefault="0015475C" w:rsidP="00293D4C">
      <w:pPr>
        <w:spacing w:line="360" w:lineRule="auto"/>
        <w:rPr>
          <w:rFonts w:cs="Arial"/>
          <w:sz w:val="20"/>
          <w:szCs w:val="20"/>
        </w:rPr>
      </w:pPr>
      <w:r w:rsidRPr="00F41C48">
        <w:rPr>
          <w:rFonts w:cs="Arial"/>
          <w:sz w:val="20"/>
          <w:szCs w:val="20"/>
        </w:rPr>
        <w:t>Data are observed (lines) and 95% CIs (shaded area</w:t>
      </w:r>
      <w:r w:rsidR="00590159" w:rsidRPr="00F41C48">
        <w:rPr>
          <w:rFonts w:cs="Arial"/>
          <w:sz w:val="20"/>
          <w:szCs w:val="20"/>
        </w:rPr>
        <w:t>s</w:t>
      </w:r>
      <w:r w:rsidRPr="00F41C48">
        <w:rPr>
          <w:rFonts w:cs="Arial"/>
          <w:sz w:val="20"/>
          <w:szCs w:val="20"/>
        </w:rPr>
        <w:t xml:space="preserve">, </w:t>
      </w:r>
      <w:r w:rsidRPr="00F41C48">
        <w:rPr>
          <w:rFonts w:cs="Arial"/>
          <w:i/>
          <w:iCs/>
          <w:sz w:val="20"/>
          <w:szCs w:val="20"/>
        </w:rPr>
        <w:t>n</w:t>
      </w:r>
      <w:r w:rsidRPr="00F41C48">
        <w:rPr>
          <w:rFonts w:cs="Arial"/>
          <w:sz w:val="20"/>
          <w:szCs w:val="20"/>
        </w:rPr>
        <w:t>=2000) of simulated medians and 5</w:t>
      </w:r>
      <w:r w:rsidRPr="00F41C48">
        <w:rPr>
          <w:rFonts w:cs="Arial"/>
          <w:sz w:val="20"/>
          <w:szCs w:val="20"/>
          <w:vertAlign w:val="superscript"/>
        </w:rPr>
        <w:t>th</w:t>
      </w:r>
      <w:r w:rsidRPr="00F41C48">
        <w:rPr>
          <w:rFonts w:cs="Arial"/>
          <w:sz w:val="20"/>
          <w:szCs w:val="20"/>
        </w:rPr>
        <w:t xml:space="preserve"> and 95</w:t>
      </w:r>
      <w:r w:rsidRPr="00F41C48">
        <w:rPr>
          <w:rFonts w:cs="Arial"/>
          <w:sz w:val="20"/>
          <w:szCs w:val="20"/>
          <w:vertAlign w:val="superscript"/>
        </w:rPr>
        <w:t>th</w:t>
      </w:r>
      <w:r w:rsidRPr="00F41C48">
        <w:rPr>
          <w:rFonts w:cs="Arial"/>
          <w:sz w:val="20"/>
          <w:szCs w:val="20"/>
        </w:rPr>
        <w:t xml:space="preserve"> concentration percentiles vs</w:t>
      </w:r>
      <w:r w:rsidR="009E1E25" w:rsidRPr="00F41C48">
        <w:rPr>
          <w:rFonts w:cs="Arial"/>
          <w:sz w:val="20"/>
          <w:szCs w:val="20"/>
        </w:rPr>
        <w:t>.</w:t>
      </w:r>
      <w:r w:rsidRPr="00F41C48">
        <w:rPr>
          <w:rFonts w:cs="Arial"/>
          <w:sz w:val="20"/>
          <w:szCs w:val="20"/>
        </w:rPr>
        <w:t xml:space="preserve"> time since first dose </w:t>
      </w:r>
    </w:p>
    <w:p w14:paraId="752A2EDA" w14:textId="0B54578B" w:rsidR="00801B5C" w:rsidRPr="00F41C48" w:rsidRDefault="00280FFC" w:rsidP="00293D4C">
      <w:pPr>
        <w:spacing w:line="360" w:lineRule="auto"/>
        <w:rPr>
          <w:rFonts w:cs="Arial"/>
          <w:sz w:val="20"/>
          <w:szCs w:val="20"/>
        </w:rPr>
      </w:pPr>
      <w:r w:rsidRPr="00F41C48">
        <w:rPr>
          <w:rFonts w:cs="Arial"/>
          <w:sz w:val="20"/>
          <w:szCs w:val="20"/>
        </w:rPr>
        <w:t xml:space="preserve">Data are from the following trials: </w:t>
      </w:r>
      <w:r w:rsidR="009E1E25" w:rsidRPr="00F41C48">
        <w:rPr>
          <w:rFonts w:cs="Arial"/>
          <w:b/>
          <w:bCs/>
          <w:sz w:val="20"/>
          <w:szCs w:val="20"/>
        </w:rPr>
        <w:t>a:</w:t>
      </w:r>
      <w:r w:rsidRPr="00F41C48">
        <w:rPr>
          <w:rFonts w:cs="Arial"/>
          <w:b/>
          <w:bCs/>
          <w:sz w:val="20"/>
          <w:szCs w:val="20"/>
        </w:rPr>
        <w:t xml:space="preserve"> </w:t>
      </w:r>
      <w:r w:rsidR="009E1E25" w:rsidRPr="00F41C48">
        <w:rPr>
          <w:rFonts w:cs="Arial"/>
          <w:sz w:val="20"/>
          <w:szCs w:val="20"/>
        </w:rPr>
        <w:t>d</w:t>
      </w:r>
      <w:r w:rsidRPr="00F41C48">
        <w:rPr>
          <w:rFonts w:cs="Arial"/>
          <w:sz w:val="20"/>
          <w:szCs w:val="20"/>
        </w:rPr>
        <w:t xml:space="preserve">osing conditions (NCT01572753) </w:t>
      </w:r>
      <w:r w:rsidR="00973C9B" w:rsidRPr="00F41C48">
        <w:rPr>
          <w:rFonts w:cs="Arial"/>
          <w:sz w:val="20"/>
          <w:szCs w:val="20"/>
        </w:rPr>
        <w:t>[2]</w:t>
      </w:r>
      <w:r w:rsidRPr="00F41C48">
        <w:rPr>
          <w:rFonts w:cs="Arial"/>
          <w:sz w:val="20"/>
          <w:szCs w:val="20"/>
        </w:rPr>
        <w:t xml:space="preserve">; </w:t>
      </w:r>
      <w:r w:rsidR="009E1E25" w:rsidRPr="00F41C48">
        <w:rPr>
          <w:rFonts w:cs="Arial"/>
          <w:b/>
          <w:bCs/>
          <w:sz w:val="20"/>
          <w:szCs w:val="20"/>
        </w:rPr>
        <w:t>b:</w:t>
      </w:r>
      <w:r w:rsidRPr="00F41C48">
        <w:rPr>
          <w:rFonts w:cs="Arial"/>
          <w:b/>
          <w:bCs/>
          <w:sz w:val="20"/>
          <w:szCs w:val="20"/>
        </w:rPr>
        <w:t xml:space="preserve"> </w:t>
      </w:r>
      <w:r w:rsidR="009E1E25" w:rsidRPr="00F41C48">
        <w:rPr>
          <w:rFonts w:cs="Arial"/>
          <w:sz w:val="20"/>
          <w:szCs w:val="20"/>
        </w:rPr>
        <w:t>s</w:t>
      </w:r>
      <w:r w:rsidRPr="00F41C48">
        <w:rPr>
          <w:rFonts w:cs="Arial"/>
          <w:sz w:val="20"/>
          <w:szCs w:val="20"/>
        </w:rPr>
        <w:t xml:space="preserve">cintigraphy (NCT01619345) </w:t>
      </w:r>
      <w:r w:rsidR="00973C9B" w:rsidRPr="00F41C48">
        <w:rPr>
          <w:rFonts w:cs="Arial"/>
          <w:sz w:val="20"/>
          <w:szCs w:val="20"/>
        </w:rPr>
        <w:t>[3]</w:t>
      </w:r>
      <w:r w:rsidRPr="00F41C48">
        <w:rPr>
          <w:rFonts w:cs="Arial"/>
          <w:sz w:val="20"/>
          <w:szCs w:val="20"/>
        </w:rPr>
        <w:t xml:space="preserve">; </w:t>
      </w:r>
      <w:r w:rsidR="009E1E25" w:rsidRPr="00F41C48">
        <w:rPr>
          <w:rFonts w:cs="Arial"/>
          <w:b/>
          <w:bCs/>
          <w:sz w:val="20"/>
          <w:szCs w:val="20"/>
        </w:rPr>
        <w:t>c:</w:t>
      </w:r>
      <w:r w:rsidRPr="00F41C48">
        <w:rPr>
          <w:rFonts w:cs="Arial"/>
          <w:b/>
          <w:bCs/>
          <w:sz w:val="20"/>
          <w:szCs w:val="20"/>
        </w:rPr>
        <w:t xml:space="preserve"> </w:t>
      </w:r>
      <w:r w:rsidR="009E1E25" w:rsidRPr="00F41C48">
        <w:rPr>
          <w:rFonts w:cs="Arial"/>
          <w:sz w:val="20"/>
          <w:szCs w:val="20"/>
        </w:rPr>
        <w:t>r</w:t>
      </w:r>
      <w:r w:rsidRPr="00F41C48">
        <w:rPr>
          <w:rFonts w:cs="Arial"/>
          <w:sz w:val="20"/>
          <w:szCs w:val="20"/>
        </w:rPr>
        <w:t xml:space="preserve">enal (NCT02014259) </w:t>
      </w:r>
      <w:r w:rsidR="009E1E25" w:rsidRPr="00F41C48">
        <w:rPr>
          <w:rFonts w:cs="Arial"/>
          <w:sz w:val="20"/>
          <w:szCs w:val="20"/>
        </w:rPr>
        <w:t>[</w:t>
      </w:r>
      <w:r w:rsidR="0022339E" w:rsidRPr="00F41C48">
        <w:rPr>
          <w:rFonts w:cs="Arial"/>
          <w:sz w:val="20"/>
          <w:szCs w:val="20"/>
        </w:rPr>
        <w:t>4</w:t>
      </w:r>
      <w:r w:rsidR="009E1E25" w:rsidRPr="00F41C48">
        <w:rPr>
          <w:rFonts w:cs="Arial"/>
          <w:sz w:val="20"/>
          <w:szCs w:val="20"/>
        </w:rPr>
        <w:t>]</w:t>
      </w:r>
      <w:r w:rsidRPr="00F41C48">
        <w:rPr>
          <w:rFonts w:cs="Arial"/>
          <w:sz w:val="20"/>
          <w:szCs w:val="20"/>
        </w:rPr>
        <w:t xml:space="preserve">; </w:t>
      </w:r>
      <w:r w:rsidR="009E1E25" w:rsidRPr="00F41C48">
        <w:rPr>
          <w:rFonts w:cs="Arial"/>
          <w:b/>
          <w:bCs/>
          <w:sz w:val="20"/>
          <w:szCs w:val="20"/>
        </w:rPr>
        <w:t>d:</w:t>
      </w:r>
      <w:r w:rsidRPr="00F41C48">
        <w:rPr>
          <w:rFonts w:cs="Arial"/>
          <w:b/>
          <w:bCs/>
          <w:sz w:val="20"/>
          <w:szCs w:val="20"/>
        </w:rPr>
        <w:t xml:space="preserve"> </w:t>
      </w:r>
      <w:r w:rsidR="009E1E25" w:rsidRPr="00F41C48">
        <w:rPr>
          <w:rFonts w:cs="Arial"/>
          <w:sz w:val="20"/>
          <w:szCs w:val="20"/>
        </w:rPr>
        <w:t>h</w:t>
      </w:r>
      <w:r w:rsidRPr="00F41C48">
        <w:rPr>
          <w:rFonts w:cs="Arial"/>
          <w:sz w:val="20"/>
          <w:szCs w:val="20"/>
        </w:rPr>
        <w:t xml:space="preserve">epatic (NCT02016911) </w:t>
      </w:r>
      <w:r w:rsidR="009E1E25" w:rsidRPr="00F41C48">
        <w:rPr>
          <w:rFonts w:cs="Arial"/>
          <w:sz w:val="20"/>
          <w:szCs w:val="20"/>
        </w:rPr>
        <w:t>[</w:t>
      </w:r>
      <w:r w:rsidR="0022339E" w:rsidRPr="00F41C48">
        <w:rPr>
          <w:rFonts w:cs="Arial"/>
          <w:sz w:val="20"/>
          <w:szCs w:val="20"/>
        </w:rPr>
        <w:t>5</w:t>
      </w:r>
      <w:r w:rsidR="009E1E25" w:rsidRPr="00F41C48">
        <w:rPr>
          <w:rFonts w:cs="Arial"/>
          <w:sz w:val="20"/>
          <w:szCs w:val="20"/>
        </w:rPr>
        <w:t>]</w:t>
      </w:r>
      <w:r w:rsidRPr="00F41C48">
        <w:rPr>
          <w:rFonts w:cs="Arial"/>
          <w:sz w:val="20"/>
          <w:szCs w:val="20"/>
        </w:rPr>
        <w:t xml:space="preserve">; </w:t>
      </w:r>
      <w:r w:rsidR="009E1E25" w:rsidRPr="00F41C48">
        <w:rPr>
          <w:rFonts w:cs="Arial"/>
          <w:b/>
          <w:bCs/>
          <w:sz w:val="20"/>
          <w:szCs w:val="20"/>
        </w:rPr>
        <w:t>e:</w:t>
      </w:r>
      <w:r w:rsidRPr="00F41C48">
        <w:rPr>
          <w:rFonts w:cs="Arial"/>
          <w:sz w:val="20"/>
          <w:szCs w:val="20"/>
        </w:rPr>
        <w:t xml:space="preserve"> DDI omeprazole (NCT02249871) </w:t>
      </w:r>
      <w:r w:rsidR="009E1E25" w:rsidRPr="00F41C48">
        <w:rPr>
          <w:rFonts w:cs="Arial"/>
          <w:sz w:val="20"/>
          <w:szCs w:val="20"/>
        </w:rPr>
        <w:t>[</w:t>
      </w:r>
      <w:r w:rsidR="0022339E" w:rsidRPr="00F41C48">
        <w:rPr>
          <w:rFonts w:cs="Arial"/>
          <w:sz w:val="20"/>
          <w:szCs w:val="20"/>
        </w:rPr>
        <w:t>6</w:t>
      </w:r>
      <w:r w:rsidR="009E1E25" w:rsidRPr="00F41C48">
        <w:rPr>
          <w:rFonts w:cs="Arial"/>
          <w:sz w:val="20"/>
          <w:szCs w:val="20"/>
        </w:rPr>
        <w:t>]</w:t>
      </w:r>
      <w:r w:rsidRPr="00F41C48">
        <w:rPr>
          <w:rFonts w:cs="Arial"/>
          <w:sz w:val="20"/>
          <w:szCs w:val="20"/>
        </w:rPr>
        <w:t xml:space="preserve">; </w:t>
      </w:r>
      <w:r w:rsidR="009E1E25" w:rsidRPr="00F41C48">
        <w:rPr>
          <w:rFonts w:cs="Arial"/>
          <w:b/>
          <w:bCs/>
          <w:sz w:val="20"/>
          <w:szCs w:val="20"/>
        </w:rPr>
        <w:t>f:</w:t>
      </w:r>
      <w:r w:rsidRPr="00F41C48">
        <w:rPr>
          <w:rFonts w:cs="Arial"/>
          <w:b/>
          <w:bCs/>
          <w:sz w:val="20"/>
          <w:szCs w:val="20"/>
        </w:rPr>
        <w:t xml:space="preserve"> </w:t>
      </w:r>
      <w:r w:rsidR="009E1E25" w:rsidRPr="00F41C48">
        <w:rPr>
          <w:rFonts w:cs="Arial"/>
          <w:sz w:val="20"/>
          <w:szCs w:val="20"/>
        </w:rPr>
        <w:t>f</w:t>
      </w:r>
      <w:r w:rsidRPr="00F41C48">
        <w:rPr>
          <w:rFonts w:cs="Arial"/>
          <w:sz w:val="20"/>
          <w:szCs w:val="20"/>
        </w:rPr>
        <w:t xml:space="preserve">ood effect (NCT02172313) </w:t>
      </w:r>
      <w:r w:rsidR="00973C9B" w:rsidRPr="00F41C48">
        <w:rPr>
          <w:rFonts w:cs="Arial"/>
          <w:sz w:val="20"/>
          <w:szCs w:val="20"/>
        </w:rPr>
        <w:t>[7]</w:t>
      </w:r>
    </w:p>
    <w:p w14:paraId="36BED114" w14:textId="5DB636FB" w:rsidR="00801B5C" w:rsidRPr="00F41C48" w:rsidRDefault="009E1E25" w:rsidP="00293D4C">
      <w:pPr>
        <w:spacing w:line="360" w:lineRule="auto"/>
        <w:rPr>
          <w:rFonts w:cs="Arial"/>
        </w:rPr>
      </w:pPr>
      <w:r w:rsidRPr="00F41C48">
        <w:rPr>
          <w:rFonts w:cs="Arial"/>
          <w:i/>
          <w:iCs/>
          <w:sz w:val="20"/>
          <w:szCs w:val="20"/>
        </w:rPr>
        <w:t>CI</w:t>
      </w:r>
      <w:r w:rsidRPr="00F41C48">
        <w:rPr>
          <w:rFonts w:cs="Arial"/>
          <w:sz w:val="20"/>
          <w:szCs w:val="20"/>
        </w:rPr>
        <w:t xml:space="preserve"> confidence interval, </w:t>
      </w:r>
      <w:r w:rsidR="00801B5C" w:rsidRPr="00F41C48">
        <w:rPr>
          <w:rFonts w:cs="Arial"/>
          <w:i/>
          <w:iCs/>
          <w:sz w:val="20"/>
          <w:szCs w:val="20"/>
        </w:rPr>
        <w:t>DDI</w:t>
      </w:r>
      <w:r w:rsidR="00801B5C" w:rsidRPr="00F41C48">
        <w:rPr>
          <w:rFonts w:cs="Arial"/>
          <w:sz w:val="20"/>
          <w:szCs w:val="20"/>
        </w:rPr>
        <w:t xml:space="preserve"> drug-drug interaction</w:t>
      </w:r>
      <w:r w:rsidRPr="00F41C48">
        <w:rPr>
          <w:rFonts w:cs="Arial"/>
          <w:sz w:val="20"/>
          <w:szCs w:val="20"/>
        </w:rPr>
        <w:t>,</w:t>
      </w:r>
      <w:r w:rsidR="00801B5C" w:rsidRPr="00F41C48">
        <w:rPr>
          <w:rFonts w:cs="Arial"/>
          <w:sz w:val="20"/>
          <w:szCs w:val="20"/>
        </w:rPr>
        <w:t xml:space="preserve"> </w:t>
      </w:r>
      <w:r w:rsidR="00801B5C" w:rsidRPr="00F41C48">
        <w:rPr>
          <w:rFonts w:cs="Arial"/>
          <w:i/>
          <w:iCs/>
          <w:sz w:val="20"/>
          <w:szCs w:val="20"/>
        </w:rPr>
        <w:t>PK</w:t>
      </w:r>
      <w:r w:rsidR="00801B5C" w:rsidRPr="00F41C48">
        <w:rPr>
          <w:rFonts w:cs="Arial"/>
          <w:sz w:val="20"/>
          <w:szCs w:val="20"/>
        </w:rPr>
        <w:t xml:space="preserve"> pharmacokinetic</w:t>
      </w:r>
    </w:p>
    <w:p w14:paraId="7C352843" w14:textId="5D24060F" w:rsidR="0015475C" w:rsidRPr="00F41C48" w:rsidRDefault="00280FFC" w:rsidP="009F066B">
      <w:pPr>
        <w:pStyle w:val="Heading1"/>
        <w:spacing w:line="360" w:lineRule="auto"/>
      </w:pPr>
      <w:r w:rsidRPr="00F41C48">
        <w:rPr>
          <w:rFonts w:cs="Arial"/>
        </w:rPr>
        <w:br w:type="page"/>
      </w:r>
      <w:bookmarkStart w:id="15" w:name="_Toc67581065"/>
      <w:r w:rsidR="0015475C" w:rsidRPr="00F41C48">
        <w:rPr>
          <w:color w:val="auto"/>
        </w:rPr>
        <w:lastRenderedPageBreak/>
        <w:t>Online resource, Fig</w:t>
      </w:r>
      <w:r w:rsidR="0092131E" w:rsidRPr="00F41C48">
        <w:rPr>
          <w:color w:val="auto"/>
        </w:rPr>
        <w:t>.</w:t>
      </w:r>
      <w:r w:rsidR="0015475C" w:rsidRPr="00F41C48">
        <w:rPr>
          <w:color w:val="auto"/>
        </w:rPr>
        <w:t xml:space="preserve"> </w:t>
      </w:r>
      <w:r w:rsidR="000A5DEA" w:rsidRPr="00F41C48">
        <w:rPr>
          <w:color w:val="auto"/>
        </w:rPr>
        <w:t>5</w:t>
      </w:r>
      <w:r w:rsidR="000A5DEA" w:rsidRPr="00F41C48">
        <w:rPr>
          <w:b w:val="0"/>
          <w:bCs w:val="0"/>
          <w:color w:val="auto"/>
        </w:rPr>
        <w:t xml:space="preserve"> </w:t>
      </w:r>
      <w:r w:rsidR="0015475C" w:rsidRPr="00F41C48">
        <w:rPr>
          <w:b w:val="0"/>
          <w:bCs w:val="0"/>
          <w:color w:val="auto"/>
        </w:rPr>
        <w:t>Observed and predicted individual PK profiles (</w:t>
      </w:r>
      <w:r w:rsidR="0092131E" w:rsidRPr="00F41C48">
        <w:rPr>
          <w:b w:val="0"/>
          <w:bCs w:val="0"/>
          <w:color w:val="auto"/>
        </w:rPr>
        <w:t>a</w:t>
      </w:r>
      <w:r w:rsidR="0015475C" w:rsidRPr="00F41C48">
        <w:rPr>
          <w:b w:val="0"/>
          <w:bCs w:val="0"/>
          <w:color w:val="auto"/>
        </w:rPr>
        <w:t xml:space="preserve">) and associated </w:t>
      </w:r>
      <w:proofErr w:type="spellStart"/>
      <w:r w:rsidR="0015475C" w:rsidRPr="00F41C48">
        <w:rPr>
          <w:b w:val="0"/>
          <w:bCs w:val="0"/>
          <w:color w:val="auto"/>
        </w:rPr>
        <w:t>bioavailabilities</w:t>
      </w:r>
      <w:proofErr w:type="spellEnd"/>
      <w:r w:rsidR="0015475C" w:rsidRPr="00F41C48">
        <w:rPr>
          <w:b w:val="0"/>
          <w:bCs w:val="0"/>
          <w:color w:val="auto"/>
        </w:rPr>
        <w:t xml:space="preserve"> (</w:t>
      </w:r>
      <w:r w:rsidR="0092131E" w:rsidRPr="00F41C48">
        <w:rPr>
          <w:b w:val="0"/>
          <w:bCs w:val="0"/>
          <w:color w:val="auto"/>
        </w:rPr>
        <w:t>b</w:t>
      </w:r>
      <w:r w:rsidR="0015475C" w:rsidRPr="00F41C48">
        <w:rPr>
          <w:b w:val="0"/>
          <w:bCs w:val="0"/>
          <w:color w:val="auto"/>
        </w:rPr>
        <w:t>) vs</w:t>
      </w:r>
      <w:r w:rsidR="0092131E" w:rsidRPr="00F41C48">
        <w:rPr>
          <w:b w:val="0"/>
          <w:bCs w:val="0"/>
          <w:color w:val="auto"/>
        </w:rPr>
        <w:t>.</w:t>
      </w:r>
      <w:r w:rsidR="0015475C" w:rsidRPr="00F41C48">
        <w:rPr>
          <w:b w:val="0"/>
          <w:bCs w:val="0"/>
          <w:color w:val="auto"/>
        </w:rPr>
        <w:t xml:space="preserve"> time after first dose for 12 individuals</w:t>
      </w:r>
      <w:bookmarkEnd w:id="15"/>
    </w:p>
    <w:tbl>
      <w:tblPr>
        <w:tblW w:w="9816" w:type="dxa"/>
        <w:tblLook w:val="04A0" w:firstRow="1" w:lastRow="0" w:firstColumn="1" w:lastColumn="0" w:noHBand="0" w:noVBand="1"/>
      </w:tblPr>
      <w:tblGrid>
        <w:gridCol w:w="9816"/>
      </w:tblGrid>
      <w:tr w:rsidR="00E03ECB" w:rsidRPr="00F41C48" w14:paraId="7985D8B9" w14:textId="77777777" w:rsidTr="00507696">
        <w:tc>
          <w:tcPr>
            <w:tcW w:w="9816" w:type="dxa"/>
            <w:tcMar>
              <w:bottom w:w="0" w:type="dxa"/>
            </w:tcMar>
          </w:tcPr>
          <w:p w14:paraId="1FDD6C1D" w14:textId="7841F75C" w:rsidR="0015475C" w:rsidRPr="00F41C48" w:rsidRDefault="00E64C4A" w:rsidP="00293D4C">
            <w:pPr>
              <w:spacing w:line="360" w:lineRule="auto"/>
              <w:rPr>
                <w:rFonts w:cs="Arial"/>
                <w:b/>
                <w:noProof/>
                <w:lang w:eastAsia="en-GB"/>
              </w:rPr>
            </w:pPr>
            <w:r w:rsidRPr="00F41C48">
              <w:rPr>
                <w:rFonts w:cs="Arial"/>
                <w:b/>
                <w:bCs/>
              </w:rPr>
              <w:t>a</w:t>
            </w:r>
          </w:p>
          <w:p w14:paraId="1E568DAD" w14:textId="7E865407" w:rsidR="00EB5D07" w:rsidRPr="00F41C48" w:rsidRDefault="00EB5D07" w:rsidP="00293D4C">
            <w:pPr>
              <w:spacing w:line="360" w:lineRule="auto"/>
              <w:rPr>
                <w:rFonts w:cs="Arial"/>
              </w:rPr>
            </w:pPr>
            <w:r w:rsidRPr="00F41C48">
              <w:rPr>
                <w:noProof/>
                <w:lang w:val="en-IN" w:eastAsia="en-IN"/>
              </w:rPr>
              <w:drawing>
                <wp:inline distT="0" distB="0" distL="0" distR="0" wp14:anchorId="02529326" wp14:editId="41F62DBC">
                  <wp:extent cx="4546121" cy="3040653"/>
                  <wp:effectExtent l="0" t="0" r="698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60893" cy="3050533"/>
                          </a:xfrm>
                          <a:prstGeom prst="rect">
                            <a:avLst/>
                          </a:prstGeom>
                        </pic:spPr>
                      </pic:pic>
                    </a:graphicData>
                  </a:graphic>
                </wp:inline>
              </w:drawing>
            </w:r>
          </w:p>
        </w:tc>
      </w:tr>
      <w:tr w:rsidR="00E03ECB" w:rsidRPr="00F41C48" w14:paraId="63182711" w14:textId="77777777" w:rsidTr="00507696">
        <w:tc>
          <w:tcPr>
            <w:tcW w:w="9816" w:type="dxa"/>
            <w:tcMar>
              <w:bottom w:w="0" w:type="dxa"/>
            </w:tcMar>
          </w:tcPr>
          <w:p w14:paraId="4D443C00" w14:textId="5215EB53" w:rsidR="0015475C" w:rsidRPr="00F41C48" w:rsidRDefault="00E64C4A" w:rsidP="00293D4C">
            <w:pPr>
              <w:spacing w:line="360" w:lineRule="auto"/>
              <w:rPr>
                <w:rFonts w:cs="Arial"/>
                <w:b/>
                <w:noProof/>
                <w:lang w:eastAsia="en-GB"/>
              </w:rPr>
            </w:pPr>
            <w:r w:rsidRPr="00F41C48">
              <w:rPr>
                <w:rFonts w:cs="Arial"/>
                <w:b/>
              </w:rPr>
              <w:t>b</w:t>
            </w:r>
          </w:p>
          <w:p w14:paraId="1ED817DC" w14:textId="47E82C5E" w:rsidR="00EB5D07" w:rsidRPr="00F41C48" w:rsidRDefault="00EB5D07" w:rsidP="00293D4C">
            <w:pPr>
              <w:spacing w:line="360" w:lineRule="auto"/>
              <w:rPr>
                <w:rFonts w:cs="Arial"/>
                <w:b/>
              </w:rPr>
            </w:pPr>
            <w:r w:rsidRPr="00F41C48">
              <w:rPr>
                <w:noProof/>
                <w:lang w:val="en-IN" w:eastAsia="en-IN"/>
              </w:rPr>
              <w:drawing>
                <wp:inline distT="0" distB="0" distL="0" distR="0" wp14:anchorId="30FADF07" wp14:editId="5A22785D">
                  <wp:extent cx="4520242" cy="303936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34710" cy="3049097"/>
                          </a:xfrm>
                          <a:prstGeom prst="rect">
                            <a:avLst/>
                          </a:prstGeom>
                        </pic:spPr>
                      </pic:pic>
                    </a:graphicData>
                  </a:graphic>
                </wp:inline>
              </w:drawing>
            </w:r>
          </w:p>
        </w:tc>
      </w:tr>
    </w:tbl>
    <w:p w14:paraId="309F9057" w14:textId="1C7F95D7" w:rsidR="0015475C" w:rsidRPr="00F41C48" w:rsidRDefault="0092131E" w:rsidP="00293D4C">
      <w:pPr>
        <w:spacing w:line="360" w:lineRule="auto"/>
        <w:rPr>
          <w:rFonts w:cs="Arial"/>
          <w:sz w:val="20"/>
          <w:szCs w:val="20"/>
        </w:rPr>
      </w:pPr>
      <w:r w:rsidRPr="00F41C48">
        <w:rPr>
          <w:rFonts w:cs="Arial"/>
          <w:b/>
          <w:bCs/>
          <w:sz w:val="20"/>
          <w:szCs w:val="20"/>
        </w:rPr>
        <w:t>a:</w:t>
      </w:r>
      <w:r w:rsidR="0015475C" w:rsidRPr="00F41C48">
        <w:rPr>
          <w:rFonts w:cs="Arial"/>
          <w:sz w:val="20"/>
          <w:szCs w:val="20"/>
        </w:rPr>
        <w:t xml:space="preserve"> Data points and lines are observed and predicted concentrations for individual subjects</w:t>
      </w:r>
      <w:r w:rsidR="00590159" w:rsidRPr="00F41C48">
        <w:rPr>
          <w:rFonts w:cs="Arial"/>
          <w:sz w:val="20"/>
          <w:szCs w:val="20"/>
        </w:rPr>
        <w:t>. The dotted horizontal line represents the lower limit of quantification of the assay</w:t>
      </w:r>
    </w:p>
    <w:p w14:paraId="72457E8C" w14:textId="7EFC302F" w:rsidR="00160723" w:rsidRPr="00F41C48" w:rsidRDefault="0092131E" w:rsidP="00293D4C">
      <w:pPr>
        <w:spacing w:line="360" w:lineRule="auto"/>
        <w:rPr>
          <w:rFonts w:cs="Arial"/>
          <w:sz w:val="20"/>
          <w:szCs w:val="20"/>
        </w:rPr>
      </w:pPr>
      <w:r w:rsidRPr="00F41C48">
        <w:rPr>
          <w:rFonts w:cs="Arial"/>
          <w:b/>
          <w:bCs/>
          <w:sz w:val="20"/>
          <w:szCs w:val="20"/>
        </w:rPr>
        <w:t>b:</w:t>
      </w:r>
      <w:r w:rsidR="0015475C" w:rsidRPr="00F41C48">
        <w:rPr>
          <w:rFonts w:cs="Arial"/>
          <w:sz w:val="20"/>
          <w:szCs w:val="20"/>
        </w:rPr>
        <w:t xml:space="preserve"> Shows model-derived bioavailability for the same subjects. All predictions were from the final PK model. High bioavailability: A1–A6</w:t>
      </w:r>
      <w:r w:rsidR="00CC47AE" w:rsidRPr="00F41C48">
        <w:rPr>
          <w:rFonts w:cs="Arial"/>
          <w:sz w:val="20"/>
          <w:szCs w:val="20"/>
        </w:rPr>
        <w:t xml:space="preserve">; </w:t>
      </w:r>
      <w:r w:rsidRPr="00F41C48">
        <w:rPr>
          <w:rFonts w:cs="Arial"/>
          <w:sz w:val="20"/>
          <w:szCs w:val="20"/>
        </w:rPr>
        <w:t>m</w:t>
      </w:r>
      <w:r w:rsidR="0015475C" w:rsidRPr="00F41C48">
        <w:rPr>
          <w:rFonts w:cs="Arial"/>
          <w:sz w:val="20"/>
          <w:szCs w:val="20"/>
        </w:rPr>
        <w:t>edium bioavailability: B1–B3</w:t>
      </w:r>
      <w:r w:rsidR="00CC47AE" w:rsidRPr="00F41C48">
        <w:rPr>
          <w:rFonts w:cs="Arial"/>
          <w:sz w:val="20"/>
          <w:szCs w:val="20"/>
        </w:rPr>
        <w:t xml:space="preserve">; </w:t>
      </w:r>
      <w:r w:rsidRPr="00F41C48">
        <w:rPr>
          <w:rFonts w:cs="Arial"/>
          <w:sz w:val="20"/>
          <w:szCs w:val="20"/>
        </w:rPr>
        <w:t>l</w:t>
      </w:r>
      <w:r w:rsidR="0015475C" w:rsidRPr="00F41C48">
        <w:rPr>
          <w:rFonts w:cs="Arial"/>
          <w:sz w:val="20"/>
          <w:szCs w:val="20"/>
        </w:rPr>
        <w:t>ow bioavailability: C1–C3. Subjects were selected to illustrate profiles with high/medium/low bioavailability</w:t>
      </w:r>
    </w:p>
    <w:p w14:paraId="72C33022" w14:textId="2F27A8B7" w:rsidR="00801B5C" w:rsidRPr="00F41C48" w:rsidRDefault="00280FFC" w:rsidP="00293D4C">
      <w:pPr>
        <w:spacing w:line="360" w:lineRule="auto"/>
        <w:rPr>
          <w:rFonts w:cs="Arial"/>
          <w:sz w:val="20"/>
          <w:szCs w:val="20"/>
        </w:rPr>
      </w:pPr>
      <w:r w:rsidRPr="00F41C48">
        <w:rPr>
          <w:rFonts w:cs="Arial"/>
          <w:sz w:val="20"/>
          <w:szCs w:val="20"/>
        </w:rPr>
        <w:lastRenderedPageBreak/>
        <w:t xml:space="preserve">Data are from the following trials: </w:t>
      </w:r>
      <w:r w:rsidR="0092131E" w:rsidRPr="00F41C48">
        <w:rPr>
          <w:rFonts w:cs="Arial"/>
          <w:sz w:val="20"/>
          <w:szCs w:val="20"/>
        </w:rPr>
        <w:t>d</w:t>
      </w:r>
      <w:r w:rsidRPr="00F41C48">
        <w:rPr>
          <w:rFonts w:cs="Arial"/>
          <w:sz w:val="20"/>
          <w:szCs w:val="20"/>
        </w:rPr>
        <w:t xml:space="preserve">osing conditions (NCT01572753) </w:t>
      </w:r>
      <w:r w:rsidR="00973C9B" w:rsidRPr="00F41C48">
        <w:rPr>
          <w:rFonts w:cs="Arial"/>
          <w:sz w:val="20"/>
          <w:szCs w:val="20"/>
        </w:rPr>
        <w:t>[2]</w:t>
      </w:r>
      <w:r w:rsidRPr="00F41C48">
        <w:rPr>
          <w:rFonts w:cs="Arial"/>
          <w:sz w:val="20"/>
          <w:szCs w:val="20"/>
        </w:rPr>
        <w:t xml:space="preserve">, scintigraphy (NCT01619345) </w:t>
      </w:r>
      <w:r w:rsidR="00973C9B" w:rsidRPr="00F41C48">
        <w:rPr>
          <w:rFonts w:cs="Arial"/>
          <w:sz w:val="20"/>
          <w:szCs w:val="20"/>
        </w:rPr>
        <w:t>[3]</w:t>
      </w:r>
      <w:r w:rsidRPr="00F41C48">
        <w:rPr>
          <w:rFonts w:cs="Arial"/>
          <w:sz w:val="20"/>
          <w:szCs w:val="20"/>
        </w:rPr>
        <w:t xml:space="preserve">, renal (NCT02014259) </w:t>
      </w:r>
      <w:r w:rsidR="0092131E" w:rsidRPr="00F41C48">
        <w:rPr>
          <w:rFonts w:cs="Arial"/>
          <w:sz w:val="20"/>
          <w:szCs w:val="20"/>
        </w:rPr>
        <w:t>[</w:t>
      </w:r>
      <w:r w:rsidR="0022339E" w:rsidRPr="00F41C48">
        <w:rPr>
          <w:rFonts w:cs="Arial"/>
          <w:sz w:val="20"/>
          <w:szCs w:val="20"/>
        </w:rPr>
        <w:t>4</w:t>
      </w:r>
      <w:r w:rsidR="0092131E" w:rsidRPr="00F41C48">
        <w:rPr>
          <w:rFonts w:cs="Arial"/>
          <w:sz w:val="20"/>
          <w:szCs w:val="20"/>
        </w:rPr>
        <w:t>]</w:t>
      </w:r>
      <w:r w:rsidRPr="00F41C48">
        <w:rPr>
          <w:rFonts w:cs="Arial"/>
          <w:sz w:val="20"/>
          <w:szCs w:val="20"/>
        </w:rPr>
        <w:t xml:space="preserve">, hepatic (NCT02016911) </w:t>
      </w:r>
      <w:r w:rsidR="0092131E" w:rsidRPr="00F41C48">
        <w:rPr>
          <w:rFonts w:cs="Arial"/>
          <w:sz w:val="20"/>
          <w:szCs w:val="20"/>
        </w:rPr>
        <w:t>[</w:t>
      </w:r>
      <w:r w:rsidR="0022339E" w:rsidRPr="00F41C48">
        <w:rPr>
          <w:rFonts w:cs="Arial"/>
          <w:sz w:val="20"/>
          <w:szCs w:val="20"/>
        </w:rPr>
        <w:t>5</w:t>
      </w:r>
      <w:r w:rsidR="0092131E" w:rsidRPr="00F41C48">
        <w:rPr>
          <w:rFonts w:cs="Arial"/>
          <w:sz w:val="20"/>
          <w:szCs w:val="20"/>
        </w:rPr>
        <w:t>]</w:t>
      </w:r>
      <w:r w:rsidRPr="00F41C48">
        <w:rPr>
          <w:rFonts w:cs="Arial"/>
          <w:sz w:val="20"/>
          <w:szCs w:val="20"/>
        </w:rPr>
        <w:t xml:space="preserve">, DDI omeprazole (NCT02249871) </w:t>
      </w:r>
      <w:r w:rsidR="0092131E" w:rsidRPr="00F41C48">
        <w:rPr>
          <w:rFonts w:cs="Arial"/>
          <w:sz w:val="20"/>
          <w:szCs w:val="20"/>
        </w:rPr>
        <w:t>[</w:t>
      </w:r>
      <w:r w:rsidR="0022339E" w:rsidRPr="00F41C48">
        <w:rPr>
          <w:rFonts w:cs="Arial"/>
          <w:sz w:val="20"/>
          <w:szCs w:val="20"/>
        </w:rPr>
        <w:t>6</w:t>
      </w:r>
      <w:r w:rsidR="0092131E" w:rsidRPr="00F41C48">
        <w:rPr>
          <w:rFonts w:cs="Arial"/>
          <w:sz w:val="20"/>
          <w:szCs w:val="20"/>
        </w:rPr>
        <w:t>]</w:t>
      </w:r>
      <w:r w:rsidRPr="00F41C48">
        <w:rPr>
          <w:rFonts w:cs="Arial"/>
          <w:sz w:val="20"/>
          <w:szCs w:val="20"/>
        </w:rPr>
        <w:t xml:space="preserve"> and food effect (NCT02172313) </w:t>
      </w:r>
      <w:r w:rsidR="00973C9B" w:rsidRPr="00F41C48">
        <w:rPr>
          <w:rFonts w:cs="Arial"/>
          <w:sz w:val="20"/>
          <w:szCs w:val="20"/>
        </w:rPr>
        <w:t>[7]</w:t>
      </w:r>
    </w:p>
    <w:p w14:paraId="4494B03F" w14:textId="1E3092AD" w:rsidR="0015475C" w:rsidRPr="00F41C48" w:rsidRDefault="00801B5C" w:rsidP="00293D4C">
      <w:pPr>
        <w:spacing w:line="360" w:lineRule="auto"/>
        <w:rPr>
          <w:rFonts w:cs="Arial"/>
        </w:rPr>
      </w:pPr>
      <w:r w:rsidRPr="00F41C48">
        <w:rPr>
          <w:rFonts w:cs="Arial"/>
          <w:i/>
          <w:iCs/>
          <w:sz w:val="20"/>
          <w:szCs w:val="20"/>
        </w:rPr>
        <w:t>DDI</w:t>
      </w:r>
      <w:r w:rsidRPr="00F41C48">
        <w:rPr>
          <w:rFonts w:cs="Arial"/>
          <w:sz w:val="20"/>
          <w:szCs w:val="20"/>
        </w:rPr>
        <w:t xml:space="preserve"> drug-drug interaction</w:t>
      </w:r>
      <w:r w:rsidR="0092131E" w:rsidRPr="00F41C48">
        <w:rPr>
          <w:rFonts w:cs="Arial"/>
          <w:sz w:val="20"/>
          <w:szCs w:val="20"/>
        </w:rPr>
        <w:t>,</w:t>
      </w:r>
      <w:r w:rsidRPr="00F41C48">
        <w:rPr>
          <w:rFonts w:cs="Arial"/>
          <w:sz w:val="20"/>
          <w:szCs w:val="20"/>
        </w:rPr>
        <w:t xml:space="preserve"> </w:t>
      </w:r>
      <w:r w:rsidRPr="00F41C48">
        <w:rPr>
          <w:rFonts w:cs="Arial"/>
          <w:i/>
          <w:iCs/>
          <w:sz w:val="20"/>
          <w:szCs w:val="20"/>
        </w:rPr>
        <w:t>PK</w:t>
      </w:r>
      <w:r w:rsidRPr="00F41C48">
        <w:rPr>
          <w:rFonts w:cs="Arial"/>
          <w:sz w:val="20"/>
          <w:szCs w:val="20"/>
        </w:rPr>
        <w:t xml:space="preserve"> pharmacokinetic</w:t>
      </w:r>
      <w:r w:rsidR="0015475C" w:rsidRPr="00F41C48">
        <w:rPr>
          <w:rFonts w:cs="Arial"/>
          <w:b/>
          <w:bCs/>
        </w:rPr>
        <w:br w:type="page"/>
      </w:r>
    </w:p>
    <w:p w14:paraId="173A3A6E" w14:textId="4A094664" w:rsidR="0015475C" w:rsidRPr="00F41C48" w:rsidRDefault="0015475C" w:rsidP="001E51C8">
      <w:pPr>
        <w:pStyle w:val="Heading1"/>
        <w:spacing w:line="360" w:lineRule="auto"/>
        <w:rPr>
          <w:color w:val="auto"/>
        </w:rPr>
      </w:pPr>
      <w:bookmarkStart w:id="16" w:name="_Toc67581066"/>
      <w:r w:rsidRPr="00F41C48">
        <w:rPr>
          <w:color w:val="auto"/>
        </w:rPr>
        <w:lastRenderedPageBreak/>
        <w:t>Online resource, Fig</w:t>
      </w:r>
      <w:r w:rsidR="0092131E" w:rsidRPr="00F41C48">
        <w:rPr>
          <w:color w:val="auto"/>
        </w:rPr>
        <w:t>.</w:t>
      </w:r>
      <w:r w:rsidRPr="00F41C48">
        <w:rPr>
          <w:color w:val="auto"/>
        </w:rPr>
        <w:t xml:space="preserve"> </w:t>
      </w:r>
      <w:r w:rsidR="000A5DEA" w:rsidRPr="00F41C48">
        <w:rPr>
          <w:color w:val="auto"/>
        </w:rPr>
        <w:t xml:space="preserve">6 </w:t>
      </w:r>
      <w:r w:rsidRPr="00F41C48">
        <w:rPr>
          <w:b w:val="0"/>
          <w:color w:val="auto"/>
        </w:rPr>
        <w:t>Observed individual and mean PK profiles</w:t>
      </w:r>
      <w:r w:rsidR="00280FFC" w:rsidRPr="00F41C48">
        <w:rPr>
          <w:b w:val="0"/>
          <w:color w:val="auto"/>
        </w:rPr>
        <w:t xml:space="preserve"> from the dosing conditions trial. D</w:t>
      </w:r>
      <w:r w:rsidRPr="00F41C48">
        <w:rPr>
          <w:b w:val="0"/>
          <w:color w:val="auto"/>
        </w:rPr>
        <w:t xml:space="preserve">osing interval for the </w:t>
      </w:r>
      <w:r w:rsidR="0092131E" w:rsidRPr="00F41C48">
        <w:rPr>
          <w:b w:val="0"/>
          <w:color w:val="auto"/>
        </w:rPr>
        <w:t>1</w:t>
      </w:r>
      <w:r w:rsidR="0092131E" w:rsidRPr="00F41C48">
        <w:rPr>
          <w:b w:val="0"/>
          <w:color w:val="auto"/>
          <w:vertAlign w:val="superscript"/>
        </w:rPr>
        <w:t>st</w:t>
      </w:r>
      <w:r w:rsidRPr="00F41C48">
        <w:rPr>
          <w:b w:val="0"/>
          <w:color w:val="auto"/>
        </w:rPr>
        <w:t xml:space="preserve"> dose (</w:t>
      </w:r>
      <w:r w:rsidR="0092131E" w:rsidRPr="00F41C48">
        <w:rPr>
          <w:b w:val="0"/>
          <w:color w:val="auto"/>
        </w:rPr>
        <w:t>a</w:t>
      </w:r>
      <w:r w:rsidRPr="00F41C48">
        <w:rPr>
          <w:b w:val="0"/>
          <w:color w:val="auto"/>
        </w:rPr>
        <w:t>) and for the 10</w:t>
      </w:r>
      <w:r w:rsidRPr="00F41C48">
        <w:rPr>
          <w:b w:val="0"/>
          <w:color w:val="auto"/>
          <w:vertAlign w:val="superscript"/>
        </w:rPr>
        <w:t>th</w:t>
      </w:r>
      <w:r w:rsidRPr="00F41C48">
        <w:rPr>
          <w:b w:val="0"/>
          <w:color w:val="auto"/>
        </w:rPr>
        <w:t xml:space="preserve"> dose (</w:t>
      </w:r>
      <w:r w:rsidR="0092131E" w:rsidRPr="00F41C48">
        <w:rPr>
          <w:b w:val="0"/>
          <w:color w:val="auto"/>
        </w:rPr>
        <w:t>b</w:t>
      </w:r>
      <w:r w:rsidRPr="00F41C48">
        <w:rPr>
          <w:b w:val="0"/>
          <w:color w:val="auto"/>
        </w:rPr>
        <w:t xml:space="preserve">) of repetitive </w:t>
      </w:r>
      <w:r w:rsidR="00BA778E" w:rsidRPr="00F41C48">
        <w:rPr>
          <w:b w:val="0"/>
          <w:color w:val="auto"/>
        </w:rPr>
        <w:t>once-daily</w:t>
      </w:r>
      <w:r w:rsidRPr="00F41C48">
        <w:rPr>
          <w:b w:val="0"/>
          <w:color w:val="auto"/>
        </w:rPr>
        <w:t xml:space="preserve"> oral dosing of semaglutide</w:t>
      </w:r>
      <w:bookmarkEnd w:id="16"/>
    </w:p>
    <w:tbl>
      <w:tblPr>
        <w:tblW w:w="9637" w:type="dxa"/>
        <w:tblLayout w:type="fixed"/>
        <w:tblLook w:val="04A0" w:firstRow="1" w:lastRow="0" w:firstColumn="1" w:lastColumn="0" w:noHBand="0" w:noVBand="1"/>
      </w:tblPr>
      <w:tblGrid>
        <w:gridCol w:w="4818"/>
        <w:gridCol w:w="4819"/>
      </w:tblGrid>
      <w:tr w:rsidR="00E03ECB" w:rsidRPr="00F41C48" w14:paraId="5A4E706C" w14:textId="77777777" w:rsidTr="00507696">
        <w:tc>
          <w:tcPr>
            <w:tcW w:w="4818" w:type="dxa"/>
            <w:tcMar>
              <w:top w:w="0" w:type="dxa"/>
              <w:bottom w:w="0" w:type="dxa"/>
            </w:tcMar>
          </w:tcPr>
          <w:p w14:paraId="2FE043C3" w14:textId="2136063C" w:rsidR="0015475C" w:rsidRPr="00F41C48" w:rsidRDefault="0092131E" w:rsidP="00293D4C">
            <w:pPr>
              <w:spacing w:line="360" w:lineRule="auto"/>
              <w:rPr>
                <w:rFonts w:cs="Arial"/>
                <w:b/>
                <w:bCs/>
              </w:rPr>
            </w:pPr>
            <w:r w:rsidRPr="00F41C48">
              <w:rPr>
                <w:rFonts w:cs="Arial"/>
                <w:b/>
                <w:bCs/>
              </w:rPr>
              <w:t>a</w:t>
            </w:r>
            <w:r w:rsidR="0015475C" w:rsidRPr="00F41C48">
              <w:rPr>
                <w:rFonts w:cs="Arial"/>
                <w:b/>
                <w:bCs/>
              </w:rPr>
              <w:t xml:space="preserve"> </w:t>
            </w:r>
            <w:r w:rsidR="00836A61" w:rsidRPr="00F41C48">
              <w:rPr>
                <w:noProof/>
                <w:lang w:val="en-IN" w:eastAsia="en-IN"/>
              </w:rPr>
              <w:drawing>
                <wp:inline distT="0" distB="0" distL="0" distR="0" wp14:anchorId="3099EBDD" wp14:editId="1BFA3C61">
                  <wp:extent cx="2922270" cy="16694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22270" cy="1669415"/>
                          </a:xfrm>
                          <a:prstGeom prst="rect">
                            <a:avLst/>
                          </a:prstGeom>
                        </pic:spPr>
                      </pic:pic>
                    </a:graphicData>
                  </a:graphic>
                </wp:inline>
              </w:drawing>
            </w:r>
          </w:p>
        </w:tc>
        <w:tc>
          <w:tcPr>
            <w:tcW w:w="4819" w:type="dxa"/>
            <w:tcMar>
              <w:top w:w="0" w:type="dxa"/>
              <w:bottom w:w="0" w:type="dxa"/>
            </w:tcMar>
          </w:tcPr>
          <w:p w14:paraId="4994535A" w14:textId="75DDC5E0" w:rsidR="0015475C" w:rsidRPr="00F41C48" w:rsidRDefault="0092131E" w:rsidP="00293D4C">
            <w:pPr>
              <w:spacing w:line="360" w:lineRule="auto"/>
              <w:rPr>
                <w:rFonts w:cs="Arial"/>
                <w:b/>
                <w:bCs/>
              </w:rPr>
            </w:pPr>
            <w:r w:rsidRPr="00F41C48">
              <w:rPr>
                <w:rFonts w:cs="Arial"/>
                <w:b/>
                <w:bCs/>
              </w:rPr>
              <w:t>b</w:t>
            </w:r>
            <w:r w:rsidR="00836A61" w:rsidRPr="00F41C48">
              <w:rPr>
                <w:noProof/>
                <w:lang w:val="en-IN" w:eastAsia="en-IN"/>
              </w:rPr>
              <w:drawing>
                <wp:inline distT="0" distB="0" distL="0" distR="0" wp14:anchorId="57FD0DAC" wp14:editId="5AAF25BF">
                  <wp:extent cx="3074121" cy="1656272"/>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79916" cy="1659394"/>
                          </a:xfrm>
                          <a:prstGeom prst="rect">
                            <a:avLst/>
                          </a:prstGeom>
                        </pic:spPr>
                      </pic:pic>
                    </a:graphicData>
                  </a:graphic>
                </wp:inline>
              </w:drawing>
            </w:r>
          </w:p>
        </w:tc>
      </w:tr>
    </w:tbl>
    <w:p w14:paraId="0E3BB914" w14:textId="4E12DF52" w:rsidR="0015475C" w:rsidRPr="00F41C48" w:rsidRDefault="00280FFC" w:rsidP="00293D4C">
      <w:pPr>
        <w:spacing w:line="360" w:lineRule="auto"/>
        <w:rPr>
          <w:rFonts w:cs="Arial"/>
          <w:sz w:val="20"/>
          <w:szCs w:val="20"/>
        </w:rPr>
      </w:pPr>
      <w:r w:rsidRPr="00F41C48">
        <w:rPr>
          <w:rFonts w:cs="Arial"/>
          <w:sz w:val="20"/>
          <w:szCs w:val="20"/>
        </w:rPr>
        <w:t>D</w:t>
      </w:r>
      <w:r w:rsidR="0015475C" w:rsidRPr="00F41C48">
        <w:rPr>
          <w:rFonts w:cs="Arial"/>
          <w:sz w:val="20"/>
          <w:szCs w:val="20"/>
        </w:rPr>
        <w:t xml:space="preserve">osing conditions: </w:t>
      </w:r>
      <w:r w:rsidR="004958FF" w:rsidRPr="00F41C48">
        <w:rPr>
          <w:rFonts w:cs="Arial"/>
          <w:sz w:val="20"/>
          <w:szCs w:val="20"/>
        </w:rPr>
        <w:t>c</w:t>
      </w:r>
      <w:r w:rsidR="0015475C" w:rsidRPr="00F41C48">
        <w:rPr>
          <w:rFonts w:cs="Arial"/>
          <w:sz w:val="20"/>
          <w:szCs w:val="20"/>
        </w:rPr>
        <w:t xml:space="preserve">o-ingestion of 50 or 120 mL of water and with 30 min of fasting. Full lines are individual profiles, data points with error bars are geometric means with 90% ranges. The dotted </w:t>
      </w:r>
      <w:r w:rsidR="004958FF" w:rsidRPr="00F41C48">
        <w:rPr>
          <w:rFonts w:cs="Arial"/>
          <w:sz w:val="20"/>
          <w:szCs w:val="20"/>
        </w:rPr>
        <w:t>horizontal</w:t>
      </w:r>
      <w:r w:rsidR="0015475C" w:rsidRPr="00F41C48">
        <w:rPr>
          <w:rFonts w:cs="Arial"/>
          <w:sz w:val="20"/>
          <w:szCs w:val="20"/>
        </w:rPr>
        <w:t xml:space="preserve"> line represents the lower limit of quantification of the assay</w:t>
      </w:r>
    </w:p>
    <w:p w14:paraId="46657294" w14:textId="07E0722E" w:rsidR="00160723" w:rsidRPr="00F41C48" w:rsidRDefault="00160723" w:rsidP="00293D4C">
      <w:pPr>
        <w:spacing w:line="360" w:lineRule="auto"/>
        <w:rPr>
          <w:rFonts w:cs="Arial"/>
          <w:sz w:val="20"/>
          <w:szCs w:val="20"/>
        </w:rPr>
      </w:pPr>
      <w:r w:rsidRPr="00F41C48">
        <w:rPr>
          <w:rFonts w:cs="Arial"/>
          <w:sz w:val="20"/>
          <w:szCs w:val="20"/>
        </w:rPr>
        <w:t xml:space="preserve">Data are from the following trial: </w:t>
      </w:r>
      <w:r w:rsidR="004958FF" w:rsidRPr="00F41C48">
        <w:rPr>
          <w:rFonts w:cs="Arial"/>
          <w:sz w:val="20"/>
          <w:szCs w:val="20"/>
        </w:rPr>
        <w:t>d</w:t>
      </w:r>
      <w:r w:rsidRPr="00F41C48">
        <w:rPr>
          <w:rFonts w:cs="Arial"/>
          <w:sz w:val="20"/>
          <w:szCs w:val="20"/>
        </w:rPr>
        <w:t xml:space="preserve">osing conditions (NCT01572753) </w:t>
      </w:r>
      <w:r w:rsidR="00973C9B" w:rsidRPr="00F41C48">
        <w:rPr>
          <w:rFonts w:cs="Arial"/>
          <w:sz w:val="20"/>
          <w:szCs w:val="20"/>
        </w:rPr>
        <w:t>[2]</w:t>
      </w:r>
    </w:p>
    <w:p w14:paraId="7B17D3BA" w14:textId="1C3D03F9" w:rsidR="00801B5C" w:rsidRPr="00F41C48" w:rsidRDefault="00801B5C" w:rsidP="00293D4C">
      <w:pPr>
        <w:spacing w:line="360" w:lineRule="auto"/>
        <w:rPr>
          <w:rFonts w:cs="Arial"/>
        </w:rPr>
      </w:pPr>
      <w:r w:rsidRPr="00F41C48">
        <w:rPr>
          <w:rFonts w:cs="Arial"/>
          <w:i/>
          <w:iCs/>
          <w:sz w:val="20"/>
          <w:szCs w:val="20"/>
        </w:rPr>
        <w:t>PK</w:t>
      </w:r>
      <w:r w:rsidRPr="00F41C48">
        <w:rPr>
          <w:rFonts w:cs="Arial"/>
          <w:sz w:val="20"/>
          <w:szCs w:val="20"/>
        </w:rPr>
        <w:t xml:space="preserve"> pharmacokinetic</w:t>
      </w:r>
    </w:p>
    <w:p w14:paraId="2437DF94" w14:textId="77777777" w:rsidR="0015475C" w:rsidRPr="00F41C48" w:rsidRDefault="0015475C" w:rsidP="00293D4C">
      <w:pPr>
        <w:spacing w:line="360" w:lineRule="auto"/>
        <w:rPr>
          <w:rFonts w:cs="Arial"/>
          <w:b/>
          <w:bCs/>
        </w:rPr>
      </w:pPr>
      <w:r w:rsidRPr="00F41C48">
        <w:rPr>
          <w:rFonts w:cs="Arial"/>
          <w:b/>
          <w:bCs/>
        </w:rPr>
        <w:br w:type="page"/>
      </w:r>
    </w:p>
    <w:p w14:paraId="0E88E3CC" w14:textId="60DE351B" w:rsidR="0015475C" w:rsidRPr="00F41C48" w:rsidRDefault="0015475C" w:rsidP="001E51C8">
      <w:pPr>
        <w:pStyle w:val="Heading1"/>
        <w:spacing w:line="360" w:lineRule="auto"/>
        <w:rPr>
          <w:color w:val="auto"/>
        </w:rPr>
      </w:pPr>
      <w:bookmarkStart w:id="17" w:name="_Toc67581067"/>
      <w:r w:rsidRPr="00F41C48">
        <w:rPr>
          <w:color w:val="auto"/>
        </w:rPr>
        <w:lastRenderedPageBreak/>
        <w:t>Online resource, Fig</w:t>
      </w:r>
      <w:r w:rsidR="004958FF" w:rsidRPr="00F41C48">
        <w:rPr>
          <w:color w:val="auto"/>
        </w:rPr>
        <w:t>.</w:t>
      </w:r>
      <w:r w:rsidRPr="00F41C48">
        <w:rPr>
          <w:color w:val="auto"/>
        </w:rPr>
        <w:t xml:space="preserve"> </w:t>
      </w:r>
      <w:r w:rsidR="000A5DEA" w:rsidRPr="00F41C48">
        <w:rPr>
          <w:color w:val="auto"/>
        </w:rPr>
        <w:t xml:space="preserve">7 </w:t>
      </w:r>
      <w:r w:rsidRPr="00F41C48">
        <w:rPr>
          <w:b w:val="0"/>
          <w:color w:val="auto"/>
        </w:rPr>
        <w:t xml:space="preserve">PK profiles during </w:t>
      </w:r>
      <w:r w:rsidR="00BA778E" w:rsidRPr="00F41C48">
        <w:rPr>
          <w:b w:val="0"/>
          <w:color w:val="auto"/>
        </w:rPr>
        <w:t>once-daily</w:t>
      </w:r>
      <w:r w:rsidRPr="00F41C48">
        <w:rPr>
          <w:b w:val="0"/>
          <w:color w:val="auto"/>
        </w:rPr>
        <w:t xml:space="preserve"> oral administration of semaglutide in subjects with T2D with or without upper GI disease</w:t>
      </w:r>
      <w:bookmarkEnd w:id="17"/>
    </w:p>
    <w:p w14:paraId="503AED83" w14:textId="77777777" w:rsidR="00836A61" w:rsidRPr="00F41C48" w:rsidRDefault="00836A61" w:rsidP="00293D4C">
      <w:pPr>
        <w:spacing w:line="360" w:lineRule="auto"/>
        <w:rPr>
          <w:rFonts w:cs="Arial"/>
          <w:sz w:val="20"/>
          <w:szCs w:val="20"/>
        </w:rPr>
      </w:pPr>
      <w:r w:rsidRPr="00F41C48">
        <w:rPr>
          <w:noProof/>
          <w:lang w:val="en-IN" w:eastAsia="en-IN"/>
        </w:rPr>
        <w:drawing>
          <wp:inline distT="0" distB="0" distL="0" distR="0" wp14:anchorId="7B998F7C" wp14:editId="4739A4D5">
            <wp:extent cx="4546121" cy="28789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52424" cy="2882967"/>
                    </a:xfrm>
                    <a:prstGeom prst="rect">
                      <a:avLst/>
                    </a:prstGeom>
                  </pic:spPr>
                </pic:pic>
              </a:graphicData>
            </a:graphic>
          </wp:inline>
        </w:drawing>
      </w:r>
    </w:p>
    <w:p w14:paraId="2956909A" w14:textId="65A3993F" w:rsidR="00160723" w:rsidRPr="00F41C48" w:rsidRDefault="0015475C" w:rsidP="00293D4C">
      <w:pPr>
        <w:spacing w:line="360" w:lineRule="auto"/>
        <w:rPr>
          <w:rFonts w:cs="Arial"/>
          <w:sz w:val="20"/>
          <w:szCs w:val="20"/>
        </w:rPr>
      </w:pPr>
      <w:r w:rsidRPr="00F41C48">
        <w:rPr>
          <w:rFonts w:cs="Arial"/>
          <w:sz w:val="20"/>
          <w:szCs w:val="20"/>
        </w:rPr>
        <w:t xml:space="preserve">Data points with error bars are geometric mean observed concentrations with 95% CIs. Lines through data are population predictions. </w:t>
      </w:r>
      <w:r w:rsidR="00F127E8" w:rsidRPr="00F41C48">
        <w:rPr>
          <w:rFonts w:cs="Arial"/>
          <w:sz w:val="20"/>
          <w:szCs w:val="20"/>
        </w:rPr>
        <w:t>L</w:t>
      </w:r>
      <w:r w:rsidRPr="00F41C48">
        <w:rPr>
          <w:rFonts w:cs="Arial"/>
          <w:sz w:val="20"/>
          <w:szCs w:val="20"/>
        </w:rPr>
        <w:t>ines along the x</w:t>
      </w:r>
      <w:r w:rsidR="004958FF" w:rsidRPr="00F41C48">
        <w:rPr>
          <w:rFonts w:cs="Arial"/>
          <w:sz w:val="20"/>
          <w:szCs w:val="20"/>
        </w:rPr>
        <w:t xml:space="preserve"> </w:t>
      </w:r>
      <w:r w:rsidR="00F127E8" w:rsidRPr="00F41C48">
        <w:rPr>
          <w:rFonts w:cs="Arial"/>
          <w:sz w:val="20"/>
          <w:szCs w:val="20"/>
        </w:rPr>
        <w:t xml:space="preserve">axis </w:t>
      </w:r>
      <w:r w:rsidRPr="00F41C48">
        <w:rPr>
          <w:rFonts w:cs="Arial"/>
          <w:sz w:val="20"/>
          <w:szCs w:val="20"/>
        </w:rPr>
        <w:t>indicate dose levels and vertical arrows indicate occasions with on-site dosing</w:t>
      </w:r>
    </w:p>
    <w:p w14:paraId="60E68B19" w14:textId="2E57E35A" w:rsidR="0015475C" w:rsidRPr="00F41C48" w:rsidRDefault="0015475C" w:rsidP="00293D4C">
      <w:pPr>
        <w:spacing w:line="360" w:lineRule="auto"/>
        <w:rPr>
          <w:rFonts w:cs="Arial"/>
          <w:sz w:val="20"/>
          <w:szCs w:val="20"/>
        </w:rPr>
      </w:pPr>
      <w:r w:rsidRPr="00F41C48">
        <w:rPr>
          <w:rFonts w:cs="Arial"/>
          <w:sz w:val="20"/>
          <w:szCs w:val="20"/>
        </w:rPr>
        <w:t xml:space="preserve">Data </w:t>
      </w:r>
      <w:r w:rsidR="00A145BF" w:rsidRPr="00F41C48">
        <w:rPr>
          <w:rFonts w:cs="Arial"/>
          <w:sz w:val="20"/>
          <w:szCs w:val="20"/>
        </w:rPr>
        <w:t xml:space="preserve">are </w:t>
      </w:r>
      <w:r w:rsidRPr="00F41C48">
        <w:rPr>
          <w:rFonts w:cs="Arial"/>
          <w:sz w:val="20"/>
          <w:szCs w:val="20"/>
        </w:rPr>
        <w:t xml:space="preserve">from </w:t>
      </w:r>
      <w:r w:rsidR="00A145BF" w:rsidRPr="00F41C48">
        <w:rPr>
          <w:rFonts w:cs="Arial"/>
          <w:sz w:val="20"/>
          <w:szCs w:val="20"/>
        </w:rPr>
        <w:t xml:space="preserve">the </w:t>
      </w:r>
      <w:r w:rsidRPr="00F41C48">
        <w:rPr>
          <w:rFonts w:cs="Arial"/>
          <w:sz w:val="20"/>
          <w:szCs w:val="20"/>
        </w:rPr>
        <w:t>trial on effects of upper GI disease</w:t>
      </w:r>
      <w:r w:rsidR="00801B5C" w:rsidRPr="00F41C48">
        <w:rPr>
          <w:rFonts w:cs="Arial"/>
          <w:sz w:val="20"/>
          <w:szCs w:val="20"/>
        </w:rPr>
        <w:t xml:space="preserve"> in T2D</w:t>
      </w:r>
      <w:r w:rsidRPr="00F41C48">
        <w:rPr>
          <w:rFonts w:cs="Arial"/>
          <w:sz w:val="20"/>
          <w:szCs w:val="20"/>
        </w:rPr>
        <w:t xml:space="preserve"> </w:t>
      </w:r>
      <w:r w:rsidR="004958FF" w:rsidRPr="00F41C48">
        <w:rPr>
          <w:rFonts w:cs="Arial"/>
          <w:sz w:val="20"/>
          <w:szCs w:val="20"/>
        </w:rPr>
        <w:t>[1]</w:t>
      </w:r>
    </w:p>
    <w:p w14:paraId="2CB5D94C" w14:textId="77777777" w:rsidR="00816969" w:rsidRPr="00F41C48" w:rsidRDefault="00F127E8" w:rsidP="00293D4C">
      <w:pPr>
        <w:spacing w:line="360" w:lineRule="auto"/>
        <w:rPr>
          <w:rFonts w:cs="Arial"/>
          <w:sz w:val="20"/>
          <w:szCs w:val="20"/>
        </w:rPr>
      </w:pPr>
      <w:r w:rsidRPr="00F41C48">
        <w:rPr>
          <w:rFonts w:cs="Arial"/>
          <w:i/>
          <w:iCs/>
          <w:sz w:val="20"/>
          <w:szCs w:val="20"/>
        </w:rPr>
        <w:t>CI</w:t>
      </w:r>
      <w:r w:rsidRPr="00F41C48">
        <w:rPr>
          <w:rFonts w:cs="Arial"/>
          <w:sz w:val="20"/>
          <w:szCs w:val="20"/>
        </w:rPr>
        <w:t xml:space="preserve"> confidence interval</w:t>
      </w:r>
      <w:r w:rsidR="004958FF" w:rsidRPr="00F41C48">
        <w:rPr>
          <w:rFonts w:cs="Arial"/>
          <w:sz w:val="20"/>
          <w:szCs w:val="20"/>
        </w:rPr>
        <w:t>,</w:t>
      </w:r>
      <w:r w:rsidRPr="00F41C48">
        <w:rPr>
          <w:rFonts w:cs="Arial"/>
          <w:sz w:val="20"/>
          <w:szCs w:val="20"/>
        </w:rPr>
        <w:t xml:space="preserve"> </w:t>
      </w:r>
      <w:r w:rsidR="00280FFC" w:rsidRPr="00F41C48">
        <w:rPr>
          <w:rFonts w:cs="Arial"/>
          <w:i/>
          <w:iCs/>
          <w:sz w:val="20"/>
          <w:szCs w:val="20"/>
        </w:rPr>
        <w:t>GI</w:t>
      </w:r>
      <w:r w:rsidR="00280FFC" w:rsidRPr="00F41C48">
        <w:rPr>
          <w:rFonts w:cs="Arial"/>
          <w:sz w:val="20"/>
          <w:szCs w:val="20"/>
        </w:rPr>
        <w:t xml:space="preserve"> gastrointestinal</w:t>
      </w:r>
      <w:r w:rsidR="004958FF" w:rsidRPr="00F41C48">
        <w:rPr>
          <w:rFonts w:cs="Arial"/>
          <w:sz w:val="20"/>
          <w:szCs w:val="20"/>
        </w:rPr>
        <w:t>,</w:t>
      </w:r>
      <w:r w:rsidR="00280FFC" w:rsidRPr="00F41C48">
        <w:rPr>
          <w:rFonts w:cs="Arial"/>
          <w:sz w:val="20"/>
          <w:szCs w:val="20"/>
        </w:rPr>
        <w:t xml:space="preserve"> </w:t>
      </w:r>
      <w:r w:rsidR="00801B5C" w:rsidRPr="00F41C48">
        <w:rPr>
          <w:rFonts w:cs="Arial"/>
          <w:i/>
          <w:iCs/>
          <w:sz w:val="20"/>
          <w:szCs w:val="20"/>
        </w:rPr>
        <w:t>PK</w:t>
      </w:r>
      <w:r w:rsidR="00801B5C" w:rsidRPr="00F41C48">
        <w:rPr>
          <w:rFonts w:cs="Arial"/>
          <w:sz w:val="20"/>
          <w:szCs w:val="20"/>
        </w:rPr>
        <w:t xml:space="preserve"> pharmacokinetic</w:t>
      </w:r>
      <w:r w:rsidR="004958FF" w:rsidRPr="00F41C48">
        <w:rPr>
          <w:rFonts w:cs="Arial"/>
          <w:sz w:val="20"/>
          <w:szCs w:val="20"/>
        </w:rPr>
        <w:t>,</w:t>
      </w:r>
      <w:r w:rsidR="00801B5C" w:rsidRPr="00F41C48">
        <w:rPr>
          <w:rFonts w:cs="Arial"/>
          <w:sz w:val="20"/>
          <w:szCs w:val="20"/>
        </w:rPr>
        <w:t xml:space="preserve"> </w:t>
      </w:r>
      <w:r w:rsidR="00280FFC" w:rsidRPr="00F41C48">
        <w:rPr>
          <w:rFonts w:cs="Arial"/>
          <w:i/>
          <w:iCs/>
          <w:sz w:val="20"/>
          <w:szCs w:val="20"/>
        </w:rPr>
        <w:t>T2D</w:t>
      </w:r>
      <w:r w:rsidR="00280FFC" w:rsidRPr="00F41C48">
        <w:rPr>
          <w:rFonts w:cs="Arial"/>
          <w:sz w:val="20"/>
          <w:szCs w:val="20"/>
        </w:rPr>
        <w:t xml:space="preserve"> type 2 diabetes</w:t>
      </w:r>
    </w:p>
    <w:p w14:paraId="49F5343A" w14:textId="5BB36BC5" w:rsidR="00FA36C2" w:rsidRPr="00F41C48" w:rsidRDefault="00FA36C2" w:rsidP="00293D4C">
      <w:pPr>
        <w:spacing w:line="360" w:lineRule="auto"/>
        <w:rPr>
          <w:rFonts w:cs="Arial"/>
          <w:sz w:val="20"/>
          <w:szCs w:val="20"/>
        </w:rPr>
      </w:pPr>
      <w:r w:rsidRPr="00F41C48">
        <w:rPr>
          <w:rFonts w:cs="Arial"/>
          <w:sz w:val="20"/>
          <w:szCs w:val="20"/>
        </w:rPr>
        <w:br w:type="page"/>
      </w:r>
    </w:p>
    <w:p w14:paraId="077338F8" w14:textId="7AD6248C" w:rsidR="0015475C" w:rsidRPr="00F41C48" w:rsidRDefault="00816969" w:rsidP="0095172E">
      <w:pPr>
        <w:pStyle w:val="Heading1"/>
        <w:rPr>
          <w:color w:val="auto"/>
        </w:rPr>
      </w:pPr>
      <w:bookmarkStart w:id="18" w:name="_Toc67581068"/>
      <w:r w:rsidRPr="00F41C48">
        <w:rPr>
          <w:color w:val="auto"/>
        </w:rPr>
        <w:lastRenderedPageBreak/>
        <w:t>References</w:t>
      </w:r>
      <w:bookmarkEnd w:id="18"/>
    </w:p>
    <w:p w14:paraId="6928E181" w14:textId="6F2FA5F1" w:rsidR="00816969" w:rsidRPr="00F41C48" w:rsidRDefault="00816969" w:rsidP="0095172E">
      <w:pPr>
        <w:pStyle w:val="ListParagraph"/>
        <w:numPr>
          <w:ilvl w:val="0"/>
          <w:numId w:val="46"/>
        </w:numPr>
        <w:ind w:left="357" w:hanging="357"/>
        <w:contextualSpacing w:val="0"/>
      </w:pPr>
      <w:r w:rsidRPr="00F41C48">
        <w:t xml:space="preserve">Meier J, Granhall C, Hoevelmann U, Navarria A, Plum-Moerschel L, Ramesh C, et al. Effect of upper gastrointestinal disease on the pharmacokinetics of oral semaglutide in subjects with type 2 diabetes. </w:t>
      </w:r>
      <w:r w:rsidR="00F665D0" w:rsidRPr="00F41C48">
        <w:rPr>
          <w:bCs/>
        </w:rPr>
        <w:t>Diabetes 2019;68(</w:t>
      </w:r>
      <w:proofErr w:type="spellStart"/>
      <w:r w:rsidR="00F665D0" w:rsidRPr="00F41C48">
        <w:rPr>
          <w:bCs/>
        </w:rPr>
        <w:t>Suppl</w:t>
      </w:r>
      <w:proofErr w:type="spellEnd"/>
      <w:r w:rsidR="00F665D0" w:rsidRPr="00F41C48">
        <w:rPr>
          <w:bCs/>
        </w:rPr>
        <w:t xml:space="preserve"> 1):1013-P</w:t>
      </w:r>
      <w:r w:rsidR="00476997" w:rsidRPr="00F41C48">
        <w:rPr>
          <w:bCs/>
        </w:rPr>
        <w:t xml:space="preserve"> and poster presented at</w:t>
      </w:r>
      <w:r w:rsidRPr="00F41C48">
        <w:t xml:space="preserve">: </w:t>
      </w:r>
      <w:r w:rsidR="00973C9B" w:rsidRPr="00F41C48">
        <w:t>7</w:t>
      </w:r>
      <w:r w:rsidRPr="00F41C48">
        <w:t>9th Scientific Sessions of the American Diabetes Association Congress, San Francisco, CA, USA, June 7–11, 2019.</w:t>
      </w:r>
    </w:p>
    <w:p w14:paraId="3DFF0486" w14:textId="2D6490A2" w:rsidR="00973C9B" w:rsidRPr="00F41C48" w:rsidRDefault="00F665D0" w:rsidP="0095172E">
      <w:pPr>
        <w:pStyle w:val="ListParagraph"/>
        <w:numPr>
          <w:ilvl w:val="0"/>
          <w:numId w:val="46"/>
        </w:numPr>
        <w:ind w:left="357" w:hanging="357"/>
        <w:contextualSpacing w:val="0"/>
      </w:pPr>
      <w:proofErr w:type="spellStart"/>
      <w:r w:rsidRPr="00F41C48">
        <w:t>Donsmark</w:t>
      </w:r>
      <w:proofErr w:type="spellEnd"/>
      <w:r w:rsidRPr="00F41C48">
        <w:t xml:space="preserve"> M, </w:t>
      </w:r>
      <w:proofErr w:type="spellStart"/>
      <w:r w:rsidRPr="00F41C48">
        <w:t>Borregaard</w:t>
      </w:r>
      <w:proofErr w:type="spellEnd"/>
      <w:r w:rsidRPr="00F41C48">
        <w:t xml:space="preserve"> J, </w:t>
      </w:r>
      <w:proofErr w:type="spellStart"/>
      <w:r w:rsidRPr="00F41C48">
        <w:t>Breitschaft</w:t>
      </w:r>
      <w:proofErr w:type="spellEnd"/>
      <w:r w:rsidRPr="00F41C48">
        <w:t xml:space="preserve"> A, </w:t>
      </w:r>
      <w:proofErr w:type="spellStart"/>
      <w:r w:rsidRPr="00F41C48">
        <w:t>Bækdal</w:t>
      </w:r>
      <w:proofErr w:type="spellEnd"/>
      <w:r w:rsidRPr="00F41C48">
        <w:t xml:space="preserve"> TA, </w:t>
      </w:r>
      <w:proofErr w:type="spellStart"/>
      <w:r w:rsidRPr="00F41C48">
        <w:t>Søndergaard</w:t>
      </w:r>
      <w:proofErr w:type="spellEnd"/>
      <w:r w:rsidRPr="00F41C48">
        <w:t xml:space="preserve"> FL. Evaluation of the effects of water volume with dosing and post-dose fasting period on pharmacokinetics of oral semaglutide. </w:t>
      </w:r>
      <w:proofErr w:type="spellStart"/>
      <w:r w:rsidRPr="00F41C48">
        <w:t>Diabetologia</w:t>
      </w:r>
      <w:proofErr w:type="spellEnd"/>
      <w:r w:rsidRPr="00F41C48">
        <w:t xml:space="preserve"> 2017</w:t>
      </w:r>
      <w:proofErr w:type="gramStart"/>
      <w:r w:rsidRPr="00F41C48">
        <w:t>;60</w:t>
      </w:r>
      <w:proofErr w:type="gramEnd"/>
      <w:r w:rsidRPr="00F41C48">
        <w:t>(</w:t>
      </w:r>
      <w:proofErr w:type="spellStart"/>
      <w:r w:rsidRPr="00F41C48">
        <w:t>Suppl</w:t>
      </w:r>
      <w:proofErr w:type="spellEnd"/>
      <w:r w:rsidRPr="00F41C48">
        <w:t xml:space="preserve"> 1):S363–S364.</w:t>
      </w:r>
    </w:p>
    <w:p w14:paraId="1D7E79B6" w14:textId="6E80C65A" w:rsidR="0022339E" w:rsidRPr="00F41C48" w:rsidRDefault="00F665D0" w:rsidP="0095172E">
      <w:pPr>
        <w:pStyle w:val="ListParagraph"/>
        <w:numPr>
          <w:ilvl w:val="0"/>
          <w:numId w:val="46"/>
        </w:numPr>
        <w:ind w:left="357" w:hanging="357"/>
        <w:contextualSpacing w:val="0"/>
      </w:pPr>
      <w:r w:rsidRPr="00F41C48">
        <w:t xml:space="preserve">Connor A, Donsmark M, Hartoft-Nielsen M-L, Søndergaard FL, Bækdal TA. A </w:t>
      </w:r>
      <w:proofErr w:type="spellStart"/>
      <w:r w:rsidRPr="00F41C48">
        <w:t>pharmacoscintigraphic</w:t>
      </w:r>
      <w:proofErr w:type="spellEnd"/>
      <w:r w:rsidRPr="00F41C48">
        <w:t xml:space="preserve"> study of the relationship between tablet erosion and pharmacokinetics of oral semaglutide. </w:t>
      </w:r>
      <w:proofErr w:type="spellStart"/>
      <w:r w:rsidRPr="00F41C48">
        <w:t>Diabetologia</w:t>
      </w:r>
      <w:proofErr w:type="spellEnd"/>
      <w:r w:rsidRPr="00F41C48">
        <w:t xml:space="preserve"> 2017</w:t>
      </w:r>
      <w:proofErr w:type="gramStart"/>
      <w:r w:rsidRPr="00F41C48">
        <w:t>;60</w:t>
      </w:r>
      <w:proofErr w:type="gramEnd"/>
      <w:r w:rsidRPr="00F41C48">
        <w:t>(</w:t>
      </w:r>
      <w:proofErr w:type="spellStart"/>
      <w:r w:rsidRPr="00F41C48">
        <w:t>Suppl</w:t>
      </w:r>
      <w:proofErr w:type="spellEnd"/>
      <w:r w:rsidRPr="00F41C48">
        <w:t xml:space="preserve"> 1):S361. </w:t>
      </w:r>
    </w:p>
    <w:p w14:paraId="7C038BCB" w14:textId="13CDFC9B" w:rsidR="00883A90" w:rsidRPr="00F41C48" w:rsidRDefault="00883A90" w:rsidP="0095172E">
      <w:pPr>
        <w:pStyle w:val="ListParagraph"/>
        <w:numPr>
          <w:ilvl w:val="0"/>
          <w:numId w:val="46"/>
        </w:numPr>
        <w:ind w:left="357" w:hanging="357"/>
        <w:contextualSpacing w:val="0"/>
      </w:pPr>
      <w:proofErr w:type="spellStart"/>
      <w:r w:rsidRPr="00F41C48">
        <w:t>Granhall</w:t>
      </w:r>
      <w:proofErr w:type="spellEnd"/>
      <w:r w:rsidRPr="00F41C48">
        <w:t xml:space="preserve"> C, </w:t>
      </w:r>
      <w:proofErr w:type="spellStart"/>
      <w:r w:rsidRPr="00F41C48">
        <w:t>Sondergaard</w:t>
      </w:r>
      <w:proofErr w:type="spellEnd"/>
      <w:r w:rsidRPr="00F41C48">
        <w:t xml:space="preserve"> FL, Thomsen M, Anderson TW. Pharmacokinetics, safety and tolerability of oral semaglutide in subjects with renal impairment. </w:t>
      </w:r>
      <w:proofErr w:type="spellStart"/>
      <w:r w:rsidRPr="00F41C48">
        <w:t>Clin</w:t>
      </w:r>
      <w:proofErr w:type="spellEnd"/>
      <w:r w:rsidRPr="00F41C48">
        <w:t xml:space="preserve"> </w:t>
      </w:r>
      <w:proofErr w:type="spellStart"/>
      <w:r w:rsidRPr="00F41C48">
        <w:t>Pharmacokinet</w:t>
      </w:r>
      <w:proofErr w:type="spellEnd"/>
      <w:r w:rsidRPr="00F41C48">
        <w:t>. 2018;57(12):1571–80.</w:t>
      </w:r>
    </w:p>
    <w:p w14:paraId="2F16E0C2" w14:textId="3BCADBE7" w:rsidR="00883A90" w:rsidRPr="00F41C48" w:rsidRDefault="00883A90" w:rsidP="0095172E">
      <w:pPr>
        <w:pStyle w:val="ListParagraph"/>
        <w:numPr>
          <w:ilvl w:val="0"/>
          <w:numId w:val="46"/>
        </w:numPr>
        <w:ind w:left="357" w:hanging="357"/>
        <w:contextualSpacing w:val="0"/>
      </w:pPr>
      <w:proofErr w:type="spellStart"/>
      <w:r w:rsidRPr="00F41C48">
        <w:t>Baekdal</w:t>
      </w:r>
      <w:proofErr w:type="spellEnd"/>
      <w:r w:rsidRPr="00F41C48">
        <w:t xml:space="preserve"> TA, Thomsen M, </w:t>
      </w:r>
      <w:proofErr w:type="spellStart"/>
      <w:r w:rsidRPr="00F41C48">
        <w:t>Kupčová</w:t>
      </w:r>
      <w:proofErr w:type="spellEnd"/>
      <w:r w:rsidRPr="00F41C48">
        <w:t xml:space="preserve"> V, Hansen CW, Anderson TW. Pharmacokinetics, safety, and tolerability of oral semaglutide in subjects with hepatic impairment. J </w:t>
      </w:r>
      <w:proofErr w:type="spellStart"/>
      <w:r w:rsidRPr="00F41C48">
        <w:t>Clin</w:t>
      </w:r>
      <w:proofErr w:type="spellEnd"/>
      <w:r w:rsidRPr="00F41C48">
        <w:t xml:space="preserve"> </w:t>
      </w:r>
      <w:proofErr w:type="spellStart"/>
      <w:r w:rsidRPr="00F41C48">
        <w:t>Pharmacol</w:t>
      </w:r>
      <w:proofErr w:type="spellEnd"/>
      <w:r w:rsidRPr="00F41C48">
        <w:t>. 2018</w:t>
      </w:r>
      <w:proofErr w:type="gramStart"/>
      <w:r w:rsidRPr="00F41C48">
        <w:t>;58:1314</w:t>
      </w:r>
      <w:proofErr w:type="gramEnd"/>
      <w:r w:rsidRPr="00F41C48">
        <w:t>–23.</w:t>
      </w:r>
    </w:p>
    <w:p w14:paraId="65A16744" w14:textId="1F946E58" w:rsidR="00883A90" w:rsidRPr="00F41C48" w:rsidRDefault="00883A90" w:rsidP="0095172E">
      <w:pPr>
        <w:pStyle w:val="ListParagraph"/>
        <w:numPr>
          <w:ilvl w:val="0"/>
          <w:numId w:val="46"/>
        </w:numPr>
        <w:ind w:left="357" w:hanging="357"/>
      </w:pPr>
      <w:proofErr w:type="spellStart"/>
      <w:r w:rsidRPr="00F41C48">
        <w:t>Baekdal</w:t>
      </w:r>
      <w:proofErr w:type="spellEnd"/>
      <w:r w:rsidRPr="00F41C48">
        <w:t xml:space="preserve"> TA, </w:t>
      </w:r>
      <w:proofErr w:type="spellStart"/>
      <w:r w:rsidRPr="00F41C48">
        <w:t>Breitschaft</w:t>
      </w:r>
      <w:proofErr w:type="spellEnd"/>
      <w:r w:rsidRPr="00F41C48">
        <w:t xml:space="preserve"> A, Navarria A, Hansen CW. A randomized study investigating the effect of omeprazole on the pharmacokinetics of oral semaglutide. Expert </w:t>
      </w:r>
      <w:proofErr w:type="spellStart"/>
      <w:r w:rsidRPr="00F41C48">
        <w:t>Opin</w:t>
      </w:r>
      <w:proofErr w:type="spellEnd"/>
      <w:r w:rsidRPr="00F41C48">
        <w:t xml:space="preserve"> Drug </w:t>
      </w:r>
      <w:proofErr w:type="spellStart"/>
      <w:r w:rsidRPr="00F41C48">
        <w:t>Metab</w:t>
      </w:r>
      <w:proofErr w:type="spellEnd"/>
      <w:r w:rsidRPr="00F41C48">
        <w:t xml:space="preserve"> </w:t>
      </w:r>
      <w:proofErr w:type="spellStart"/>
      <w:r w:rsidRPr="00F41C48">
        <w:t>Toxicol</w:t>
      </w:r>
      <w:proofErr w:type="spellEnd"/>
      <w:r w:rsidRPr="00F41C48">
        <w:t>. 2018;14(8):869–77.</w:t>
      </w:r>
    </w:p>
    <w:p w14:paraId="10D5D291" w14:textId="40B8D494" w:rsidR="00AD2527" w:rsidRPr="00F41C48" w:rsidRDefault="001E6CA4" w:rsidP="001E6CA4">
      <w:pPr>
        <w:pStyle w:val="ListParagraph"/>
        <w:numPr>
          <w:ilvl w:val="0"/>
          <w:numId w:val="46"/>
        </w:numPr>
        <w:ind w:left="357" w:hanging="357"/>
      </w:pPr>
      <w:proofErr w:type="spellStart"/>
      <w:r w:rsidRPr="00F41C48">
        <w:t>Maarbjerg</w:t>
      </w:r>
      <w:proofErr w:type="spellEnd"/>
      <w:r w:rsidRPr="00F41C48">
        <w:t xml:space="preserve"> SJ, </w:t>
      </w:r>
      <w:proofErr w:type="spellStart"/>
      <w:r w:rsidRPr="00F41C48">
        <w:t>Borregaard</w:t>
      </w:r>
      <w:proofErr w:type="spellEnd"/>
      <w:r w:rsidRPr="00F41C48">
        <w:t xml:space="preserve"> J, Breitschaft A, </w:t>
      </w:r>
      <w:proofErr w:type="spellStart"/>
      <w:r w:rsidRPr="00F41C48">
        <w:t>Donsmark</w:t>
      </w:r>
      <w:proofErr w:type="spellEnd"/>
      <w:r w:rsidRPr="00F41C48">
        <w:t xml:space="preserve"> M, </w:t>
      </w:r>
      <w:proofErr w:type="spellStart"/>
      <w:r w:rsidRPr="00F41C48">
        <w:t>Søndergaard</w:t>
      </w:r>
      <w:proofErr w:type="spellEnd"/>
      <w:r w:rsidRPr="00F41C48">
        <w:t xml:space="preserve"> FL. Evaluation of the effect of food on the pharmacokinetics of oral semaglutide. </w:t>
      </w:r>
      <w:proofErr w:type="spellStart"/>
      <w:r w:rsidR="00D44E20" w:rsidRPr="00F41C48">
        <w:t>Diabetologia</w:t>
      </w:r>
      <w:proofErr w:type="spellEnd"/>
      <w:r w:rsidR="00D44E20" w:rsidRPr="00F41C48">
        <w:t xml:space="preserve"> 2017</w:t>
      </w:r>
      <w:proofErr w:type="gramStart"/>
      <w:r w:rsidR="00D44E20" w:rsidRPr="00F41C48">
        <w:t>;60</w:t>
      </w:r>
      <w:proofErr w:type="gramEnd"/>
      <w:r w:rsidR="00D44E20" w:rsidRPr="00F41C48">
        <w:t>(</w:t>
      </w:r>
      <w:proofErr w:type="spellStart"/>
      <w:r w:rsidR="00D44E20" w:rsidRPr="00F41C48">
        <w:t>Suppl</w:t>
      </w:r>
      <w:proofErr w:type="spellEnd"/>
      <w:r w:rsidR="00D44E20" w:rsidRPr="00F41C48">
        <w:t xml:space="preserve"> 1):S69. </w:t>
      </w:r>
    </w:p>
    <w:sectPr w:rsidR="00AD2527" w:rsidRPr="00F41C48" w:rsidSect="00CC47A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9AAC2" w14:textId="77777777" w:rsidR="008400AE" w:rsidRDefault="008400AE" w:rsidP="005E7B74">
      <w:pPr>
        <w:spacing w:after="0" w:line="240" w:lineRule="auto"/>
      </w:pPr>
      <w:r>
        <w:separator/>
      </w:r>
    </w:p>
    <w:p w14:paraId="67E894B0" w14:textId="77777777" w:rsidR="008400AE" w:rsidRDefault="008400AE"/>
  </w:endnote>
  <w:endnote w:type="continuationSeparator" w:id="0">
    <w:p w14:paraId="0594C0DE" w14:textId="77777777" w:rsidR="008400AE" w:rsidRDefault="008400AE" w:rsidP="005E7B74">
      <w:pPr>
        <w:spacing w:after="0" w:line="240" w:lineRule="auto"/>
      </w:pPr>
      <w:r>
        <w:continuationSeparator/>
      </w:r>
    </w:p>
    <w:p w14:paraId="36B7C5D6" w14:textId="77777777" w:rsidR="008400AE" w:rsidRDefault="008400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FA9EB" w14:textId="3EBB65B1" w:rsidR="005D1D61" w:rsidRPr="00EA7B98" w:rsidRDefault="005D1D61" w:rsidP="00EA7B98">
    <w:pPr>
      <w:pStyle w:val="Footer"/>
      <w:pBdr>
        <w:top w:val="single" w:sz="4" w:space="1" w:color="auto"/>
      </w:pBdr>
      <w:spacing w:after="240" w:line="480" w:lineRule="auto"/>
      <w:rPr>
        <w:sz w:val="18"/>
      </w:rPr>
    </w:pPr>
    <w:r>
      <w:tab/>
    </w:r>
    <w:r>
      <w:tab/>
    </w:r>
    <w:r>
      <w:rPr>
        <w:rStyle w:val="PageNumber"/>
      </w:rPr>
      <w:fldChar w:fldCharType="begin"/>
    </w:r>
    <w:r>
      <w:rPr>
        <w:rStyle w:val="PageNumber"/>
      </w:rPr>
      <w:instrText xml:space="preserve"> PAGE </w:instrText>
    </w:r>
    <w:r>
      <w:rPr>
        <w:rStyle w:val="PageNumber"/>
      </w:rPr>
      <w:fldChar w:fldCharType="separate"/>
    </w:r>
    <w:r w:rsidR="00F41C4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96681" w14:textId="77777777" w:rsidR="008400AE" w:rsidRDefault="008400AE" w:rsidP="005E7B74">
      <w:pPr>
        <w:spacing w:after="0" w:line="240" w:lineRule="auto"/>
      </w:pPr>
      <w:r>
        <w:separator/>
      </w:r>
    </w:p>
    <w:p w14:paraId="6DFE41F2" w14:textId="77777777" w:rsidR="008400AE" w:rsidRDefault="008400AE"/>
  </w:footnote>
  <w:footnote w:type="continuationSeparator" w:id="0">
    <w:p w14:paraId="5C87DAD6" w14:textId="77777777" w:rsidR="008400AE" w:rsidRDefault="008400AE" w:rsidP="005E7B74">
      <w:pPr>
        <w:spacing w:after="0" w:line="240" w:lineRule="auto"/>
      </w:pPr>
      <w:r>
        <w:continuationSeparator/>
      </w:r>
    </w:p>
    <w:p w14:paraId="62E32273" w14:textId="77777777" w:rsidR="008400AE" w:rsidRDefault="008400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A7D75" w14:textId="122810D3" w:rsidR="005D1D61" w:rsidRDefault="005D1D61" w:rsidP="00EA7B98">
    <w:pPr>
      <w:pStyle w:val="Header"/>
      <w:pBdr>
        <w:bottom w:val="single" w:sz="4" w:space="1" w:color="auto"/>
      </w:pBdr>
      <w:spacing w:after="120"/>
      <w:jc w:val="cent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309D4"/>
    <w:multiLevelType w:val="hybridMultilevel"/>
    <w:tmpl w:val="666A4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C6736"/>
    <w:multiLevelType w:val="multilevel"/>
    <w:tmpl w:val="8A5683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BD1B41"/>
    <w:multiLevelType w:val="hybridMultilevel"/>
    <w:tmpl w:val="850807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E21CA9"/>
    <w:multiLevelType w:val="hybridMultilevel"/>
    <w:tmpl w:val="6E4863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3D431F"/>
    <w:multiLevelType w:val="hybridMultilevel"/>
    <w:tmpl w:val="7C06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464B13"/>
    <w:multiLevelType w:val="hybridMultilevel"/>
    <w:tmpl w:val="B8E22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06B46"/>
    <w:multiLevelType w:val="hybridMultilevel"/>
    <w:tmpl w:val="5E0C8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456B75"/>
    <w:multiLevelType w:val="hybridMultilevel"/>
    <w:tmpl w:val="780A7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EC159E"/>
    <w:multiLevelType w:val="hybridMultilevel"/>
    <w:tmpl w:val="EE503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7A7404"/>
    <w:multiLevelType w:val="hybridMultilevel"/>
    <w:tmpl w:val="6B6EC1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4327F4A"/>
    <w:multiLevelType w:val="hybridMultilevel"/>
    <w:tmpl w:val="F760B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DF3B5F"/>
    <w:multiLevelType w:val="hybridMultilevel"/>
    <w:tmpl w:val="B450F97A"/>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76E09"/>
    <w:multiLevelType w:val="hybridMultilevel"/>
    <w:tmpl w:val="F01E7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3C17F0"/>
    <w:multiLevelType w:val="hybridMultilevel"/>
    <w:tmpl w:val="F90CFC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5F7011"/>
    <w:multiLevelType w:val="hybridMultilevel"/>
    <w:tmpl w:val="FA30C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2F7D5E"/>
    <w:multiLevelType w:val="hybridMultilevel"/>
    <w:tmpl w:val="92AECAF0"/>
    <w:lvl w:ilvl="0" w:tplc="B33A47A2">
      <w:start w:val="19"/>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6" w15:restartNumberingAfterBreak="0">
    <w:nsid w:val="204B02F3"/>
    <w:multiLevelType w:val="hybridMultilevel"/>
    <w:tmpl w:val="A5FAF9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D5DBF"/>
    <w:multiLevelType w:val="hybridMultilevel"/>
    <w:tmpl w:val="690ED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3680A"/>
    <w:multiLevelType w:val="multilevel"/>
    <w:tmpl w:val="1D94126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631725"/>
    <w:multiLevelType w:val="hybridMultilevel"/>
    <w:tmpl w:val="3B50D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80EE2"/>
    <w:multiLevelType w:val="hybridMultilevel"/>
    <w:tmpl w:val="72DE2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CB2EFB"/>
    <w:multiLevelType w:val="hybridMultilevel"/>
    <w:tmpl w:val="16AAB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EE2DD0"/>
    <w:multiLevelType w:val="multilevel"/>
    <w:tmpl w:val="C2109504"/>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D412DEB"/>
    <w:multiLevelType w:val="hybridMultilevel"/>
    <w:tmpl w:val="7EBA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7455D"/>
    <w:multiLevelType w:val="hybridMultilevel"/>
    <w:tmpl w:val="62DE39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362E8D"/>
    <w:multiLevelType w:val="hybridMultilevel"/>
    <w:tmpl w:val="30768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A23CD2"/>
    <w:multiLevelType w:val="hybridMultilevel"/>
    <w:tmpl w:val="4A1C68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E128A8"/>
    <w:multiLevelType w:val="multilevel"/>
    <w:tmpl w:val="BB5A20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43F4610"/>
    <w:multiLevelType w:val="multilevel"/>
    <w:tmpl w:val="2DAC9C6A"/>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54A15D5E"/>
    <w:multiLevelType w:val="hybridMultilevel"/>
    <w:tmpl w:val="1A60459C"/>
    <w:lvl w:ilvl="0" w:tplc="05D63DB0">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0" w15:restartNumberingAfterBreak="0">
    <w:nsid w:val="59BA0A77"/>
    <w:multiLevelType w:val="multilevel"/>
    <w:tmpl w:val="EA30BB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A536F0D"/>
    <w:multiLevelType w:val="hybridMultilevel"/>
    <w:tmpl w:val="3DECD0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5C422E"/>
    <w:multiLevelType w:val="hybridMultilevel"/>
    <w:tmpl w:val="4D3C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9A73E1"/>
    <w:multiLevelType w:val="hybridMultilevel"/>
    <w:tmpl w:val="3E64DFF6"/>
    <w:lvl w:ilvl="0" w:tplc="19C035EC">
      <w:start w:val="1"/>
      <w:numFmt w:val="bullet"/>
      <w:lvlText w:val=""/>
      <w:lvlJc w:val="left"/>
      <w:pPr>
        <w:ind w:left="720" w:hanging="360"/>
      </w:pPr>
      <w:rPr>
        <w:rFonts w:ascii="Symbol" w:hAnsi="Symbol" w:hint="default"/>
        <w:color w:val="auto"/>
      </w:rPr>
    </w:lvl>
    <w:lvl w:ilvl="1" w:tplc="5E52F922">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E21C67"/>
    <w:multiLevelType w:val="hybridMultilevel"/>
    <w:tmpl w:val="B52CDEB4"/>
    <w:lvl w:ilvl="0" w:tplc="4A065E08">
      <w:start w:val="1"/>
      <w:numFmt w:val="bullet"/>
      <w:lvlText w:val="•"/>
      <w:lvlJc w:val="left"/>
      <w:pPr>
        <w:tabs>
          <w:tab w:val="num" w:pos="546"/>
        </w:tabs>
        <w:ind w:left="546" w:hanging="360"/>
      </w:pPr>
      <w:rPr>
        <w:rFonts w:ascii="Verdana" w:hAnsi="Verdana" w:hint="default"/>
      </w:rPr>
    </w:lvl>
    <w:lvl w:ilvl="1" w:tplc="B65C8B24">
      <w:start w:val="413"/>
      <w:numFmt w:val="bullet"/>
      <w:lvlText w:val="•"/>
      <w:lvlJc w:val="left"/>
      <w:pPr>
        <w:tabs>
          <w:tab w:val="num" w:pos="1266"/>
        </w:tabs>
        <w:ind w:left="1266" w:hanging="360"/>
      </w:pPr>
      <w:rPr>
        <w:rFonts w:ascii="Verdana" w:hAnsi="Verdana" w:hint="default"/>
      </w:rPr>
    </w:lvl>
    <w:lvl w:ilvl="2" w:tplc="882698B0">
      <w:start w:val="1"/>
      <w:numFmt w:val="bullet"/>
      <w:lvlText w:val="•"/>
      <w:lvlJc w:val="left"/>
      <w:pPr>
        <w:tabs>
          <w:tab w:val="num" w:pos="1986"/>
        </w:tabs>
        <w:ind w:left="1986" w:hanging="360"/>
      </w:pPr>
      <w:rPr>
        <w:rFonts w:ascii="Verdana" w:hAnsi="Verdana" w:hint="default"/>
      </w:rPr>
    </w:lvl>
    <w:lvl w:ilvl="3" w:tplc="06D80C6A" w:tentative="1">
      <w:start w:val="1"/>
      <w:numFmt w:val="bullet"/>
      <w:lvlText w:val="•"/>
      <w:lvlJc w:val="left"/>
      <w:pPr>
        <w:tabs>
          <w:tab w:val="num" w:pos="2706"/>
        </w:tabs>
        <w:ind w:left="2706" w:hanging="360"/>
      </w:pPr>
      <w:rPr>
        <w:rFonts w:ascii="Verdana" w:hAnsi="Verdana" w:hint="default"/>
      </w:rPr>
    </w:lvl>
    <w:lvl w:ilvl="4" w:tplc="B6F2D288" w:tentative="1">
      <w:start w:val="1"/>
      <w:numFmt w:val="bullet"/>
      <w:lvlText w:val="•"/>
      <w:lvlJc w:val="left"/>
      <w:pPr>
        <w:tabs>
          <w:tab w:val="num" w:pos="3426"/>
        </w:tabs>
        <w:ind w:left="3426" w:hanging="360"/>
      </w:pPr>
      <w:rPr>
        <w:rFonts w:ascii="Verdana" w:hAnsi="Verdana" w:hint="default"/>
      </w:rPr>
    </w:lvl>
    <w:lvl w:ilvl="5" w:tplc="410A6698" w:tentative="1">
      <w:start w:val="1"/>
      <w:numFmt w:val="bullet"/>
      <w:lvlText w:val="•"/>
      <w:lvlJc w:val="left"/>
      <w:pPr>
        <w:tabs>
          <w:tab w:val="num" w:pos="4146"/>
        </w:tabs>
        <w:ind w:left="4146" w:hanging="360"/>
      </w:pPr>
      <w:rPr>
        <w:rFonts w:ascii="Verdana" w:hAnsi="Verdana" w:hint="default"/>
      </w:rPr>
    </w:lvl>
    <w:lvl w:ilvl="6" w:tplc="4A40F988" w:tentative="1">
      <w:start w:val="1"/>
      <w:numFmt w:val="bullet"/>
      <w:lvlText w:val="•"/>
      <w:lvlJc w:val="left"/>
      <w:pPr>
        <w:tabs>
          <w:tab w:val="num" w:pos="4866"/>
        </w:tabs>
        <w:ind w:left="4866" w:hanging="360"/>
      </w:pPr>
      <w:rPr>
        <w:rFonts w:ascii="Verdana" w:hAnsi="Verdana" w:hint="default"/>
      </w:rPr>
    </w:lvl>
    <w:lvl w:ilvl="7" w:tplc="A052E9B2" w:tentative="1">
      <w:start w:val="1"/>
      <w:numFmt w:val="bullet"/>
      <w:lvlText w:val="•"/>
      <w:lvlJc w:val="left"/>
      <w:pPr>
        <w:tabs>
          <w:tab w:val="num" w:pos="5586"/>
        </w:tabs>
        <w:ind w:left="5586" w:hanging="360"/>
      </w:pPr>
      <w:rPr>
        <w:rFonts w:ascii="Verdana" w:hAnsi="Verdana" w:hint="default"/>
      </w:rPr>
    </w:lvl>
    <w:lvl w:ilvl="8" w:tplc="0DB8C4D0" w:tentative="1">
      <w:start w:val="1"/>
      <w:numFmt w:val="bullet"/>
      <w:lvlText w:val="•"/>
      <w:lvlJc w:val="left"/>
      <w:pPr>
        <w:tabs>
          <w:tab w:val="num" w:pos="6306"/>
        </w:tabs>
        <w:ind w:left="6306" w:hanging="360"/>
      </w:pPr>
      <w:rPr>
        <w:rFonts w:ascii="Verdana" w:hAnsi="Verdana" w:hint="default"/>
      </w:rPr>
    </w:lvl>
  </w:abstractNum>
  <w:abstractNum w:abstractNumId="35" w15:restartNumberingAfterBreak="0">
    <w:nsid w:val="657E71A6"/>
    <w:multiLevelType w:val="hybridMultilevel"/>
    <w:tmpl w:val="D9CE5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D37EA5"/>
    <w:multiLevelType w:val="multilevel"/>
    <w:tmpl w:val="B30EB9EC"/>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4870B1"/>
    <w:multiLevelType w:val="hybridMultilevel"/>
    <w:tmpl w:val="70E45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93232"/>
    <w:multiLevelType w:val="hybridMultilevel"/>
    <w:tmpl w:val="C002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A4E12"/>
    <w:multiLevelType w:val="hybridMultilevel"/>
    <w:tmpl w:val="92DC920C"/>
    <w:lvl w:ilvl="0" w:tplc="FF806986">
      <w:start w:val="1"/>
      <w:numFmt w:val="decimal"/>
      <w:pStyle w:val="BulletListNumbered"/>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ED367C"/>
    <w:multiLevelType w:val="multilevel"/>
    <w:tmpl w:val="C3F6583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D22360"/>
    <w:multiLevelType w:val="hybridMultilevel"/>
    <w:tmpl w:val="A9E4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F37CE0"/>
    <w:multiLevelType w:val="hybridMultilevel"/>
    <w:tmpl w:val="FCD4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56D00"/>
    <w:multiLevelType w:val="hybridMultilevel"/>
    <w:tmpl w:val="CFD6F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5928B1"/>
    <w:multiLevelType w:val="hybridMultilevel"/>
    <w:tmpl w:val="7C986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4A27FC"/>
    <w:multiLevelType w:val="multilevel"/>
    <w:tmpl w:val="49B07B9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C8F4C85"/>
    <w:multiLevelType w:val="hybridMultilevel"/>
    <w:tmpl w:val="9E0A96FE"/>
    <w:lvl w:ilvl="0" w:tplc="3048905C">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F506CE"/>
    <w:multiLevelType w:val="multilevel"/>
    <w:tmpl w:val="908CF0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33"/>
  </w:num>
  <w:num w:numId="3">
    <w:abstractNumId w:val="45"/>
  </w:num>
  <w:num w:numId="4">
    <w:abstractNumId w:val="8"/>
  </w:num>
  <w:num w:numId="5">
    <w:abstractNumId w:val="12"/>
  </w:num>
  <w:num w:numId="6">
    <w:abstractNumId w:val="16"/>
  </w:num>
  <w:num w:numId="7">
    <w:abstractNumId w:val="10"/>
  </w:num>
  <w:num w:numId="8">
    <w:abstractNumId w:val="30"/>
  </w:num>
  <w:num w:numId="9">
    <w:abstractNumId w:val="26"/>
  </w:num>
  <w:num w:numId="10">
    <w:abstractNumId w:val="9"/>
  </w:num>
  <w:num w:numId="11">
    <w:abstractNumId w:val="17"/>
  </w:num>
  <w:num w:numId="12">
    <w:abstractNumId w:val="5"/>
  </w:num>
  <w:num w:numId="13">
    <w:abstractNumId w:val="39"/>
  </w:num>
  <w:num w:numId="14">
    <w:abstractNumId w:val="39"/>
    <w:lvlOverride w:ilvl="0">
      <w:startOverride w:val="1"/>
    </w:lvlOverride>
  </w:num>
  <w:num w:numId="15">
    <w:abstractNumId w:val="34"/>
  </w:num>
  <w:num w:numId="16">
    <w:abstractNumId w:val="35"/>
  </w:num>
  <w:num w:numId="17">
    <w:abstractNumId w:val="32"/>
  </w:num>
  <w:num w:numId="18">
    <w:abstractNumId w:val="19"/>
  </w:num>
  <w:num w:numId="19">
    <w:abstractNumId w:val="38"/>
  </w:num>
  <w:num w:numId="20">
    <w:abstractNumId w:val="14"/>
  </w:num>
  <w:num w:numId="21">
    <w:abstractNumId w:val="3"/>
  </w:num>
  <w:num w:numId="22">
    <w:abstractNumId w:val="11"/>
  </w:num>
  <w:num w:numId="23">
    <w:abstractNumId w:val="13"/>
  </w:num>
  <w:num w:numId="24">
    <w:abstractNumId w:val="42"/>
  </w:num>
  <w:num w:numId="25">
    <w:abstractNumId w:val="18"/>
  </w:num>
  <w:num w:numId="26">
    <w:abstractNumId w:val="6"/>
  </w:num>
  <w:num w:numId="27">
    <w:abstractNumId w:val="46"/>
  </w:num>
  <w:num w:numId="28">
    <w:abstractNumId w:val="20"/>
  </w:num>
  <w:num w:numId="29">
    <w:abstractNumId w:val="21"/>
  </w:num>
  <w:num w:numId="30">
    <w:abstractNumId w:val="2"/>
  </w:num>
  <w:num w:numId="31">
    <w:abstractNumId w:val="24"/>
  </w:num>
  <w:num w:numId="32">
    <w:abstractNumId w:val="0"/>
  </w:num>
  <w:num w:numId="33">
    <w:abstractNumId w:val="23"/>
  </w:num>
  <w:num w:numId="34">
    <w:abstractNumId w:val="31"/>
  </w:num>
  <w:num w:numId="35">
    <w:abstractNumId w:val="25"/>
  </w:num>
  <w:num w:numId="36">
    <w:abstractNumId w:val="43"/>
  </w:num>
  <w:num w:numId="37">
    <w:abstractNumId w:val="44"/>
  </w:num>
  <w:num w:numId="38">
    <w:abstractNumId w:val="22"/>
  </w:num>
  <w:num w:numId="39">
    <w:abstractNumId w:val="1"/>
  </w:num>
  <w:num w:numId="40">
    <w:abstractNumId w:val="28"/>
  </w:num>
  <w:num w:numId="41">
    <w:abstractNumId w:val="47"/>
  </w:num>
  <w:num w:numId="42">
    <w:abstractNumId w:val="4"/>
  </w:num>
  <w:num w:numId="43">
    <w:abstractNumId w:val="41"/>
  </w:num>
  <w:num w:numId="44">
    <w:abstractNumId w:val="40"/>
  </w:num>
  <w:num w:numId="45">
    <w:abstractNumId w:val="15"/>
  </w:num>
  <w:num w:numId="46">
    <w:abstractNumId w:val="29"/>
  </w:num>
  <w:num w:numId="47">
    <w:abstractNumId w:val="36"/>
  </w:num>
  <w:num w:numId="48">
    <w:abstractNumId w:val="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trackedChanges" w:enforcement="0"/>
  <w:defaultTabStop w:val="720"/>
  <w:hyphenationZone w:val="425"/>
  <w:clickAndTypeStyle w:val="BodyText"/>
  <w:characterSpacingControl w:val="doNotCompress"/>
  <w:hdrShapeDefaults>
    <o:shapedefaults v:ext="edit" spidmax="2048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73"/>
    <w:rsid w:val="00005150"/>
    <w:rsid w:val="00007FFA"/>
    <w:rsid w:val="000135A2"/>
    <w:rsid w:val="000142B8"/>
    <w:rsid w:val="00014F7F"/>
    <w:rsid w:val="00015F11"/>
    <w:rsid w:val="000218E8"/>
    <w:rsid w:val="00021CBA"/>
    <w:rsid w:val="0002619D"/>
    <w:rsid w:val="00037A2D"/>
    <w:rsid w:val="00043078"/>
    <w:rsid w:val="000460D5"/>
    <w:rsid w:val="0004743C"/>
    <w:rsid w:val="0005307D"/>
    <w:rsid w:val="00053A1C"/>
    <w:rsid w:val="0005667A"/>
    <w:rsid w:val="00057EB6"/>
    <w:rsid w:val="000606D9"/>
    <w:rsid w:val="0006288A"/>
    <w:rsid w:val="0006419B"/>
    <w:rsid w:val="0006491E"/>
    <w:rsid w:val="00065D9A"/>
    <w:rsid w:val="000663A7"/>
    <w:rsid w:val="00071D94"/>
    <w:rsid w:val="00083AC6"/>
    <w:rsid w:val="000842A9"/>
    <w:rsid w:val="00085407"/>
    <w:rsid w:val="000A0C97"/>
    <w:rsid w:val="000A30DF"/>
    <w:rsid w:val="000A409C"/>
    <w:rsid w:val="000A5DEA"/>
    <w:rsid w:val="000A7AE3"/>
    <w:rsid w:val="000A7C98"/>
    <w:rsid w:val="000B025D"/>
    <w:rsid w:val="000B670E"/>
    <w:rsid w:val="000B6EB3"/>
    <w:rsid w:val="000C599D"/>
    <w:rsid w:val="000C6684"/>
    <w:rsid w:val="000C66CD"/>
    <w:rsid w:val="000D5A33"/>
    <w:rsid w:val="000F3A99"/>
    <w:rsid w:val="001005BA"/>
    <w:rsid w:val="00102C64"/>
    <w:rsid w:val="00106EFF"/>
    <w:rsid w:val="00112627"/>
    <w:rsid w:val="00117E91"/>
    <w:rsid w:val="001217EA"/>
    <w:rsid w:val="00123CB3"/>
    <w:rsid w:val="00124AF9"/>
    <w:rsid w:val="00127135"/>
    <w:rsid w:val="0013121A"/>
    <w:rsid w:val="0013172D"/>
    <w:rsid w:val="00131AF0"/>
    <w:rsid w:val="00132030"/>
    <w:rsid w:val="0013225B"/>
    <w:rsid w:val="00135601"/>
    <w:rsid w:val="00137E38"/>
    <w:rsid w:val="0014039B"/>
    <w:rsid w:val="00143F5E"/>
    <w:rsid w:val="00144B2A"/>
    <w:rsid w:val="00151185"/>
    <w:rsid w:val="0015475C"/>
    <w:rsid w:val="00160723"/>
    <w:rsid w:val="00173624"/>
    <w:rsid w:val="00173BD4"/>
    <w:rsid w:val="00175DD3"/>
    <w:rsid w:val="001803F4"/>
    <w:rsid w:val="001805CE"/>
    <w:rsid w:val="0018102A"/>
    <w:rsid w:val="00181205"/>
    <w:rsid w:val="0018399C"/>
    <w:rsid w:val="00185AED"/>
    <w:rsid w:val="00187A87"/>
    <w:rsid w:val="001907E7"/>
    <w:rsid w:val="00191AB6"/>
    <w:rsid w:val="0019526E"/>
    <w:rsid w:val="001A1C68"/>
    <w:rsid w:val="001A3F7E"/>
    <w:rsid w:val="001B2475"/>
    <w:rsid w:val="001B2852"/>
    <w:rsid w:val="001B2AF0"/>
    <w:rsid w:val="001B44D0"/>
    <w:rsid w:val="001B573B"/>
    <w:rsid w:val="001B5EEC"/>
    <w:rsid w:val="001E0881"/>
    <w:rsid w:val="001E0DD8"/>
    <w:rsid w:val="001E0ED8"/>
    <w:rsid w:val="001E51C8"/>
    <w:rsid w:val="001E5AF6"/>
    <w:rsid w:val="001E5D1D"/>
    <w:rsid w:val="001E6CA4"/>
    <w:rsid w:val="001F0554"/>
    <w:rsid w:val="001F301C"/>
    <w:rsid w:val="001F364A"/>
    <w:rsid w:val="001F41F9"/>
    <w:rsid w:val="001F531A"/>
    <w:rsid w:val="001F7846"/>
    <w:rsid w:val="001F79C9"/>
    <w:rsid w:val="00200029"/>
    <w:rsid w:val="0020084D"/>
    <w:rsid w:val="00201863"/>
    <w:rsid w:val="00201E57"/>
    <w:rsid w:val="00201F43"/>
    <w:rsid w:val="00204023"/>
    <w:rsid w:val="0021419E"/>
    <w:rsid w:val="00214280"/>
    <w:rsid w:val="00220777"/>
    <w:rsid w:val="00223129"/>
    <w:rsid w:val="0022339E"/>
    <w:rsid w:val="00223D5D"/>
    <w:rsid w:val="00227F6C"/>
    <w:rsid w:val="00230F4C"/>
    <w:rsid w:val="00233DDB"/>
    <w:rsid w:val="00234DA1"/>
    <w:rsid w:val="002414F0"/>
    <w:rsid w:val="002417CB"/>
    <w:rsid w:val="002428F3"/>
    <w:rsid w:val="00253B8A"/>
    <w:rsid w:val="00254C2B"/>
    <w:rsid w:val="00255E71"/>
    <w:rsid w:val="00256FD8"/>
    <w:rsid w:val="0025766D"/>
    <w:rsid w:val="00262754"/>
    <w:rsid w:val="0026569F"/>
    <w:rsid w:val="00267747"/>
    <w:rsid w:val="00273150"/>
    <w:rsid w:val="002739D1"/>
    <w:rsid w:val="0027477C"/>
    <w:rsid w:val="002769C1"/>
    <w:rsid w:val="00276C0D"/>
    <w:rsid w:val="00280FFC"/>
    <w:rsid w:val="0028238F"/>
    <w:rsid w:val="00283F20"/>
    <w:rsid w:val="00286EE4"/>
    <w:rsid w:val="00286FA2"/>
    <w:rsid w:val="00287554"/>
    <w:rsid w:val="00290DF8"/>
    <w:rsid w:val="00293D4C"/>
    <w:rsid w:val="002A0405"/>
    <w:rsid w:val="002A18F0"/>
    <w:rsid w:val="002A1FCE"/>
    <w:rsid w:val="002A514D"/>
    <w:rsid w:val="002A5B42"/>
    <w:rsid w:val="002A5D88"/>
    <w:rsid w:val="002B070D"/>
    <w:rsid w:val="002B085B"/>
    <w:rsid w:val="002B254D"/>
    <w:rsid w:val="002B43C8"/>
    <w:rsid w:val="002B4F84"/>
    <w:rsid w:val="002B5401"/>
    <w:rsid w:val="002D1EA3"/>
    <w:rsid w:val="002D50FE"/>
    <w:rsid w:val="002D706C"/>
    <w:rsid w:val="002E3A43"/>
    <w:rsid w:val="002E5962"/>
    <w:rsid w:val="002F0048"/>
    <w:rsid w:val="002F4BE4"/>
    <w:rsid w:val="002F62A3"/>
    <w:rsid w:val="002F6735"/>
    <w:rsid w:val="00301544"/>
    <w:rsid w:val="0030660B"/>
    <w:rsid w:val="00310EC7"/>
    <w:rsid w:val="00311328"/>
    <w:rsid w:val="00313201"/>
    <w:rsid w:val="00316AC2"/>
    <w:rsid w:val="00325229"/>
    <w:rsid w:val="00354013"/>
    <w:rsid w:val="003545B6"/>
    <w:rsid w:val="00357C17"/>
    <w:rsid w:val="00357D66"/>
    <w:rsid w:val="00364C30"/>
    <w:rsid w:val="00365BC3"/>
    <w:rsid w:val="00373DC7"/>
    <w:rsid w:val="0037443F"/>
    <w:rsid w:val="00375143"/>
    <w:rsid w:val="00375514"/>
    <w:rsid w:val="00375575"/>
    <w:rsid w:val="00376C26"/>
    <w:rsid w:val="003770FE"/>
    <w:rsid w:val="003816EB"/>
    <w:rsid w:val="00382D7D"/>
    <w:rsid w:val="0039097D"/>
    <w:rsid w:val="00391927"/>
    <w:rsid w:val="00394CCB"/>
    <w:rsid w:val="003A0FBF"/>
    <w:rsid w:val="003A27E2"/>
    <w:rsid w:val="003A67EB"/>
    <w:rsid w:val="003B409C"/>
    <w:rsid w:val="003C06D4"/>
    <w:rsid w:val="003C5F85"/>
    <w:rsid w:val="003D25B5"/>
    <w:rsid w:val="003D429A"/>
    <w:rsid w:val="003E5AFA"/>
    <w:rsid w:val="003F04CA"/>
    <w:rsid w:val="003F0D61"/>
    <w:rsid w:val="003F4E23"/>
    <w:rsid w:val="004056D7"/>
    <w:rsid w:val="004112B7"/>
    <w:rsid w:val="004129C6"/>
    <w:rsid w:val="0041393B"/>
    <w:rsid w:val="00414510"/>
    <w:rsid w:val="004155A6"/>
    <w:rsid w:val="00415A8C"/>
    <w:rsid w:val="00416F14"/>
    <w:rsid w:val="004210A2"/>
    <w:rsid w:val="00421336"/>
    <w:rsid w:val="00424B67"/>
    <w:rsid w:val="00427112"/>
    <w:rsid w:val="004278FF"/>
    <w:rsid w:val="00427B55"/>
    <w:rsid w:val="004332AC"/>
    <w:rsid w:val="004336AB"/>
    <w:rsid w:val="00435384"/>
    <w:rsid w:val="00435845"/>
    <w:rsid w:val="00442608"/>
    <w:rsid w:val="00444C46"/>
    <w:rsid w:val="00445421"/>
    <w:rsid w:val="00445C93"/>
    <w:rsid w:val="0045039C"/>
    <w:rsid w:val="00450934"/>
    <w:rsid w:val="0045677A"/>
    <w:rsid w:val="00460AAA"/>
    <w:rsid w:val="00462C7F"/>
    <w:rsid w:val="004630FF"/>
    <w:rsid w:val="004658B4"/>
    <w:rsid w:val="00467767"/>
    <w:rsid w:val="00474194"/>
    <w:rsid w:val="004759F4"/>
    <w:rsid w:val="00475FAA"/>
    <w:rsid w:val="00476997"/>
    <w:rsid w:val="00477AF1"/>
    <w:rsid w:val="004804E1"/>
    <w:rsid w:val="00481CDB"/>
    <w:rsid w:val="004820FF"/>
    <w:rsid w:val="00486ABE"/>
    <w:rsid w:val="0049181F"/>
    <w:rsid w:val="0049256E"/>
    <w:rsid w:val="004958FF"/>
    <w:rsid w:val="004A571D"/>
    <w:rsid w:val="004B1353"/>
    <w:rsid w:val="004B1FDA"/>
    <w:rsid w:val="004B4FEB"/>
    <w:rsid w:val="004C206B"/>
    <w:rsid w:val="004D10BA"/>
    <w:rsid w:val="004D7D8D"/>
    <w:rsid w:val="004E19C9"/>
    <w:rsid w:val="004E26BF"/>
    <w:rsid w:val="004E3421"/>
    <w:rsid w:val="004E6FE9"/>
    <w:rsid w:val="004F69D9"/>
    <w:rsid w:val="004F6A21"/>
    <w:rsid w:val="004F7350"/>
    <w:rsid w:val="00505893"/>
    <w:rsid w:val="00507696"/>
    <w:rsid w:val="00507DFA"/>
    <w:rsid w:val="0051382A"/>
    <w:rsid w:val="00513D5F"/>
    <w:rsid w:val="00516996"/>
    <w:rsid w:val="005171EE"/>
    <w:rsid w:val="005174E1"/>
    <w:rsid w:val="005208E8"/>
    <w:rsid w:val="0052662F"/>
    <w:rsid w:val="0053204B"/>
    <w:rsid w:val="005325B2"/>
    <w:rsid w:val="00537B10"/>
    <w:rsid w:val="00543C6C"/>
    <w:rsid w:val="00544E03"/>
    <w:rsid w:val="0054699A"/>
    <w:rsid w:val="00547AC9"/>
    <w:rsid w:val="00551624"/>
    <w:rsid w:val="00552F39"/>
    <w:rsid w:val="00556D2F"/>
    <w:rsid w:val="0056103F"/>
    <w:rsid w:val="00567A17"/>
    <w:rsid w:val="00570361"/>
    <w:rsid w:val="00570A54"/>
    <w:rsid w:val="00581D1D"/>
    <w:rsid w:val="00584900"/>
    <w:rsid w:val="00584C03"/>
    <w:rsid w:val="005850C8"/>
    <w:rsid w:val="0058539E"/>
    <w:rsid w:val="005866AF"/>
    <w:rsid w:val="00590159"/>
    <w:rsid w:val="00590287"/>
    <w:rsid w:val="0059412B"/>
    <w:rsid w:val="0059718B"/>
    <w:rsid w:val="005A0CC5"/>
    <w:rsid w:val="005A20BE"/>
    <w:rsid w:val="005A5379"/>
    <w:rsid w:val="005B6486"/>
    <w:rsid w:val="005B66A1"/>
    <w:rsid w:val="005B7541"/>
    <w:rsid w:val="005C414F"/>
    <w:rsid w:val="005C5C7E"/>
    <w:rsid w:val="005C5F92"/>
    <w:rsid w:val="005C7EE2"/>
    <w:rsid w:val="005D15D7"/>
    <w:rsid w:val="005D1D61"/>
    <w:rsid w:val="005E04EB"/>
    <w:rsid w:val="005E0649"/>
    <w:rsid w:val="005E2AD8"/>
    <w:rsid w:val="005E5719"/>
    <w:rsid w:val="005E62C5"/>
    <w:rsid w:val="005E7B74"/>
    <w:rsid w:val="005F4308"/>
    <w:rsid w:val="005F5DA1"/>
    <w:rsid w:val="005F7A17"/>
    <w:rsid w:val="0060280C"/>
    <w:rsid w:val="00602CA1"/>
    <w:rsid w:val="0060653A"/>
    <w:rsid w:val="0062656B"/>
    <w:rsid w:val="00630AE9"/>
    <w:rsid w:val="00631598"/>
    <w:rsid w:val="006317B8"/>
    <w:rsid w:val="00632399"/>
    <w:rsid w:val="00634EA7"/>
    <w:rsid w:val="006350EE"/>
    <w:rsid w:val="00640FF0"/>
    <w:rsid w:val="00642A47"/>
    <w:rsid w:val="00644B90"/>
    <w:rsid w:val="006461E0"/>
    <w:rsid w:val="00646A6B"/>
    <w:rsid w:val="00651507"/>
    <w:rsid w:val="0065170F"/>
    <w:rsid w:val="00653EE2"/>
    <w:rsid w:val="0065416F"/>
    <w:rsid w:val="00654DEE"/>
    <w:rsid w:val="006568EB"/>
    <w:rsid w:val="00661275"/>
    <w:rsid w:val="00666A71"/>
    <w:rsid w:val="00672C50"/>
    <w:rsid w:val="00673CA1"/>
    <w:rsid w:val="006742DA"/>
    <w:rsid w:val="0067740B"/>
    <w:rsid w:val="00681087"/>
    <w:rsid w:val="00687700"/>
    <w:rsid w:val="0069038C"/>
    <w:rsid w:val="00690E8A"/>
    <w:rsid w:val="00691358"/>
    <w:rsid w:val="006A0F28"/>
    <w:rsid w:val="006A7343"/>
    <w:rsid w:val="006A773E"/>
    <w:rsid w:val="006B2426"/>
    <w:rsid w:val="006C057A"/>
    <w:rsid w:val="006C0AE0"/>
    <w:rsid w:val="006C697C"/>
    <w:rsid w:val="006E0AD0"/>
    <w:rsid w:val="006E13A9"/>
    <w:rsid w:val="006E20BD"/>
    <w:rsid w:val="006F147A"/>
    <w:rsid w:val="006F1EAA"/>
    <w:rsid w:val="006F3F00"/>
    <w:rsid w:val="006F4573"/>
    <w:rsid w:val="006F68B9"/>
    <w:rsid w:val="007030D4"/>
    <w:rsid w:val="00707A09"/>
    <w:rsid w:val="007125B5"/>
    <w:rsid w:val="007143CA"/>
    <w:rsid w:val="007276C6"/>
    <w:rsid w:val="007301B5"/>
    <w:rsid w:val="00730C33"/>
    <w:rsid w:val="0073753A"/>
    <w:rsid w:val="00740956"/>
    <w:rsid w:val="00744197"/>
    <w:rsid w:val="00745700"/>
    <w:rsid w:val="0075481C"/>
    <w:rsid w:val="00754B0B"/>
    <w:rsid w:val="00757803"/>
    <w:rsid w:val="007666A9"/>
    <w:rsid w:val="007751FE"/>
    <w:rsid w:val="007771C9"/>
    <w:rsid w:val="007828E6"/>
    <w:rsid w:val="007835B4"/>
    <w:rsid w:val="00785FBA"/>
    <w:rsid w:val="00790003"/>
    <w:rsid w:val="00797758"/>
    <w:rsid w:val="007A11CA"/>
    <w:rsid w:val="007A26E9"/>
    <w:rsid w:val="007A6C3A"/>
    <w:rsid w:val="007C1F28"/>
    <w:rsid w:val="007C25E0"/>
    <w:rsid w:val="007C5F37"/>
    <w:rsid w:val="007D03CD"/>
    <w:rsid w:val="007D38FC"/>
    <w:rsid w:val="007D4E26"/>
    <w:rsid w:val="007D6DD9"/>
    <w:rsid w:val="007D7C3B"/>
    <w:rsid w:val="007E62FD"/>
    <w:rsid w:val="007E7F44"/>
    <w:rsid w:val="007F0E7D"/>
    <w:rsid w:val="007F1B54"/>
    <w:rsid w:val="007F54BC"/>
    <w:rsid w:val="00801B5C"/>
    <w:rsid w:val="008078F0"/>
    <w:rsid w:val="008100EB"/>
    <w:rsid w:val="00810879"/>
    <w:rsid w:val="00816969"/>
    <w:rsid w:val="00817F32"/>
    <w:rsid w:val="00835309"/>
    <w:rsid w:val="008354A6"/>
    <w:rsid w:val="008355B6"/>
    <w:rsid w:val="00835F96"/>
    <w:rsid w:val="00836952"/>
    <w:rsid w:val="00836A61"/>
    <w:rsid w:val="00840093"/>
    <w:rsid w:val="008400AE"/>
    <w:rsid w:val="00845492"/>
    <w:rsid w:val="00845CEE"/>
    <w:rsid w:val="00852E3F"/>
    <w:rsid w:val="00853251"/>
    <w:rsid w:val="008537D6"/>
    <w:rsid w:val="00853CD8"/>
    <w:rsid w:val="00855639"/>
    <w:rsid w:val="0085657D"/>
    <w:rsid w:val="008575E7"/>
    <w:rsid w:val="008642BB"/>
    <w:rsid w:val="00870A20"/>
    <w:rsid w:val="008760C2"/>
    <w:rsid w:val="00881E03"/>
    <w:rsid w:val="00883A90"/>
    <w:rsid w:val="008936DA"/>
    <w:rsid w:val="008954B8"/>
    <w:rsid w:val="00897424"/>
    <w:rsid w:val="00897FB4"/>
    <w:rsid w:val="008A2099"/>
    <w:rsid w:val="008A420B"/>
    <w:rsid w:val="008A5431"/>
    <w:rsid w:val="008B09D2"/>
    <w:rsid w:val="008B2AB5"/>
    <w:rsid w:val="008B3C6E"/>
    <w:rsid w:val="008C167B"/>
    <w:rsid w:val="008C1D2E"/>
    <w:rsid w:val="008C36BF"/>
    <w:rsid w:val="008C4667"/>
    <w:rsid w:val="008C7DA0"/>
    <w:rsid w:val="008D1712"/>
    <w:rsid w:val="008D5A0C"/>
    <w:rsid w:val="008D5BCF"/>
    <w:rsid w:val="008D64F6"/>
    <w:rsid w:val="008E0462"/>
    <w:rsid w:val="008E1BFC"/>
    <w:rsid w:val="008E2BCF"/>
    <w:rsid w:val="008E546B"/>
    <w:rsid w:val="00902828"/>
    <w:rsid w:val="009031D6"/>
    <w:rsid w:val="00910507"/>
    <w:rsid w:val="009109C1"/>
    <w:rsid w:val="0091313F"/>
    <w:rsid w:val="00915CE2"/>
    <w:rsid w:val="00916785"/>
    <w:rsid w:val="00920F4C"/>
    <w:rsid w:val="0092131E"/>
    <w:rsid w:val="009233EF"/>
    <w:rsid w:val="00923D8A"/>
    <w:rsid w:val="0092459E"/>
    <w:rsid w:val="0092492C"/>
    <w:rsid w:val="00930223"/>
    <w:rsid w:val="00930C54"/>
    <w:rsid w:val="00932BBB"/>
    <w:rsid w:val="00933549"/>
    <w:rsid w:val="00937695"/>
    <w:rsid w:val="00941C60"/>
    <w:rsid w:val="00945B33"/>
    <w:rsid w:val="00945BF0"/>
    <w:rsid w:val="0094627F"/>
    <w:rsid w:val="0095172E"/>
    <w:rsid w:val="00953C22"/>
    <w:rsid w:val="009551F0"/>
    <w:rsid w:val="00955A33"/>
    <w:rsid w:val="0095764D"/>
    <w:rsid w:val="00960BD5"/>
    <w:rsid w:val="009645CE"/>
    <w:rsid w:val="00973241"/>
    <w:rsid w:val="00973C19"/>
    <w:rsid w:val="00973C9B"/>
    <w:rsid w:val="00974174"/>
    <w:rsid w:val="00977F8C"/>
    <w:rsid w:val="0098044C"/>
    <w:rsid w:val="00982AA4"/>
    <w:rsid w:val="009864C9"/>
    <w:rsid w:val="00987824"/>
    <w:rsid w:val="009914C2"/>
    <w:rsid w:val="009977C5"/>
    <w:rsid w:val="009A4B0C"/>
    <w:rsid w:val="009B632E"/>
    <w:rsid w:val="009B6C15"/>
    <w:rsid w:val="009B7AED"/>
    <w:rsid w:val="009B7C10"/>
    <w:rsid w:val="009C0952"/>
    <w:rsid w:val="009C154E"/>
    <w:rsid w:val="009C7570"/>
    <w:rsid w:val="009D0F33"/>
    <w:rsid w:val="009D3436"/>
    <w:rsid w:val="009D4E8B"/>
    <w:rsid w:val="009D5DE2"/>
    <w:rsid w:val="009D6E1B"/>
    <w:rsid w:val="009D782D"/>
    <w:rsid w:val="009E0999"/>
    <w:rsid w:val="009E1E25"/>
    <w:rsid w:val="009E6ACD"/>
    <w:rsid w:val="009F066B"/>
    <w:rsid w:val="009F0B04"/>
    <w:rsid w:val="009F5F75"/>
    <w:rsid w:val="00A03636"/>
    <w:rsid w:val="00A12E53"/>
    <w:rsid w:val="00A145BF"/>
    <w:rsid w:val="00A148C1"/>
    <w:rsid w:val="00A14F99"/>
    <w:rsid w:val="00A23F07"/>
    <w:rsid w:val="00A267C4"/>
    <w:rsid w:val="00A26C23"/>
    <w:rsid w:val="00A27081"/>
    <w:rsid w:val="00A27502"/>
    <w:rsid w:val="00A300E3"/>
    <w:rsid w:val="00A34C0D"/>
    <w:rsid w:val="00A43B21"/>
    <w:rsid w:val="00A44C1B"/>
    <w:rsid w:val="00A4792F"/>
    <w:rsid w:val="00A50610"/>
    <w:rsid w:val="00A50C25"/>
    <w:rsid w:val="00A53DB1"/>
    <w:rsid w:val="00A56E05"/>
    <w:rsid w:val="00A5791F"/>
    <w:rsid w:val="00A63326"/>
    <w:rsid w:val="00A64F34"/>
    <w:rsid w:val="00A709A2"/>
    <w:rsid w:val="00A71264"/>
    <w:rsid w:val="00A71BA5"/>
    <w:rsid w:val="00A73F86"/>
    <w:rsid w:val="00A752CC"/>
    <w:rsid w:val="00A75AAA"/>
    <w:rsid w:val="00A8103A"/>
    <w:rsid w:val="00A8273E"/>
    <w:rsid w:val="00A82977"/>
    <w:rsid w:val="00A85172"/>
    <w:rsid w:val="00A87987"/>
    <w:rsid w:val="00A938A2"/>
    <w:rsid w:val="00A93BED"/>
    <w:rsid w:val="00A97C7E"/>
    <w:rsid w:val="00AA0E16"/>
    <w:rsid w:val="00AA1DB3"/>
    <w:rsid w:val="00AB43C7"/>
    <w:rsid w:val="00AB56F8"/>
    <w:rsid w:val="00AB6E0E"/>
    <w:rsid w:val="00AC0351"/>
    <w:rsid w:val="00AC6555"/>
    <w:rsid w:val="00AC6CEE"/>
    <w:rsid w:val="00AD2527"/>
    <w:rsid w:val="00AD578D"/>
    <w:rsid w:val="00AD5F96"/>
    <w:rsid w:val="00AD6598"/>
    <w:rsid w:val="00AE6F7C"/>
    <w:rsid w:val="00AF6160"/>
    <w:rsid w:val="00AF6BA8"/>
    <w:rsid w:val="00B05E0D"/>
    <w:rsid w:val="00B22017"/>
    <w:rsid w:val="00B22681"/>
    <w:rsid w:val="00B233DA"/>
    <w:rsid w:val="00B24E40"/>
    <w:rsid w:val="00B25500"/>
    <w:rsid w:val="00B306D9"/>
    <w:rsid w:val="00B50FAA"/>
    <w:rsid w:val="00B52BDA"/>
    <w:rsid w:val="00B61533"/>
    <w:rsid w:val="00B62D7D"/>
    <w:rsid w:val="00B83170"/>
    <w:rsid w:val="00B8369B"/>
    <w:rsid w:val="00B8648A"/>
    <w:rsid w:val="00B925A1"/>
    <w:rsid w:val="00B94245"/>
    <w:rsid w:val="00B946E4"/>
    <w:rsid w:val="00B94FD4"/>
    <w:rsid w:val="00B95797"/>
    <w:rsid w:val="00BA398D"/>
    <w:rsid w:val="00BA4701"/>
    <w:rsid w:val="00BA778E"/>
    <w:rsid w:val="00BB0157"/>
    <w:rsid w:val="00BB32A8"/>
    <w:rsid w:val="00BB69C9"/>
    <w:rsid w:val="00BB75BB"/>
    <w:rsid w:val="00BC049D"/>
    <w:rsid w:val="00BC766B"/>
    <w:rsid w:val="00BD1CE7"/>
    <w:rsid w:val="00BD7C84"/>
    <w:rsid w:val="00BE3FBF"/>
    <w:rsid w:val="00BE661C"/>
    <w:rsid w:val="00BF3FE9"/>
    <w:rsid w:val="00BF50A1"/>
    <w:rsid w:val="00BF678B"/>
    <w:rsid w:val="00BF6FD6"/>
    <w:rsid w:val="00C1056C"/>
    <w:rsid w:val="00C175D7"/>
    <w:rsid w:val="00C1776F"/>
    <w:rsid w:val="00C24375"/>
    <w:rsid w:val="00C36FEA"/>
    <w:rsid w:val="00C375D6"/>
    <w:rsid w:val="00C45B96"/>
    <w:rsid w:val="00C46164"/>
    <w:rsid w:val="00C46FA3"/>
    <w:rsid w:val="00C51106"/>
    <w:rsid w:val="00C52095"/>
    <w:rsid w:val="00C52E74"/>
    <w:rsid w:val="00C53D9A"/>
    <w:rsid w:val="00C54560"/>
    <w:rsid w:val="00C61B60"/>
    <w:rsid w:val="00C62696"/>
    <w:rsid w:val="00C67160"/>
    <w:rsid w:val="00C71545"/>
    <w:rsid w:val="00C7562C"/>
    <w:rsid w:val="00C761E3"/>
    <w:rsid w:val="00C76213"/>
    <w:rsid w:val="00C769E2"/>
    <w:rsid w:val="00C82337"/>
    <w:rsid w:val="00C82673"/>
    <w:rsid w:val="00C86827"/>
    <w:rsid w:val="00C86F77"/>
    <w:rsid w:val="00C87DD4"/>
    <w:rsid w:val="00C91DE3"/>
    <w:rsid w:val="00C940AB"/>
    <w:rsid w:val="00C94988"/>
    <w:rsid w:val="00CA39D5"/>
    <w:rsid w:val="00CA4FD9"/>
    <w:rsid w:val="00CA7F35"/>
    <w:rsid w:val="00CB2694"/>
    <w:rsid w:val="00CB26AF"/>
    <w:rsid w:val="00CB27E7"/>
    <w:rsid w:val="00CC23CD"/>
    <w:rsid w:val="00CC3849"/>
    <w:rsid w:val="00CC47AE"/>
    <w:rsid w:val="00CD08C5"/>
    <w:rsid w:val="00CD3780"/>
    <w:rsid w:val="00CE3C48"/>
    <w:rsid w:val="00CE3ECA"/>
    <w:rsid w:val="00CE7856"/>
    <w:rsid w:val="00CF3EB5"/>
    <w:rsid w:val="00CF4484"/>
    <w:rsid w:val="00D014F2"/>
    <w:rsid w:val="00D025B7"/>
    <w:rsid w:val="00D047CB"/>
    <w:rsid w:val="00D057C3"/>
    <w:rsid w:val="00D074E2"/>
    <w:rsid w:val="00D13255"/>
    <w:rsid w:val="00D15AF9"/>
    <w:rsid w:val="00D20EEC"/>
    <w:rsid w:val="00D23058"/>
    <w:rsid w:val="00D2680D"/>
    <w:rsid w:val="00D27598"/>
    <w:rsid w:val="00D27645"/>
    <w:rsid w:val="00D30B86"/>
    <w:rsid w:val="00D36C1A"/>
    <w:rsid w:val="00D37389"/>
    <w:rsid w:val="00D37D76"/>
    <w:rsid w:val="00D41A03"/>
    <w:rsid w:val="00D42BF8"/>
    <w:rsid w:val="00D43D3B"/>
    <w:rsid w:val="00D44E20"/>
    <w:rsid w:val="00D50758"/>
    <w:rsid w:val="00D51C25"/>
    <w:rsid w:val="00D56FD6"/>
    <w:rsid w:val="00D652A8"/>
    <w:rsid w:val="00D74AFF"/>
    <w:rsid w:val="00D74F7A"/>
    <w:rsid w:val="00D81632"/>
    <w:rsid w:val="00D81653"/>
    <w:rsid w:val="00D8560B"/>
    <w:rsid w:val="00D905E2"/>
    <w:rsid w:val="00D91B2D"/>
    <w:rsid w:val="00DB2086"/>
    <w:rsid w:val="00DB4039"/>
    <w:rsid w:val="00DC3A03"/>
    <w:rsid w:val="00DC7CB6"/>
    <w:rsid w:val="00DD4A58"/>
    <w:rsid w:val="00DD5689"/>
    <w:rsid w:val="00DE2814"/>
    <w:rsid w:val="00DE404F"/>
    <w:rsid w:val="00DF66DF"/>
    <w:rsid w:val="00DF7B15"/>
    <w:rsid w:val="00E03ECB"/>
    <w:rsid w:val="00E07A06"/>
    <w:rsid w:val="00E14784"/>
    <w:rsid w:val="00E14A5A"/>
    <w:rsid w:val="00E14A94"/>
    <w:rsid w:val="00E226E0"/>
    <w:rsid w:val="00E30E8E"/>
    <w:rsid w:val="00E326C6"/>
    <w:rsid w:val="00E37664"/>
    <w:rsid w:val="00E378DB"/>
    <w:rsid w:val="00E42237"/>
    <w:rsid w:val="00E47532"/>
    <w:rsid w:val="00E53B3D"/>
    <w:rsid w:val="00E62531"/>
    <w:rsid w:val="00E64494"/>
    <w:rsid w:val="00E64C4A"/>
    <w:rsid w:val="00E65992"/>
    <w:rsid w:val="00E71E58"/>
    <w:rsid w:val="00E72123"/>
    <w:rsid w:val="00E73B36"/>
    <w:rsid w:val="00E86A38"/>
    <w:rsid w:val="00E87213"/>
    <w:rsid w:val="00E969F4"/>
    <w:rsid w:val="00EA36FF"/>
    <w:rsid w:val="00EA5D2F"/>
    <w:rsid w:val="00EA6BB8"/>
    <w:rsid w:val="00EA7B98"/>
    <w:rsid w:val="00EB41B5"/>
    <w:rsid w:val="00EB5AB9"/>
    <w:rsid w:val="00EB5D07"/>
    <w:rsid w:val="00EB7473"/>
    <w:rsid w:val="00EC0667"/>
    <w:rsid w:val="00EC1871"/>
    <w:rsid w:val="00EC1BE2"/>
    <w:rsid w:val="00ED2B23"/>
    <w:rsid w:val="00ED3AE7"/>
    <w:rsid w:val="00ED486B"/>
    <w:rsid w:val="00ED5BCD"/>
    <w:rsid w:val="00ED795E"/>
    <w:rsid w:val="00EE20F0"/>
    <w:rsid w:val="00EF1330"/>
    <w:rsid w:val="00EF3AED"/>
    <w:rsid w:val="00EF4B02"/>
    <w:rsid w:val="00EF5004"/>
    <w:rsid w:val="00F00654"/>
    <w:rsid w:val="00F0285E"/>
    <w:rsid w:val="00F03CA1"/>
    <w:rsid w:val="00F04380"/>
    <w:rsid w:val="00F11222"/>
    <w:rsid w:val="00F11793"/>
    <w:rsid w:val="00F127E8"/>
    <w:rsid w:val="00F14AF2"/>
    <w:rsid w:val="00F154CD"/>
    <w:rsid w:val="00F154F8"/>
    <w:rsid w:val="00F213CD"/>
    <w:rsid w:val="00F25AA4"/>
    <w:rsid w:val="00F27464"/>
    <w:rsid w:val="00F27487"/>
    <w:rsid w:val="00F32981"/>
    <w:rsid w:val="00F41C48"/>
    <w:rsid w:val="00F469D6"/>
    <w:rsid w:val="00F665D0"/>
    <w:rsid w:val="00F675AE"/>
    <w:rsid w:val="00F67D05"/>
    <w:rsid w:val="00F77E7B"/>
    <w:rsid w:val="00F8112C"/>
    <w:rsid w:val="00F817DC"/>
    <w:rsid w:val="00F81930"/>
    <w:rsid w:val="00F86E86"/>
    <w:rsid w:val="00F9299B"/>
    <w:rsid w:val="00F96586"/>
    <w:rsid w:val="00F96E7E"/>
    <w:rsid w:val="00FA0686"/>
    <w:rsid w:val="00FA240C"/>
    <w:rsid w:val="00FA36C2"/>
    <w:rsid w:val="00FA4265"/>
    <w:rsid w:val="00FA758D"/>
    <w:rsid w:val="00FA7D1A"/>
    <w:rsid w:val="00FB5964"/>
    <w:rsid w:val="00FC2B75"/>
    <w:rsid w:val="00FC5CDD"/>
    <w:rsid w:val="00FC63D6"/>
    <w:rsid w:val="00FD3F30"/>
    <w:rsid w:val="00FD490E"/>
    <w:rsid w:val="00FE1994"/>
    <w:rsid w:val="00FE29EF"/>
    <w:rsid w:val="00FF0F20"/>
    <w:rsid w:val="00FF1D38"/>
    <w:rsid w:val="00FF66A8"/>
    <w:rsid w:val="00FF7D0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041EC6"/>
  <w15:chartTrackingRefBased/>
  <w15:docId w15:val="{0AFBD982-A8B0-4136-B26F-B9A8975C9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AAA"/>
    <w:pPr>
      <w:spacing w:line="480" w:lineRule="auto"/>
    </w:pPr>
    <w:rPr>
      <w:rFonts w:ascii="Arial" w:hAnsi="Arial"/>
    </w:rPr>
  </w:style>
  <w:style w:type="paragraph" w:styleId="Heading1">
    <w:name w:val="heading 1"/>
    <w:basedOn w:val="Normal"/>
    <w:link w:val="Heading1Char"/>
    <w:uiPriority w:val="9"/>
    <w:qFormat/>
    <w:rsid w:val="00A75AAA"/>
    <w:pPr>
      <w:outlineLvl w:val="0"/>
    </w:pPr>
    <w:rPr>
      <w:rFonts w:eastAsia="Times New Roman" w:cstheme="minorHAnsi"/>
      <w:b/>
      <w:bCs/>
      <w:color w:val="000000"/>
      <w:kern w:val="36"/>
      <w:lang w:eastAsia="en-GB"/>
    </w:rPr>
  </w:style>
  <w:style w:type="paragraph" w:styleId="Heading2">
    <w:name w:val="heading 2"/>
    <w:basedOn w:val="Normal"/>
    <w:next w:val="Normal"/>
    <w:link w:val="Heading2Char"/>
    <w:uiPriority w:val="9"/>
    <w:unhideWhenUsed/>
    <w:qFormat/>
    <w:rsid w:val="002A1F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4353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673"/>
    <w:rPr>
      <w:color w:val="0563C1" w:themeColor="hyperlink"/>
      <w:u w:val="single"/>
    </w:rPr>
  </w:style>
  <w:style w:type="character" w:styleId="CommentReference">
    <w:name w:val="annotation reference"/>
    <w:basedOn w:val="DefaultParagraphFont"/>
    <w:uiPriority w:val="99"/>
    <w:semiHidden/>
    <w:unhideWhenUsed/>
    <w:rsid w:val="00C82673"/>
    <w:rPr>
      <w:sz w:val="16"/>
      <w:szCs w:val="16"/>
    </w:rPr>
  </w:style>
  <w:style w:type="paragraph" w:styleId="CommentText">
    <w:name w:val="annotation text"/>
    <w:basedOn w:val="Normal"/>
    <w:link w:val="CommentTextChar"/>
    <w:uiPriority w:val="99"/>
    <w:unhideWhenUsed/>
    <w:rsid w:val="00C82673"/>
    <w:pPr>
      <w:spacing w:line="240" w:lineRule="auto"/>
    </w:pPr>
    <w:rPr>
      <w:sz w:val="20"/>
      <w:szCs w:val="20"/>
    </w:rPr>
  </w:style>
  <w:style w:type="character" w:customStyle="1" w:styleId="CommentTextChar">
    <w:name w:val="Comment Text Char"/>
    <w:basedOn w:val="DefaultParagraphFont"/>
    <w:link w:val="CommentText"/>
    <w:uiPriority w:val="99"/>
    <w:rsid w:val="00C82673"/>
    <w:rPr>
      <w:sz w:val="20"/>
      <w:szCs w:val="20"/>
    </w:rPr>
  </w:style>
  <w:style w:type="paragraph" w:styleId="BalloonText">
    <w:name w:val="Balloon Text"/>
    <w:basedOn w:val="Normal"/>
    <w:link w:val="BalloonTextChar"/>
    <w:uiPriority w:val="99"/>
    <w:semiHidden/>
    <w:unhideWhenUsed/>
    <w:rsid w:val="00C82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673"/>
    <w:rPr>
      <w:rFonts w:ascii="Segoe UI" w:hAnsi="Segoe UI" w:cs="Segoe UI"/>
      <w:sz w:val="18"/>
      <w:szCs w:val="18"/>
    </w:rPr>
  </w:style>
  <w:style w:type="paragraph" w:styleId="Header">
    <w:name w:val="header"/>
    <w:basedOn w:val="Normal"/>
    <w:link w:val="HeaderChar"/>
    <w:unhideWhenUsed/>
    <w:rsid w:val="005E7B74"/>
    <w:pPr>
      <w:tabs>
        <w:tab w:val="center" w:pos="4513"/>
        <w:tab w:val="right" w:pos="9026"/>
      </w:tabs>
      <w:spacing w:after="0" w:line="240" w:lineRule="auto"/>
    </w:pPr>
  </w:style>
  <w:style w:type="character" w:customStyle="1" w:styleId="HeaderChar">
    <w:name w:val="Header Char"/>
    <w:basedOn w:val="DefaultParagraphFont"/>
    <w:link w:val="Header"/>
    <w:rsid w:val="005E7B74"/>
  </w:style>
  <w:style w:type="paragraph" w:styleId="Footer">
    <w:name w:val="footer"/>
    <w:basedOn w:val="Normal"/>
    <w:link w:val="FooterChar"/>
    <w:unhideWhenUsed/>
    <w:rsid w:val="005E7B74"/>
    <w:pPr>
      <w:tabs>
        <w:tab w:val="center" w:pos="4513"/>
        <w:tab w:val="right" w:pos="9026"/>
      </w:tabs>
      <w:spacing w:after="0" w:line="240" w:lineRule="auto"/>
    </w:pPr>
  </w:style>
  <w:style w:type="character" w:customStyle="1" w:styleId="FooterChar">
    <w:name w:val="Footer Char"/>
    <w:basedOn w:val="DefaultParagraphFont"/>
    <w:link w:val="Footer"/>
    <w:rsid w:val="005E7B74"/>
  </w:style>
  <w:style w:type="character" w:styleId="PageNumber">
    <w:name w:val="page number"/>
    <w:rsid w:val="005E7B74"/>
    <w:rPr>
      <w:rFonts w:ascii="Arial" w:hAnsi="Arial"/>
      <w:color w:val="auto"/>
      <w:sz w:val="18"/>
    </w:rPr>
  </w:style>
  <w:style w:type="paragraph" w:styleId="ListParagraph">
    <w:name w:val="List Paragraph"/>
    <w:basedOn w:val="Normal"/>
    <w:uiPriority w:val="34"/>
    <w:qFormat/>
    <w:rsid w:val="00E73B36"/>
    <w:pPr>
      <w:ind w:left="720"/>
      <w:contextualSpacing/>
    </w:pPr>
  </w:style>
  <w:style w:type="paragraph" w:styleId="CommentSubject">
    <w:name w:val="annotation subject"/>
    <w:basedOn w:val="CommentText"/>
    <w:next w:val="CommentText"/>
    <w:link w:val="CommentSubjectChar"/>
    <w:uiPriority w:val="99"/>
    <w:semiHidden/>
    <w:unhideWhenUsed/>
    <w:rsid w:val="00644B90"/>
    <w:rPr>
      <w:b/>
      <w:bCs/>
    </w:rPr>
  </w:style>
  <w:style w:type="character" w:customStyle="1" w:styleId="CommentSubjectChar">
    <w:name w:val="Comment Subject Char"/>
    <w:basedOn w:val="CommentTextChar"/>
    <w:link w:val="CommentSubject"/>
    <w:uiPriority w:val="99"/>
    <w:semiHidden/>
    <w:rsid w:val="00644B90"/>
    <w:rPr>
      <w:b/>
      <w:bCs/>
      <w:sz w:val="20"/>
      <w:szCs w:val="20"/>
    </w:rPr>
  </w:style>
  <w:style w:type="character" w:customStyle="1" w:styleId="Heading1Char">
    <w:name w:val="Heading 1 Char"/>
    <w:basedOn w:val="DefaultParagraphFont"/>
    <w:link w:val="Heading1"/>
    <w:uiPriority w:val="9"/>
    <w:rsid w:val="00A75AAA"/>
    <w:rPr>
      <w:rFonts w:eastAsia="Times New Roman" w:cstheme="minorHAnsi"/>
      <w:b/>
      <w:bCs/>
      <w:color w:val="000000"/>
      <w:kern w:val="36"/>
      <w:lang w:eastAsia="en-GB"/>
    </w:rPr>
  </w:style>
  <w:style w:type="character" w:customStyle="1" w:styleId="Heading2Char">
    <w:name w:val="Heading 2 Char"/>
    <w:basedOn w:val="DefaultParagraphFont"/>
    <w:link w:val="Heading2"/>
    <w:uiPriority w:val="9"/>
    <w:rsid w:val="002A1FCE"/>
    <w:rPr>
      <w:rFonts w:asciiTheme="majorHAnsi" w:eastAsiaTheme="majorEastAsia" w:hAnsiTheme="majorHAnsi" w:cstheme="majorBidi"/>
      <w:color w:val="2F5496" w:themeColor="accent1" w:themeShade="BF"/>
      <w:sz w:val="26"/>
      <w:szCs w:val="26"/>
    </w:rPr>
  </w:style>
  <w:style w:type="paragraph" w:customStyle="1" w:styleId="BulletListNumbered">
    <w:name w:val="Bullet List Numbered"/>
    <w:uiPriority w:val="10"/>
    <w:qFormat/>
    <w:rsid w:val="006461E0"/>
    <w:pPr>
      <w:numPr>
        <w:numId w:val="13"/>
      </w:numPr>
      <w:suppressAutoHyphens/>
      <w:spacing w:after="0" w:line="264"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256FD8"/>
    <w:pPr>
      <w:spacing w:after="120"/>
    </w:pPr>
  </w:style>
  <w:style w:type="character" w:customStyle="1" w:styleId="BodyTextChar">
    <w:name w:val="Body Text Char"/>
    <w:basedOn w:val="DefaultParagraphFont"/>
    <w:link w:val="BodyText"/>
    <w:uiPriority w:val="99"/>
    <w:semiHidden/>
    <w:rsid w:val="00256FD8"/>
  </w:style>
  <w:style w:type="character" w:customStyle="1" w:styleId="Heading4Char">
    <w:name w:val="Heading 4 Char"/>
    <w:basedOn w:val="DefaultParagraphFont"/>
    <w:link w:val="Heading4"/>
    <w:uiPriority w:val="9"/>
    <w:semiHidden/>
    <w:rsid w:val="00435384"/>
    <w:rPr>
      <w:rFonts w:asciiTheme="majorHAnsi" w:eastAsiaTheme="majorEastAsia" w:hAnsiTheme="majorHAnsi" w:cstheme="majorBidi"/>
      <w:i/>
      <w:iCs/>
      <w:color w:val="2F5496" w:themeColor="accent1" w:themeShade="BF"/>
    </w:rPr>
  </w:style>
  <w:style w:type="table" w:styleId="TableGrid">
    <w:name w:val="Table Grid"/>
    <w:basedOn w:val="TableNormal"/>
    <w:uiPriority w:val="59"/>
    <w:rsid w:val="00AD2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416F"/>
    <w:pPr>
      <w:spacing w:after="0" w:line="240" w:lineRule="auto"/>
    </w:pPr>
  </w:style>
  <w:style w:type="character" w:customStyle="1" w:styleId="UnresolvedMention1">
    <w:name w:val="Unresolved Mention1"/>
    <w:basedOn w:val="DefaultParagraphFont"/>
    <w:uiPriority w:val="99"/>
    <w:semiHidden/>
    <w:unhideWhenUsed/>
    <w:rsid w:val="00E86A38"/>
    <w:rPr>
      <w:color w:val="605E5C"/>
      <w:shd w:val="clear" w:color="auto" w:fill="E1DFDD"/>
    </w:rPr>
  </w:style>
  <w:style w:type="paragraph" w:customStyle="1" w:styleId="TableFootnote">
    <w:name w:val="Table Footnote"/>
    <w:basedOn w:val="Normal"/>
    <w:uiPriority w:val="15"/>
    <w:qFormat/>
    <w:rsid w:val="00391927"/>
    <w:pPr>
      <w:keepLines/>
      <w:suppressAutoHyphens/>
      <w:spacing w:before="40" w:after="40" w:line="264" w:lineRule="auto"/>
    </w:pPr>
    <w:rPr>
      <w:rFonts w:ascii="Times New Roman" w:eastAsia="Times New Roman" w:hAnsi="Times New Roman" w:cs="Times New Roman"/>
      <w:sz w:val="20"/>
      <w:szCs w:val="24"/>
      <w:lang w:eastAsia="en-GB"/>
    </w:rPr>
  </w:style>
  <w:style w:type="character" w:styleId="FollowedHyperlink">
    <w:name w:val="FollowedHyperlink"/>
    <w:basedOn w:val="DefaultParagraphFont"/>
    <w:uiPriority w:val="99"/>
    <w:semiHidden/>
    <w:unhideWhenUsed/>
    <w:rsid w:val="00C940AB"/>
    <w:rPr>
      <w:color w:val="954F72" w:themeColor="followedHyperlink"/>
      <w:u w:val="single"/>
    </w:rPr>
  </w:style>
  <w:style w:type="paragraph" w:styleId="TOCHeading">
    <w:name w:val="TOC Heading"/>
    <w:basedOn w:val="Heading1"/>
    <w:next w:val="Normal"/>
    <w:uiPriority w:val="39"/>
    <w:unhideWhenUsed/>
    <w:qFormat/>
    <w:rsid w:val="008E0462"/>
    <w:pPr>
      <w:keepNext/>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67A1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9119">
      <w:bodyDiv w:val="1"/>
      <w:marLeft w:val="0"/>
      <w:marRight w:val="0"/>
      <w:marTop w:val="0"/>
      <w:marBottom w:val="0"/>
      <w:divBdr>
        <w:top w:val="none" w:sz="0" w:space="0" w:color="auto"/>
        <w:left w:val="none" w:sz="0" w:space="0" w:color="auto"/>
        <w:bottom w:val="none" w:sz="0" w:space="0" w:color="auto"/>
        <w:right w:val="none" w:sz="0" w:space="0" w:color="auto"/>
      </w:divBdr>
    </w:div>
    <w:div w:id="771900455">
      <w:bodyDiv w:val="1"/>
      <w:marLeft w:val="0"/>
      <w:marRight w:val="0"/>
      <w:marTop w:val="0"/>
      <w:marBottom w:val="0"/>
      <w:divBdr>
        <w:top w:val="none" w:sz="0" w:space="0" w:color="auto"/>
        <w:left w:val="none" w:sz="0" w:space="0" w:color="auto"/>
        <w:bottom w:val="none" w:sz="0" w:space="0" w:color="auto"/>
        <w:right w:val="none" w:sz="0" w:space="0" w:color="auto"/>
      </w:divBdr>
    </w:div>
    <w:div w:id="990786868">
      <w:bodyDiv w:val="1"/>
      <w:marLeft w:val="0"/>
      <w:marRight w:val="0"/>
      <w:marTop w:val="0"/>
      <w:marBottom w:val="0"/>
      <w:divBdr>
        <w:top w:val="none" w:sz="0" w:space="0" w:color="auto"/>
        <w:left w:val="none" w:sz="0" w:space="0" w:color="auto"/>
        <w:bottom w:val="none" w:sz="0" w:space="0" w:color="auto"/>
        <w:right w:val="none" w:sz="0" w:space="0" w:color="auto"/>
      </w:divBdr>
      <w:divsChild>
        <w:div w:id="1012415817">
          <w:marLeft w:val="418"/>
          <w:marRight w:val="0"/>
          <w:marTop w:val="86"/>
          <w:marBottom w:val="0"/>
          <w:divBdr>
            <w:top w:val="none" w:sz="0" w:space="0" w:color="auto"/>
            <w:left w:val="none" w:sz="0" w:space="0" w:color="auto"/>
            <w:bottom w:val="none" w:sz="0" w:space="0" w:color="auto"/>
            <w:right w:val="none" w:sz="0" w:space="0" w:color="auto"/>
          </w:divBdr>
        </w:div>
      </w:divsChild>
    </w:div>
    <w:div w:id="209323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3.tiff"/><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mailto:ruvo@novonordisk.com" TargetMode="External"/><Relationship Id="rId20" Type="http://schemas.openxmlformats.org/officeDocument/2006/relationships/image" Target="media/image2.tif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6.png"/><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4.png"/><Relationship Id="rId2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1C8989C6B1C2C45863E0A0429D7DA60" ma:contentTypeVersion="7" ma:contentTypeDescription="Create a new document." ma:contentTypeScope="" ma:versionID="4359312b019d64ddb4d4038bb6895030">
  <xsd:schema xmlns:xsd="http://www.w3.org/2001/XMLSchema" xmlns:xs="http://www.w3.org/2001/XMLSchema" xmlns:p="http://schemas.microsoft.com/office/2006/metadata/properties" xmlns:ns3="c6b2d5fb-b2e6-413d-b310-34daaffbad37" targetNamespace="http://schemas.microsoft.com/office/2006/metadata/properties" ma:root="true" ma:fieldsID="a3d31c75a0fb17168a782adba010a4ac" ns3:_="">
    <xsd:import namespace="c6b2d5fb-b2e6-413d-b310-34daaffbad3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2d5fb-b2e6-413d-b310-34daaffba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ct:contentTypeSchema xmlns:ct="http://schemas.microsoft.com/office/2006/metadata/contentType" xmlns:ma="http://schemas.microsoft.com/office/2006/metadata/properties/metaAttributes" ct:_="" ma:_="" ma:contentTypeName="Document" ma:contentTypeID="0x01010058DF3CF873EFAD4DB55150EE7A1034CF" ma:contentTypeVersion="8" ma:contentTypeDescription="Create a new document." ma:contentTypeScope="" ma:versionID="99fa135694f7f8b13e54090497c60703">
  <xsd:schema xmlns:xsd="http://www.w3.org/2001/XMLSchema" xmlns:xs="http://www.w3.org/2001/XMLSchema" xmlns:p="http://schemas.microsoft.com/office/2006/metadata/properties" xmlns:ns3="aac0dca7-a458-428e-9746-0a3999c9b6e8" targetNamespace="http://schemas.microsoft.com/office/2006/metadata/properties" ma:root="true" ma:fieldsID="3bafea42fec92f1390bba7de385c28a6" ns3:_="">
    <xsd:import namespace="aac0dca7-a458-428e-9746-0a3999c9b6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0dca7-a458-428e-9746-0a3999c9b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D466-96DE-482C-B111-A79260D2E7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32ECD4-16D6-49F8-BD49-DB85C99A8A74}">
  <ds:schemaRefs>
    <ds:schemaRef ds:uri="http://schemas.microsoft.com/sharepoint/v3/contenttype/forms"/>
  </ds:schemaRefs>
</ds:datastoreItem>
</file>

<file path=customXml/itemProps3.xml><?xml version="1.0" encoding="utf-8"?>
<ds:datastoreItem xmlns:ds="http://schemas.openxmlformats.org/officeDocument/2006/customXml" ds:itemID="{FEF9436D-0E3A-4AD6-A7DB-7A880CF8A812}">
  <ds:schemaRefs>
    <ds:schemaRef ds:uri="http://schemas.microsoft.com/sharepoint/v3/contenttype/forms"/>
  </ds:schemaRefs>
</ds:datastoreItem>
</file>

<file path=customXml/itemProps4.xml><?xml version="1.0" encoding="utf-8"?>
<ds:datastoreItem xmlns:ds="http://schemas.openxmlformats.org/officeDocument/2006/customXml" ds:itemID="{2B664287-BFD8-49A1-87EA-F7AA587F74C7}">
  <ds:schemaRefs>
    <ds:schemaRef ds:uri="http://schemas.microsoft.com/sharepoint/v3/contenttype/forms"/>
  </ds:schemaRefs>
</ds:datastoreItem>
</file>

<file path=customXml/itemProps5.xml><?xml version="1.0" encoding="utf-8"?>
<ds:datastoreItem xmlns:ds="http://schemas.openxmlformats.org/officeDocument/2006/customXml" ds:itemID="{8D8A08FB-1D8F-4E1C-8324-C1358FA2F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2d5fb-b2e6-413d-b310-34daaffba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DB3C6D-D7C7-4245-A828-191537145CF2}">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754A2DCC-D78A-4532-A6E9-53B439E2D369}">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0319ED87-3AFE-4A6B-8724-BA10BE7E8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0dca7-a458-428e-9746-0a3999c9b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1F8E34E-B7D2-4207-B5DE-8FE290A71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1642</Words>
  <Characters>9362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Day</dc:creator>
  <cp:keywords/>
  <dc:description/>
  <cp:lastModifiedBy>sinthiya M.</cp:lastModifiedBy>
  <cp:revision>4</cp:revision>
  <cp:lastPrinted>2019-12-18T08:59:00Z</cp:lastPrinted>
  <dcterms:created xsi:type="dcterms:W3CDTF">2021-03-22T15:15:00Z</dcterms:created>
  <dcterms:modified xsi:type="dcterms:W3CDTF">2021-04-21T14:01:00Z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0x010100B1C8989C6B1C2C45863E0A0429D7DA60</vt:lpwstr>
  </property>
</Properties>
</file>