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64" w:rsidRDefault="00147B64" w:rsidP="00147B64">
      <w:pPr>
        <w:pStyle w:val="Heading1"/>
      </w:pPr>
      <w:r>
        <w:t>Appendix</w:t>
      </w:r>
    </w:p>
    <w:p w:rsidR="00147B64" w:rsidRDefault="00147B64" w:rsidP="00147B64"/>
    <w:p w:rsidR="00147B64" w:rsidRPr="00F80C6C" w:rsidRDefault="00147B64" w:rsidP="00147B64">
      <w:pPr>
        <w:rPr>
          <w:b/>
          <w:bCs/>
        </w:rPr>
      </w:pPr>
      <w:r w:rsidRPr="00F80C6C">
        <w:rPr>
          <w:b/>
          <w:bCs/>
        </w:rPr>
        <w:t xml:space="preserve">Supplemental Table 1. </w:t>
      </w:r>
      <w:r>
        <w:rPr>
          <w:b/>
          <w:bCs/>
        </w:rPr>
        <w:t>Overview of c</w:t>
      </w:r>
      <w:r w:rsidRPr="00F80C6C">
        <w:rPr>
          <w:b/>
          <w:bCs/>
        </w:rPr>
        <w:t xml:space="preserve">ovariate effects </w:t>
      </w:r>
      <w:r>
        <w:rPr>
          <w:b/>
          <w:bCs/>
        </w:rPr>
        <w:t xml:space="preserve">that were </w:t>
      </w:r>
      <w:r w:rsidRPr="00F80C6C">
        <w:rPr>
          <w:b/>
          <w:bCs/>
        </w:rPr>
        <w:t xml:space="preserve">evaluated </w:t>
      </w:r>
      <w:r>
        <w:rPr>
          <w:b/>
          <w:bCs/>
        </w:rPr>
        <w:t>on each model</w:t>
      </w:r>
      <w:r w:rsidRPr="00F80C6C">
        <w:rPr>
          <w:b/>
          <w:bCs/>
        </w:rPr>
        <w:t xml:space="preserve"> parameter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7718"/>
      </w:tblGrid>
      <w:tr w:rsidR="00147B64" w:rsidTr="00502FC6">
        <w:tc>
          <w:tcPr>
            <w:tcW w:w="0" w:type="auto"/>
          </w:tcPr>
          <w:p w:rsidR="00147B64" w:rsidRDefault="00147B64" w:rsidP="00502FC6">
            <w:r>
              <w:t>Structural model parameter</w:t>
            </w:r>
          </w:p>
        </w:tc>
        <w:tc>
          <w:tcPr>
            <w:tcW w:w="0" w:type="auto"/>
          </w:tcPr>
          <w:p w:rsidR="00147B64" w:rsidRDefault="00147B64" w:rsidP="00502FC6">
            <w:r>
              <w:t>Covariate evaluated</w:t>
            </w:r>
          </w:p>
        </w:tc>
      </w:tr>
      <w:tr w:rsidR="00147B64" w:rsidTr="00502FC6">
        <w:tc>
          <w:tcPr>
            <w:tcW w:w="0" w:type="auto"/>
          </w:tcPr>
          <w:p w:rsidR="00147B64" w:rsidRDefault="00147B64" w:rsidP="00502FC6">
            <w:r>
              <w:t>F</w:t>
            </w:r>
          </w:p>
        </w:tc>
        <w:tc>
          <w:tcPr>
            <w:tcW w:w="0" w:type="auto"/>
          </w:tcPr>
          <w:p w:rsidR="00147B64" w:rsidRDefault="00147B64" w:rsidP="00502FC6">
            <w:r>
              <w:t>Dose (also nested per formulation), intake conditions [fasting or non-fasting state] (also nested per formulation), formulation, hematocrit, proton pump inhibitors, time after transplantation (also nested per formulation),</w:t>
            </w:r>
          </w:p>
        </w:tc>
      </w:tr>
      <w:tr w:rsidR="00147B64" w:rsidTr="00502FC6">
        <w:tc>
          <w:tcPr>
            <w:tcW w:w="0" w:type="auto"/>
          </w:tcPr>
          <w:p w:rsidR="00147B64" w:rsidRDefault="00147B64" w:rsidP="00502FC6">
            <w:r>
              <w:t>CL</w:t>
            </w:r>
          </w:p>
        </w:tc>
        <w:tc>
          <w:tcPr>
            <w:tcW w:w="0" w:type="auto"/>
          </w:tcPr>
          <w:p w:rsidR="00147B64" w:rsidRDefault="00147B64" w:rsidP="00502FC6">
            <w:r>
              <w:t xml:space="preserve">Age, ALP, ALT, AST, bilirubin, body size (body weight and fat-free mass), body mass index, body surface area, calcium channel blocker, ethnicity, eGFR, hematocrit, predniso(lo)n, sex, </w:t>
            </w:r>
            <w:r w:rsidRPr="00412D16">
              <w:rPr>
                <w:rFonts w:eastAsiaTheme="minorEastAsia"/>
              </w:rPr>
              <w:t>sulfonylurea derivatives</w:t>
            </w:r>
            <w:r>
              <w:rPr>
                <w:rFonts w:eastAsiaTheme="minorEastAsia"/>
              </w:rPr>
              <w:t>, transplant type</w:t>
            </w:r>
          </w:p>
        </w:tc>
      </w:tr>
      <w:tr w:rsidR="00147B64" w:rsidTr="00502FC6">
        <w:tc>
          <w:tcPr>
            <w:tcW w:w="0" w:type="auto"/>
          </w:tcPr>
          <w:p w:rsidR="00147B64" w:rsidRDefault="00147B64" w:rsidP="00502FC6">
            <w:r>
              <w:t>V</w:t>
            </w:r>
          </w:p>
        </w:tc>
        <w:tc>
          <w:tcPr>
            <w:tcW w:w="0" w:type="auto"/>
          </w:tcPr>
          <w:p w:rsidR="00147B64" w:rsidRDefault="00147B64" w:rsidP="00502FC6">
            <w:r>
              <w:t>Albumin, body size (body weight and fat-free mass), body surface area, body mass index, ethnicity, haptoglobin, hematocrit, predniso(lo)n, sex, total plasma protein</w:t>
            </w:r>
          </w:p>
        </w:tc>
      </w:tr>
      <w:tr w:rsidR="00147B64" w:rsidTr="00502FC6">
        <w:tc>
          <w:tcPr>
            <w:tcW w:w="0" w:type="auto"/>
          </w:tcPr>
          <w:p w:rsidR="00147B64" w:rsidRDefault="00147B64" w:rsidP="00502FC6">
            <w:r>
              <w:t>Bmax</w:t>
            </w:r>
          </w:p>
        </w:tc>
        <w:tc>
          <w:tcPr>
            <w:tcW w:w="0" w:type="auto"/>
          </w:tcPr>
          <w:p w:rsidR="00147B64" w:rsidRDefault="00147B64" w:rsidP="00502FC6">
            <w:r>
              <w:t xml:space="preserve">eGFR, ethnicity, haptoglobin, hematocrit, low-density lipoprotein cholesterol, mycophenolic acid, predniso(lo)n, sex, transplant type, total cholesterol, total plasma protein, vitamin D use, vitamin B12, </w:t>
            </w:r>
          </w:p>
        </w:tc>
      </w:tr>
      <w:tr w:rsidR="00147B64" w:rsidTr="00502FC6">
        <w:tc>
          <w:tcPr>
            <w:tcW w:w="0" w:type="auto"/>
          </w:tcPr>
          <w:p w:rsidR="00147B64" w:rsidRDefault="00147B64" w:rsidP="00502FC6">
            <w:r>
              <w:t>Kd</w:t>
            </w:r>
          </w:p>
        </w:tc>
        <w:tc>
          <w:tcPr>
            <w:tcW w:w="0" w:type="auto"/>
          </w:tcPr>
          <w:p w:rsidR="00147B64" w:rsidRDefault="00147B64" w:rsidP="00502FC6">
            <w:r>
              <w:t>Hematocrit</w:t>
            </w:r>
          </w:p>
        </w:tc>
      </w:tr>
    </w:tbl>
    <w:p w:rsidR="00147B64" w:rsidRDefault="00147B64" w:rsidP="00147B64"/>
    <w:p w:rsidR="00147B64" w:rsidRDefault="00147B64" w:rsidP="00147B64">
      <w:r>
        <w:br w:type="page"/>
      </w:r>
    </w:p>
    <w:p w:rsidR="00147B64" w:rsidRDefault="00147B64" w:rsidP="00147B64">
      <w:pPr>
        <w:sectPr w:rsidR="00147B64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horzAnchor="margin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5"/>
        <w:gridCol w:w="137"/>
        <w:gridCol w:w="137"/>
        <w:gridCol w:w="1240"/>
        <w:gridCol w:w="1867"/>
        <w:gridCol w:w="837"/>
        <w:gridCol w:w="1351"/>
      </w:tblGrid>
      <w:tr w:rsidR="00147B64" w:rsidRPr="001831E2" w:rsidTr="00502FC6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lastRenderedPageBreak/>
              <w:t>Structural Model Parameters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Parameter 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RSE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Apparent plasma clearance (CL, L/hour)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Apparent plasma volume of distribution (Vd, L)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5227.4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Maximum plasma concentration bound to erythrocytes (B</w:t>
            </w:r>
            <w:r w:rsidRPr="00D705F4">
              <w:rPr>
                <w:sz w:val="20"/>
                <w:szCs w:val="20"/>
                <w:vertAlign w:val="subscript"/>
              </w:rPr>
              <w:t>max</w:t>
            </w:r>
            <w:r w:rsidRPr="00D705F4">
              <w:rPr>
                <w:sz w:val="20"/>
                <w:szCs w:val="20"/>
              </w:rPr>
              <w:t>, ng/mL)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44.5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Plasma concentration resulting in half of maximum binding (C</w:t>
            </w:r>
            <w:r w:rsidRPr="00D705F4">
              <w:rPr>
                <w:sz w:val="20"/>
                <w:szCs w:val="20"/>
                <w:vertAlign w:val="subscript"/>
              </w:rPr>
              <w:t>50</w:t>
            </w:r>
            <w:r w:rsidRPr="00D705F4">
              <w:rPr>
                <w:sz w:val="20"/>
                <w:szCs w:val="20"/>
              </w:rPr>
              <w:t>, ng/mL)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1831E2" w:rsidTr="00502FC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Stochastic Model Parameters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Structure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Estimate (CV%)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RSE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Shrinkage (%)</w:t>
            </w:r>
          </w:p>
        </w:tc>
      </w:tr>
      <w:tr w:rsidR="00147B64" w:rsidRPr="00D705F4" w:rsidTr="00502FC6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Between-subject variability on 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Exponential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32</w:t>
            </w:r>
            <w:r w:rsidRPr="00D705F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61.2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Between-subject variability on Bmax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Exponential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3</w:t>
            </w:r>
            <w:r w:rsidRPr="00D705F4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7.1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2.3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D705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Residual variability for plasma tacrolimus observations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Proportional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5</w:t>
            </w:r>
            <w:r w:rsidRPr="00D705F4">
              <w:rPr>
                <w:sz w:val="20"/>
                <w:szCs w:val="20"/>
              </w:rPr>
              <w:t xml:space="preserve"> (37.1)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D705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 xml:space="preserve">Residual variability for whole blood tacrolimus observations 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Proportional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0.06 (25.3)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D705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Covariance between residual variability for plasma and whole blood tacrolimus observations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7</w:t>
            </w:r>
            <w:r w:rsidRPr="00D705F4">
              <w:rPr>
                <w:sz w:val="20"/>
                <w:szCs w:val="20"/>
              </w:rPr>
              <w:t xml:space="preserve"> (r = 0.6</w:t>
            </w:r>
            <w:r>
              <w:rPr>
                <w:sz w:val="20"/>
                <w:szCs w:val="20"/>
              </w:rPr>
              <w:t>1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</w:tbl>
    <w:p w:rsidR="00147B64" w:rsidRDefault="00147B64" w:rsidP="00147B64">
      <w:r w:rsidRPr="00F80C6C">
        <w:rPr>
          <w:b/>
          <w:bCs/>
        </w:rPr>
        <w:t xml:space="preserve">Supplemental Table </w:t>
      </w:r>
      <w:r>
        <w:rPr>
          <w:b/>
          <w:bCs/>
        </w:rPr>
        <w:t xml:space="preserve">2. </w:t>
      </w:r>
      <w:r w:rsidRPr="00525A20">
        <w:t xml:space="preserve">Parameter estimates of base non-linear population pharmacokinetic model </w:t>
      </w:r>
      <w:r>
        <w:br w:type="page"/>
      </w:r>
    </w:p>
    <w:tbl>
      <w:tblPr>
        <w:tblStyle w:val="TableGrid"/>
        <w:tblpPr w:leftFromText="180" w:rightFromText="180" w:tblpY="5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8"/>
        <w:gridCol w:w="201"/>
        <w:gridCol w:w="201"/>
        <w:gridCol w:w="1240"/>
        <w:gridCol w:w="1867"/>
        <w:gridCol w:w="836"/>
        <w:gridCol w:w="1351"/>
      </w:tblGrid>
      <w:tr w:rsidR="00147B64" w:rsidRPr="001831E2" w:rsidTr="00502FC6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lastRenderedPageBreak/>
              <w:t>Structural Model Parameters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Parameter 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RSE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Apparent plasma clearance (CL, L/hour)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227.8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Apparent plasma volume of distribution (Vd, L)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6302.9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567776">
              <w:rPr>
                <w:sz w:val="20"/>
                <w:szCs w:val="20"/>
              </w:rPr>
              <w:t xml:space="preserve">fraction_bound </w:t>
            </w:r>
            <w:r w:rsidRPr="00D705F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%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99.0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1831E2" w:rsidTr="00502FC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Stochastic Model Parameters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Structure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Estimate (CV%)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RSE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1831E2" w:rsidRDefault="00147B64" w:rsidP="00502FC6">
            <w:pPr>
              <w:rPr>
                <w:b/>
                <w:bCs/>
                <w:sz w:val="20"/>
                <w:szCs w:val="20"/>
              </w:rPr>
            </w:pPr>
            <w:r w:rsidRPr="001831E2">
              <w:rPr>
                <w:b/>
                <w:bCs/>
                <w:sz w:val="20"/>
                <w:szCs w:val="20"/>
              </w:rPr>
              <w:t>Shrinkage (%)</w:t>
            </w:r>
          </w:p>
        </w:tc>
      </w:tr>
      <w:tr w:rsidR="00147B64" w:rsidRPr="00D705F4" w:rsidTr="00502FC6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Between-subject variability on 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Exponential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29</w:t>
            </w:r>
            <w:r w:rsidRPr="00D705F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58.4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4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Between-subject variability on</w:t>
            </w:r>
            <w:r w:rsidRPr="00567776">
              <w:rPr>
                <w:sz w:val="20"/>
                <w:szCs w:val="20"/>
              </w:rPr>
              <w:t xml:space="preserve"> fraction_bound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Exponential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5</w:t>
            </w:r>
            <w:r w:rsidRPr="00D705F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22.4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D705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Residual variability for plasma tacrolimus observations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Proportional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6</w:t>
            </w:r>
            <w:r w:rsidRPr="00D705F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39</w:t>
            </w:r>
            <w:r w:rsidRPr="00D705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5.9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 xml:space="preserve">Residual variability for whole blood tacrolimus observations 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Proportional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0.06 (25.</w:t>
            </w:r>
            <w:r>
              <w:rPr>
                <w:sz w:val="20"/>
                <w:szCs w:val="20"/>
              </w:rPr>
              <w:t>8</w:t>
            </w:r>
            <w:r w:rsidRPr="00D705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0" w:type="auto"/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5.7</w:t>
            </w:r>
            <w:r w:rsidRPr="00D705F4">
              <w:rPr>
                <w:sz w:val="20"/>
                <w:szCs w:val="20"/>
              </w:rPr>
              <w:t>%</w:t>
            </w:r>
          </w:p>
        </w:tc>
      </w:tr>
      <w:tr w:rsidR="00147B64" w:rsidRPr="00D705F4" w:rsidTr="00502FC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Covariance between residual variability for plasma and whole blood tacrolimus observations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  <w:r w:rsidRPr="00D705F4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7</w:t>
            </w:r>
            <w:r w:rsidRPr="00D705F4">
              <w:rPr>
                <w:sz w:val="20"/>
                <w:szCs w:val="20"/>
              </w:rPr>
              <w:t xml:space="preserve"> (r = 0.60)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47B64" w:rsidRPr="00D705F4" w:rsidRDefault="00147B64" w:rsidP="00502FC6">
            <w:pPr>
              <w:rPr>
                <w:sz w:val="20"/>
                <w:szCs w:val="20"/>
              </w:rPr>
            </w:pPr>
          </w:p>
        </w:tc>
      </w:tr>
    </w:tbl>
    <w:p w:rsidR="00147B64" w:rsidRDefault="00147B64" w:rsidP="00147B64">
      <w:r w:rsidRPr="00F80C6C">
        <w:rPr>
          <w:b/>
          <w:bCs/>
        </w:rPr>
        <w:t xml:space="preserve">Supplemental Table </w:t>
      </w:r>
      <w:r>
        <w:rPr>
          <w:b/>
          <w:bCs/>
        </w:rPr>
        <w:t>3.</w:t>
      </w:r>
      <w:r w:rsidRPr="00CD615D">
        <w:t xml:space="preserve"> </w:t>
      </w:r>
      <w:r w:rsidRPr="0090005D">
        <w:t>Parameter estimates of base linear population pharmacokinetic model</w:t>
      </w:r>
    </w:p>
    <w:p w:rsidR="00147B64" w:rsidRDefault="00147B64" w:rsidP="00147B64">
      <w:pPr>
        <w:rPr>
          <w:b/>
          <w:bCs/>
        </w:rPr>
        <w:sectPr w:rsidR="00147B64" w:rsidSect="00525A20"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:rsidR="00147B64" w:rsidRPr="00B75D71" w:rsidRDefault="00147B64" w:rsidP="00147B64">
      <w:r>
        <w:rPr>
          <w:b/>
          <w:bCs/>
        </w:rPr>
        <w:lastRenderedPageBreak/>
        <w:t>Supplemental Figure 1</w:t>
      </w:r>
      <w:r w:rsidRPr="00C10D31">
        <w:rPr>
          <w:b/>
          <w:bCs/>
        </w:rPr>
        <w:t>. Impact of covariates in the population pharmacokinetic model on the predicted plasma and whole blood trough concentration</w:t>
      </w:r>
      <w:r>
        <w:rPr>
          <w:b/>
          <w:bCs/>
        </w:rPr>
        <w:t xml:space="preserve"> at month 6</w:t>
      </w:r>
      <w:r w:rsidRPr="00C10D31">
        <w:rPr>
          <w:b/>
          <w:bCs/>
        </w:rPr>
        <w:t>.</w:t>
      </w:r>
      <w:r w:rsidRPr="000C2480">
        <w:t xml:space="preserve"> </w:t>
      </w:r>
      <w:r>
        <w:t>The reference subject is defined as a kidney transplant recipient that uses a dose of 3 mg Prograft, under fasting conditions, hematocrit of 39%, estimated glomerular filtration ratio (eGFR) of 50 mL/min/1.73m</w:t>
      </w:r>
      <w:r>
        <w:rPr>
          <w:vertAlign w:val="superscript"/>
        </w:rPr>
        <w:t>2</w:t>
      </w:r>
      <w:r>
        <w:t xml:space="preserve">, haptoglobin of 1.5 g/L, total cholesterol of 4.8 mmol/L, vitamin </w:t>
      </w:r>
      <w:r w:rsidRPr="00B75D71">
        <w:t>B</w:t>
      </w:r>
      <w:r w:rsidRPr="00B75D71">
        <w:rPr>
          <w:vertAlign w:val="subscript"/>
        </w:rPr>
        <w:t>12</w:t>
      </w:r>
      <w:r>
        <w:t xml:space="preserve"> of 400 pmol/L, </w:t>
      </w:r>
      <w:r w:rsidRPr="00B75D71">
        <w:t>concomitant</w:t>
      </w:r>
      <w:r>
        <w:t xml:space="preserve"> use of mycophenolic acid and no concomitant use of Vitamin D</w:t>
      </w:r>
      <w:r>
        <w:rPr>
          <w:vertAlign w:val="subscript"/>
        </w:rPr>
        <w:t>3</w:t>
      </w:r>
      <w:r>
        <w:t xml:space="preserve">. Points and error bars represent the median and 95% prediction intervals. Shaded areas represent the whole blood reference range (right panel) for kidney (blue) and lung (red) transplant recipients and the 95% prediction intervals for the plasma concentrations (left panel) that correlate with the whole blood reference ranges according to our model. </w:t>
      </w:r>
    </w:p>
    <w:p w:rsidR="00147B64" w:rsidRDefault="00147B64" w:rsidP="00147B64">
      <w:r>
        <w:rPr>
          <w:noProof/>
        </w:rPr>
        <w:drawing>
          <wp:inline distT="0" distB="0" distL="0" distR="0" wp14:anchorId="59DA16A4" wp14:editId="1EA36D98">
            <wp:extent cx="5972810" cy="2656840"/>
            <wp:effectExtent l="0" t="0" r="8890" b="0"/>
            <wp:docPr id="4" name="Picture 4" descr="Chart, bar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, box and whisk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B64" w:rsidRDefault="00147B64" w:rsidP="00147B64">
      <w:pPr>
        <w:rPr>
          <w:rFonts w:eastAsiaTheme="majorEastAsia"/>
          <w:sz w:val="32"/>
          <w:szCs w:val="32"/>
        </w:rPr>
      </w:pPr>
      <w:r>
        <w:br w:type="page"/>
      </w:r>
    </w:p>
    <w:p w:rsidR="00147B64" w:rsidRPr="00B75D71" w:rsidRDefault="00147B64" w:rsidP="00147B64">
      <w:r>
        <w:rPr>
          <w:b/>
          <w:bCs/>
        </w:rPr>
        <w:lastRenderedPageBreak/>
        <w:t xml:space="preserve">Supplemental </w:t>
      </w:r>
      <w:r w:rsidRPr="00C10D31">
        <w:rPr>
          <w:b/>
          <w:bCs/>
        </w:rPr>
        <w:t xml:space="preserve">Figure </w:t>
      </w:r>
      <w:r>
        <w:rPr>
          <w:b/>
          <w:bCs/>
        </w:rPr>
        <w:t>2</w:t>
      </w:r>
      <w:r w:rsidRPr="00C10D31">
        <w:rPr>
          <w:b/>
          <w:bCs/>
        </w:rPr>
        <w:t>. Impact of covariates in the population pharmacokinetic model on the predicted plasma and whole blood trough concentration</w:t>
      </w:r>
      <w:r>
        <w:rPr>
          <w:b/>
          <w:bCs/>
        </w:rPr>
        <w:t xml:space="preserve"> at month 3</w:t>
      </w:r>
      <w:r w:rsidRPr="00C10D31">
        <w:rPr>
          <w:b/>
          <w:bCs/>
        </w:rPr>
        <w:t>.</w:t>
      </w:r>
      <w:r w:rsidRPr="000C2480">
        <w:t xml:space="preserve"> </w:t>
      </w:r>
      <w:r>
        <w:t>Reference subject is defined as a kidney transplant recipient that uses a dose of 3 mg Prograft, under fasting conditions, hematocrit of 39%, estimated glomerular filtration ratio (eGFR) of 50 mL/min/1.73m</w:t>
      </w:r>
      <w:r>
        <w:rPr>
          <w:vertAlign w:val="superscript"/>
        </w:rPr>
        <w:t>2</w:t>
      </w:r>
      <w:r>
        <w:t xml:space="preserve">, haptoglobin of 1.5 g/L, total cholesterol of 4.8 mmol/L, vitamin </w:t>
      </w:r>
      <w:r w:rsidRPr="00B75D71">
        <w:t>B</w:t>
      </w:r>
      <w:r w:rsidRPr="00B75D71">
        <w:rPr>
          <w:vertAlign w:val="subscript"/>
        </w:rPr>
        <w:t>12</w:t>
      </w:r>
      <w:r>
        <w:t xml:space="preserve"> of 400 pmol/L, </w:t>
      </w:r>
      <w:r w:rsidRPr="00B75D71">
        <w:t>concomitant</w:t>
      </w:r>
      <w:r>
        <w:t xml:space="preserve"> use of mycophenolic acid and no concomitant use of Vitamin D</w:t>
      </w:r>
      <w:r>
        <w:rPr>
          <w:vertAlign w:val="subscript"/>
        </w:rPr>
        <w:t>3</w:t>
      </w:r>
      <w:r>
        <w:t xml:space="preserve">. Points and error bars represent the median and 95% prediction intervals. Shaded areas represent the proposed reference range for plasma and reference range for kidney (blue) and lung (red) transplant recipients. </w:t>
      </w:r>
    </w:p>
    <w:p w:rsidR="00147B64" w:rsidRDefault="00147B64" w:rsidP="00147B64">
      <w:r>
        <w:rPr>
          <w:noProof/>
        </w:rPr>
        <w:drawing>
          <wp:inline distT="0" distB="0" distL="0" distR="0" wp14:anchorId="7EB015CA" wp14:editId="4440E1B7">
            <wp:extent cx="5972810" cy="2761615"/>
            <wp:effectExtent l="0" t="0" r="889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B64" w:rsidRDefault="00147B64" w:rsidP="00147B64"/>
    <w:p w:rsidR="00147B64" w:rsidRDefault="00147B64" w:rsidP="00147B64"/>
    <w:p w:rsidR="00CC3C36" w:rsidRDefault="00CC3C36">
      <w:bookmarkStart w:id="0" w:name="_GoBack"/>
      <w:bookmarkEnd w:id="0"/>
    </w:p>
    <w:sectPr w:rsidR="00CC3C3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64"/>
    <w:rsid w:val="000005CD"/>
    <w:rsid w:val="00005359"/>
    <w:rsid w:val="00022E20"/>
    <w:rsid w:val="00024B81"/>
    <w:rsid w:val="00025087"/>
    <w:rsid w:val="000304F7"/>
    <w:rsid w:val="00055716"/>
    <w:rsid w:val="00066087"/>
    <w:rsid w:val="0009541F"/>
    <w:rsid w:val="000973CA"/>
    <w:rsid w:val="000A1B02"/>
    <w:rsid w:val="000A6542"/>
    <w:rsid w:val="000C091D"/>
    <w:rsid w:val="000C184A"/>
    <w:rsid w:val="000E766B"/>
    <w:rsid w:val="000F3B49"/>
    <w:rsid w:val="000F4BDB"/>
    <w:rsid w:val="001071B3"/>
    <w:rsid w:val="00107E9C"/>
    <w:rsid w:val="0012035F"/>
    <w:rsid w:val="001344D2"/>
    <w:rsid w:val="00147B64"/>
    <w:rsid w:val="001539FE"/>
    <w:rsid w:val="00156538"/>
    <w:rsid w:val="00160190"/>
    <w:rsid w:val="001732EB"/>
    <w:rsid w:val="00192076"/>
    <w:rsid w:val="001B7347"/>
    <w:rsid w:val="001C271A"/>
    <w:rsid w:val="001D4E07"/>
    <w:rsid w:val="001D7DCB"/>
    <w:rsid w:val="001F2201"/>
    <w:rsid w:val="002116FD"/>
    <w:rsid w:val="002148E9"/>
    <w:rsid w:val="00216956"/>
    <w:rsid w:val="00222979"/>
    <w:rsid w:val="002459BF"/>
    <w:rsid w:val="002462D6"/>
    <w:rsid w:val="0028763F"/>
    <w:rsid w:val="002951BD"/>
    <w:rsid w:val="002D176B"/>
    <w:rsid w:val="002F302F"/>
    <w:rsid w:val="002F35F9"/>
    <w:rsid w:val="003130C8"/>
    <w:rsid w:val="00330DEE"/>
    <w:rsid w:val="00357130"/>
    <w:rsid w:val="00367FA2"/>
    <w:rsid w:val="00373673"/>
    <w:rsid w:val="003848E2"/>
    <w:rsid w:val="00386B91"/>
    <w:rsid w:val="003B3CF2"/>
    <w:rsid w:val="003C1FE0"/>
    <w:rsid w:val="003C3A2A"/>
    <w:rsid w:val="003D0273"/>
    <w:rsid w:val="003D1455"/>
    <w:rsid w:val="00413020"/>
    <w:rsid w:val="0045196D"/>
    <w:rsid w:val="00463D34"/>
    <w:rsid w:val="00485F35"/>
    <w:rsid w:val="00493E94"/>
    <w:rsid w:val="004B53CF"/>
    <w:rsid w:val="004D22DB"/>
    <w:rsid w:val="004D6E3B"/>
    <w:rsid w:val="005254AD"/>
    <w:rsid w:val="00526103"/>
    <w:rsid w:val="00526543"/>
    <w:rsid w:val="00534C5B"/>
    <w:rsid w:val="005364B8"/>
    <w:rsid w:val="00555336"/>
    <w:rsid w:val="00556C0C"/>
    <w:rsid w:val="0056786C"/>
    <w:rsid w:val="00574135"/>
    <w:rsid w:val="005766E3"/>
    <w:rsid w:val="0058464B"/>
    <w:rsid w:val="00594F9F"/>
    <w:rsid w:val="005A485A"/>
    <w:rsid w:val="005B4342"/>
    <w:rsid w:val="005E4925"/>
    <w:rsid w:val="005E68FE"/>
    <w:rsid w:val="005E6A28"/>
    <w:rsid w:val="00605C7B"/>
    <w:rsid w:val="00611722"/>
    <w:rsid w:val="0061521E"/>
    <w:rsid w:val="00620AD0"/>
    <w:rsid w:val="00623ECE"/>
    <w:rsid w:val="006611B5"/>
    <w:rsid w:val="00680ABC"/>
    <w:rsid w:val="00682D53"/>
    <w:rsid w:val="0069798A"/>
    <w:rsid w:val="006B3B3A"/>
    <w:rsid w:val="006F0E02"/>
    <w:rsid w:val="00700739"/>
    <w:rsid w:val="00742FB9"/>
    <w:rsid w:val="00752E1B"/>
    <w:rsid w:val="0077100B"/>
    <w:rsid w:val="00773409"/>
    <w:rsid w:val="00776D38"/>
    <w:rsid w:val="0079313D"/>
    <w:rsid w:val="007A1AC5"/>
    <w:rsid w:val="007A4CA8"/>
    <w:rsid w:val="007A7064"/>
    <w:rsid w:val="007B2C1E"/>
    <w:rsid w:val="007C11C8"/>
    <w:rsid w:val="007C1CDE"/>
    <w:rsid w:val="007C2350"/>
    <w:rsid w:val="007C52C8"/>
    <w:rsid w:val="007E6D86"/>
    <w:rsid w:val="007F3AB2"/>
    <w:rsid w:val="00800AC7"/>
    <w:rsid w:val="00804B11"/>
    <w:rsid w:val="0083417A"/>
    <w:rsid w:val="00847458"/>
    <w:rsid w:val="008520A2"/>
    <w:rsid w:val="00876F82"/>
    <w:rsid w:val="008833F5"/>
    <w:rsid w:val="00893135"/>
    <w:rsid w:val="008A3BB4"/>
    <w:rsid w:val="008A5958"/>
    <w:rsid w:val="008C31E0"/>
    <w:rsid w:val="008D5BD5"/>
    <w:rsid w:val="008E08D5"/>
    <w:rsid w:val="008F372E"/>
    <w:rsid w:val="0090714F"/>
    <w:rsid w:val="009123FC"/>
    <w:rsid w:val="00923764"/>
    <w:rsid w:val="00926475"/>
    <w:rsid w:val="009368D1"/>
    <w:rsid w:val="00944021"/>
    <w:rsid w:val="00950D9A"/>
    <w:rsid w:val="0095523A"/>
    <w:rsid w:val="00956618"/>
    <w:rsid w:val="00973C59"/>
    <w:rsid w:val="009801DA"/>
    <w:rsid w:val="009862DA"/>
    <w:rsid w:val="00994A56"/>
    <w:rsid w:val="009A2722"/>
    <w:rsid w:val="009A2EF2"/>
    <w:rsid w:val="009E0286"/>
    <w:rsid w:val="009E7043"/>
    <w:rsid w:val="009F48EA"/>
    <w:rsid w:val="00A13F44"/>
    <w:rsid w:val="00A40761"/>
    <w:rsid w:val="00A41483"/>
    <w:rsid w:val="00A50B95"/>
    <w:rsid w:val="00A57060"/>
    <w:rsid w:val="00A67803"/>
    <w:rsid w:val="00A702FE"/>
    <w:rsid w:val="00A80494"/>
    <w:rsid w:val="00AB7FB6"/>
    <w:rsid w:val="00AD3AFF"/>
    <w:rsid w:val="00AD43B0"/>
    <w:rsid w:val="00AE4785"/>
    <w:rsid w:val="00AF7C7E"/>
    <w:rsid w:val="00B23742"/>
    <w:rsid w:val="00B56BFA"/>
    <w:rsid w:val="00B65CA1"/>
    <w:rsid w:val="00B97B05"/>
    <w:rsid w:val="00BA7570"/>
    <w:rsid w:val="00BC50D9"/>
    <w:rsid w:val="00BD0E6A"/>
    <w:rsid w:val="00BD1127"/>
    <w:rsid w:val="00BE0880"/>
    <w:rsid w:val="00BF0E55"/>
    <w:rsid w:val="00BF14D8"/>
    <w:rsid w:val="00C16554"/>
    <w:rsid w:val="00C4150D"/>
    <w:rsid w:val="00C4462B"/>
    <w:rsid w:val="00C51920"/>
    <w:rsid w:val="00C51A9E"/>
    <w:rsid w:val="00C64FA1"/>
    <w:rsid w:val="00C81309"/>
    <w:rsid w:val="00C8726A"/>
    <w:rsid w:val="00CA1B60"/>
    <w:rsid w:val="00CB2B90"/>
    <w:rsid w:val="00CB5AF6"/>
    <w:rsid w:val="00CC3C36"/>
    <w:rsid w:val="00CC41C9"/>
    <w:rsid w:val="00CC5437"/>
    <w:rsid w:val="00CD20C0"/>
    <w:rsid w:val="00CD5461"/>
    <w:rsid w:val="00CF3C35"/>
    <w:rsid w:val="00D03BCF"/>
    <w:rsid w:val="00D05E5C"/>
    <w:rsid w:val="00D122B6"/>
    <w:rsid w:val="00D37A2B"/>
    <w:rsid w:val="00D526BF"/>
    <w:rsid w:val="00DB2B52"/>
    <w:rsid w:val="00DB3C20"/>
    <w:rsid w:val="00DC5668"/>
    <w:rsid w:val="00DD0BCC"/>
    <w:rsid w:val="00DE349F"/>
    <w:rsid w:val="00DF3D64"/>
    <w:rsid w:val="00DF6447"/>
    <w:rsid w:val="00DF6C0D"/>
    <w:rsid w:val="00E02224"/>
    <w:rsid w:val="00E10CF8"/>
    <w:rsid w:val="00E1799E"/>
    <w:rsid w:val="00E321CD"/>
    <w:rsid w:val="00E50CC2"/>
    <w:rsid w:val="00E547C4"/>
    <w:rsid w:val="00E62ABA"/>
    <w:rsid w:val="00E76326"/>
    <w:rsid w:val="00E77A53"/>
    <w:rsid w:val="00E91496"/>
    <w:rsid w:val="00EE2E63"/>
    <w:rsid w:val="00F1008E"/>
    <w:rsid w:val="00F15911"/>
    <w:rsid w:val="00F177A5"/>
    <w:rsid w:val="00F26B5A"/>
    <w:rsid w:val="00F37EAA"/>
    <w:rsid w:val="00F45F3D"/>
    <w:rsid w:val="00F471D5"/>
    <w:rsid w:val="00F5352F"/>
    <w:rsid w:val="00F62200"/>
    <w:rsid w:val="00F67C36"/>
    <w:rsid w:val="00F853F6"/>
    <w:rsid w:val="00F96686"/>
    <w:rsid w:val="00FB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F05D9-542E-4C12-8387-C5D99BB1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B64"/>
    <w:pPr>
      <w:keepNext/>
      <w:keepLines/>
      <w:spacing w:before="240" w:after="0" w:line="360" w:lineRule="auto"/>
      <w:outlineLvl w:val="0"/>
    </w:pPr>
    <w:rPr>
      <w:rFonts w:ascii="Arial" w:eastAsiaTheme="majorEastAsia" w:hAnsi="Arial" w:cs="Arial"/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B64"/>
    <w:rPr>
      <w:rFonts w:ascii="Arial" w:eastAsiaTheme="majorEastAsia" w:hAnsi="Arial" w:cs="Arial"/>
      <w:b/>
      <w:bCs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14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Dhanalakshmi Rajeswari</dc:creator>
  <cp:keywords/>
  <dc:description/>
  <cp:lastModifiedBy>Dhanalakshmi Rajeswari</cp:lastModifiedBy>
  <cp:revision>1</cp:revision>
  <dcterms:created xsi:type="dcterms:W3CDTF">2023-05-29T02:39:00Z</dcterms:created>
  <dcterms:modified xsi:type="dcterms:W3CDTF">2023-05-29T02:40:00Z</dcterms:modified>
</cp:coreProperties>
</file>