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183DB" w14:textId="77777777" w:rsidR="007D2C26" w:rsidRDefault="007D2C26" w:rsidP="007D2C26">
      <w:pPr>
        <w:spacing w:line="480" w:lineRule="auto"/>
        <w:jc w:val="center"/>
        <w:rPr>
          <w:rFonts w:asciiTheme="minorHAnsi" w:hAnsiTheme="minorHAnsi" w:cstheme="minorHAnsi"/>
          <w:b/>
          <w:bCs/>
          <w:lang w:val="en-US"/>
        </w:rPr>
      </w:pPr>
      <w:bookmarkStart w:id="0" w:name="_Hlk173908636"/>
      <w:r w:rsidRPr="00300D32">
        <w:rPr>
          <w:rFonts w:asciiTheme="minorHAnsi" w:hAnsiTheme="minorHAnsi" w:cstheme="minorHAnsi"/>
          <w:b/>
          <w:bCs/>
          <w:lang w:val="en-US"/>
        </w:rPr>
        <w:t>Exposure to rifampicin and its metabolite 25-deacetylrifampicin rapidly decreases during tuberculosis therapy</w:t>
      </w:r>
    </w:p>
    <w:p w14:paraId="20CCDC5F" w14:textId="1C5CB258" w:rsidR="007D2C26" w:rsidRPr="006C4716" w:rsidRDefault="007D2C26" w:rsidP="007D2C26">
      <w:pPr>
        <w:jc w:val="center"/>
        <w:rPr>
          <w:rFonts w:asciiTheme="minorHAnsi" w:hAnsiTheme="minorHAnsi" w:cstheme="minorHAnsi"/>
          <w:b/>
          <w:bCs/>
          <w:lang w:val="en-US"/>
        </w:rPr>
      </w:pPr>
      <w:r w:rsidRPr="006C4716">
        <w:rPr>
          <w:rFonts w:asciiTheme="minorHAnsi" w:hAnsiTheme="minorHAnsi" w:cstheme="minorHAnsi"/>
          <w:b/>
          <w:bCs/>
          <w:lang w:val="en-US"/>
        </w:rPr>
        <w:t>Supplementa</w:t>
      </w:r>
      <w:r w:rsidR="001B2BB3">
        <w:rPr>
          <w:rFonts w:asciiTheme="minorHAnsi" w:hAnsiTheme="minorHAnsi" w:cstheme="minorHAnsi"/>
          <w:b/>
          <w:bCs/>
          <w:lang w:val="en-US"/>
        </w:rPr>
        <w:t xml:space="preserve">l </w:t>
      </w:r>
      <w:r w:rsidRPr="006C4716">
        <w:rPr>
          <w:rFonts w:asciiTheme="minorHAnsi" w:hAnsiTheme="minorHAnsi" w:cstheme="minorHAnsi"/>
          <w:b/>
          <w:bCs/>
          <w:lang w:val="en-US"/>
        </w:rPr>
        <w:t>material</w:t>
      </w:r>
    </w:p>
    <w:p w14:paraId="5B793A05" w14:textId="77777777" w:rsidR="007D2C26" w:rsidRPr="00300D32" w:rsidRDefault="007D2C26" w:rsidP="007D2C26">
      <w:pPr>
        <w:spacing w:line="480" w:lineRule="auto"/>
        <w:rPr>
          <w:rFonts w:asciiTheme="minorHAnsi" w:hAnsiTheme="minorHAnsi" w:cstheme="minorHAnsi"/>
          <w:b/>
          <w:bCs/>
          <w:lang w:val="en-US"/>
        </w:rPr>
      </w:pPr>
    </w:p>
    <w:bookmarkEnd w:id="0"/>
    <w:p w14:paraId="1F7C2F25" w14:textId="77777777" w:rsidR="007D2C26" w:rsidRPr="00300D32" w:rsidRDefault="007D2C26" w:rsidP="007D2C26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7A2955F6" w14:textId="77777777" w:rsidR="007D2C26" w:rsidRPr="00EC5853" w:rsidRDefault="007D2C26" w:rsidP="007D2C26">
      <w:pPr>
        <w:spacing w:line="480" w:lineRule="auto"/>
        <w:rPr>
          <w:rFonts w:asciiTheme="minorHAnsi" w:hAnsiTheme="minorHAnsi" w:cstheme="minorHAnsi"/>
          <w:lang w:val="en-US"/>
        </w:rPr>
      </w:pPr>
      <w:r w:rsidRPr="00EC5853">
        <w:rPr>
          <w:rFonts w:asciiTheme="minorHAnsi" w:hAnsiTheme="minorHAnsi" w:cstheme="minorHAnsi"/>
          <w:lang w:val="en-US"/>
        </w:rPr>
        <w:t>Sylvain Goutelle</w:t>
      </w:r>
      <w:r w:rsidRPr="00EC5853">
        <w:rPr>
          <w:rFonts w:asciiTheme="minorHAnsi" w:hAnsiTheme="minorHAnsi" w:cstheme="minorHAnsi"/>
          <w:vertAlign w:val="superscript"/>
          <w:lang w:val="en-US"/>
        </w:rPr>
        <w:t>1,2,3</w:t>
      </w:r>
      <w:r w:rsidRPr="00EC5853">
        <w:rPr>
          <w:rFonts w:asciiTheme="minorHAnsi" w:hAnsiTheme="minorHAnsi" w:cstheme="minorHAnsi"/>
          <w:lang w:val="en-US"/>
        </w:rPr>
        <w:t>, Olivier Bahuaud</w:t>
      </w:r>
      <w:r w:rsidRPr="00EC5853">
        <w:rPr>
          <w:rFonts w:asciiTheme="minorHAnsi" w:hAnsiTheme="minorHAnsi" w:cstheme="minorHAnsi"/>
          <w:vertAlign w:val="superscript"/>
          <w:lang w:val="en-US"/>
        </w:rPr>
        <w:t>3,4</w:t>
      </w:r>
      <w:r w:rsidRPr="00EC5853">
        <w:rPr>
          <w:rFonts w:asciiTheme="minorHAnsi" w:hAnsiTheme="minorHAnsi" w:cstheme="minorHAnsi"/>
          <w:lang w:val="en-US"/>
        </w:rPr>
        <w:t>, Charlotte Genestet</w:t>
      </w:r>
      <w:r w:rsidRPr="00EC5853">
        <w:rPr>
          <w:rFonts w:asciiTheme="minorHAnsi" w:hAnsiTheme="minorHAnsi" w:cstheme="minorHAnsi"/>
          <w:vertAlign w:val="superscript"/>
          <w:lang w:val="en-US"/>
        </w:rPr>
        <w:t>5,6</w:t>
      </w:r>
      <w:r w:rsidRPr="00EC5853">
        <w:rPr>
          <w:rFonts w:asciiTheme="minorHAnsi" w:hAnsiTheme="minorHAnsi" w:cstheme="minorHAnsi"/>
          <w:lang w:val="en-US"/>
        </w:rPr>
        <w:t>, Aurélien Millet</w:t>
      </w:r>
      <w:r w:rsidRPr="00EC5853">
        <w:rPr>
          <w:rFonts w:asciiTheme="minorHAnsi" w:hAnsiTheme="minorHAnsi" w:cstheme="minorHAnsi"/>
          <w:vertAlign w:val="superscript"/>
          <w:lang w:val="en-US"/>
        </w:rPr>
        <w:t>7</w:t>
      </w:r>
      <w:r w:rsidRPr="00EC5853">
        <w:rPr>
          <w:rFonts w:asciiTheme="minorHAnsi" w:hAnsiTheme="minorHAnsi" w:cstheme="minorHAnsi"/>
          <w:lang w:val="en-US"/>
        </w:rPr>
        <w:t>, François Parant</w:t>
      </w:r>
      <w:r w:rsidRPr="00EC5853">
        <w:rPr>
          <w:rFonts w:asciiTheme="minorHAnsi" w:hAnsiTheme="minorHAnsi" w:cstheme="minorHAnsi"/>
          <w:vertAlign w:val="superscript"/>
          <w:lang w:val="en-US"/>
        </w:rPr>
        <w:t>7</w:t>
      </w:r>
      <w:r w:rsidRPr="00EC5853">
        <w:rPr>
          <w:rFonts w:asciiTheme="minorHAnsi" w:hAnsiTheme="minorHAnsi" w:cstheme="minorHAnsi"/>
          <w:lang w:val="en-US"/>
        </w:rPr>
        <w:t>, Oana Dumitrescu</w:t>
      </w:r>
      <w:r w:rsidRPr="00EC5853">
        <w:rPr>
          <w:rFonts w:asciiTheme="minorHAnsi" w:hAnsiTheme="minorHAnsi" w:cstheme="minorHAnsi"/>
          <w:vertAlign w:val="superscript"/>
          <w:lang w:val="en-US"/>
        </w:rPr>
        <w:t>3,5,6</w:t>
      </w:r>
      <w:r w:rsidRPr="00EC5853">
        <w:rPr>
          <w:rFonts w:asciiTheme="minorHAnsi" w:hAnsiTheme="minorHAnsi" w:cstheme="minorHAnsi"/>
          <w:lang w:val="en-US"/>
        </w:rPr>
        <w:t>, Florence Ader</w:t>
      </w:r>
      <w:r w:rsidRPr="00EC5853">
        <w:rPr>
          <w:rFonts w:asciiTheme="minorHAnsi" w:hAnsiTheme="minorHAnsi" w:cstheme="minorHAnsi"/>
          <w:vertAlign w:val="superscript"/>
          <w:lang w:val="en-US"/>
        </w:rPr>
        <w:t>3,4,6</w:t>
      </w:r>
      <w:r w:rsidRPr="00EC5853">
        <w:rPr>
          <w:rFonts w:asciiTheme="minorHAnsi" w:hAnsiTheme="minorHAnsi" w:cstheme="minorHAnsi"/>
          <w:lang w:val="en-US"/>
        </w:rPr>
        <w:t>, on behalf of the Lyon TB Study Group</w:t>
      </w:r>
    </w:p>
    <w:p w14:paraId="1ED3AF10" w14:textId="77777777" w:rsidR="007D2C26" w:rsidRPr="00EC5853" w:rsidRDefault="007D2C26" w:rsidP="007D2C26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39EFB37B" w14:textId="77777777" w:rsidR="007D2C26" w:rsidRPr="00A02CFB" w:rsidRDefault="007D2C26" w:rsidP="007D2C26">
      <w:pPr>
        <w:pStyle w:val="Sansinterligne"/>
        <w:spacing w:line="360" w:lineRule="auto"/>
      </w:pPr>
      <w:r w:rsidRPr="00A02CFB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A02CFB">
        <w:t xml:space="preserve">Hospices Civils de Lyon, </w:t>
      </w:r>
      <w:r>
        <w:t>GH</w:t>
      </w:r>
      <w:r w:rsidRPr="00A02CFB">
        <w:t xml:space="preserve"> Nord, Service de Pharmacie, Lyon, France.</w:t>
      </w:r>
    </w:p>
    <w:p w14:paraId="3BC55824" w14:textId="77777777" w:rsidR="007D2C26" w:rsidRDefault="007D2C26" w:rsidP="007D2C26">
      <w:pPr>
        <w:pStyle w:val="Sansinterligne"/>
        <w:spacing w:line="360" w:lineRule="auto"/>
        <w:rPr>
          <w:rFonts w:eastAsia="Times New Roman"/>
          <w:color w:val="212121"/>
          <w:lang w:eastAsia="fr-FR"/>
        </w:rPr>
      </w:pPr>
      <w:r w:rsidRPr="00A02CFB">
        <w:rPr>
          <w:rFonts w:eastAsia="Times New Roman"/>
          <w:color w:val="212121"/>
          <w:vertAlign w:val="superscript"/>
          <w:lang w:eastAsia="fr-FR"/>
        </w:rPr>
        <w:t>2 </w:t>
      </w:r>
      <w:r>
        <w:rPr>
          <w:rFonts w:eastAsia="Times New Roman"/>
          <w:color w:val="212121"/>
          <w:lang w:eastAsia="fr-FR"/>
        </w:rPr>
        <w:t xml:space="preserve">Univ Lyon, Université Claude Bernard Lyon 1, </w:t>
      </w:r>
      <w:r>
        <w:t xml:space="preserve">UMR CNRS 5558, </w:t>
      </w:r>
      <w:r w:rsidRPr="00A02CFB">
        <w:t>Laboratoire de Biométrie et Biologie Evolutive, Villeurbanne, France</w:t>
      </w:r>
      <w:r w:rsidRPr="00A02CFB">
        <w:rPr>
          <w:rFonts w:eastAsia="Times New Roman"/>
          <w:color w:val="212121"/>
          <w:lang w:eastAsia="fr-FR"/>
        </w:rPr>
        <w:t>.</w:t>
      </w:r>
    </w:p>
    <w:p w14:paraId="1CD32A7B" w14:textId="77777777" w:rsidR="007D2C26" w:rsidRPr="00A02CFB" w:rsidRDefault="007D2C26" w:rsidP="007D2C26">
      <w:pPr>
        <w:pStyle w:val="Sansinterligne"/>
        <w:spacing w:line="360" w:lineRule="auto"/>
        <w:rPr>
          <w:rFonts w:eastAsia="Times New Roman"/>
          <w:color w:val="212121"/>
          <w:lang w:eastAsia="fr-FR"/>
        </w:rPr>
      </w:pPr>
      <w:r w:rsidRPr="00016326">
        <w:rPr>
          <w:vertAlign w:val="superscript"/>
        </w:rPr>
        <w:t>3</w:t>
      </w:r>
      <w:r>
        <w:t xml:space="preserve"> </w:t>
      </w:r>
      <w:r w:rsidRPr="00A02CFB">
        <w:t xml:space="preserve">Univ Lyon, Université </w:t>
      </w:r>
      <w:r>
        <w:rPr>
          <w:rFonts w:eastAsia="Times New Roman"/>
          <w:color w:val="212121"/>
          <w:lang w:eastAsia="fr-FR"/>
        </w:rPr>
        <w:t xml:space="preserve">Claude Bernard </w:t>
      </w:r>
      <w:r w:rsidRPr="00A02CFB">
        <w:t>Lyon 1, Facultés de Médecine et de Pharmacie de Lyon, Lyon, France.</w:t>
      </w:r>
    </w:p>
    <w:p w14:paraId="6C117C82" w14:textId="77777777" w:rsidR="007D2C26" w:rsidRDefault="007D2C26" w:rsidP="007D2C26">
      <w:pPr>
        <w:pStyle w:val="Sansinterligne"/>
        <w:spacing w:line="360" w:lineRule="auto"/>
        <w:rPr>
          <w:rFonts w:eastAsia="Times New Roman"/>
          <w:color w:val="212121"/>
          <w:lang w:eastAsia="fr-FR"/>
        </w:rPr>
      </w:pPr>
      <w:r w:rsidRPr="00A02CFB">
        <w:rPr>
          <w:vertAlign w:val="superscript"/>
        </w:rPr>
        <w:t>4</w:t>
      </w:r>
      <w:r w:rsidRPr="00A02CFB">
        <w:t xml:space="preserve"> Hospices Civils de Lyon, Groupement Hospitalier Nord</w:t>
      </w:r>
      <w:r w:rsidRPr="00A02CFB">
        <w:rPr>
          <w:rFonts w:eastAsia="Times New Roman"/>
          <w:color w:val="212121"/>
          <w:lang w:eastAsia="fr-FR"/>
        </w:rPr>
        <w:t xml:space="preserve">, Hôpital de la Croix-Rousse, Service des Maladies Infectieuses et Tropicales, Lyon, </w:t>
      </w:r>
      <w:r>
        <w:rPr>
          <w:rFonts w:eastAsia="Times New Roman"/>
          <w:color w:val="212121"/>
          <w:lang w:eastAsia="fr-FR"/>
        </w:rPr>
        <w:t>France</w:t>
      </w:r>
    </w:p>
    <w:p w14:paraId="75E28088" w14:textId="77777777" w:rsidR="007D2C26" w:rsidRDefault="007D2C26" w:rsidP="007D2C26">
      <w:pPr>
        <w:pStyle w:val="Sansinterligne"/>
        <w:spacing w:line="360" w:lineRule="auto"/>
      </w:pPr>
      <w:r w:rsidRPr="00016326">
        <w:rPr>
          <w:vertAlign w:val="superscript"/>
        </w:rPr>
        <w:t>5</w:t>
      </w:r>
      <w:r>
        <w:rPr>
          <w:vertAlign w:val="superscript"/>
        </w:rPr>
        <w:t xml:space="preserve"> </w:t>
      </w:r>
      <w:r w:rsidRPr="000532FC">
        <w:t xml:space="preserve">Hospices </w:t>
      </w:r>
      <w:r>
        <w:t>C</w:t>
      </w:r>
      <w:r w:rsidRPr="000532FC">
        <w:t>ivils de Lyon</w:t>
      </w:r>
      <w:r>
        <w:t xml:space="preserve">, </w:t>
      </w:r>
      <w:r w:rsidRPr="000532FC">
        <w:t>Hôpital de la Croix Rousse</w:t>
      </w:r>
      <w:r>
        <w:t>,</w:t>
      </w:r>
      <w:r w:rsidRPr="000532FC">
        <w:t xml:space="preserve"> Institut des Agents Infectieux, Laboratoire des Mycobactéries, </w:t>
      </w:r>
      <w:r>
        <w:t>Lyon, France</w:t>
      </w:r>
    </w:p>
    <w:p w14:paraId="0D69E49C" w14:textId="77777777" w:rsidR="007D2C26" w:rsidRPr="00A02CFB" w:rsidRDefault="007D2C26" w:rsidP="007D2C26">
      <w:pPr>
        <w:pStyle w:val="Sansinterligne"/>
        <w:spacing w:line="360" w:lineRule="auto"/>
        <w:rPr>
          <w:rFonts w:eastAsia="Times New Roman"/>
          <w:color w:val="212121"/>
          <w:lang w:eastAsia="fr-FR"/>
        </w:rPr>
      </w:pPr>
      <w:r>
        <w:rPr>
          <w:rFonts w:eastAsia="Times New Roman"/>
          <w:color w:val="212121"/>
          <w:vertAlign w:val="superscript"/>
          <w:lang w:eastAsia="fr-FR"/>
        </w:rPr>
        <w:t xml:space="preserve">6 </w:t>
      </w:r>
      <w:r w:rsidRPr="00A02CFB">
        <w:rPr>
          <w:rFonts w:eastAsia="Times New Roman"/>
          <w:color w:val="212121"/>
          <w:lang w:eastAsia="fr-FR"/>
        </w:rPr>
        <w:t>CIRI – Centre International de Recherche en Infectiologie, Inserm, U1111, Université́ Claude Bernard Lyon 1, CNRS, UMR5308, École Normale Supérieure de Lyon, Univ Lyon, F-69007, Lyon, France.</w:t>
      </w:r>
    </w:p>
    <w:p w14:paraId="3273EA3F" w14:textId="77777777" w:rsidR="007D2C26" w:rsidRPr="00A02CFB" w:rsidRDefault="007D2C26" w:rsidP="007D2C26">
      <w:pPr>
        <w:pStyle w:val="Sansinterligne"/>
        <w:spacing w:line="360" w:lineRule="auto"/>
        <w:rPr>
          <w:rFonts w:eastAsia="Times New Roman"/>
          <w:color w:val="212121"/>
          <w:vertAlign w:val="superscript"/>
          <w:lang w:eastAsia="fr-FR"/>
        </w:rPr>
      </w:pPr>
      <w:r>
        <w:rPr>
          <w:rFonts w:eastAsia="Times New Roman"/>
          <w:color w:val="212121"/>
          <w:vertAlign w:val="superscript"/>
          <w:lang w:eastAsia="fr-FR"/>
        </w:rPr>
        <w:t>7</w:t>
      </w:r>
      <w:r w:rsidRPr="00A02CFB">
        <w:rPr>
          <w:rFonts w:eastAsia="Times New Roman"/>
          <w:color w:val="212121"/>
          <w:vertAlign w:val="superscript"/>
          <w:lang w:eastAsia="fr-FR"/>
        </w:rPr>
        <w:t> </w:t>
      </w:r>
      <w:r w:rsidRPr="00A02CFB">
        <w:rPr>
          <w:szCs w:val="24"/>
        </w:rPr>
        <w:t>Hospices Civils de Lyon, Groupement Hospitalier Sud, Service de Biochimie et Biologie Moléculaire, UM Pharmacologie -Toxicologie, Lyon, France.</w:t>
      </w:r>
    </w:p>
    <w:p w14:paraId="4C11249D" w14:textId="77777777" w:rsidR="00BA473E" w:rsidRDefault="00BA473E" w:rsidP="00BA473E"/>
    <w:p w14:paraId="7722B09D" w14:textId="6E2EF6A9" w:rsidR="007D2C26" w:rsidRPr="001B2BB3" w:rsidRDefault="007D2C26">
      <w:pPr>
        <w:spacing w:after="160" w:line="259" w:lineRule="auto"/>
        <w:rPr>
          <w:rFonts w:asciiTheme="minorHAnsi" w:hAnsiTheme="minorHAnsi" w:cstheme="minorHAnsi"/>
          <w:b/>
          <w:bCs/>
        </w:rPr>
      </w:pPr>
      <w:r w:rsidRPr="001B2BB3">
        <w:rPr>
          <w:rFonts w:asciiTheme="minorHAnsi" w:hAnsiTheme="minorHAnsi" w:cstheme="minorHAnsi"/>
          <w:b/>
          <w:bCs/>
        </w:rPr>
        <w:br w:type="page"/>
      </w:r>
    </w:p>
    <w:p w14:paraId="3FC9EC07" w14:textId="61A3129B" w:rsidR="00BA473E" w:rsidRPr="00E75E64" w:rsidRDefault="006553CE" w:rsidP="006553CE">
      <w:pPr>
        <w:spacing w:line="480" w:lineRule="auto"/>
        <w:rPr>
          <w:rFonts w:asciiTheme="minorHAnsi" w:hAnsiTheme="minorHAnsi" w:cstheme="minorHAnsi"/>
          <w:b/>
          <w:bCs/>
          <w:lang w:val="en-US"/>
        </w:rPr>
      </w:pPr>
      <w:r w:rsidRPr="00E75E64">
        <w:rPr>
          <w:rFonts w:asciiTheme="minorHAnsi" w:hAnsiTheme="minorHAnsi" w:cstheme="minorHAnsi"/>
          <w:b/>
          <w:bCs/>
          <w:lang w:val="en-US"/>
        </w:rPr>
        <w:lastRenderedPageBreak/>
        <w:t>Supplementary methods</w:t>
      </w:r>
    </w:p>
    <w:p w14:paraId="4F4A9486" w14:textId="6837C3D3" w:rsidR="006553CE" w:rsidRPr="00E75E64" w:rsidRDefault="006553CE" w:rsidP="006553CE">
      <w:pPr>
        <w:spacing w:line="480" w:lineRule="auto"/>
        <w:rPr>
          <w:rFonts w:asciiTheme="minorHAnsi" w:hAnsiTheme="minorHAnsi" w:cstheme="minorHAnsi"/>
          <w:b/>
          <w:bCs/>
          <w:lang w:val="en-US"/>
        </w:rPr>
      </w:pPr>
      <w:r w:rsidRPr="00E75E64">
        <w:rPr>
          <w:rFonts w:asciiTheme="minorHAnsi" w:hAnsiTheme="minorHAnsi" w:cstheme="minorHAnsi"/>
          <w:b/>
          <w:bCs/>
          <w:lang w:val="en-US"/>
        </w:rPr>
        <w:t>Drug assay</w:t>
      </w:r>
    </w:p>
    <w:p w14:paraId="64BCF523" w14:textId="41D1CD9C" w:rsidR="006553CE" w:rsidRDefault="006553CE" w:rsidP="006553CE">
      <w:pPr>
        <w:spacing w:line="480" w:lineRule="auto"/>
        <w:rPr>
          <w:rFonts w:asciiTheme="minorHAnsi" w:hAnsiTheme="minorHAnsi" w:cstheme="minorHAnsi"/>
          <w:lang w:val="en-US"/>
        </w:rPr>
      </w:pPr>
      <w:r w:rsidRPr="006553CE">
        <w:rPr>
          <w:rFonts w:asciiTheme="minorHAnsi" w:hAnsiTheme="minorHAnsi" w:cstheme="minorHAnsi"/>
          <w:lang w:val="en-US"/>
        </w:rPr>
        <w:t>Concentrations of RIF and 25-dRIF were measured in serum by liquid-chromatography (</w:t>
      </w:r>
      <w:proofErr w:type="spellStart"/>
      <w:r w:rsidRPr="006553CE">
        <w:rPr>
          <w:rFonts w:asciiTheme="minorHAnsi" w:hAnsiTheme="minorHAnsi" w:cstheme="minorHAnsi"/>
          <w:lang w:val="en-US"/>
        </w:rPr>
        <w:t>Acquity</w:t>
      </w:r>
      <w:r w:rsidRPr="006553CE">
        <w:rPr>
          <w:rFonts w:asciiTheme="minorHAnsi" w:hAnsiTheme="minorHAnsi" w:cstheme="minorHAnsi"/>
          <w:vertAlign w:val="superscript"/>
          <w:lang w:val="en-US"/>
        </w:rPr>
        <w:t>TM</w:t>
      </w:r>
      <w:proofErr w:type="spellEnd"/>
      <w:r w:rsidRPr="006553CE">
        <w:rPr>
          <w:rFonts w:asciiTheme="minorHAnsi" w:hAnsiTheme="minorHAnsi" w:cstheme="minorHAnsi"/>
          <w:lang w:val="en-US"/>
        </w:rPr>
        <w:t>, Waters, MA, USA) coupled with a tandem mass spectrometer (XEVO TQ S micro, Waters). Chromatographic separation was realized in gradient mode, using a BEH C</w:t>
      </w:r>
      <w:r w:rsidRPr="006553CE">
        <w:rPr>
          <w:rFonts w:asciiTheme="minorHAnsi" w:hAnsiTheme="minorHAnsi" w:cstheme="minorHAnsi"/>
          <w:vertAlign w:val="subscript"/>
          <w:lang w:val="en-US"/>
        </w:rPr>
        <w:t>18</w:t>
      </w:r>
      <w:r w:rsidRPr="006553CE">
        <w:rPr>
          <w:rFonts w:asciiTheme="minorHAnsi" w:hAnsiTheme="minorHAnsi" w:cstheme="minorHAnsi"/>
          <w:lang w:val="en-US"/>
        </w:rPr>
        <w:t xml:space="preserve"> column (1.7 µm, 2.1 x 50 mm, Waters) maintained at 40°C. Mobile phases consisted of solvent (A), 10 mM ammonium </w:t>
      </w:r>
      <w:proofErr w:type="spellStart"/>
      <w:r w:rsidRPr="006553CE">
        <w:rPr>
          <w:rFonts w:asciiTheme="minorHAnsi" w:hAnsiTheme="minorHAnsi" w:cstheme="minorHAnsi"/>
          <w:lang w:val="en-US"/>
        </w:rPr>
        <w:t>formiate</w:t>
      </w:r>
      <w:proofErr w:type="spellEnd"/>
      <w:r w:rsidRPr="006553CE">
        <w:rPr>
          <w:rFonts w:asciiTheme="minorHAnsi" w:hAnsiTheme="minorHAnsi" w:cstheme="minorHAnsi"/>
          <w:lang w:val="en-US"/>
        </w:rPr>
        <w:t xml:space="preserve"> in ultra-pure water and solvent (B) 0.1% (v/v) formic acid in acetonitrile. The gradient program of mobile phases was as follows: linear gradient from 75% of aqueous phase (A) to 40% for 1.5 min, followed by 0.7 min of cleaning (95% of organic phase) and 0.8 min of reconditioning (75% A), with a flow rate of 0.600 mL/min. In these conditions, retention times of RIF and 25-dRIF were 1.45 min and 1.23 min respectively. This validated method was linear from 0 to 20 mg/L for RIF and from 0 to 8 mg/L for 25-dRIF, with lower limit of quantification (LOQ) of RIF and 25-dRIF determined at 0.05 mg/L. Calibration curves were constructed using six calibrators including blank (0, 0.1, 1, 5, 10 and 20 mg/L for RIF and 0, 0.05, 0.2, 1, 4 and 8 mg/L for 25-dRIF). Sample preparation was realized using OSTRO® precipitation and </w:t>
      </w:r>
      <w:proofErr w:type="spellStart"/>
      <w:r w:rsidRPr="006553CE">
        <w:rPr>
          <w:rFonts w:asciiTheme="minorHAnsi" w:hAnsiTheme="minorHAnsi" w:cstheme="minorHAnsi"/>
          <w:lang w:val="en-US"/>
        </w:rPr>
        <w:t>dephospholipidation</w:t>
      </w:r>
      <w:proofErr w:type="spellEnd"/>
      <w:r w:rsidRPr="006553CE">
        <w:rPr>
          <w:rFonts w:asciiTheme="minorHAnsi" w:hAnsiTheme="minorHAnsi" w:cstheme="minorHAnsi"/>
          <w:lang w:val="en-US"/>
        </w:rPr>
        <w:t xml:space="preserve"> plate (Waters) as follow</w:t>
      </w:r>
      <w:r w:rsidR="00CD570A">
        <w:rPr>
          <w:rFonts w:asciiTheme="minorHAnsi" w:hAnsiTheme="minorHAnsi" w:cstheme="minorHAnsi"/>
          <w:lang w:val="en-US"/>
        </w:rPr>
        <w:t>s</w:t>
      </w:r>
      <w:r w:rsidRPr="006553CE">
        <w:rPr>
          <w:rFonts w:asciiTheme="minorHAnsi" w:hAnsiTheme="minorHAnsi" w:cstheme="minorHAnsi"/>
          <w:lang w:val="en-US"/>
        </w:rPr>
        <w:t xml:space="preserve">: to 30 µL of serum were added 100 µL of 0.1 % formic acid in acetonitrile containing internal standards (RIF-d8 and 25-dRIF-d8). After </w:t>
      </w:r>
      <w:proofErr w:type="spellStart"/>
      <w:r w:rsidRPr="006553CE">
        <w:rPr>
          <w:rFonts w:asciiTheme="minorHAnsi" w:hAnsiTheme="minorHAnsi" w:cstheme="minorHAnsi"/>
          <w:lang w:val="en-US"/>
        </w:rPr>
        <w:t>mxing</w:t>
      </w:r>
      <w:proofErr w:type="spellEnd"/>
      <w:r w:rsidRPr="006553CE">
        <w:rPr>
          <w:rFonts w:asciiTheme="minorHAnsi" w:hAnsiTheme="minorHAnsi" w:cstheme="minorHAnsi"/>
          <w:lang w:val="en-US"/>
        </w:rPr>
        <w:t xml:space="preserve"> and filtration with a positive pressure processor, the extract is diluted in 300 µL of ultrapure water. Then 1 µL of extract was injected on the chromatographic system.  Quantification transitions (</w:t>
      </w:r>
      <w:r w:rsidRPr="006553CE">
        <w:rPr>
          <w:rFonts w:asciiTheme="minorHAnsi" w:hAnsiTheme="minorHAnsi" w:cstheme="minorHAnsi"/>
          <w:i/>
          <w:lang w:val="en-US"/>
        </w:rPr>
        <w:t>m/z</w:t>
      </w:r>
      <w:r w:rsidRPr="006553CE">
        <w:rPr>
          <w:rFonts w:asciiTheme="minorHAnsi" w:hAnsiTheme="minorHAnsi" w:cstheme="minorHAnsi"/>
          <w:lang w:val="en-US"/>
        </w:rPr>
        <w:t>) were set as follow</w:t>
      </w:r>
      <w:r w:rsidR="00CD570A">
        <w:rPr>
          <w:rFonts w:asciiTheme="minorHAnsi" w:hAnsiTheme="minorHAnsi" w:cstheme="minorHAnsi"/>
          <w:lang w:val="en-US"/>
        </w:rPr>
        <w:t>s</w:t>
      </w:r>
      <w:r w:rsidRPr="006553CE">
        <w:rPr>
          <w:rFonts w:asciiTheme="minorHAnsi" w:hAnsiTheme="minorHAnsi" w:cstheme="minorHAnsi"/>
          <w:lang w:val="en-US"/>
        </w:rPr>
        <w:t xml:space="preserve">: RIF 823.6 &gt; 791.5, RIF-d8 831.6 &gt; 799.6, 25-dRIF 749.5 &gt; 95.1 and 25-dRIF-d8 757.5 &gt; 95. </w:t>
      </w:r>
      <w:r w:rsidR="00CD570A">
        <w:rPr>
          <w:rFonts w:asciiTheme="minorHAnsi" w:hAnsiTheme="minorHAnsi" w:cstheme="minorHAnsi"/>
          <w:lang w:val="en-US"/>
        </w:rPr>
        <w:t xml:space="preserve">Illustrations of </w:t>
      </w:r>
      <w:r w:rsidR="00CD570A" w:rsidRPr="00CD570A">
        <w:rPr>
          <w:rFonts w:asciiTheme="minorHAnsi" w:hAnsiTheme="minorHAnsi" w:cstheme="minorHAnsi"/>
          <w:lang w:val="en-US"/>
        </w:rPr>
        <w:t>LC-MS/MS chromatogram</w:t>
      </w:r>
      <w:r w:rsidR="00CD570A">
        <w:rPr>
          <w:rFonts w:asciiTheme="minorHAnsi" w:hAnsiTheme="minorHAnsi" w:cstheme="minorHAnsi"/>
          <w:lang w:val="en-US"/>
        </w:rPr>
        <w:t xml:space="preserve">s are shown in </w:t>
      </w:r>
      <w:r w:rsidR="00CD570A" w:rsidRPr="00CD570A">
        <w:rPr>
          <w:rFonts w:asciiTheme="minorHAnsi" w:hAnsiTheme="minorHAnsi" w:cstheme="minorHAnsi"/>
          <w:b/>
          <w:bCs/>
          <w:lang w:val="en-US"/>
        </w:rPr>
        <w:t>Figure S1</w:t>
      </w:r>
      <w:r w:rsidR="00CD570A">
        <w:rPr>
          <w:rFonts w:asciiTheme="minorHAnsi" w:hAnsiTheme="minorHAnsi" w:cstheme="minorHAnsi"/>
          <w:lang w:val="en-US"/>
        </w:rPr>
        <w:t xml:space="preserve"> below.</w:t>
      </w:r>
    </w:p>
    <w:p w14:paraId="5CE17B4B" w14:textId="77777777" w:rsidR="00CD570A" w:rsidRDefault="00CD570A" w:rsidP="006553CE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7EA66164" w14:textId="1D62B8B3" w:rsidR="00E346FE" w:rsidRPr="00E346FE" w:rsidRDefault="00E346FE" w:rsidP="00E346FE">
      <w:pPr>
        <w:spacing w:line="480" w:lineRule="auto"/>
        <w:rPr>
          <w:rFonts w:asciiTheme="minorHAnsi" w:hAnsiTheme="minorHAnsi" w:cstheme="minorHAnsi"/>
          <w:b/>
          <w:bCs/>
          <w:lang w:val="en-US"/>
        </w:rPr>
      </w:pPr>
      <w:r w:rsidRPr="00E346FE">
        <w:rPr>
          <w:rFonts w:asciiTheme="minorHAnsi" w:hAnsiTheme="minorHAnsi" w:cstheme="minorHAnsi"/>
          <w:b/>
          <w:bCs/>
          <w:lang w:val="en-US"/>
        </w:rPr>
        <w:lastRenderedPageBreak/>
        <w:t>Figure S1. LC-MS/MS chromatogram of a blank sera (A), a low QC sample (B) and a sample from a patient treated with RIF (C, RIF determined at 7.73 mg/L and 25-dRIF at 1.02 mg/L).</w:t>
      </w:r>
    </w:p>
    <w:p w14:paraId="6619E0E6" w14:textId="77777777" w:rsidR="00E346FE" w:rsidRPr="00E346FE" w:rsidRDefault="00E346FE" w:rsidP="00E346FE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4FF34837" w14:textId="77777777" w:rsidR="00E346FE" w:rsidRPr="006553CE" w:rsidRDefault="00E346FE" w:rsidP="00E346FE">
      <w:pPr>
        <w:spacing w:line="480" w:lineRule="auto"/>
        <w:rPr>
          <w:rFonts w:asciiTheme="minorHAnsi" w:hAnsiTheme="minorHAnsi" w:cstheme="minorHAnsi"/>
          <w:b/>
          <w:bCs/>
          <w:lang w:val="en-GB"/>
        </w:rPr>
      </w:pPr>
      <w:r w:rsidRPr="006553CE">
        <w:rPr>
          <w:noProof/>
        </w:rPr>
        <w:drawing>
          <wp:inline distT="0" distB="0" distL="0" distR="0" wp14:anchorId="43264ECE" wp14:editId="2FAA1319">
            <wp:extent cx="3021191" cy="5829300"/>
            <wp:effectExtent l="0" t="0" r="8255" b="0"/>
            <wp:docPr id="1" name="Image 1" descr="Une image contenant ligne, diagramme, Parallèl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ligne, diagramme, Parallèle, Tracé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5845" cy="583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A5D9E" w14:textId="77777777" w:rsidR="00E346FE" w:rsidRDefault="00E346FE" w:rsidP="006553CE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34F2938A" w14:textId="77777777" w:rsidR="00CD570A" w:rsidRPr="006553CE" w:rsidRDefault="00CD570A" w:rsidP="006553CE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40153E92" w14:textId="5430100C" w:rsidR="006553CE" w:rsidRDefault="006553CE" w:rsidP="006553CE">
      <w:pPr>
        <w:spacing w:line="480" w:lineRule="auto"/>
        <w:rPr>
          <w:rFonts w:asciiTheme="minorHAnsi" w:hAnsiTheme="minorHAnsi" w:cstheme="minorHAnsi"/>
          <w:lang w:val="en-US"/>
        </w:rPr>
      </w:pPr>
      <w:r w:rsidRPr="006553CE">
        <w:rPr>
          <w:rFonts w:asciiTheme="minorHAnsi" w:hAnsiTheme="minorHAnsi" w:cstheme="minorHAnsi"/>
          <w:lang w:val="en-US"/>
        </w:rPr>
        <w:t xml:space="preserve">Three levels of quality controls (QCs) were used to evaluate analytical performances. Concentrations of QCs were fixed at 0.5 and 0.11 mg/L for RIF and 25-dRIF respectively (low QC), 8 and 1 mg/L (medium QC) and 16 and 4.5 mg/L (high QC). This method presented </w:t>
      </w:r>
      <w:r w:rsidRPr="006553CE">
        <w:rPr>
          <w:rFonts w:asciiTheme="minorHAnsi" w:hAnsiTheme="minorHAnsi" w:cstheme="minorHAnsi"/>
          <w:lang w:val="en-US"/>
        </w:rPr>
        <w:lastRenderedPageBreak/>
        <w:t xml:space="preserve">acceptable performances according to FDA guidelines </w:t>
      </w:r>
      <w:r>
        <w:rPr>
          <w:rFonts w:asciiTheme="minorHAnsi" w:hAnsiTheme="minorHAnsi" w:cstheme="minorHAnsi"/>
          <w:lang w:val="en-US"/>
        </w:rPr>
        <w:t>(</w:t>
      </w:r>
      <w:hyperlink r:id="rId7" w:history="1">
        <w:r w:rsidRPr="008F5559">
          <w:rPr>
            <w:rStyle w:val="Lienhypertexte"/>
            <w:rFonts w:asciiTheme="minorHAnsi" w:hAnsiTheme="minorHAnsi" w:cstheme="minorHAnsi"/>
            <w:lang w:val="en-US"/>
          </w:rPr>
          <w:t>https://www.fda.gov/files/drugs/published/Bioanalytical-Method-Validation-Guidance-for-Industry.pdf</w:t>
        </w:r>
      </w:hyperlink>
      <w:r>
        <w:rPr>
          <w:rFonts w:asciiTheme="minorHAnsi" w:hAnsiTheme="minorHAnsi" w:cstheme="minorHAnsi"/>
          <w:lang w:val="en-US"/>
        </w:rPr>
        <w:t>)</w:t>
      </w:r>
      <w:r w:rsidRPr="006553CE">
        <w:rPr>
          <w:rFonts w:asciiTheme="minorHAnsi" w:hAnsiTheme="minorHAnsi" w:cstheme="minorHAnsi"/>
          <w:lang w:val="en-US"/>
        </w:rPr>
        <w:t xml:space="preserve">, with accuracies (bias %) and precision (CV %) below 10%, as described </w:t>
      </w:r>
      <w:r>
        <w:rPr>
          <w:rFonts w:asciiTheme="minorHAnsi" w:hAnsiTheme="minorHAnsi" w:cstheme="minorHAnsi"/>
          <w:lang w:val="en-US"/>
        </w:rPr>
        <w:t xml:space="preserve">in </w:t>
      </w:r>
      <w:r w:rsidR="00CD570A" w:rsidRPr="00CD570A">
        <w:rPr>
          <w:rFonts w:asciiTheme="minorHAnsi" w:hAnsiTheme="minorHAnsi" w:cstheme="minorHAnsi"/>
          <w:b/>
          <w:bCs/>
          <w:lang w:val="en-US"/>
        </w:rPr>
        <w:t>T</w:t>
      </w:r>
      <w:r w:rsidRPr="00CD570A">
        <w:rPr>
          <w:rFonts w:asciiTheme="minorHAnsi" w:hAnsiTheme="minorHAnsi" w:cstheme="minorHAnsi"/>
          <w:b/>
          <w:bCs/>
          <w:lang w:val="en-US"/>
        </w:rPr>
        <w:t>able</w:t>
      </w:r>
      <w:r w:rsidR="00CD570A" w:rsidRPr="00CD570A">
        <w:rPr>
          <w:rFonts w:asciiTheme="minorHAnsi" w:hAnsiTheme="minorHAnsi" w:cstheme="minorHAnsi"/>
          <w:b/>
          <w:bCs/>
          <w:lang w:val="en-US"/>
        </w:rPr>
        <w:t xml:space="preserve"> S1</w:t>
      </w:r>
      <w:r w:rsidRPr="00CD570A">
        <w:rPr>
          <w:rFonts w:asciiTheme="minorHAnsi" w:hAnsiTheme="minorHAnsi" w:cstheme="minorHAnsi"/>
          <w:b/>
          <w:bCs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>below.</w:t>
      </w:r>
    </w:p>
    <w:p w14:paraId="1E85BF6B" w14:textId="77777777" w:rsidR="00CD570A" w:rsidRDefault="00CD570A" w:rsidP="006553CE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52BCD0B6" w14:textId="4FF83BA5" w:rsidR="006553CE" w:rsidRPr="00CD570A" w:rsidRDefault="00CD570A" w:rsidP="006553CE">
      <w:pPr>
        <w:spacing w:line="480" w:lineRule="auto"/>
        <w:rPr>
          <w:rFonts w:asciiTheme="minorHAnsi" w:hAnsiTheme="minorHAnsi" w:cstheme="minorHAnsi"/>
          <w:b/>
          <w:bCs/>
          <w:lang w:val="en-US"/>
        </w:rPr>
      </w:pPr>
      <w:r w:rsidRPr="00CD570A">
        <w:rPr>
          <w:rFonts w:asciiTheme="minorHAnsi" w:hAnsiTheme="minorHAnsi" w:cstheme="minorHAnsi"/>
          <w:b/>
          <w:bCs/>
          <w:lang w:val="en-US"/>
        </w:rPr>
        <w:t>Table S1. Accuracy and precision of the LC-MS/MS method of quantification of RIF and 25-dRIF</w:t>
      </w:r>
    </w:p>
    <w:tbl>
      <w:tblPr>
        <w:tblStyle w:val="Tableausimple2"/>
        <w:tblW w:w="9148" w:type="dxa"/>
        <w:jc w:val="center"/>
        <w:tblLook w:val="04A0" w:firstRow="1" w:lastRow="0" w:firstColumn="1" w:lastColumn="0" w:noHBand="0" w:noVBand="1"/>
      </w:tblPr>
      <w:tblGrid>
        <w:gridCol w:w="1829"/>
        <w:gridCol w:w="1829"/>
        <w:gridCol w:w="1830"/>
        <w:gridCol w:w="1830"/>
        <w:gridCol w:w="1830"/>
      </w:tblGrid>
      <w:tr w:rsidR="006553CE" w:rsidRPr="006553CE" w14:paraId="767A1428" w14:textId="77777777" w:rsidTr="00E51E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</w:tcPr>
          <w:p w14:paraId="0A0E4561" w14:textId="77777777" w:rsidR="006553CE" w:rsidRPr="00E346FE" w:rsidRDefault="006553CE" w:rsidP="00E51EBF">
            <w:pPr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3659" w:type="dxa"/>
            <w:gridSpan w:val="2"/>
          </w:tcPr>
          <w:p w14:paraId="608841A6" w14:textId="77777777" w:rsidR="006553CE" w:rsidRPr="00E346FE" w:rsidRDefault="006553CE" w:rsidP="00E51E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lang w:val="en-US"/>
              </w:rPr>
            </w:pPr>
            <w:r w:rsidRPr="00E346FE">
              <w:rPr>
                <w:rFonts w:ascii="Arial" w:hAnsi="Arial" w:cs="Arial"/>
                <w:bCs w:val="0"/>
                <w:lang w:val="en-US"/>
              </w:rPr>
              <w:t>Accuracy</w:t>
            </w:r>
          </w:p>
        </w:tc>
        <w:tc>
          <w:tcPr>
            <w:tcW w:w="3660" w:type="dxa"/>
            <w:gridSpan w:val="2"/>
          </w:tcPr>
          <w:p w14:paraId="664B6BF9" w14:textId="77777777" w:rsidR="006553CE" w:rsidRPr="00E346FE" w:rsidRDefault="006553CE" w:rsidP="00E51E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Precision</w:t>
            </w:r>
          </w:p>
        </w:tc>
      </w:tr>
      <w:tr w:rsidR="006553CE" w:rsidRPr="006553CE" w14:paraId="71168EB2" w14:textId="77777777" w:rsidTr="00E51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vAlign w:val="center"/>
          </w:tcPr>
          <w:p w14:paraId="44644787" w14:textId="77777777" w:rsidR="006553CE" w:rsidRPr="00E346FE" w:rsidRDefault="006553CE" w:rsidP="00E51EBF">
            <w:pPr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5618EFC4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en-US"/>
              </w:rPr>
            </w:pPr>
            <w:r w:rsidRPr="00E346FE">
              <w:rPr>
                <w:rFonts w:ascii="Arial" w:hAnsi="Arial" w:cs="Arial"/>
                <w:b/>
                <w:bCs/>
                <w:lang w:val="en-US"/>
              </w:rPr>
              <w:t>Within day</w:t>
            </w:r>
          </w:p>
          <w:p w14:paraId="15B3175C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en-US"/>
              </w:rPr>
            </w:pPr>
            <w:r w:rsidRPr="00E346FE">
              <w:rPr>
                <w:rFonts w:ascii="Arial" w:hAnsi="Arial" w:cs="Arial"/>
                <w:b/>
                <w:bCs/>
                <w:lang w:val="en-US"/>
              </w:rPr>
              <w:t>RIF / 25-dRIF</w:t>
            </w:r>
          </w:p>
        </w:tc>
        <w:tc>
          <w:tcPr>
            <w:tcW w:w="1830" w:type="dxa"/>
            <w:vAlign w:val="center"/>
          </w:tcPr>
          <w:p w14:paraId="1293E025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en-US"/>
              </w:rPr>
            </w:pPr>
            <w:r w:rsidRPr="00E346FE">
              <w:rPr>
                <w:rFonts w:ascii="Arial" w:hAnsi="Arial" w:cs="Arial"/>
                <w:b/>
                <w:bCs/>
                <w:lang w:val="en-US"/>
              </w:rPr>
              <w:t>Between day</w:t>
            </w:r>
          </w:p>
          <w:p w14:paraId="4E0A9600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en-US"/>
              </w:rPr>
            </w:pPr>
            <w:r w:rsidRPr="00E346FE">
              <w:rPr>
                <w:rFonts w:ascii="Arial" w:hAnsi="Arial" w:cs="Arial"/>
                <w:b/>
                <w:bCs/>
                <w:lang w:val="en-US"/>
              </w:rPr>
              <w:t>RIF / 25-dRIF</w:t>
            </w:r>
          </w:p>
        </w:tc>
        <w:tc>
          <w:tcPr>
            <w:tcW w:w="1830" w:type="dxa"/>
            <w:vAlign w:val="center"/>
          </w:tcPr>
          <w:p w14:paraId="07295E70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en-US"/>
              </w:rPr>
            </w:pPr>
            <w:r w:rsidRPr="00E346FE">
              <w:rPr>
                <w:rFonts w:ascii="Arial" w:hAnsi="Arial" w:cs="Arial"/>
                <w:b/>
                <w:bCs/>
                <w:lang w:val="en-US"/>
              </w:rPr>
              <w:t>Within day</w:t>
            </w:r>
          </w:p>
          <w:p w14:paraId="59189965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en-US"/>
              </w:rPr>
            </w:pPr>
            <w:r w:rsidRPr="00E346FE">
              <w:rPr>
                <w:rFonts w:ascii="Arial" w:hAnsi="Arial" w:cs="Arial"/>
                <w:b/>
                <w:bCs/>
                <w:lang w:val="en-US"/>
              </w:rPr>
              <w:t>RIF / 25-dRIF</w:t>
            </w:r>
          </w:p>
        </w:tc>
        <w:tc>
          <w:tcPr>
            <w:tcW w:w="1830" w:type="dxa"/>
            <w:vAlign w:val="center"/>
          </w:tcPr>
          <w:p w14:paraId="1FC1A610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 w:rsidRPr="00E346FE">
              <w:rPr>
                <w:rFonts w:ascii="Arial" w:hAnsi="Arial" w:cs="Arial"/>
                <w:b/>
                <w:lang w:val="en-US"/>
              </w:rPr>
              <w:t>Between day</w:t>
            </w:r>
          </w:p>
          <w:p w14:paraId="630C7CA4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 w:rsidRPr="00E346FE">
              <w:rPr>
                <w:rFonts w:ascii="Arial" w:hAnsi="Arial" w:cs="Arial"/>
                <w:b/>
                <w:bCs/>
                <w:lang w:val="en-US"/>
              </w:rPr>
              <w:t>RIF / 25-dRIF</w:t>
            </w:r>
          </w:p>
        </w:tc>
      </w:tr>
      <w:tr w:rsidR="006553CE" w:rsidRPr="006553CE" w14:paraId="6A89AE4C" w14:textId="77777777" w:rsidTr="00E51EBF">
        <w:trPr>
          <w:trHeight w:val="4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vAlign w:val="center"/>
          </w:tcPr>
          <w:p w14:paraId="096D2AD1" w14:textId="77777777" w:rsidR="006553CE" w:rsidRPr="00E346FE" w:rsidRDefault="006553CE" w:rsidP="00E51EBF">
            <w:pPr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Low QC</w:t>
            </w:r>
          </w:p>
        </w:tc>
        <w:tc>
          <w:tcPr>
            <w:tcW w:w="1829" w:type="dxa"/>
            <w:vAlign w:val="center"/>
          </w:tcPr>
          <w:p w14:paraId="3C1059FC" w14:textId="77777777" w:rsidR="006553CE" w:rsidRPr="00E346FE" w:rsidRDefault="006553CE" w:rsidP="00E5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-0.3 % / 4.8 %</w:t>
            </w:r>
          </w:p>
        </w:tc>
        <w:tc>
          <w:tcPr>
            <w:tcW w:w="1830" w:type="dxa"/>
            <w:vAlign w:val="center"/>
          </w:tcPr>
          <w:p w14:paraId="5A58EC04" w14:textId="77777777" w:rsidR="006553CE" w:rsidRPr="00E346FE" w:rsidRDefault="006553CE" w:rsidP="00E5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6.0 % / -9.1 %</w:t>
            </w:r>
          </w:p>
        </w:tc>
        <w:tc>
          <w:tcPr>
            <w:tcW w:w="1830" w:type="dxa"/>
            <w:vAlign w:val="center"/>
          </w:tcPr>
          <w:p w14:paraId="20633CA2" w14:textId="77777777" w:rsidR="006553CE" w:rsidRPr="00E346FE" w:rsidRDefault="006553CE" w:rsidP="00E5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8.2 % / 8.3 %</w:t>
            </w:r>
          </w:p>
        </w:tc>
        <w:tc>
          <w:tcPr>
            <w:tcW w:w="1830" w:type="dxa"/>
            <w:vAlign w:val="center"/>
          </w:tcPr>
          <w:p w14:paraId="1A19CAE7" w14:textId="77777777" w:rsidR="006553CE" w:rsidRPr="00E346FE" w:rsidRDefault="006553CE" w:rsidP="00E5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9.2 % / 8.8 %</w:t>
            </w:r>
          </w:p>
        </w:tc>
      </w:tr>
      <w:tr w:rsidR="006553CE" w:rsidRPr="006553CE" w14:paraId="72FD929A" w14:textId="77777777" w:rsidTr="00E51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vAlign w:val="center"/>
          </w:tcPr>
          <w:p w14:paraId="3EF08428" w14:textId="77777777" w:rsidR="006553CE" w:rsidRPr="00E346FE" w:rsidRDefault="006553CE" w:rsidP="00E51EBF">
            <w:pPr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Medium QC</w:t>
            </w:r>
          </w:p>
        </w:tc>
        <w:tc>
          <w:tcPr>
            <w:tcW w:w="1829" w:type="dxa"/>
            <w:vAlign w:val="center"/>
          </w:tcPr>
          <w:p w14:paraId="2C0AD79C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1.2 % / 3.3 %</w:t>
            </w:r>
          </w:p>
        </w:tc>
        <w:tc>
          <w:tcPr>
            <w:tcW w:w="1830" w:type="dxa"/>
            <w:vAlign w:val="center"/>
          </w:tcPr>
          <w:p w14:paraId="36FE56C9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1.0 %/ -4.8 %</w:t>
            </w:r>
          </w:p>
        </w:tc>
        <w:tc>
          <w:tcPr>
            <w:tcW w:w="1830" w:type="dxa"/>
            <w:vAlign w:val="center"/>
          </w:tcPr>
          <w:p w14:paraId="56543210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5.8 % / 4.1 %</w:t>
            </w:r>
          </w:p>
        </w:tc>
        <w:tc>
          <w:tcPr>
            <w:tcW w:w="1830" w:type="dxa"/>
            <w:vAlign w:val="center"/>
          </w:tcPr>
          <w:p w14:paraId="77116FDE" w14:textId="77777777" w:rsidR="006553CE" w:rsidRPr="00E346FE" w:rsidRDefault="006553CE" w:rsidP="00E5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7.3 % / 9.4 %</w:t>
            </w:r>
          </w:p>
        </w:tc>
      </w:tr>
      <w:tr w:rsidR="006553CE" w:rsidRPr="006553CE" w14:paraId="35948C00" w14:textId="77777777" w:rsidTr="00E51EBF">
        <w:trPr>
          <w:trHeight w:val="4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vAlign w:val="center"/>
          </w:tcPr>
          <w:p w14:paraId="04EE2100" w14:textId="77777777" w:rsidR="006553CE" w:rsidRPr="00E346FE" w:rsidRDefault="006553CE" w:rsidP="00E51EBF">
            <w:pPr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High QC</w:t>
            </w:r>
          </w:p>
        </w:tc>
        <w:tc>
          <w:tcPr>
            <w:tcW w:w="1829" w:type="dxa"/>
            <w:vAlign w:val="center"/>
          </w:tcPr>
          <w:p w14:paraId="3E74A4A3" w14:textId="77777777" w:rsidR="006553CE" w:rsidRPr="00E346FE" w:rsidRDefault="006553CE" w:rsidP="00E5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1.4 % / -1.1 %</w:t>
            </w:r>
          </w:p>
        </w:tc>
        <w:tc>
          <w:tcPr>
            <w:tcW w:w="1830" w:type="dxa"/>
            <w:vAlign w:val="center"/>
          </w:tcPr>
          <w:p w14:paraId="1BDCDE6E" w14:textId="77777777" w:rsidR="006553CE" w:rsidRPr="00E346FE" w:rsidRDefault="006553CE" w:rsidP="00E5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1.9 % / -2.9 %</w:t>
            </w:r>
          </w:p>
        </w:tc>
        <w:tc>
          <w:tcPr>
            <w:tcW w:w="1830" w:type="dxa"/>
            <w:vAlign w:val="center"/>
          </w:tcPr>
          <w:p w14:paraId="034DD3F1" w14:textId="77777777" w:rsidR="006553CE" w:rsidRPr="00E346FE" w:rsidRDefault="006553CE" w:rsidP="00E5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4.5 % / 6.6 %</w:t>
            </w:r>
          </w:p>
        </w:tc>
        <w:tc>
          <w:tcPr>
            <w:tcW w:w="1830" w:type="dxa"/>
            <w:vAlign w:val="center"/>
          </w:tcPr>
          <w:p w14:paraId="5BC87DF2" w14:textId="77777777" w:rsidR="006553CE" w:rsidRPr="00E346FE" w:rsidRDefault="006553CE" w:rsidP="00E5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346FE">
              <w:rPr>
                <w:rFonts w:ascii="Arial" w:hAnsi="Arial" w:cs="Arial"/>
                <w:lang w:val="en-US"/>
              </w:rPr>
              <w:t>7.1 % / 5.5 %</w:t>
            </w:r>
          </w:p>
        </w:tc>
      </w:tr>
    </w:tbl>
    <w:p w14:paraId="08A1440E" w14:textId="7870A951" w:rsidR="006553CE" w:rsidRPr="006553CE" w:rsidRDefault="006553CE" w:rsidP="006553CE">
      <w:pPr>
        <w:jc w:val="center"/>
      </w:pPr>
    </w:p>
    <w:p w14:paraId="2DBC9000" w14:textId="77777777" w:rsidR="006553CE" w:rsidRPr="006553CE" w:rsidRDefault="006553CE" w:rsidP="006553CE">
      <w:pPr>
        <w:rPr>
          <w:lang w:val="en-US"/>
        </w:rPr>
      </w:pPr>
    </w:p>
    <w:p w14:paraId="199BC331" w14:textId="77777777" w:rsidR="006553CE" w:rsidRPr="006553CE" w:rsidRDefault="006553C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75E05D1D" w14:textId="6F5476B4" w:rsidR="00E346FE" w:rsidRDefault="00E346FE">
      <w:pPr>
        <w:spacing w:after="160" w:line="259" w:lineRule="auto"/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br w:type="page"/>
      </w:r>
    </w:p>
    <w:p w14:paraId="165AC2C4" w14:textId="0AE53638" w:rsidR="006553CE" w:rsidRDefault="00E346FE" w:rsidP="00E346FE">
      <w:pPr>
        <w:spacing w:line="480" w:lineRule="auto"/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lastRenderedPageBreak/>
        <w:t>Supplementary results</w:t>
      </w:r>
    </w:p>
    <w:p w14:paraId="2454481E" w14:textId="77777777" w:rsidR="00E346FE" w:rsidRPr="006553CE" w:rsidRDefault="00E346FE" w:rsidP="00E346FE">
      <w:pPr>
        <w:spacing w:line="480" w:lineRule="auto"/>
        <w:rPr>
          <w:rFonts w:asciiTheme="minorHAnsi" w:hAnsiTheme="minorHAnsi" w:cstheme="minorHAnsi"/>
          <w:b/>
          <w:bCs/>
          <w:lang w:val="en-US"/>
        </w:rPr>
      </w:pPr>
    </w:p>
    <w:p w14:paraId="38DC4043" w14:textId="28C07B2C" w:rsidR="00BA473E" w:rsidRDefault="00BA473E" w:rsidP="00E346FE">
      <w:pPr>
        <w:spacing w:line="480" w:lineRule="auto"/>
        <w:rPr>
          <w:rFonts w:asciiTheme="minorHAnsi" w:hAnsiTheme="minorHAnsi" w:cstheme="minorHAnsi"/>
          <w:b/>
          <w:bCs/>
          <w:lang w:val="en-US"/>
        </w:rPr>
      </w:pPr>
      <w:r w:rsidRPr="00BA473E">
        <w:rPr>
          <w:rFonts w:asciiTheme="minorHAnsi" w:hAnsiTheme="minorHAnsi" w:cstheme="minorHAnsi"/>
          <w:b/>
          <w:bCs/>
          <w:lang w:val="en-US"/>
        </w:rPr>
        <w:t>Figure S</w:t>
      </w:r>
      <w:r w:rsidR="007036C9">
        <w:rPr>
          <w:rFonts w:asciiTheme="minorHAnsi" w:hAnsiTheme="minorHAnsi" w:cstheme="minorHAnsi"/>
          <w:b/>
          <w:bCs/>
          <w:lang w:val="en-US"/>
        </w:rPr>
        <w:t>2</w:t>
      </w:r>
      <w:r w:rsidRPr="00BA473E">
        <w:rPr>
          <w:rFonts w:asciiTheme="minorHAnsi" w:hAnsiTheme="minorHAnsi" w:cstheme="minorHAnsi"/>
          <w:b/>
          <w:bCs/>
          <w:lang w:val="en-US"/>
        </w:rPr>
        <w:t>. Structure of RIF and 25-dRIF PK model</w:t>
      </w:r>
    </w:p>
    <w:p w14:paraId="34D3B8C4" w14:textId="77777777" w:rsidR="00BA473E" w:rsidRDefault="00BA473E" w:rsidP="00E346FE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7A6B0B78" w14:textId="5EB6CB52" w:rsidR="00BA473E" w:rsidRPr="00BA473E" w:rsidRDefault="00BA473E" w:rsidP="00395852">
      <w:pPr>
        <w:spacing w:line="480" w:lineRule="auto"/>
        <w:rPr>
          <w:rFonts w:asciiTheme="minorHAnsi" w:hAnsiTheme="minorHAnsi" w:cstheme="minorHAnsi"/>
          <w:lang w:val="en-US"/>
        </w:rPr>
      </w:pPr>
      <w:r w:rsidRPr="00BA473E">
        <w:rPr>
          <w:rFonts w:asciiTheme="minorHAnsi" w:hAnsiTheme="minorHAnsi" w:cstheme="minorHAnsi"/>
          <w:b/>
          <w:bCs/>
          <w:lang w:val="en-US"/>
        </w:rPr>
        <w:t>Abbreviations :</w:t>
      </w:r>
      <w:r>
        <w:rPr>
          <w:rFonts w:asciiTheme="minorHAnsi" w:hAnsiTheme="minorHAnsi" w:cstheme="minorHAnsi"/>
          <w:lang w:val="en-US"/>
        </w:rPr>
        <w:t xml:space="preserve"> </w:t>
      </w:r>
      <w:r w:rsidRPr="00BA473E">
        <w:rPr>
          <w:rFonts w:asciiTheme="minorHAnsi" w:hAnsiTheme="minorHAnsi" w:cstheme="minorHAnsi"/>
          <w:lang w:val="en-US"/>
        </w:rPr>
        <w:t>CL</w:t>
      </w:r>
      <w:r w:rsidRPr="00BA473E">
        <w:rPr>
          <w:rFonts w:asciiTheme="minorHAnsi" w:hAnsiTheme="minorHAnsi" w:cstheme="minorHAnsi"/>
          <w:vertAlign w:val="subscript"/>
          <w:lang w:val="en-US"/>
        </w:rPr>
        <w:t>RIF</w:t>
      </w:r>
      <w:r w:rsidRPr="00BA473E">
        <w:rPr>
          <w:rFonts w:asciiTheme="minorHAnsi" w:hAnsiTheme="minorHAnsi" w:cstheme="minorHAnsi"/>
          <w:lang w:val="en-US"/>
        </w:rPr>
        <w:t xml:space="preserve">, </w:t>
      </w:r>
      <w:r w:rsidR="006C4716">
        <w:rPr>
          <w:rFonts w:asciiTheme="minorHAnsi" w:hAnsiTheme="minorHAnsi" w:cstheme="minorHAnsi"/>
          <w:lang w:val="en-US"/>
        </w:rPr>
        <w:t>apparent</w:t>
      </w:r>
      <w:r w:rsidRPr="00BA473E">
        <w:rPr>
          <w:rFonts w:asciiTheme="minorHAnsi" w:hAnsiTheme="minorHAnsi" w:cstheme="minorHAnsi"/>
          <w:lang w:val="en-US"/>
        </w:rPr>
        <w:t xml:space="preserve"> total body clearance</w:t>
      </w:r>
      <w:r w:rsidR="006C4716">
        <w:rPr>
          <w:rFonts w:asciiTheme="minorHAnsi" w:hAnsiTheme="minorHAnsi" w:cstheme="minorHAnsi"/>
          <w:lang w:val="en-US"/>
        </w:rPr>
        <w:t xml:space="preserve"> of rifampicin</w:t>
      </w:r>
      <w:r w:rsidRPr="00BA473E">
        <w:rPr>
          <w:rFonts w:asciiTheme="minorHAnsi" w:hAnsiTheme="minorHAnsi" w:cstheme="minorHAnsi"/>
          <w:lang w:val="en-US"/>
        </w:rPr>
        <w:t>; CL</w:t>
      </w:r>
      <w:r w:rsidRPr="00BA473E">
        <w:rPr>
          <w:rFonts w:asciiTheme="minorHAnsi" w:hAnsiTheme="minorHAnsi" w:cstheme="minorHAnsi"/>
          <w:vertAlign w:val="subscript"/>
          <w:lang w:val="en-US"/>
        </w:rPr>
        <w:t>25-dRIF</w:t>
      </w:r>
      <w:r w:rsidRPr="00BA473E">
        <w:rPr>
          <w:rFonts w:asciiTheme="minorHAnsi" w:hAnsiTheme="minorHAnsi" w:cstheme="minorHAnsi"/>
          <w:lang w:val="en-US"/>
        </w:rPr>
        <w:t xml:space="preserve">, </w:t>
      </w:r>
      <w:r w:rsidR="006C4716">
        <w:rPr>
          <w:rFonts w:asciiTheme="minorHAnsi" w:hAnsiTheme="minorHAnsi" w:cstheme="minorHAnsi"/>
          <w:lang w:val="en-US"/>
        </w:rPr>
        <w:t xml:space="preserve">apparent </w:t>
      </w:r>
      <w:r w:rsidRPr="00BA473E">
        <w:rPr>
          <w:rFonts w:asciiTheme="minorHAnsi" w:hAnsiTheme="minorHAnsi" w:cstheme="minorHAnsi"/>
          <w:lang w:val="en-US"/>
        </w:rPr>
        <w:t xml:space="preserve">total body clearance of rifampicin metabolite; </w:t>
      </w:r>
      <w:r>
        <w:rPr>
          <w:rFonts w:asciiTheme="minorHAnsi" w:hAnsiTheme="minorHAnsi" w:cstheme="minorHAnsi"/>
          <w:lang w:val="en-US"/>
        </w:rPr>
        <w:t>DAY</w:t>
      </w:r>
      <w:r w:rsidRPr="00BA473E">
        <w:rPr>
          <w:rFonts w:asciiTheme="minorHAnsi" w:hAnsiTheme="minorHAnsi" w:cstheme="minorHAnsi"/>
          <w:vertAlign w:val="subscript"/>
          <w:lang w:val="en-US"/>
        </w:rPr>
        <w:t>50</w:t>
      </w:r>
      <w:r>
        <w:rPr>
          <w:rFonts w:asciiTheme="minorHAnsi" w:hAnsiTheme="minorHAnsi" w:cstheme="minorHAnsi"/>
          <w:lang w:val="en-US"/>
        </w:rPr>
        <w:t xml:space="preserve">, time to half-maximum increase in clearance; </w:t>
      </w:r>
      <w:r w:rsidRPr="00BA473E">
        <w:rPr>
          <w:rFonts w:asciiTheme="minorHAnsi" w:hAnsiTheme="minorHAnsi" w:cstheme="minorHAnsi"/>
          <w:lang w:val="en-US"/>
        </w:rPr>
        <w:t xml:space="preserve">Fm, fraction of RIF dose metabolized into 25-dRIF; Ka, absorption rate constant; </w:t>
      </w:r>
      <w:r>
        <w:rPr>
          <w:rFonts w:asciiTheme="minorHAnsi" w:hAnsiTheme="minorHAnsi" w:cstheme="minorHAnsi"/>
          <w:lang w:val="en-US"/>
        </w:rPr>
        <w:t>MAX</w:t>
      </w:r>
      <w:r w:rsidR="00B20A33">
        <w:rPr>
          <w:rFonts w:asciiTheme="minorHAnsi" w:hAnsiTheme="minorHAnsi" w:cstheme="minorHAnsi"/>
          <w:vertAlign w:val="subscript"/>
          <w:lang w:val="en-US"/>
        </w:rPr>
        <w:t>RIF</w:t>
      </w:r>
      <w:r>
        <w:rPr>
          <w:rFonts w:asciiTheme="minorHAnsi" w:hAnsiTheme="minorHAnsi" w:cstheme="minorHAnsi"/>
          <w:lang w:val="en-US"/>
        </w:rPr>
        <w:t>, maximal increase in RIF clearance from baseline; MAX</w:t>
      </w:r>
      <w:r w:rsidRPr="006C4716">
        <w:rPr>
          <w:rFonts w:asciiTheme="minorHAnsi" w:hAnsiTheme="minorHAnsi" w:cstheme="minorHAnsi"/>
          <w:vertAlign w:val="subscript"/>
          <w:lang w:val="en-US"/>
        </w:rPr>
        <w:t>2</w:t>
      </w:r>
      <w:r w:rsidR="00B20A33">
        <w:rPr>
          <w:rFonts w:asciiTheme="minorHAnsi" w:hAnsiTheme="minorHAnsi" w:cstheme="minorHAnsi"/>
          <w:vertAlign w:val="subscript"/>
          <w:lang w:val="en-US"/>
        </w:rPr>
        <w:t>5-dRIF</w:t>
      </w:r>
      <w:r>
        <w:rPr>
          <w:rFonts w:asciiTheme="minorHAnsi" w:hAnsiTheme="minorHAnsi" w:cstheme="minorHAnsi"/>
          <w:lang w:val="en-US"/>
        </w:rPr>
        <w:t xml:space="preserve">, maximal increase in 25-dRIF clearance from baseline; </w:t>
      </w:r>
      <w:r w:rsidRPr="00BA473E">
        <w:rPr>
          <w:rFonts w:asciiTheme="minorHAnsi" w:hAnsiTheme="minorHAnsi" w:cstheme="minorHAnsi"/>
          <w:lang w:val="en-US"/>
        </w:rPr>
        <w:t xml:space="preserve">V, </w:t>
      </w:r>
      <w:r w:rsidR="006C4716">
        <w:rPr>
          <w:rFonts w:asciiTheme="minorHAnsi" w:hAnsiTheme="minorHAnsi" w:cstheme="minorHAnsi"/>
          <w:lang w:val="en-US"/>
        </w:rPr>
        <w:t xml:space="preserve">apparent </w:t>
      </w:r>
      <w:r w:rsidRPr="00BA473E">
        <w:rPr>
          <w:rFonts w:asciiTheme="minorHAnsi" w:hAnsiTheme="minorHAnsi" w:cstheme="minorHAnsi"/>
          <w:lang w:val="en-US"/>
        </w:rPr>
        <w:t>volume of distribution</w:t>
      </w:r>
      <w:r w:rsidR="006C4716">
        <w:rPr>
          <w:rFonts w:asciiTheme="minorHAnsi" w:hAnsiTheme="minorHAnsi" w:cstheme="minorHAnsi"/>
          <w:lang w:val="en-US"/>
        </w:rPr>
        <w:t xml:space="preserve"> of </w:t>
      </w:r>
      <w:r w:rsidR="006C4716" w:rsidRPr="00BA473E">
        <w:rPr>
          <w:rFonts w:asciiTheme="minorHAnsi" w:hAnsiTheme="minorHAnsi" w:cstheme="minorHAnsi"/>
          <w:lang w:val="en-US"/>
        </w:rPr>
        <w:t>RIF and 25-dRIF</w:t>
      </w:r>
      <w:r>
        <w:rPr>
          <w:rFonts w:asciiTheme="minorHAnsi" w:hAnsiTheme="minorHAnsi" w:cstheme="minorHAnsi"/>
          <w:lang w:val="en-US"/>
        </w:rPr>
        <w:t>.</w:t>
      </w:r>
    </w:p>
    <w:p w14:paraId="6104BF2A" w14:textId="77777777" w:rsidR="00BA473E" w:rsidRDefault="00BA473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7C6FFD01" w14:textId="77777777" w:rsidR="00BA473E" w:rsidRDefault="00BA473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039529D8" w14:textId="0161928B" w:rsidR="00BA473E" w:rsidRDefault="00B20A33" w:rsidP="00BA473E">
      <w:pPr>
        <w:rPr>
          <w:rFonts w:asciiTheme="minorHAnsi" w:hAnsiTheme="minorHAnsi" w:cstheme="minorHAnsi"/>
          <w:b/>
          <w:bCs/>
          <w:lang w:val="en-US"/>
        </w:rPr>
      </w:pPr>
      <w:r>
        <w:rPr>
          <w:noProof/>
        </w:rPr>
        <w:drawing>
          <wp:inline distT="0" distB="0" distL="0" distR="0" wp14:anchorId="3FB7C7C0" wp14:editId="7AC7D56F">
            <wp:extent cx="6265333" cy="3524250"/>
            <wp:effectExtent l="0" t="0" r="2540" b="0"/>
            <wp:docPr id="13821914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68" cy="352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9B803" w14:textId="77777777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12D4DAAF" w14:textId="77777777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555AB168" w14:textId="77777777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39024153" w14:textId="77777777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2022AE23" w14:textId="77777777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44FE9166" w14:textId="77777777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6F65BE95" w14:textId="77777777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5CA17777" w14:textId="77777777" w:rsidR="007D2C26" w:rsidRDefault="007D2C26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09955764" w14:textId="30FDE6D4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lastRenderedPageBreak/>
        <w:t xml:space="preserve">Figure </w:t>
      </w:r>
      <w:r w:rsidR="00E52CB5">
        <w:rPr>
          <w:rFonts w:asciiTheme="minorHAnsi" w:hAnsiTheme="minorHAnsi" w:cstheme="minorHAnsi"/>
          <w:b/>
          <w:bCs/>
          <w:lang w:val="en-US"/>
        </w:rPr>
        <w:t>S</w:t>
      </w:r>
      <w:r w:rsidR="007036C9">
        <w:rPr>
          <w:rFonts w:asciiTheme="minorHAnsi" w:hAnsiTheme="minorHAnsi" w:cstheme="minorHAnsi"/>
          <w:b/>
          <w:bCs/>
          <w:lang w:val="en-US"/>
        </w:rPr>
        <w:t>3</w:t>
      </w:r>
      <w:bookmarkStart w:id="1" w:name="_GoBack"/>
      <w:bookmarkEnd w:id="1"/>
      <w:r>
        <w:rPr>
          <w:rFonts w:asciiTheme="minorHAnsi" w:hAnsiTheme="minorHAnsi" w:cstheme="minorHAnsi"/>
          <w:b/>
          <w:bCs/>
          <w:lang w:val="en-US"/>
        </w:rPr>
        <w:t>. Correlation between RIF concentration or AUC</w:t>
      </w:r>
      <w:r w:rsidRPr="000976FE">
        <w:rPr>
          <w:rFonts w:asciiTheme="minorHAnsi" w:hAnsiTheme="minorHAnsi" w:cstheme="minorHAnsi"/>
          <w:b/>
          <w:bCs/>
          <w:vertAlign w:val="subscript"/>
          <w:lang w:val="en-US"/>
        </w:rPr>
        <w:t>24</w:t>
      </w:r>
      <w:r>
        <w:rPr>
          <w:rFonts w:asciiTheme="minorHAnsi" w:hAnsiTheme="minorHAnsi" w:cstheme="minorHAnsi"/>
          <w:b/>
          <w:bCs/>
          <w:lang w:val="en-US"/>
        </w:rPr>
        <w:t xml:space="preserve"> and other exposure metrics </w:t>
      </w:r>
    </w:p>
    <w:p w14:paraId="1DFC775B" w14:textId="77777777" w:rsidR="000976F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</w:p>
    <w:p w14:paraId="6FB431AC" w14:textId="5F64C763" w:rsidR="000976FE" w:rsidRPr="00BA473E" w:rsidRDefault="000976FE" w:rsidP="00BA473E">
      <w:pPr>
        <w:rPr>
          <w:rFonts w:asciiTheme="minorHAnsi" w:hAnsiTheme="minorHAnsi" w:cstheme="minorHAnsi"/>
          <w:b/>
          <w:bCs/>
          <w:lang w:val="en-US"/>
        </w:rPr>
      </w:pPr>
      <w:r>
        <w:rPr>
          <w:noProof/>
        </w:rPr>
        <w:drawing>
          <wp:inline distT="0" distB="0" distL="0" distR="0" wp14:anchorId="764EB51A" wp14:editId="206A54F7">
            <wp:extent cx="5760720" cy="4199255"/>
            <wp:effectExtent l="0" t="0" r="0" b="0"/>
            <wp:docPr id="2011499746" name="Image 1" descr="Une image contenant texte, diagramme, cart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499746" name="Image 1" descr="Une image contenant texte, diagramme, carte, lign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B66D6" w14:textId="77777777" w:rsidR="00BA473E" w:rsidRPr="00BA473E" w:rsidRDefault="00BA473E" w:rsidP="00BA473E">
      <w:pPr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2220194F" w14:textId="77777777" w:rsidR="00BA473E" w:rsidRPr="00BA473E" w:rsidRDefault="00BA473E" w:rsidP="00BA473E">
      <w:pPr>
        <w:rPr>
          <w:rFonts w:asciiTheme="minorHAnsi" w:hAnsiTheme="minorHAnsi" w:cstheme="minorHAnsi"/>
          <w:lang w:val="en-US"/>
        </w:rPr>
      </w:pPr>
    </w:p>
    <w:p w14:paraId="3D16A807" w14:textId="77777777" w:rsidR="00BA473E" w:rsidRPr="00BA473E" w:rsidRDefault="00BA473E" w:rsidP="00BA473E">
      <w:pPr>
        <w:rPr>
          <w:rFonts w:asciiTheme="minorHAnsi" w:hAnsiTheme="minorHAnsi" w:cstheme="minorHAnsi"/>
          <w:lang w:val="en-US"/>
        </w:rPr>
      </w:pPr>
    </w:p>
    <w:p w14:paraId="074C20B8" w14:textId="77777777" w:rsidR="00BA473E" w:rsidRPr="00BA473E" w:rsidRDefault="00BA473E" w:rsidP="00BA473E">
      <w:pPr>
        <w:rPr>
          <w:rFonts w:asciiTheme="minorHAnsi" w:hAnsiTheme="minorHAnsi" w:cstheme="minorHAnsi"/>
          <w:lang w:val="en-US"/>
        </w:rPr>
      </w:pPr>
    </w:p>
    <w:p w14:paraId="408994B6" w14:textId="77777777" w:rsidR="00BA473E" w:rsidRPr="00BA473E" w:rsidRDefault="00BA473E" w:rsidP="00BA473E">
      <w:pPr>
        <w:rPr>
          <w:rFonts w:asciiTheme="minorHAnsi" w:hAnsiTheme="minorHAnsi" w:cstheme="minorHAnsi"/>
          <w:lang w:val="en-US"/>
        </w:rPr>
      </w:pPr>
    </w:p>
    <w:sectPr w:rsidR="00BA473E" w:rsidRPr="00BA473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33B65" w14:textId="77777777" w:rsidR="00770E56" w:rsidRDefault="00770E56" w:rsidP="00E75E64">
      <w:r>
        <w:separator/>
      </w:r>
    </w:p>
  </w:endnote>
  <w:endnote w:type="continuationSeparator" w:id="0">
    <w:p w14:paraId="3BD6E56C" w14:textId="77777777" w:rsidR="00770E56" w:rsidRDefault="00770E56" w:rsidP="00E7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8250998"/>
      <w:docPartObj>
        <w:docPartGallery w:val="Page Numbers (Bottom of Page)"/>
        <w:docPartUnique/>
      </w:docPartObj>
    </w:sdtPr>
    <w:sdtEndPr/>
    <w:sdtContent>
      <w:p w14:paraId="22F39D1B" w14:textId="5E6B2B06" w:rsidR="00E75E64" w:rsidRDefault="00E75E6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925449" w14:textId="77777777" w:rsidR="00E75E64" w:rsidRDefault="00E75E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A4074" w14:textId="77777777" w:rsidR="00770E56" w:rsidRDefault="00770E56" w:rsidP="00E75E64">
      <w:r>
        <w:separator/>
      </w:r>
    </w:p>
  </w:footnote>
  <w:footnote w:type="continuationSeparator" w:id="0">
    <w:p w14:paraId="39D95F18" w14:textId="77777777" w:rsidR="00770E56" w:rsidRDefault="00770E56" w:rsidP="00E75E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E"/>
    <w:rsid w:val="000976FE"/>
    <w:rsid w:val="000E4ACB"/>
    <w:rsid w:val="001B12B3"/>
    <w:rsid w:val="001B2BB3"/>
    <w:rsid w:val="002771E4"/>
    <w:rsid w:val="0036547E"/>
    <w:rsid w:val="00386D4B"/>
    <w:rsid w:val="00395852"/>
    <w:rsid w:val="0058019A"/>
    <w:rsid w:val="00587EF0"/>
    <w:rsid w:val="006553CE"/>
    <w:rsid w:val="006C4716"/>
    <w:rsid w:val="007036C9"/>
    <w:rsid w:val="00770E56"/>
    <w:rsid w:val="007D2C26"/>
    <w:rsid w:val="0098783F"/>
    <w:rsid w:val="00A42E54"/>
    <w:rsid w:val="00B20A33"/>
    <w:rsid w:val="00B564C1"/>
    <w:rsid w:val="00BA473E"/>
    <w:rsid w:val="00BD0B02"/>
    <w:rsid w:val="00CA368F"/>
    <w:rsid w:val="00CD570A"/>
    <w:rsid w:val="00E2305F"/>
    <w:rsid w:val="00E346FE"/>
    <w:rsid w:val="00E52CB5"/>
    <w:rsid w:val="00E7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82016"/>
  <w15:chartTrackingRefBased/>
  <w15:docId w15:val="{DFFCB46C-B1EC-4422-A688-C92D867C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7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A47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473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473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473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473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473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473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473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473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47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4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47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473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473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47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47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47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47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47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A4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473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A4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473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A473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473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A473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47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473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473E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7D2C26"/>
    <w:pPr>
      <w:spacing w:after="0" w:line="240" w:lineRule="auto"/>
    </w:pPr>
    <w:rPr>
      <w:kern w:val="0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6553C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553C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553CE"/>
    <w:rPr>
      <w:kern w:val="0"/>
      <w:sz w:val="20"/>
      <w:szCs w:val="20"/>
      <w14:ligatures w14:val="none"/>
    </w:rPr>
  </w:style>
  <w:style w:type="table" w:styleId="Tableausimple2">
    <w:name w:val="Plain Table 2"/>
    <w:basedOn w:val="TableauNormal"/>
    <w:uiPriority w:val="42"/>
    <w:rsid w:val="006553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6553C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553C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75E6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75E64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75E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75E64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hyperlink" Target="https://www.fda.gov/files/drugs/published/Bioanalytical-Method-Validation-Guidance-for-Industry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753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GOUTELLE, Sylvain</dc:creator>
  <cp:keywords/>
  <dc:description/>
  <cp:lastModifiedBy>GOUTELLE, Sylvain</cp:lastModifiedBy>
  <cp:revision>2</cp:revision>
  <dcterms:created xsi:type="dcterms:W3CDTF">2025-01-06T07:02:00Z</dcterms:created>
  <dcterms:modified xsi:type="dcterms:W3CDTF">2025-01-06T07:02:00Z</dcterms:modified>
</cp:coreProperties>
</file>