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BC31F" w14:textId="468316D7" w:rsidR="00A263FC" w:rsidRPr="007769A0" w:rsidRDefault="00A263FC" w:rsidP="00A263F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769A0">
        <w:rPr>
          <w:rFonts w:ascii="Times New Roman" w:hAnsi="Times New Roman" w:cs="Times New Roman"/>
          <w:b/>
          <w:sz w:val="28"/>
          <w:szCs w:val="24"/>
        </w:rPr>
        <w:t>Supplementary information</w:t>
      </w:r>
      <w:r w:rsidR="008C038F">
        <w:rPr>
          <w:rFonts w:ascii="Times New Roman" w:hAnsi="Times New Roman" w:cs="Times New Roman"/>
          <w:b/>
          <w:sz w:val="28"/>
          <w:szCs w:val="24"/>
        </w:rPr>
        <w:t xml:space="preserve"> 2</w:t>
      </w:r>
    </w:p>
    <w:p w14:paraId="7C495BDE" w14:textId="77777777" w:rsidR="00A263FC" w:rsidRPr="007769A0" w:rsidRDefault="00A263FC" w:rsidP="00A263FC">
      <w:pPr>
        <w:rPr>
          <w:rFonts w:ascii="Times New Roman" w:hAnsi="Times New Roman" w:cs="Times New Roman"/>
          <w:b/>
          <w:sz w:val="28"/>
          <w:szCs w:val="24"/>
        </w:rPr>
      </w:pPr>
      <w:r w:rsidRPr="007769A0">
        <w:rPr>
          <w:rFonts w:ascii="Times New Roman" w:hAnsi="Times New Roman" w:cs="Times New Roman"/>
          <w:b/>
          <w:sz w:val="28"/>
          <w:szCs w:val="24"/>
        </w:rPr>
        <w:t>Clinical Pharmacokinetics</w:t>
      </w:r>
    </w:p>
    <w:p w14:paraId="25564B29" w14:textId="77777777" w:rsidR="00A263FC" w:rsidRDefault="00A263FC" w:rsidP="00A263FC">
      <w:pPr>
        <w:rPr>
          <w:rFonts w:ascii="Times New Roman" w:hAnsi="Times New Roman" w:cs="Times New Roman"/>
          <w:bCs/>
          <w:sz w:val="28"/>
          <w:szCs w:val="24"/>
        </w:rPr>
      </w:pPr>
      <w:r w:rsidRPr="00E36DDA">
        <w:rPr>
          <w:rFonts w:ascii="Times New Roman" w:hAnsi="Times New Roman" w:cs="Times New Roman"/>
          <w:bCs/>
          <w:sz w:val="28"/>
          <w:szCs w:val="24"/>
        </w:rPr>
        <w:t xml:space="preserve">Population pharmacokinetics of cefepime in critically ill children and young adults: Model development and </w:t>
      </w:r>
      <w:r>
        <w:rPr>
          <w:rFonts w:ascii="Times New Roman" w:hAnsi="Times New Roman" w:cs="Times New Roman"/>
          <w:bCs/>
          <w:sz w:val="28"/>
          <w:szCs w:val="24"/>
        </w:rPr>
        <w:t xml:space="preserve">external </w:t>
      </w:r>
      <w:r w:rsidRPr="00E36DDA">
        <w:rPr>
          <w:rFonts w:ascii="Times New Roman" w:hAnsi="Times New Roman" w:cs="Times New Roman"/>
          <w:bCs/>
          <w:sz w:val="28"/>
          <w:szCs w:val="24"/>
        </w:rPr>
        <w:t>validation for Monte Carlo simulations and Model-Informed Precision Dosing</w:t>
      </w:r>
    </w:p>
    <w:p w14:paraId="7A8E32F1" w14:textId="77777777" w:rsidR="00A263FC" w:rsidRPr="00FE6BE5" w:rsidRDefault="00A263FC" w:rsidP="00A263FC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bdr w:val="nil"/>
        </w:rPr>
      </w:pPr>
      <w:r w:rsidRPr="00FE6BE5">
        <w:rPr>
          <w:rFonts w:ascii="Times New Roman" w:eastAsia="Arial Unicode MS" w:hAnsi="Times New Roman" w:cs="Times New Roman"/>
          <w:b/>
          <w:bCs/>
          <w:color w:val="000000"/>
          <w:sz w:val="24"/>
          <w:bdr w:val="nil"/>
        </w:rPr>
        <w:t xml:space="preserve"> </w:t>
      </w:r>
    </w:p>
    <w:p w14:paraId="3C453998" w14:textId="77777777" w:rsidR="00A263FC" w:rsidRPr="007769A0" w:rsidRDefault="00A263FC" w:rsidP="00A263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7847">
        <w:rPr>
          <w:rFonts w:ascii="Times New Roman" w:hAnsi="Times New Roman" w:cs="Times New Roman"/>
          <w:color w:val="000000"/>
          <w:sz w:val="24"/>
          <w:shd w:val="clear" w:color="auto" w:fill="FFFFFF"/>
        </w:rPr>
        <w:t>*</w:t>
      </w:r>
      <w:r w:rsidRPr="00297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Ronaldo Morales Junior¹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2E6411">
        <w:rPr>
          <w:rFonts w:ascii="Times New Roman" w:hAnsi="Times New Roman" w:cs="Times New Roman"/>
          <w:sz w:val="24"/>
          <w:szCs w:val="24"/>
          <w:shd w:val="clear" w:color="auto" w:fill="FFFFFF"/>
        </w:rPr>
        <w:t>H. Rhodes Hambrick</w:t>
      </w:r>
      <w:r w:rsidRPr="002E6411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2E6411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Pr="00776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776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Tomoyuki Mizuno</w:t>
      </w:r>
      <w:r w:rsidRPr="00776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1,3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776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Kathryn E. Pavia</w:t>
      </w:r>
      <w:r w:rsidRPr="00776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1,4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A4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Kelli M. Paice</w:t>
      </w:r>
      <w:r w:rsidRPr="00CA4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E6411">
        <w:rPr>
          <w:rFonts w:ascii="Times New Roman" w:hAnsi="Times New Roman" w:cs="Times New Roman"/>
          <w:sz w:val="24"/>
          <w:szCs w:val="24"/>
          <w:shd w:val="clear" w:color="auto" w:fill="FFFFFF"/>
        </w:rPr>
        <w:t>Peter Tang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3,5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Erin Schuler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3,5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F373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Kelli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A. </w:t>
      </w:r>
      <w:r w:rsidRPr="00F3739F">
        <w:rPr>
          <w:rFonts w:ascii="Times New Roman" w:hAnsi="Times New Roman" w:cs="Times New Roman"/>
          <w:sz w:val="24"/>
          <w:szCs w:val="24"/>
          <w:shd w:val="clear" w:color="auto" w:fill="FFFFFF"/>
        </w:rPr>
        <w:t>Krallman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F3739F">
        <w:rPr>
          <w:rFonts w:ascii="Times New Roman" w:hAnsi="Times New Roman" w:cs="Times New Roman"/>
          <w:sz w:val="24"/>
          <w:szCs w:val="24"/>
          <w:shd w:val="clear" w:color="auto" w:fill="FFFFFF"/>
        </w:rPr>
        <w:t>Luana Johnson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F3739F">
        <w:rPr>
          <w:rFonts w:ascii="Times New Roman" w:hAnsi="Times New Roman" w:cs="Times New Roman"/>
          <w:sz w:val="24"/>
          <w:szCs w:val="24"/>
          <w:shd w:val="clear" w:color="auto" w:fill="FFFFFF"/>
        </w:rPr>
        <w:t>Michaela Collins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E6411">
        <w:rPr>
          <w:rFonts w:ascii="Times New Roman" w:hAnsi="Times New Roman" w:cs="Times New Roman"/>
          <w:sz w:val="24"/>
          <w:szCs w:val="24"/>
          <w:shd w:val="clear" w:color="auto" w:fill="FFFFFF"/>
        </w:rPr>
        <w:t>Abigayle Gibson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E6411">
        <w:rPr>
          <w:rFonts w:ascii="Times New Roman" w:hAnsi="Times New Roman" w:cs="Times New Roman"/>
          <w:sz w:val="24"/>
          <w:szCs w:val="24"/>
          <w:shd w:val="clear" w:color="auto" w:fill="FFFFFF"/>
        </w:rPr>
        <w:t>Calise Curry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660B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Stuart Goldstein</w:t>
      </w:r>
      <w:r w:rsidRPr="002D2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3,6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E6411">
        <w:rPr>
          <w:rFonts w:ascii="Times New Roman" w:hAnsi="Times New Roman" w:cs="Times New Roman"/>
          <w:sz w:val="24"/>
          <w:szCs w:val="24"/>
          <w:shd w:val="clear" w:color="auto" w:fill="FFFFFF"/>
        </w:rPr>
        <w:t>Jennifer Kaplan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3,4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146F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Sonya Tang Girdwood</w:t>
      </w:r>
      <w:r w:rsidRPr="007B1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7B1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6,7</w:t>
      </w:r>
    </w:p>
    <w:p w14:paraId="46BF4161" w14:textId="77777777" w:rsidR="00A263FC" w:rsidRDefault="00A263FC" w:rsidP="00A263FC">
      <w:pPr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</w:pPr>
      <w:r w:rsidRPr="007B1C45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 xml:space="preserve">¹Division of </w:t>
      </w:r>
      <w:r w:rsidRPr="00813BDA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 xml:space="preserve">Translational and </w:t>
      </w:r>
      <w:r w:rsidRPr="007B1C45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 xml:space="preserve">Clinical Pharmacology, </w:t>
      </w:r>
      <w:bookmarkStart w:id="0" w:name="_Hlk150601279"/>
      <w:r w:rsidRPr="007B1C45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>Cincinnati Children's Hospital Medical Center</w:t>
      </w:r>
      <w:bookmarkEnd w:id="0"/>
      <w:r w:rsidRPr="007B1C45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>, Cincinnati, OH, USA</w:t>
      </w:r>
    </w:p>
    <w:p w14:paraId="323BF2D1" w14:textId="77777777" w:rsidR="00A263FC" w:rsidRDefault="00A263FC" w:rsidP="00A263FC">
      <w:pPr>
        <w:jc w:val="both"/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</w:pPr>
      <w:r w:rsidRPr="0022060B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  <w:vertAlign w:val="superscript"/>
        </w:rPr>
        <w:t>2</w:t>
      </w:r>
      <w:r w:rsidRPr="0022060B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 xml:space="preserve">Division of Nephrology and Hypertension, Cincinnati Children’s Hospital Medical Center, Cincinnati, OH, USA  </w:t>
      </w:r>
    </w:p>
    <w:p w14:paraId="40DF07D4" w14:textId="77777777" w:rsidR="00A263FC" w:rsidRPr="0022060B" w:rsidRDefault="00A263FC" w:rsidP="00A263FC">
      <w:pPr>
        <w:jc w:val="both"/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  <w:vertAlign w:val="superscript"/>
        </w:rPr>
        <w:t>3</w:t>
      </w:r>
      <w:r w:rsidRPr="0022060B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>Department of Pediatrics, University of Cincinnati College of Medicine, Cincinnati, OH, USA</w:t>
      </w:r>
    </w:p>
    <w:p w14:paraId="473C29EE" w14:textId="77777777" w:rsidR="00A263FC" w:rsidRPr="0022060B" w:rsidRDefault="00A263FC" w:rsidP="00A263FC">
      <w:pPr>
        <w:jc w:val="both"/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  <w:vertAlign w:val="superscript"/>
        </w:rPr>
        <w:t>4</w:t>
      </w:r>
      <w:r w:rsidRPr="0022060B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 xml:space="preserve">Division of Critical Care Medicine, Department of Pediatrics, Cincinnati Children’s Hospital Medical Center, Cincinnati, Ohio, USA </w:t>
      </w:r>
    </w:p>
    <w:p w14:paraId="6A216819" w14:textId="77777777" w:rsidR="00A263FC" w:rsidRDefault="00A263FC" w:rsidP="00A263FC">
      <w:pPr>
        <w:jc w:val="both"/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  <w:vertAlign w:val="superscript"/>
        </w:rPr>
        <w:t>5</w:t>
      </w:r>
      <w:r w:rsidRPr="009778C7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>Division of Pathology, Special Chemistry Laboratory, Cincinnati Children’s Hospital Medical Center, Cincinnati, OH, USA</w:t>
      </w:r>
    </w:p>
    <w:p w14:paraId="1EA382B7" w14:textId="77777777" w:rsidR="00A263FC" w:rsidRPr="002E4F56" w:rsidRDefault="00A263FC" w:rsidP="00A263FC">
      <w:pPr>
        <w:jc w:val="both"/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  <w:vertAlign w:val="superscript"/>
        </w:rPr>
        <w:t>6</w:t>
      </w:r>
      <w:r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 xml:space="preserve">Center for Acute Care Nephrology, </w:t>
      </w:r>
      <w:r w:rsidRPr="0022060B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 xml:space="preserve">Cincinnati Children’s Hospital Medical Center, Cincinnati, OH, USA  </w:t>
      </w:r>
    </w:p>
    <w:p w14:paraId="01DA7516" w14:textId="77777777" w:rsidR="00A263FC" w:rsidRPr="0022060B" w:rsidRDefault="00A263FC" w:rsidP="00A263FC">
      <w:pPr>
        <w:jc w:val="both"/>
        <w:rPr>
          <w:rFonts w:ascii="Times New Roman" w:hAnsi="Times New Roman" w:cs="Times New Roman"/>
          <w:sz w:val="20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  <w:vertAlign w:val="superscript"/>
        </w:rPr>
        <w:t>7</w:t>
      </w:r>
      <w:r w:rsidRPr="0022060B">
        <w:rPr>
          <w:rFonts w:ascii="Times New Roman" w:hAnsi="Times New Roman" w:cs="Times New Roman"/>
          <w:color w:val="000000"/>
          <w:sz w:val="20"/>
          <w:szCs w:val="18"/>
          <w:shd w:val="clear" w:color="auto" w:fill="FFFFFF"/>
        </w:rPr>
        <w:t xml:space="preserve">Division of Hospital Medicine, Department of Pediatrics, Cincinnati Children’s Hospital Medical Center, </w:t>
      </w:r>
      <w:r w:rsidRPr="0022060B">
        <w:rPr>
          <w:rFonts w:ascii="Times New Roman" w:hAnsi="Times New Roman" w:cs="Times New Roman"/>
          <w:sz w:val="20"/>
          <w:szCs w:val="18"/>
          <w:shd w:val="clear" w:color="auto" w:fill="FFFFFF"/>
        </w:rPr>
        <w:t xml:space="preserve">Cincinnati, Ohio, USA </w:t>
      </w:r>
    </w:p>
    <w:p w14:paraId="34CA6EDC" w14:textId="77777777" w:rsidR="00A263FC" w:rsidRPr="007769A0" w:rsidRDefault="00A263FC" w:rsidP="00A263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lang w:val="pt-BR"/>
        </w:rPr>
      </w:pPr>
      <w:r w:rsidRPr="007769A0">
        <w:rPr>
          <w:rFonts w:ascii="Times New Roman" w:hAnsi="Times New Roman" w:cs="Times New Roman"/>
          <w:b/>
          <w:bCs/>
          <w:sz w:val="24"/>
          <w:lang w:val="pt-BR"/>
        </w:rPr>
        <w:t xml:space="preserve">*Correspondence: </w:t>
      </w:r>
    </w:p>
    <w:p w14:paraId="550BCBA9" w14:textId="77777777" w:rsidR="00A263FC" w:rsidRPr="007769A0" w:rsidRDefault="00A263FC" w:rsidP="00A263FC">
      <w:pPr>
        <w:spacing w:after="0" w:line="240" w:lineRule="auto"/>
        <w:jc w:val="both"/>
        <w:rPr>
          <w:rFonts w:ascii="Times New Roman" w:hAnsi="Times New Roman" w:cs="Times New Roman"/>
          <w:sz w:val="24"/>
          <w:lang w:val="pt-BR"/>
        </w:rPr>
      </w:pPr>
      <w:r w:rsidRPr="007769A0">
        <w:rPr>
          <w:rFonts w:ascii="Times New Roman" w:hAnsi="Times New Roman" w:cs="Times New Roman"/>
          <w:sz w:val="24"/>
          <w:lang w:val="pt-BR"/>
        </w:rPr>
        <w:t>Ronaldo Morales Junior</w:t>
      </w:r>
    </w:p>
    <w:p w14:paraId="4090E5CA" w14:textId="77777777" w:rsidR="00A263FC" w:rsidRPr="007769A0" w:rsidRDefault="00A263FC" w:rsidP="00A263FC">
      <w:pPr>
        <w:spacing w:after="0" w:line="240" w:lineRule="auto"/>
        <w:jc w:val="both"/>
        <w:rPr>
          <w:rFonts w:ascii="Times New Roman" w:hAnsi="Times New Roman" w:cs="Times New Roman"/>
          <w:sz w:val="24"/>
          <w:lang w:val="pt-BR"/>
        </w:rPr>
      </w:pPr>
      <w:r w:rsidRPr="007769A0">
        <w:rPr>
          <w:rFonts w:ascii="Times New Roman" w:hAnsi="Times New Roman" w:cs="Times New Roman"/>
          <w:sz w:val="24"/>
          <w:lang w:val="pt-BR"/>
        </w:rPr>
        <w:t>morales.ronaldo@gmail.com</w:t>
      </w:r>
    </w:p>
    <w:p w14:paraId="11CC5698" w14:textId="77777777" w:rsidR="00A263FC" w:rsidRPr="007769A0" w:rsidRDefault="00A263FC" w:rsidP="00A263FC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6722C162" w14:textId="77777777" w:rsidR="00A263FC" w:rsidRPr="00A263FC" w:rsidRDefault="00A263FC" w:rsidP="00A263FC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263FC">
        <w:rPr>
          <w:rFonts w:ascii="Times New Roman" w:hAnsi="Times New Roman" w:cs="Times New Roman"/>
          <w:b/>
          <w:bCs/>
          <w:sz w:val="24"/>
          <w:szCs w:val="24"/>
          <w:lang w:val="pt-BR"/>
        </w:rPr>
        <w:br w:type="page"/>
      </w:r>
    </w:p>
    <w:p w14:paraId="6BF4373E" w14:textId="02880CDF" w:rsidR="000E494C" w:rsidRPr="00BD6FFC" w:rsidRDefault="00E422B9" w:rsidP="00E422B9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S1. 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Percentage of target attainment of different </w:t>
      </w:r>
      <w:r w:rsidR="000E494C">
        <w:rPr>
          <w:rFonts w:ascii="Times New Roman" w:hAnsi="Times New Roman" w:cs="Times New Roman"/>
          <w:sz w:val="24"/>
          <w:szCs w:val="24"/>
        </w:rPr>
        <w:t>cefepime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 dosing regimens using </w:t>
      </w:r>
      <w:r w:rsidR="000E494C">
        <w:rPr>
          <w:rFonts w:ascii="Times New Roman" w:hAnsi="Times New Roman" w:cs="Times New Roman"/>
          <w:sz w:val="24"/>
          <w:szCs w:val="24"/>
        </w:rPr>
        <w:t>5</w:t>
      </w:r>
      <w:r w:rsidR="000E494C" w:rsidRPr="00BD6FFC">
        <w:rPr>
          <w:rFonts w:ascii="Times New Roman" w:hAnsi="Times New Roman" w:cs="Times New Roman"/>
          <w:sz w:val="24"/>
          <w:szCs w:val="24"/>
        </w:rPr>
        <w:t>0% of dosing interval that free drug concentrations remain above the target pathogen's minimum inhibitory concentration (</w:t>
      </w:r>
      <w:r w:rsidR="000E494C">
        <w:rPr>
          <w:rFonts w:ascii="Times New Roman" w:hAnsi="Times New Roman" w:cs="Times New Roman"/>
          <w:sz w:val="24"/>
          <w:szCs w:val="24"/>
        </w:rPr>
        <w:t>5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0% </w:t>
      </w:r>
      <w:r w:rsidR="000E494C" w:rsidRPr="00BD6FFC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T &gt; MIC) as the pharmacodynamic target for </w:t>
      </w:r>
      <w:r w:rsidR="003E4532">
        <w:rPr>
          <w:rFonts w:ascii="Times New Roman" w:hAnsi="Times New Roman" w:cs="Times New Roman"/>
          <w:sz w:val="24"/>
          <w:szCs w:val="24"/>
        </w:rPr>
        <w:t>6,0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00 simulated pediatric intensive care unit patients according to </w:t>
      </w:r>
      <w:r w:rsidR="000E494C">
        <w:rPr>
          <w:rFonts w:ascii="Times New Roman" w:hAnsi="Times New Roman" w:cs="Times New Roman"/>
          <w:sz w:val="24"/>
          <w:szCs w:val="24"/>
        </w:rPr>
        <w:t>renal function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. </w:t>
      </w:r>
      <w:r w:rsidR="000E494C" w:rsidRPr="00BD6FF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Green shaded areas represent probability of target attainment ≥</w:t>
      </w:r>
      <w:r w:rsidR="000E494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="000E494C" w:rsidRPr="00BD6FF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90%</w:t>
      </w:r>
      <w:r w:rsidR="000E494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.</w:t>
      </w:r>
    </w:p>
    <w:p w14:paraId="6C77BB8A" w14:textId="329D5245" w:rsidR="00A34780" w:rsidRDefault="00C54A9A" w:rsidP="000E494C">
      <w:pPr>
        <w:jc w:val="both"/>
      </w:pPr>
      <w:r w:rsidRPr="00C54A9A">
        <w:rPr>
          <w:noProof/>
        </w:rPr>
        <w:drawing>
          <wp:inline distT="0" distB="0" distL="0" distR="0" wp14:anchorId="31A3AD9F" wp14:editId="15BDEF98">
            <wp:extent cx="5648325" cy="2247900"/>
            <wp:effectExtent l="0" t="0" r="9525" b="0"/>
            <wp:docPr id="759784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3A612" w14:textId="2F33F136" w:rsidR="00E422B9" w:rsidRPr="001870F3" w:rsidRDefault="00E422B9" w:rsidP="00E422B9">
      <w:pPr>
        <w:spacing w:line="240" w:lineRule="auto"/>
        <w:ind w:right="324"/>
        <w:jc w:val="both"/>
        <w:rPr>
          <w:rFonts w:ascii="Times New Roman" w:hAnsi="Times New Roman" w:cs="Times New Roman"/>
          <w:sz w:val="20"/>
          <w:szCs w:val="20"/>
        </w:rPr>
      </w:pPr>
      <w:r w:rsidRPr="001870F3">
        <w:rPr>
          <w:rFonts w:ascii="Times New Roman" w:hAnsi="Times New Roman" w:cs="Times New Roman"/>
          <w:sz w:val="20"/>
          <w:szCs w:val="20"/>
        </w:rPr>
        <w:t xml:space="preserve">Abbreviations: KI, </w:t>
      </w:r>
      <w:r w:rsidRPr="006B79B7">
        <w:rPr>
          <w:rFonts w:ascii="Times New Roman" w:hAnsi="Times New Roman" w:cs="Times New Roman"/>
          <w:sz w:val="20"/>
          <w:szCs w:val="20"/>
        </w:rPr>
        <w:t>kidney impairment</w:t>
      </w:r>
      <w:r w:rsidRPr="001870F3">
        <w:rPr>
          <w:rFonts w:ascii="Times New Roman" w:hAnsi="Times New Roman" w:cs="Times New Roman"/>
          <w:sz w:val="20"/>
          <w:szCs w:val="20"/>
        </w:rPr>
        <w:t>; ARC, augmented renal clearance; MIC, minimum inhibitory concentration; %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7EF4">
        <w:rPr>
          <w:rFonts w:ascii="Times New Roman" w:hAnsi="Times New Roman" w:cs="Times New Roman"/>
          <w:bCs/>
          <w:i/>
          <w:iCs/>
          <w:sz w:val="24"/>
          <w:szCs w:val="24"/>
        </w:rPr>
        <w:t>f</w:t>
      </w:r>
      <w:r w:rsidRPr="001870F3">
        <w:rPr>
          <w:rFonts w:ascii="Times New Roman" w:hAnsi="Times New Roman" w:cs="Times New Roman"/>
          <w:sz w:val="20"/>
          <w:szCs w:val="20"/>
        </w:rPr>
        <w:t>T&gt;MIC, percentage of time above minimum inhibitory concentration; T</w:t>
      </w:r>
      <w:r w:rsidRPr="001870F3">
        <w:rPr>
          <w:rFonts w:ascii="Times New Roman" w:hAnsi="Times New Roman" w:cs="Times New Roman"/>
          <w:sz w:val="20"/>
          <w:szCs w:val="20"/>
          <w:vertAlign w:val="subscript"/>
        </w:rPr>
        <w:t>inf</w:t>
      </w:r>
      <w:r w:rsidRPr="001870F3">
        <w:rPr>
          <w:rFonts w:ascii="Times New Roman" w:hAnsi="Times New Roman" w:cs="Times New Roman"/>
          <w:sz w:val="20"/>
          <w:szCs w:val="20"/>
        </w:rPr>
        <w:t>, duration of infusion; CI, continuous infusion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3B6D160" w14:textId="77777777" w:rsidR="00E422B9" w:rsidRDefault="00E422B9" w:rsidP="000E494C">
      <w:pPr>
        <w:ind w:left="90" w:right="162"/>
        <w:jc w:val="both"/>
        <w:rPr>
          <w:rFonts w:ascii="Times New Roman" w:hAnsi="Times New Roman" w:cs="Times New Roman"/>
          <w:sz w:val="24"/>
          <w:szCs w:val="24"/>
        </w:rPr>
      </w:pPr>
    </w:p>
    <w:p w14:paraId="50F0909F" w14:textId="1BC9E8DE" w:rsidR="000E494C" w:rsidRDefault="00E422B9" w:rsidP="00E422B9">
      <w:pPr>
        <w:ind w:right="162"/>
        <w:jc w:val="both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S2. 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Percentage of target attainment of different </w:t>
      </w:r>
      <w:r w:rsidR="000E494C">
        <w:rPr>
          <w:rFonts w:ascii="Times New Roman" w:hAnsi="Times New Roman" w:cs="Times New Roman"/>
          <w:sz w:val="24"/>
          <w:szCs w:val="24"/>
        </w:rPr>
        <w:t>cefepime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 dosing regimens using</w:t>
      </w:r>
      <w:r w:rsidR="000E494C">
        <w:rPr>
          <w:rFonts w:ascii="Times New Roman" w:hAnsi="Times New Roman" w:cs="Times New Roman"/>
          <w:sz w:val="24"/>
          <w:szCs w:val="24"/>
        </w:rPr>
        <w:t>10</w:t>
      </w:r>
      <w:r w:rsidR="000E494C" w:rsidRPr="00BD6FFC">
        <w:rPr>
          <w:rFonts w:ascii="Times New Roman" w:hAnsi="Times New Roman" w:cs="Times New Roman"/>
          <w:sz w:val="24"/>
          <w:szCs w:val="24"/>
        </w:rPr>
        <w:t>0% of dosing interval that free drug concentrations remain above the target pathogen's minimum inhibitory concentration (</w:t>
      </w:r>
      <w:r w:rsidR="000E494C">
        <w:rPr>
          <w:rFonts w:ascii="Times New Roman" w:hAnsi="Times New Roman" w:cs="Times New Roman"/>
          <w:sz w:val="24"/>
          <w:szCs w:val="24"/>
        </w:rPr>
        <w:t>10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0% </w:t>
      </w:r>
      <w:r w:rsidR="000E494C" w:rsidRPr="00BD6FFC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T &gt; MIC) as the pharmacodynamic target for </w:t>
      </w:r>
      <w:r w:rsidR="003E4532">
        <w:rPr>
          <w:rFonts w:ascii="Times New Roman" w:hAnsi="Times New Roman" w:cs="Times New Roman"/>
          <w:sz w:val="24"/>
          <w:szCs w:val="24"/>
        </w:rPr>
        <w:t>6,0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00 simulated pediatric intensive care unit patients according to renal function. </w:t>
      </w:r>
      <w:r w:rsidR="000E494C" w:rsidRPr="00BD6FF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Green shaded areas represent probability of target attainment ≥</w:t>
      </w:r>
      <w:r w:rsidR="000E494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="000E494C" w:rsidRPr="00BD6FF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90%</w:t>
      </w:r>
    </w:p>
    <w:p w14:paraId="6D35B3E0" w14:textId="15180202" w:rsidR="000E494C" w:rsidRDefault="00C54A9A">
      <w:r w:rsidRPr="00C54A9A">
        <w:rPr>
          <w:noProof/>
        </w:rPr>
        <w:drawing>
          <wp:inline distT="0" distB="0" distL="0" distR="0" wp14:anchorId="30465BDD" wp14:editId="7F23A258">
            <wp:extent cx="5686425" cy="3390900"/>
            <wp:effectExtent l="0" t="0" r="9525" b="0"/>
            <wp:docPr id="2656354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BD791" w14:textId="42B2A4E4" w:rsidR="00E422B9" w:rsidRDefault="00E422B9" w:rsidP="00E422B9">
      <w:pPr>
        <w:spacing w:line="240" w:lineRule="auto"/>
        <w:ind w:right="324"/>
        <w:jc w:val="both"/>
      </w:pPr>
      <w:r w:rsidRPr="001870F3">
        <w:rPr>
          <w:rFonts w:ascii="Times New Roman" w:hAnsi="Times New Roman" w:cs="Times New Roman"/>
          <w:sz w:val="20"/>
          <w:szCs w:val="20"/>
        </w:rPr>
        <w:t xml:space="preserve">Abbreviations: KI, </w:t>
      </w:r>
      <w:r w:rsidRPr="006B79B7">
        <w:rPr>
          <w:rFonts w:ascii="Times New Roman" w:hAnsi="Times New Roman" w:cs="Times New Roman"/>
          <w:sz w:val="20"/>
          <w:szCs w:val="20"/>
        </w:rPr>
        <w:t>kidney impairment</w:t>
      </w:r>
      <w:r w:rsidRPr="001870F3">
        <w:rPr>
          <w:rFonts w:ascii="Times New Roman" w:hAnsi="Times New Roman" w:cs="Times New Roman"/>
          <w:sz w:val="20"/>
          <w:szCs w:val="20"/>
        </w:rPr>
        <w:t>; ARC, augmented renal clearance; MIC, minimum inhibitory concentration; %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7EF4">
        <w:rPr>
          <w:rFonts w:ascii="Times New Roman" w:hAnsi="Times New Roman" w:cs="Times New Roman"/>
          <w:bCs/>
          <w:i/>
          <w:iCs/>
          <w:sz w:val="24"/>
          <w:szCs w:val="24"/>
        </w:rPr>
        <w:t>f</w:t>
      </w:r>
      <w:r w:rsidRPr="001870F3">
        <w:rPr>
          <w:rFonts w:ascii="Times New Roman" w:hAnsi="Times New Roman" w:cs="Times New Roman"/>
          <w:sz w:val="20"/>
          <w:szCs w:val="20"/>
        </w:rPr>
        <w:t>T&gt;MIC, percentage of time above minimum inhibitory concentration; T</w:t>
      </w:r>
      <w:r w:rsidRPr="001870F3">
        <w:rPr>
          <w:rFonts w:ascii="Times New Roman" w:hAnsi="Times New Roman" w:cs="Times New Roman"/>
          <w:sz w:val="20"/>
          <w:szCs w:val="20"/>
          <w:vertAlign w:val="subscript"/>
        </w:rPr>
        <w:t>inf</w:t>
      </w:r>
      <w:r w:rsidRPr="001870F3">
        <w:rPr>
          <w:rFonts w:ascii="Times New Roman" w:hAnsi="Times New Roman" w:cs="Times New Roman"/>
          <w:sz w:val="20"/>
          <w:szCs w:val="20"/>
        </w:rPr>
        <w:t>, duration of infusion; CI, continuous infusion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EE46EF1" w14:textId="77777777" w:rsidR="00C54A9A" w:rsidRDefault="00C54A9A" w:rsidP="00E422B9">
      <w:pPr>
        <w:ind w:right="162"/>
        <w:jc w:val="both"/>
        <w:rPr>
          <w:rFonts w:ascii="Times New Roman" w:hAnsi="Times New Roman" w:cs="Times New Roman"/>
          <w:sz w:val="24"/>
          <w:szCs w:val="24"/>
        </w:rPr>
      </w:pPr>
    </w:p>
    <w:p w14:paraId="60C05304" w14:textId="0FE71384" w:rsidR="000E494C" w:rsidRDefault="00E422B9" w:rsidP="00E422B9">
      <w:pPr>
        <w:ind w:right="162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S3. </w:t>
      </w:r>
      <w:proofErr w:type="gramStart"/>
      <w:r w:rsidR="000E494C" w:rsidRPr="00BD6FFC">
        <w:rPr>
          <w:rFonts w:ascii="Times New Roman" w:hAnsi="Times New Roman" w:cs="Times New Roman"/>
          <w:sz w:val="24"/>
          <w:szCs w:val="24"/>
        </w:rPr>
        <w:t>Percentage</w:t>
      </w:r>
      <w:proofErr w:type="gramEnd"/>
      <w:r w:rsidR="000E494C" w:rsidRPr="00BD6FFC">
        <w:rPr>
          <w:rFonts w:ascii="Times New Roman" w:hAnsi="Times New Roman" w:cs="Times New Roman"/>
          <w:sz w:val="24"/>
          <w:szCs w:val="24"/>
        </w:rPr>
        <w:t xml:space="preserve"> of target attainment of different </w:t>
      </w:r>
      <w:r w:rsidR="000E494C">
        <w:rPr>
          <w:rFonts w:ascii="Times New Roman" w:hAnsi="Times New Roman" w:cs="Times New Roman"/>
          <w:sz w:val="24"/>
          <w:szCs w:val="24"/>
        </w:rPr>
        <w:t>cefepime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 dosing regimens using</w:t>
      </w:r>
      <w:r w:rsidR="000E494C">
        <w:rPr>
          <w:rFonts w:ascii="Times New Roman" w:hAnsi="Times New Roman" w:cs="Times New Roman"/>
          <w:sz w:val="24"/>
          <w:szCs w:val="24"/>
        </w:rPr>
        <w:t>10</w:t>
      </w:r>
      <w:r w:rsidR="000E494C" w:rsidRPr="00BD6FFC">
        <w:rPr>
          <w:rFonts w:ascii="Times New Roman" w:hAnsi="Times New Roman" w:cs="Times New Roman"/>
          <w:sz w:val="24"/>
          <w:szCs w:val="24"/>
        </w:rPr>
        <w:t>0% of dosing interval that free drug concentrations remain above</w:t>
      </w:r>
      <w:r w:rsidR="000E494C">
        <w:rPr>
          <w:rFonts w:ascii="Times New Roman" w:hAnsi="Times New Roman" w:cs="Times New Roman"/>
          <w:sz w:val="24"/>
          <w:szCs w:val="24"/>
        </w:rPr>
        <w:t xml:space="preserve"> four times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 the target pathogen's minimum inhibitory concentration (</w:t>
      </w:r>
      <w:r w:rsidR="000E494C">
        <w:rPr>
          <w:rFonts w:ascii="Times New Roman" w:hAnsi="Times New Roman" w:cs="Times New Roman"/>
          <w:sz w:val="24"/>
          <w:szCs w:val="24"/>
        </w:rPr>
        <w:t>10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0% </w:t>
      </w:r>
      <w:r w:rsidR="000E494C" w:rsidRPr="00BD6FFC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T &gt; </w:t>
      </w:r>
      <w:r w:rsidR="000E494C">
        <w:rPr>
          <w:rFonts w:ascii="Times New Roman" w:hAnsi="Times New Roman" w:cs="Times New Roman"/>
          <w:sz w:val="24"/>
          <w:szCs w:val="24"/>
        </w:rPr>
        <w:t>4x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MIC) as the pharmacodynamic target for </w:t>
      </w:r>
      <w:r w:rsidR="003E4532">
        <w:rPr>
          <w:rFonts w:ascii="Times New Roman" w:hAnsi="Times New Roman" w:cs="Times New Roman"/>
          <w:sz w:val="24"/>
          <w:szCs w:val="24"/>
        </w:rPr>
        <w:t>6,0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00 simulated pediatric intensive care unit patients according to </w:t>
      </w:r>
      <w:r w:rsidR="000E494C">
        <w:rPr>
          <w:rFonts w:ascii="Times New Roman" w:hAnsi="Times New Roman" w:cs="Times New Roman"/>
          <w:sz w:val="24"/>
          <w:szCs w:val="24"/>
        </w:rPr>
        <w:t>r</w:t>
      </w:r>
      <w:r w:rsidR="000E494C" w:rsidRPr="00BD6FFC">
        <w:rPr>
          <w:rFonts w:ascii="Times New Roman" w:hAnsi="Times New Roman" w:cs="Times New Roman"/>
          <w:sz w:val="24"/>
          <w:szCs w:val="24"/>
        </w:rPr>
        <w:t>enal function</w:t>
      </w:r>
      <w:r w:rsidR="000E494C">
        <w:rPr>
          <w:rFonts w:ascii="Times New Roman" w:hAnsi="Times New Roman" w:cs="Times New Roman"/>
          <w:sz w:val="24"/>
          <w:szCs w:val="24"/>
        </w:rPr>
        <w:t>.</w:t>
      </w:r>
      <w:r w:rsidR="000E494C" w:rsidRPr="00BD6FFC">
        <w:rPr>
          <w:rFonts w:ascii="Times New Roman" w:hAnsi="Times New Roman" w:cs="Times New Roman"/>
          <w:sz w:val="24"/>
          <w:szCs w:val="24"/>
        </w:rPr>
        <w:t xml:space="preserve"> </w:t>
      </w:r>
      <w:r w:rsidR="000E494C" w:rsidRPr="00BD6FF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Green shaded areas represent probability of target attainment ≥</w:t>
      </w:r>
      <w:r w:rsidR="000E494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="000E494C" w:rsidRPr="00BD6FF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90%</w:t>
      </w:r>
    </w:p>
    <w:p w14:paraId="558D1D0E" w14:textId="7D1785D7" w:rsidR="00625D0F" w:rsidRPr="00BD6FFC" w:rsidRDefault="00C54A9A" w:rsidP="00E422B9">
      <w:pPr>
        <w:ind w:right="162"/>
        <w:jc w:val="both"/>
        <w:rPr>
          <w:rFonts w:ascii="Times New Roman" w:hAnsi="Times New Roman" w:cs="Times New Roman"/>
          <w:sz w:val="24"/>
          <w:szCs w:val="24"/>
        </w:rPr>
      </w:pPr>
      <w:r w:rsidRPr="00C54A9A">
        <w:rPr>
          <w:noProof/>
        </w:rPr>
        <w:drawing>
          <wp:inline distT="0" distB="0" distL="0" distR="0" wp14:anchorId="181F2005" wp14:editId="03700FB7">
            <wp:extent cx="5800725" cy="3390900"/>
            <wp:effectExtent l="0" t="0" r="9525" b="0"/>
            <wp:docPr id="6622611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CE453" w14:textId="2F92B201" w:rsidR="00E422B9" w:rsidRDefault="00E422B9" w:rsidP="00E422B9">
      <w:pPr>
        <w:spacing w:line="240" w:lineRule="auto"/>
        <w:ind w:right="324"/>
        <w:jc w:val="both"/>
      </w:pPr>
      <w:r w:rsidRPr="00E422B9">
        <w:rPr>
          <w:rFonts w:ascii="Times New Roman" w:hAnsi="Times New Roman" w:cs="Times New Roman"/>
          <w:sz w:val="20"/>
          <w:szCs w:val="20"/>
        </w:rPr>
        <w:t xml:space="preserve"> </w:t>
      </w:r>
      <w:r w:rsidRPr="001870F3">
        <w:rPr>
          <w:rFonts w:ascii="Times New Roman" w:hAnsi="Times New Roman" w:cs="Times New Roman"/>
          <w:sz w:val="20"/>
          <w:szCs w:val="20"/>
        </w:rPr>
        <w:t xml:space="preserve">Abbreviations: KI, </w:t>
      </w:r>
      <w:r w:rsidRPr="006B79B7">
        <w:rPr>
          <w:rFonts w:ascii="Times New Roman" w:hAnsi="Times New Roman" w:cs="Times New Roman"/>
          <w:sz w:val="20"/>
          <w:szCs w:val="20"/>
        </w:rPr>
        <w:t>kidney impairment</w:t>
      </w:r>
      <w:r w:rsidRPr="001870F3">
        <w:rPr>
          <w:rFonts w:ascii="Times New Roman" w:hAnsi="Times New Roman" w:cs="Times New Roman"/>
          <w:sz w:val="20"/>
          <w:szCs w:val="20"/>
        </w:rPr>
        <w:t>; ARC, augmented renal clearance; MIC, minimum inhibitory concentration; %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7EF4">
        <w:rPr>
          <w:rFonts w:ascii="Times New Roman" w:hAnsi="Times New Roman" w:cs="Times New Roman"/>
          <w:bCs/>
          <w:i/>
          <w:iCs/>
          <w:sz w:val="24"/>
          <w:szCs w:val="24"/>
        </w:rPr>
        <w:t>f</w:t>
      </w:r>
      <w:r w:rsidRPr="001870F3">
        <w:rPr>
          <w:rFonts w:ascii="Times New Roman" w:hAnsi="Times New Roman" w:cs="Times New Roman"/>
          <w:sz w:val="20"/>
          <w:szCs w:val="20"/>
        </w:rPr>
        <w:t>T&gt;MIC, percentage of time above minimum inhibitory concentration; T</w:t>
      </w:r>
      <w:r w:rsidRPr="001870F3">
        <w:rPr>
          <w:rFonts w:ascii="Times New Roman" w:hAnsi="Times New Roman" w:cs="Times New Roman"/>
          <w:sz w:val="20"/>
          <w:szCs w:val="20"/>
          <w:vertAlign w:val="subscript"/>
        </w:rPr>
        <w:t>inf</w:t>
      </w:r>
      <w:r w:rsidRPr="001870F3">
        <w:rPr>
          <w:rFonts w:ascii="Times New Roman" w:hAnsi="Times New Roman" w:cs="Times New Roman"/>
          <w:sz w:val="20"/>
          <w:szCs w:val="20"/>
        </w:rPr>
        <w:t>, duration of infusion; CI, continuous infusion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A1C0A34" w14:textId="282FEE90" w:rsidR="000E494C" w:rsidRDefault="000E494C"/>
    <w:sectPr w:rsidR="000E494C" w:rsidSect="00C54A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C7"/>
    <w:rsid w:val="000E494C"/>
    <w:rsid w:val="003C500E"/>
    <w:rsid w:val="003E4532"/>
    <w:rsid w:val="0045648D"/>
    <w:rsid w:val="00557D09"/>
    <w:rsid w:val="006209C7"/>
    <w:rsid w:val="00625D0F"/>
    <w:rsid w:val="00740958"/>
    <w:rsid w:val="008C038F"/>
    <w:rsid w:val="008C55C4"/>
    <w:rsid w:val="008C713C"/>
    <w:rsid w:val="00956D31"/>
    <w:rsid w:val="00A263FC"/>
    <w:rsid w:val="00A34780"/>
    <w:rsid w:val="00C54A9A"/>
    <w:rsid w:val="00DC108B"/>
    <w:rsid w:val="00E422B9"/>
    <w:rsid w:val="00E4764B"/>
    <w:rsid w:val="00F8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22252"/>
  <w15:chartTrackingRefBased/>
  <w15:docId w15:val="{06A539D0-D4D0-4B00-9114-53471031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4C"/>
  </w:style>
  <w:style w:type="paragraph" w:styleId="Heading1">
    <w:name w:val="heading 1"/>
    <w:basedOn w:val="Normal"/>
    <w:next w:val="Normal"/>
    <w:link w:val="Heading1Char"/>
    <w:uiPriority w:val="9"/>
    <w:qFormat/>
    <w:rsid w:val="00620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9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9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9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9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9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9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9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9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9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9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9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9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A3F15-5C35-4366-829D-C2332AFC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Morales Junior, Ronaldo</dc:creator>
  <cp:keywords/>
  <dc:description/>
  <cp:lastModifiedBy>Morales Junior, Ronaldo</cp:lastModifiedBy>
  <cp:revision>8</cp:revision>
  <dcterms:created xsi:type="dcterms:W3CDTF">2024-08-30T18:04:00Z</dcterms:created>
  <dcterms:modified xsi:type="dcterms:W3CDTF">2024-10-30T14:10:00Z</dcterms:modified>
</cp:coreProperties>
</file>