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EF5DD"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r w:rsidRPr="00D2367C">
        <w:rPr>
          <w:rFonts w:ascii="Arial" w:hAnsi="Arial" w:cs="Arial"/>
          <w:b/>
          <w:sz w:val="22"/>
          <w:szCs w:val="22"/>
        </w:rPr>
        <w:t>Pharmacokinetics and Lung Deposition After Administration of Inhaled Mosliciguat (BAY 1237592): Results from Randomized Phase I Studies in Healthy Men</w:t>
      </w:r>
    </w:p>
    <w:p w14:paraId="257AFB60" w14:textId="77777777" w:rsidR="007E4871" w:rsidRDefault="007E4871" w:rsidP="007E4871">
      <w:pPr>
        <w:pStyle w:val="EndNoteBibliography"/>
        <w:spacing w:before="100" w:beforeAutospacing="1" w:after="120" w:line="480" w:lineRule="auto"/>
        <w:ind w:left="720" w:hanging="720"/>
        <w:rPr>
          <w:rFonts w:ascii="Arial" w:hAnsi="Arial" w:cs="Arial"/>
          <w:b/>
          <w:sz w:val="22"/>
          <w:szCs w:val="22"/>
        </w:rPr>
      </w:pPr>
    </w:p>
    <w:p w14:paraId="6F949496" w14:textId="77777777" w:rsidR="00575425" w:rsidRPr="00D2367C" w:rsidRDefault="00575425" w:rsidP="007E4871">
      <w:pPr>
        <w:pStyle w:val="EndNoteBibliography"/>
        <w:spacing w:before="100" w:beforeAutospacing="1" w:after="120" w:line="480" w:lineRule="auto"/>
        <w:ind w:left="720" w:hanging="720"/>
        <w:rPr>
          <w:rFonts w:ascii="Arial" w:hAnsi="Arial" w:cs="Arial"/>
          <w:b/>
          <w:sz w:val="22"/>
          <w:szCs w:val="22"/>
        </w:rPr>
      </w:pPr>
    </w:p>
    <w:p w14:paraId="7A0A4E6A"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Soundos Saleh</w:t>
      </w:r>
      <w:r w:rsidRPr="00D2367C">
        <w:rPr>
          <w:rFonts w:ascii="Arial" w:hAnsi="Arial" w:cs="Arial"/>
          <w:bCs/>
          <w:sz w:val="22"/>
          <w:szCs w:val="22"/>
          <w:vertAlign w:val="superscript"/>
        </w:rPr>
        <w:t>1</w:t>
      </w:r>
      <w:r w:rsidRPr="00D2367C">
        <w:rPr>
          <w:rFonts w:ascii="Arial" w:hAnsi="Arial" w:cs="Arial"/>
          <w:bCs/>
          <w:sz w:val="22"/>
          <w:szCs w:val="22"/>
        </w:rPr>
        <w:t xml:space="preserve"> · Tobias Mundry</w:t>
      </w:r>
      <w:r w:rsidRPr="00D2367C">
        <w:rPr>
          <w:rFonts w:ascii="Arial" w:hAnsi="Arial" w:cs="Arial"/>
          <w:bCs/>
          <w:sz w:val="22"/>
          <w:szCs w:val="22"/>
          <w:vertAlign w:val="superscript"/>
        </w:rPr>
        <w:t>1</w:t>
      </w:r>
      <w:r w:rsidRPr="00D2367C">
        <w:rPr>
          <w:rFonts w:ascii="Arial" w:hAnsi="Arial" w:cs="Arial"/>
          <w:bCs/>
          <w:sz w:val="22"/>
          <w:szCs w:val="22"/>
        </w:rPr>
        <w:t xml:space="preserve"> · Johannes Nagelschmitz</w:t>
      </w:r>
      <w:r w:rsidRPr="00D2367C">
        <w:rPr>
          <w:rFonts w:ascii="Arial" w:hAnsi="Arial" w:cs="Arial"/>
          <w:bCs/>
          <w:sz w:val="22"/>
          <w:szCs w:val="22"/>
          <w:vertAlign w:val="superscript"/>
        </w:rPr>
        <w:t>1</w:t>
      </w:r>
      <w:r w:rsidRPr="00D2367C">
        <w:rPr>
          <w:rFonts w:ascii="Arial" w:hAnsi="Arial" w:cs="Arial"/>
          <w:bCs/>
          <w:sz w:val="22"/>
          <w:szCs w:val="22"/>
        </w:rPr>
        <w:t xml:space="preserve"> ·</w:t>
      </w:r>
      <w:r w:rsidRPr="00D2367C">
        <w:rPr>
          <w:rFonts w:ascii="Arial" w:hAnsi="Arial" w:cs="Arial"/>
          <w:sz w:val="22"/>
          <w:szCs w:val="22"/>
        </w:rPr>
        <w:t xml:space="preserve"> </w:t>
      </w:r>
      <w:r w:rsidRPr="00D2367C">
        <w:rPr>
          <w:rFonts w:ascii="Arial" w:hAnsi="Arial" w:cs="Arial"/>
          <w:bCs/>
          <w:sz w:val="22"/>
          <w:szCs w:val="22"/>
        </w:rPr>
        <w:t>Ulf Buetehorn</w:t>
      </w:r>
      <w:r w:rsidRPr="00D2367C">
        <w:rPr>
          <w:rFonts w:ascii="Arial" w:hAnsi="Arial" w:cs="Arial"/>
          <w:bCs/>
          <w:sz w:val="22"/>
          <w:szCs w:val="22"/>
          <w:vertAlign w:val="superscript"/>
        </w:rPr>
        <w:t>1</w:t>
      </w:r>
      <w:r w:rsidRPr="00D2367C">
        <w:rPr>
          <w:rFonts w:ascii="Arial" w:hAnsi="Arial" w:cs="Arial"/>
          <w:bCs/>
          <w:sz w:val="22"/>
          <w:szCs w:val="22"/>
        </w:rPr>
        <w:t xml:space="preserve"> · Stephan Holzschuh</w:t>
      </w:r>
      <w:r w:rsidRPr="00D2367C">
        <w:rPr>
          <w:rFonts w:ascii="Arial" w:hAnsi="Arial" w:cs="Arial"/>
          <w:bCs/>
          <w:sz w:val="22"/>
          <w:szCs w:val="22"/>
          <w:vertAlign w:val="superscript"/>
        </w:rPr>
        <w:t>1</w:t>
      </w:r>
      <w:r w:rsidRPr="00D2367C">
        <w:rPr>
          <w:rFonts w:ascii="Arial" w:hAnsi="Arial" w:cs="Arial"/>
          <w:bCs/>
          <w:sz w:val="22"/>
          <w:szCs w:val="22"/>
        </w:rPr>
        <w:t xml:space="preserve"> · Sylvia Nikkho</w:t>
      </w:r>
      <w:r w:rsidRPr="00D2367C">
        <w:rPr>
          <w:rFonts w:ascii="Arial" w:hAnsi="Arial" w:cs="Arial"/>
          <w:bCs/>
          <w:sz w:val="22"/>
          <w:szCs w:val="22"/>
          <w:vertAlign w:val="superscript"/>
        </w:rPr>
        <w:t>1</w:t>
      </w:r>
      <w:r w:rsidRPr="00D2367C">
        <w:rPr>
          <w:rFonts w:ascii="Arial" w:hAnsi="Arial" w:cs="Arial"/>
          <w:bCs/>
          <w:sz w:val="22"/>
          <w:szCs w:val="22"/>
        </w:rPr>
        <w:t xml:space="preserve"> </w:t>
      </w:r>
    </w:p>
    <w:p w14:paraId="786F2FB7" w14:textId="77777777" w:rsidR="007E4871" w:rsidRPr="00D2367C" w:rsidRDefault="007E4871" w:rsidP="007E4871">
      <w:pPr>
        <w:pStyle w:val="EndNoteBibliography"/>
        <w:numPr>
          <w:ilvl w:val="0"/>
          <w:numId w:val="2"/>
        </w:numPr>
        <w:spacing w:before="100" w:beforeAutospacing="1" w:after="120" w:line="480" w:lineRule="auto"/>
        <w:rPr>
          <w:rFonts w:ascii="Arial" w:hAnsi="Arial" w:cs="Arial"/>
          <w:sz w:val="22"/>
          <w:szCs w:val="22"/>
        </w:rPr>
      </w:pPr>
      <w:r w:rsidRPr="00D2367C">
        <w:rPr>
          <w:rFonts w:ascii="Arial" w:hAnsi="Arial" w:cs="Arial"/>
          <w:sz w:val="22"/>
          <w:szCs w:val="22"/>
        </w:rPr>
        <w:t>Bayer AG, Pharmaceuticals R&amp;D, Pharma Research Center, Wuppertal, Germany</w:t>
      </w:r>
    </w:p>
    <w:p w14:paraId="5C867F62"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p>
    <w:p w14:paraId="2ED1AED7"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r w:rsidRPr="00D2367C">
        <w:rPr>
          <w:rFonts w:ascii="Arial" w:hAnsi="Arial" w:cs="Arial"/>
          <w:b/>
          <w:bCs/>
          <w:sz w:val="22"/>
          <w:szCs w:val="22"/>
        </w:rPr>
        <w:t xml:space="preserve">Corresponding author: </w:t>
      </w:r>
      <w:r w:rsidRPr="00D2367C">
        <w:rPr>
          <w:rFonts w:ascii="Arial" w:hAnsi="Arial" w:cs="Arial"/>
          <w:sz w:val="22"/>
          <w:szCs w:val="22"/>
        </w:rPr>
        <w:t>Soundos Saleh, Bayer AG, Pharmaceuticals R&amp;D, Pharma Research Center, Wuppertal, Germany</w:t>
      </w:r>
      <w:r w:rsidRPr="00D2367C">
        <w:rPr>
          <w:rFonts w:ascii="Arial" w:hAnsi="Arial" w:cs="Arial"/>
          <w:sz w:val="22"/>
          <w:szCs w:val="22"/>
        </w:rPr>
        <w:br/>
      </w:r>
      <w:hyperlink r:id="rId7" w:history="1">
        <w:r w:rsidRPr="00D2367C">
          <w:rPr>
            <w:rStyle w:val="Hyperlink"/>
            <w:rFonts w:ascii="Arial" w:hAnsi="Arial" w:cs="Arial"/>
            <w:sz w:val="22"/>
            <w:szCs w:val="22"/>
          </w:rPr>
          <w:t>soundos.saleh@bayer.com</w:t>
        </w:r>
      </w:hyperlink>
      <w:r w:rsidRPr="00D2367C">
        <w:rPr>
          <w:rFonts w:ascii="Arial" w:hAnsi="Arial" w:cs="Arial"/>
          <w:sz w:val="22"/>
          <w:szCs w:val="22"/>
        </w:rPr>
        <w:t xml:space="preserve"> </w:t>
      </w:r>
    </w:p>
    <w:p w14:paraId="3D2D3896"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r w:rsidRPr="00D2367C">
        <w:rPr>
          <w:rFonts w:ascii="Arial" w:hAnsi="Arial" w:cs="Arial"/>
          <w:b/>
          <w:bCs/>
          <w:sz w:val="22"/>
          <w:szCs w:val="22"/>
        </w:rPr>
        <w:t>Journal</w:t>
      </w:r>
      <w:r w:rsidRPr="00D2367C">
        <w:rPr>
          <w:rFonts w:ascii="Arial" w:hAnsi="Arial" w:cs="Arial"/>
          <w:sz w:val="22"/>
          <w:szCs w:val="22"/>
        </w:rPr>
        <w:t>: Clinical Pharmacokinetics</w:t>
      </w:r>
    </w:p>
    <w:p w14:paraId="0AE09B1A"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p>
    <w:p w14:paraId="65AAE84B"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p>
    <w:p w14:paraId="689E79C2"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p>
    <w:p w14:paraId="22B1F2A0"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p>
    <w:p w14:paraId="1FB5B43A"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p>
    <w:p w14:paraId="18CFCF38"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p>
    <w:p w14:paraId="774D4905" w14:textId="77777777" w:rsidR="007E4871" w:rsidRPr="00D2367C" w:rsidRDefault="007E4871" w:rsidP="007E4871">
      <w:pPr>
        <w:spacing w:after="160" w:line="259" w:lineRule="auto"/>
        <w:rPr>
          <w:rFonts w:ascii="Arial" w:eastAsia="Times New Roman" w:hAnsi="Arial" w:cs="Arial"/>
          <w:b/>
          <w:noProof/>
          <w:lang w:val="en-US"/>
        </w:rPr>
      </w:pPr>
      <w:r w:rsidRPr="00D2367C">
        <w:rPr>
          <w:rFonts w:ascii="Arial" w:hAnsi="Arial" w:cs="Arial"/>
          <w:b/>
          <w:lang w:val="en-US"/>
        </w:rPr>
        <w:br w:type="page"/>
      </w:r>
    </w:p>
    <w:p w14:paraId="6AF72F10"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r w:rsidRPr="00D2367C">
        <w:rPr>
          <w:rFonts w:ascii="Arial" w:hAnsi="Arial" w:cs="Arial"/>
          <w:b/>
          <w:sz w:val="22"/>
          <w:szCs w:val="22"/>
        </w:rPr>
        <w:t>Supplementary material</w:t>
      </w:r>
    </w:p>
    <w:p w14:paraId="27D56888"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r w:rsidRPr="00D2367C">
        <w:rPr>
          <w:rFonts w:ascii="Arial" w:hAnsi="Arial" w:cs="Arial"/>
          <w:b/>
          <w:sz w:val="22"/>
          <w:szCs w:val="22"/>
        </w:rPr>
        <w:t>1</w:t>
      </w:r>
      <w:r w:rsidRPr="00D2367C">
        <w:rPr>
          <w:rFonts w:ascii="Arial" w:hAnsi="Arial" w:cs="Arial"/>
          <w:b/>
          <w:sz w:val="22"/>
          <w:szCs w:val="22"/>
        </w:rPr>
        <w:tab/>
        <w:t>Study 1: Mosliciguat Dosing in Part 1</w:t>
      </w:r>
    </w:p>
    <w:p w14:paraId="4117FCA7"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 xml:space="preserve">Subjects received a single dose of mosliciguat as an oral solution (500 or 1000 </w:t>
      </w:r>
      <w:r w:rsidRPr="00D2367C">
        <w:rPr>
          <w:rFonts w:ascii="Arial" w:hAnsi="Arial" w:cs="Arial"/>
          <w:sz w:val="22"/>
          <w:szCs w:val="22"/>
        </w:rPr>
        <w:t>μ</w:t>
      </w:r>
      <w:r w:rsidRPr="00D2367C">
        <w:rPr>
          <w:rFonts w:ascii="Arial" w:hAnsi="Arial" w:cs="Arial"/>
          <w:bCs/>
          <w:sz w:val="22"/>
          <w:szCs w:val="22"/>
        </w:rPr>
        <w:t xml:space="preserve">g) or intravenous (IV) formulation (25, 50, or 100 </w:t>
      </w:r>
      <w:r w:rsidRPr="00D2367C">
        <w:rPr>
          <w:rFonts w:ascii="Arial" w:hAnsi="Arial" w:cs="Arial"/>
          <w:sz w:val="22"/>
          <w:szCs w:val="22"/>
        </w:rPr>
        <w:t>μ</w:t>
      </w:r>
      <w:r w:rsidRPr="00D2367C">
        <w:rPr>
          <w:rFonts w:ascii="Arial" w:hAnsi="Arial" w:cs="Arial"/>
          <w:bCs/>
          <w:sz w:val="22"/>
          <w:szCs w:val="22"/>
        </w:rPr>
        <w:t>g as a 2-hour infusion). The higher doses were given to new subjects only if the previous dose was shown to be safe and tolerable on planned safety assessments after the safety follow-up visit, conducted 7–10 days after administration of study drug. Two subjects were planned to receive each regimen.</w:t>
      </w:r>
    </w:p>
    <w:p w14:paraId="504464F0"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r w:rsidRPr="00D2367C">
        <w:rPr>
          <w:rFonts w:ascii="Arial" w:hAnsi="Arial" w:cs="Arial"/>
          <w:b/>
          <w:sz w:val="22"/>
          <w:szCs w:val="22"/>
        </w:rPr>
        <w:t>2</w:t>
      </w:r>
      <w:r w:rsidRPr="00D2367C">
        <w:rPr>
          <w:rFonts w:ascii="Arial" w:hAnsi="Arial" w:cs="Arial"/>
          <w:b/>
          <w:sz w:val="22"/>
          <w:szCs w:val="22"/>
        </w:rPr>
        <w:tab/>
        <w:t>Additional Information on Inclusion Criteria (All Studies Unless Specified)</w:t>
      </w:r>
    </w:p>
    <w:p w14:paraId="6AE135F5"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r w:rsidRPr="00D2367C">
        <w:rPr>
          <w:rFonts w:ascii="Arial" w:hAnsi="Arial" w:cs="Arial"/>
          <w:sz w:val="22"/>
          <w:szCs w:val="22"/>
        </w:rPr>
        <w:t>Study subjects of reproductive potential were required to agree to use two reliable and acceptable methods of contraception simultaneously when sexually active during the period between signing of the informed consent form and 12 weeks after the last administration of the study intervention. The following contraceptive methods were regarded as adequate:</w:t>
      </w:r>
    </w:p>
    <w:p w14:paraId="5CDFF1FC" w14:textId="77777777" w:rsidR="007E4871" w:rsidRPr="00D2367C" w:rsidRDefault="007E4871" w:rsidP="007E4871">
      <w:pPr>
        <w:pStyle w:val="EndNoteBibliography"/>
        <w:numPr>
          <w:ilvl w:val="0"/>
          <w:numId w:val="3"/>
        </w:numPr>
        <w:spacing w:before="100" w:beforeAutospacing="1" w:after="120" w:line="480" w:lineRule="auto"/>
        <w:rPr>
          <w:rFonts w:ascii="Arial" w:hAnsi="Arial" w:cs="Arial"/>
          <w:sz w:val="22"/>
          <w:szCs w:val="22"/>
        </w:rPr>
      </w:pPr>
      <w:r w:rsidRPr="00D2367C">
        <w:rPr>
          <w:rFonts w:ascii="Arial" w:hAnsi="Arial" w:cs="Arial"/>
          <w:sz w:val="22"/>
          <w:szCs w:val="22"/>
        </w:rPr>
        <w:t>condoms (male or female) with or without a spermicidal agent</w:t>
      </w:r>
    </w:p>
    <w:p w14:paraId="165345AA" w14:textId="77777777" w:rsidR="007E4871" w:rsidRPr="00D2367C" w:rsidRDefault="007E4871" w:rsidP="007E4871">
      <w:pPr>
        <w:pStyle w:val="EndNoteBibliography"/>
        <w:numPr>
          <w:ilvl w:val="0"/>
          <w:numId w:val="3"/>
        </w:numPr>
        <w:spacing w:before="100" w:beforeAutospacing="1" w:after="120" w:line="480" w:lineRule="auto"/>
        <w:rPr>
          <w:rFonts w:ascii="Arial" w:hAnsi="Arial" w:cs="Arial"/>
          <w:sz w:val="22"/>
          <w:szCs w:val="22"/>
        </w:rPr>
      </w:pPr>
      <w:r w:rsidRPr="00D2367C">
        <w:rPr>
          <w:rFonts w:ascii="Arial" w:hAnsi="Arial" w:cs="Arial"/>
          <w:sz w:val="22"/>
          <w:szCs w:val="22"/>
        </w:rPr>
        <w:t>diaphragm or cervical cap with spermicide</w:t>
      </w:r>
    </w:p>
    <w:p w14:paraId="13A43A91" w14:textId="77777777" w:rsidR="007E4871" w:rsidRPr="00D2367C" w:rsidRDefault="007E4871" w:rsidP="007E4871">
      <w:pPr>
        <w:pStyle w:val="EndNoteBibliography"/>
        <w:numPr>
          <w:ilvl w:val="0"/>
          <w:numId w:val="3"/>
        </w:numPr>
        <w:spacing w:before="100" w:beforeAutospacing="1" w:after="120" w:line="480" w:lineRule="auto"/>
        <w:rPr>
          <w:rFonts w:ascii="Arial" w:hAnsi="Arial" w:cs="Arial"/>
          <w:sz w:val="22"/>
          <w:szCs w:val="22"/>
        </w:rPr>
      </w:pPr>
      <w:r w:rsidRPr="00D2367C">
        <w:rPr>
          <w:rFonts w:ascii="Arial" w:hAnsi="Arial" w:cs="Arial"/>
          <w:sz w:val="22"/>
          <w:szCs w:val="22"/>
        </w:rPr>
        <w:t>intra-uterine device</w:t>
      </w:r>
    </w:p>
    <w:p w14:paraId="1E677BCF" w14:textId="77777777" w:rsidR="007E4871" w:rsidRPr="00D2367C" w:rsidRDefault="007E4871" w:rsidP="007E4871">
      <w:pPr>
        <w:pStyle w:val="EndNoteBibliography"/>
        <w:numPr>
          <w:ilvl w:val="0"/>
          <w:numId w:val="3"/>
        </w:numPr>
        <w:spacing w:before="100" w:beforeAutospacing="1" w:after="120" w:line="480" w:lineRule="auto"/>
        <w:rPr>
          <w:rFonts w:ascii="Arial" w:hAnsi="Arial" w:cs="Arial"/>
          <w:sz w:val="22"/>
          <w:szCs w:val="22"/>
        </w:rPr>
      </w:pPr>
      <w:r w:rsidRPr="00D2367C">
        <w:rPr>
          <w:rFonts w:ascii="Arial" w:hAnsi="Arial" w:cs="Arial"/>
          <w:sz w:val="22"/>
          <w:szCs w:val="22"/>
        </w:rPr>
        <w:t>hormone-based contraception</w:t>
      </w:r>
    </w:p>
    <w:p w14:paraId="03057158"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r w:rsidRPr="00D2367C">
        <w:rPr>
          <w:rFonts w:ascii="Arial" w:hAnsi="Arial" w:cs="Arial"/>
          <w:sz w:val="22"/>
          <w:szCs w:val="22"/>
        </w:rPr>
        <w:t>(In Study 3: female partner sterilized by tubal ligation, bilateral tubal occlusion, or hysterectomy.)</w:t>
      </w:r>
    </w:p>
    <w:p w14:paraId="02D9F8D7"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r w:rsidRPr="00D2367C">
        <w:rPr>
          <w:rFonts w:ascii="Arial" w:hAnsi="Arial" w:cs="Arial"/>
          <w:sz w:val="22"/>
          <w:szCs w:val="22"/>
        </w:rPr>
        <w:t>Note: The combination of condom and diaphragm was not allowed (Pearl Index &gt; 1).</w:t>
      </w:r>
    </w:p>
    <w:p w14:paraId="7F2C089A"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r w:rsidRPr="00D2367C">
        <w:rPr>
          <w:rFonts w:ascii="Arial" w:hAnsi="Arial" w:cs="Arial"/>
          <w:sz w:val="22"/>
          <w:szCs w:val="22"/>
        </w:rPr>
        <w:t>Subjects were required not to act as sperm donors during the study and for 12 weeks</w:t>
      </w:r>
    </w:p>
    <w:p w14:paraId="5752EB22"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r w:rsidRPr="00D2367C">
        <w:rPr>
          <w:rFonts w:ascii="Arial" w:hAnsi="Arial" w:cs="Arial"/>
          <w:sz w:val="22"/>
          <w:szCs w:val="22"/>
        </w:rPr>
        <w:t>after the last administration of study intervention.</w:t>
      </w:r>
    </w:p>
    <w:p w14:paraId="23135EFB" w14:textId="77777777" w:rsidR="007E4871" w:rsidRPr="00D2367C" w:rsidRDefault="007E4871" w:rsidP="007E4871">
      <w:pPr>
        <w:pStyle w:val="EndNoteBibliography"/>
        <w:spacing w:before="100" w:beforeAutospacing="1" w:after="120" w:line="480" w:lineRule="auto"/>
        <w:ind w:left="720" w:hanging="720"/>
        <w:rPr>
          <w:rFonts w:ascii="Arial" w:hAnsi="Arial" w:cs="Arial"/>
          <w:sz w:val="22"/>
          <w:szCs w:val="22"/>
        </w:rPr>
      </w:pPr>
      <w:r w:rsidRPr="00D2367C">
        <w:rPr>
          <w:rFonts w:ascii="Arial" w:hAnsi="Arial" w:cs="Arial"/>
          <w:sz w:val="22"/>
          <w:szCs w:val="22"/>
        </w:rPr>
        <w:t>Subjects were required to be capable of giving signed informed consent, which included compliance with the requirements and restrictions listed in the informed consent form (ICF) and in the study protocols. The ICF had to be signed before any study-specific tests or procedures were done. Subjects had to be able to understand and follow study-related instructions/procedures.</w:t>
      </w:r>
    </w:p>
    <w:p w14:paraId="392F7EAD" w14:textId="77777777" w:rsidR="007E4871" w:rsidRPr="00D2367C" w:rsidRDefault="007E4871" w:rsidP="007E4871">
      <w:pPr>
        <w:pStyle w:val="EndNoteBibliography"/>
        <w:spacing w:before="100" w:beforeAutospacing="1" w:after="120" w:line="480" w:lineRule="auto"/>
        <w:ind w:left="720" w:hanging="720"/>
        <w:rPr>
          <w:rFonts w:ascii="Arial" w:hAnsi="Arial" w:cs="Arial"/>
          <w:bCs/>
          <w:i/>
          <w:iCs/>
          <w:sz w:val="22"/>
          <w:szCs w:val="22"/>
        </w:rPr>
      </w:pPr>
      <w:r w:rsidRPr="00D2367C">
        <w:rPr>
          <w:rFonts w:ascii="Arial" w:hAnsi="Arial" w:cs="Arial"/>
          <w:sz w:val="22"/>
          <w:szCs w:val="22"/>
        </w:rPr>
        <w:t>In Study 2, confirmation of the subject’s health insurance coverage was required before the first screening/examination visit.</w:t>
      </w:r>
    </w:p>
    <w:p w14:paraId="6E1B953A"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r w:rsidRPr="00D2367C">
        <w:rPr>
          <w:rFonts w:ascii="Arial" w:hAnsi="Arial" w:cs="Arial"/>
          <w:b/>
          <w:sz w:val="22"/>
          <w:szCs w:val="22"/>
        </w:rPr>
        <w:t>3</w:t>
      </w:r>
      <w:r w:rsidRPr="00D2367C">
        <w:rPr>
          <w:rFonts w:ascii="Arial" w:hAnsi="Arial" w:cs="Arial"/>
          <w:b/>
          <w:sz w:val="22"/>
          <w:szCs w:val="22"/>
        </w:rPr>
        <w:tab/>
        <w:t>Exclusion Criteria (All Studies Unless Specified)</w:t>
      </w:r>
    </w:p>
    <w:p w14:paraId="3338BEDE" w14:textId="77777777" w:rsidR="007E4871" w:rsidRPr="00D2367C" w:rsidRDefault="007E4871" w:rsidP="007E4871">
      <w:pPr>
        <w:pStyle w:val="EndNoteBibliography"/>
        <w:numPr>
          <w:ilvl w:val="0"/>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Medical conditions</w:t>
      </w:r>
    </w:p>
    <w:p w14:paraId="22FF1A99"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Incompletely cured pre-existing diseases (e.g., vomiting, diarrhea, major gastrointestinal surgery) for which it could be assumed that the absorption, distribution, metabolism, elimination, and effects of the study drugs were not normal.</w:t>
      </w:r>
    </w:p>
    <w:p w14:paraId="2FAC3228"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A history of relevant diseases of vital organs, of the central nervous system or other organs, specifically the lung.</w:t>
      </w:r>
    </w:p>
    <w:p w14:paraId="7C0CE273"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Known hypersensitivity to the study drugs (active substances or excipients of the preparations).</w:t>
      </w:r>
    </w:p>
    <w:p w14:paraId="15583F48"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Known severe allergies (e.g., allergies affecting the lower respiratory tract—allergic asthma, allergies requiring therapy with corticosteroids).</w:t>
      </w:r>
    </w:p>
    <w:p w14:paraId="7580570A"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Known severe allergies, non-allergic drug reactions, or multiple drug allergies.</w:t>
      </w:r>
    </w:p>
    <w:p w14:paraId="57980913"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Febrile illness within 1 week before study drug administration.</w:t>
      </w:r>
    </w:p>
    <w:p w14:paraId="7EA11436"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Hypersensitive bronchopulmonary system (e.g., as shown by methacholine challenge test) or confirmed abnormal lung function test or any relevant anamnestic lung disease or dysfunction.</w:t>
      </w:r>
    </w:p>
    <w:p w14:paraId="0491548E"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Relevant diseases (e.g., infection of the upper respiratory tract) within the 4 weeks before study drug administration.</w:t>
      </w:r>
    </w:p>
    <w:p w14:paraId="566585A8"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Medical disorder, condition, or history of such that would impair subjects’ ability to participate in or complete this study in the opinion of the investigator.</w:t>
      </w:r>
    </w:p>
    <w:p w14:paraId="0FC54F1B"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Lactose intolerance.</w:t>
      </w:r>
    </w:p>
    <w:p w14:paraId="1F7886D1" w14:textId="77777777" w:rsidR="007E4871" w:rsidRPr="00D2367C" w:rsidRDefault="007E4871" w:rsidP="007E4871">
      <w:pPr>
        <w:pStyle w:val="EndNoteBibliography"/>
        <w:numPr>
          <w:ilvl w:val="0"/>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Prior/concomitant therapy</w:t>
      </w:r>
    </w:p>
    <w:p w14:paraId="6DD8C8C1"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Regular use of medicines.</w:t>
      </w:r>
    </w:p>
    <w:p w14:paraId="309A833C"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Regular use of therapeutic or recreational drugs (e.g., carnitine products, anabolics, and high-dose vitamins).</w:t>
      </w:r>
    </w:p>
    <w:p w14:paraId="32A956A9"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Use of systemic or topical medicines or substances (prescription or over the counter), or herbal products that oppose the study objective or that might have influenced it within 1 week before study drug administration (e.g., no inhibitors or inducers of the cytochrome P450 [CYP] system—such as grapefruit, St. John’s wort, itraconazole, or clarithromycin—within 1 week before study drug administration).</w:t>
      </w:r>
    </w:p>
    <w:p w14:paraId="256E5E46"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Use of systemic strong CYP3A4 inducers within 4 weeks (or at least five half-lives of the active substance, whichever is longer) before administration of study drug (Study 1 only).</w:t>
      </w:r>
    </w:p>
    <w:p w14:paraId="162364D8"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Smoking (former smokers should have stopped smoking for ≥ 12 months before first drug administration).</w:t>
      </w:r>
    </w:p>
    <w:p w14:paraId="66E07BE5"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Regular daily consumption of more than 500 mL of beer or the equivalent quantity of approximately 20 g of alcohol in another form.</w:t>
      </w:r>
    </w:p>
    <w:p w14:paraId="4CFE00B1"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Regular daily consumption of more than 1 L of methylxanthine-containing beverages.</w:t>
      </w:r>
    </w:p>
    <w:p w14:paraId="476D73D9"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Intake of foods or beverages containing pomelo (Studies 1 and 3 only), grapefruit, Seville orange, or tangelo within 1 week before the first study drug administration.</w:t>
      </w:r>
    </w:p>
    <w:p w14:paraId="4D0214BD"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Special diets preventing subjects from eating the standard meals during the study.</w:t>
      </w:r>
    </w:p>
    <w:p w14:paraId="63E26662"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Suspicion of drug or alcohol abuse.</w:t>
      </w:r>
    </w:p>
    <w:p w14:paraId="7F7EA1A1"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Blood donation of more than 100 mL within 4 weeks and of 500 mL within 3 months before study drug administration.</w:t>
      </w:r>
    </w:p>
    <w:p w14:paraId="380B8A23"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Plasmapheresis within 3 months before study drug administration.</w:t>
      </w:r>
    </w:p>
    <w:p w14:paraId="2DBF22E1"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Exaggerated physical activity from 1 week before dosing until the end of follow-up.</w:t>
      </w:r>
    </w:p>
    <w:p w14:paraId="18A9D421" w14:textId="77777777" w:rsidR="007E4871" w:rsidRPr="00D2367C" w:rsidRDefault="007E4871" w:rsidP="007E4871">
      <w:pPr>
        <w:pStyle w:val="EndNoteBibliography"/>
        <w:numPr>
          <w:ilvl w:val="0"/>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Prior/concurrent clinical study experience</w:t>
      </w:r>
    </w:p>
    <w:p w14:paraId="463BA6EB"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Prior (within 3 months) or concomitant participation in another clinical study with an investigational medicinal product.</w:t>
      </w:r>
    </w:p>
    <w:p w14:paraId="797F504C"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Exclusion periods from other studies or simultaneous participation in other clinical studies (Studies 2 and 3 only).</w:t>
      </w:r>
    </w:p>
    <w:p w14:paraId="24386607" w14:textId="77777777" w:rsidR="007E4871" w:rsidRPr="00D2367C" w:rsidRDefault="007E4871" w:rsidP="007E4871">
      <w:pPr>
        <w:pStyle w:val="EndNoteBibliography"/>
        <w:numPr>
          <w:ilvl w:val="0"/>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Diagnostic assessments</w:t>
      </w:r>
    </w:p>
    <w:p w14:paraId="22AEDC1B"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 xml:space="preserve">Clinically relevant electrocardiogram (ECG) findings, such as a first-, second-, or third-degree atrioventricular block, prolongation of the QRS complex </w:t>
      </w:r>
      <w:r w:rsidRPr="00D2367C">
        <w:rPr>
          <w:rFonts w:ascii="Arial" w:hAnsi="Arial" w:cs="Arial"/>
          <w:bCs/>
          <w:sz w:val="22"/>
          <w:szCs w:val="22"/>
        </w:rPr>
        <w:br/>
        <w:t>&gt; 120 ms or of the Fridericia-corrected QT-interval &gt; 450 ms at screening.</w:t>
      </w:r>
    </w:p>
    <w:p w14:paraId="293ECF2D"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Systolic blood pressure &lt; 100 or &gt; 140 mmHg at screening.</w:t>
      </w:r>
    </w:p>
    <w:p w14:paraId="699EC33E"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Diastolic blood pressure &lt; 60 or &gt; 90 mmHg at screening.</w:t>
      </w:r>
    </w:p>
    <w:p w14:paraId="0AB50FD2"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Heart rate over 1 minute (taken from ECG) &lt; 50 or &gt; 90 beats/min at screening.</w:t>
      </w:r>
    </w:p>
    <w:p w14:paraId="5F2CAD26"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Clinically relevant findings in the physical examination that, in the opinion of the investigator, preclude participation for safety reasons.</w:t>
      </w:r>
    </w:p>
    <w:p w14:paraId="4FFB7E0B"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Clinically relevant deviations of the screened laboratory parameters from reference ranges at screening.</w:t>
      </w:r>
    </w:p>
    <w:p w14:paraId="7E1F53C5"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Positive results for hepatitis B virus surface antigen, hepatitis C virus antibodies, or human immune deficiency virus antibodies (anti-HIV 1+2).</w:t>
      </w:r>
    </w:p>
    <w:p w14:paraId="12DD9C5D"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Positive urine drug screening.</w:t>
      </w:r>
    </w:p>
    <w:p w14:paraId="5AC44F8F"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Positive alcohol breath test.</w:t>
      </w:r>
    </w:p>
    <w:p w14:paraId="382D0E7F"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Positive cotinine test in urine.</w:t>
      </w:r>
    </w:p>
    <w:p w14:paraId="3391E70B"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Thyroid disorders as demonstrated by assessment of thyroid-stimulating hormone, free triiodothyronine, and free thyroxine levels outside the normal reference range at screening.</w:t>
      </w:r>
    </w:p>
    <w:p w14:paraId="7F5960B7" w14:textId="77777777" w:rsidR="007E4871" w:rsidRPr="00D2367C" w:rsidRDefault="007E4871" w:rsidP="007E4871">
      <w:pPr>
        <w:pStyle w:val="EndNoteBibliography"/>
        <w:numPr>
          <w:ilvl w:val="0"/>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Other exclusions</w:t>
      </w:r>
    </w:p>
    <w:p w14:paraId="22E056E0"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Assignment to a previous treatment step during the study (Studies 2 and 3).</w:t>
      </w:r>
    </w:p>
    <w:p w14:paraId="137195BC"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Close affiliation with the investigational site (e.g., a close relative of the investigator or a dependent person; employee or student of the investigational site).</w:t>
      </w:r>
    </w:p>
    <w:p w14:paraId="078A1648"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Criteria that, in the opinion of the investigator, preclude participation for scientific, compliance, or safety reasons.</w:t>
      </w:r>
    </w:p>
    <w:p w14:paraId="5785787C"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Excluded therapies (physiotherapy, acupuncture) within 1 week before first study drug administration.</w:t>
      </w:r>
    </w:p>
    <w:p w14:paraId="366C0CF5"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Subject is in custody by order of an authority or a court of law.</w:t>
      </w:r>
    </w:p>
    <w:p w14:paraId="6A39D9A9"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Subject is an employee of the study sponsor.</w:t>
      </w:r>
    </w:p>
    <w:p w14:paraId="48600D3F" w14:textId="77777777" w:rsidR="007E4871" w:rsidRPr="00D2367C" w:rsidRDefault="007E4871" w:rsidP="007E4871">
      <w:pPr>
        <w:pStyle w:val="EndNoteBibliography"/>
        <w:numPr>
          <w:ilvl w:val="0"/>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COVID-19-related criteria (Study 3 only)</w:t>
      </w:r>
    </w:p>
    <w:p w14:paraId="27E91676"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History of COVID-19 within 6 months before screening.</w:t>
      </w:r>
    </w:p>
    <w:p w14:paraId="340F67E9"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Contact with a patient who is SARS-CoV-2-positive or has COVID-19 within the 4 weeks before admission to the clinical unit.</w:t>
      </w:r>
    </w:p>
    <w:p w14:paraId="4E123494"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Positive SARS-CoV-2 viral RNA test (approved molecular test: polymerase chain reaction or validated immunologic test for a viral antigen).</w:t>
      </w:r>
    </w:p>
    <w:p w14:paraId="2B77F0ED"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Suspected or confirmed active or prior SARS-CoV-2 infection according to local guidelines/practice.</w:t>
      </w:r>
    </w:p>
    <w:p w14:paraId="336281CD"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Long COVID-19 syndrome or other clinically relevant COVID-19-related symptoms or sequelae.</w:t>
      </w:r>
    </w:p>
    <w:p w14:paraId="651A56CF" w14:textId="77777777" w:rsidR="007E4871" w:rsidRPr="00D2367C" w:rsidRDefault="007E4871" w:rsidP="007E4871">
      <w:pPr>
        <w:pStyle w:val="EndNoteBibliography"/>
        <w:numPr>
          <w:ilvl w:val="1"/>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Incomplete SARS-CoV-2 vaccination at planned first administration of study intervention or SARS-CoV-2 vaccination planned before completion of the last study visit.</w:t>
      </w:r>
    </w:p>
    <w:p w14:paraId="3E812C06" w14:textId="77777777" w:rsidR="007E4871" w:rsidRPr="00D2367C" w:rsidRDefault="007E4871" w:rsidP="007E4871">
      <w:pPr>
        <w:pStyle w:val="EndNoteBibliography"/>
        <w:numPr>
          <w:ilvl w:val="2"/>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Vaccines with a prime-boost scheme: administration of study intervention not permitted between receipt of prime vaccination and 15 days after receipt of boost vaccination.</w:t>
      </w:r>
    </w:p>
    <w:p w14:paraId="7C82C070" w14:textId="77777777" w:rsidR="007E4871" w:rsidRPr="00D2367C" w:rsidRDefault="007E4871" w:rsidP="007E4871">
      <w:pPr>
        <w:pStyle w:val="EndNoteBibliography"/>
        <w:numPr>
          <w:ilvl w:val="2"/>
          <w:numId w:val="1"/>
        </w:numPr>
        <w:spacing w:before="100" w:beforeAutospacing="1" w:after="120" w:line="480" w:lineRule="auto"/>
        <w:rPr>
          <w:rFonts w:ascii="Arial" w:hAnsi="Arial" w:cs="Arial"/>
          <w:bCs/>
          <w:sz w:val="22"/>
          <w:szCs w:val="22"/>
        </w:rPr>
      </w:pPr>
      <w:r w:rsidRPr="00D2367C">
        <w:rPr>
          <w:rFonts w:ascii="Arial" w:hAnsi="Arial" w:cs="Arial"/>
          <w:bCs/>
          <w:sz w:val="22"/>
          <w:szCs w:val="22"/>
        </w:rPr>
        <w:t>Vaccines with a single-dose scheme: administration of study intervention not permitted within 28 days after receipt of vaccination.</w:t>
      </w:r>
    </w:p>
    <w:p w14:paraId="3F1D75DC"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r w:rsidRPr="00D2367C">
        <w:rPr>
          <w:rFonts w:ascii="Arial" w:hAnsi="Arial" w:cs="Arial"/>
          <w:b/>
          <w:sz w:val="22"/>
          <w:szCs w:val="22"/>
        </w:rPr>
        <w:t>4</w:t>
      </w:r>
      <w:r w:rsidRPr="00D2367C">
        <w:rPr>
          <w:rFonts w:ascii="Arial" w:hAnsi="Arial" w:cs="Arial"/>
          <w:b/>
          <w:sz w:val="22"/>
          <w:szCs w:val="22"/>
        </w:rPr>
        <w:tab/>
        <w:t xml:space="preserve">Calculation of PK </w:t>
      </w:r>
      <w:r>
        <w:rPr>
          <w:rFonts w:ascii="Arial" w:hAnsi="Arial" w:cs="Arial"/>
          <w:b/>
          <w:sz w:val="22"/>
          <w:szCs w:val="22"/>
        </w:rPr>
        <w:t>P</w:t>
      </w:r>
      <w:r w:rsidRPr="00D2367C">
        <w:rPr>
          <w:rFonts w:ascii="Arial" w:hAnsi="Arial" w:cs="Arial"/>
          <w:b/>
          <w:sz w:val="22"/>
          <w:szCs w:val="22"/>
        </w:rPr>
        <w:t>arameters</w:t>
      </w:r>
    </w:p>
    <w:p w14:paraId="683F456C"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Area under the concentration–time curve (AUC) from zero to infinity after single (first) dose:</w:t>
      </w:r>
    </w:p>
    <w:p w14:paraId="5E572B88"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m:oMathPara>
        <m:oMath>
          <m:r>
            <w:rPr>
              <w:rFonts w:ascii="Cambria Math" w:hAnsi="Cambria Math" w:cs="Arial"/>
              <w:sz w:val="22"/>
              <w:szCs w:val="22"/>
            </w:rPr>
            <m:t>AUC=</m:t>
          </m:r>
          <m:sSub>
            <m:sSubPr>
              <m:ctrlPr>
                <w:rPr>
                  <w:rFonts w:ascii="Cambria Math" w:hAnsi="Cambria Math" w:cs="Arial"/>
                  <w:bCs/>
                  <w:i/>
                  <w:sz w:val="22"/>
                  <w:szCs w:val="22"/>
                </w:rPr>
              </m:ctrlPr>
            </m:sSubPr>
            <m:e>
              <m:r>
                <w:rPr>
                  <w:rFonts w:ascii="Cambria Math" w:hAnsi="Cambria Math" w:cs="Arial"/>
                  <w:sz w:val="22"/>
                  <w:szCs w:val="22"/>
                </w:rPr>
                <m:t>AUC</m:t>
              </m:r>
            </m:e>
            <m:sub>
              <m:r>
                <w:rPr>
                  <w:rFonts w:ascii="Cambria Math" w:hAnsi="Cambria Math" w:cs="Arial"/>
                  <w:sz w:val="22"/>
                  <w:szCs w:val="22"/>
                </w:rPr>
                <m:t>(0-tlast)</m:t>
              </m:r>
            </m:sub>
          </m:sSub>
          <m:r>
            <w:rPr>
              <w:rFonts w:ascii="Cambria Math" w:hAnsi="Cambria Math" w:cs="Arial"/>
              <w:sz w:val="22"/>
              <w:szCs w:val="22"/>
            </w:rPr>
            <m:t xml:space="preserve">+ </m:t>
          </m:r>
          <m:f>
            <m:fPr>
              <m:ctrlPr>
                <w:rPr>
                  <w:rFonts w:ascii="Cambria Math" w:hAnsi="Cambria Math" w:cs="Arial"/>
                  <w:bCs/>
                  <w:i/>
                  <w:sz w:val="22"/>
                  <w:szCs w:val="22"/>
                </w:rPr>
              </m:ctrlPr>
            </m:fPr>
            <m:num>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last,calc</m:t>
                  </m:r>
                </m:sub>
              </m:sSub>
            </m:num>
            <m:den>
              <m:sSub>
                <m:sSubPr>
                  <m:ctrlPr>
                    <w:rPr>
                      <w:rFonts w:ascii="Cambria Math" w:hAnsi="Cambria Math" w:cs="Arial"/>
                      <w:bCs/>
                      <w:i/>
                      <w:sz w:val="22"/>
                      <w:szCs w:val="22"/>
                    </w:rPr>
                  </m:ctrlPr>
                </m:sSubPr>
                <m:e>
                  <m:r>
                    <w:rPr>
                      <w:rFonts w:ascii="Cambria Math" w:hAnsi="Cambria Math" w:cs="Arial"/>
                      <w:sz w:val="22"/>
                      <w:szCs w:val="22"/>
                    </w:rPr>
                    <m:t>λ</m:t>
                  </m:r>
                </m:e>
                <m:sub>
                  <m:r>
                    <w:rPr>
                      <w:rFonts w:ascii="Cambria Math" w:hAnsi="Cambria Math" w:cs="Arial"/>
                      <w:sz w:val="22"/>
                      <w:szCs w:val="22"/>
                    </w:rPr>
                    <m:t>Z</m:t>
                  </m:r>
                </m:sub>
              </m:sSub>
            </m:den>
          </m:f>
        </m:oMath>
      </m:oMathPara>
    </w:p>
    <w:p w14:paraId="512DDE71"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i/>
          <w:iCs/>
          <w:sz w:val="22"/>
          <w:szCs w:val="22"/>
        </w:rPr>
        <w:t>C</w:t>
      </w:r>
      <w:r w:rsidRPr="00D2367C">
        <w:rPr>
          <w:rFonts w:ascii="Arial" w:hAnsi="Arial" w:cs="Arial"/>
          <w:bCs/>
          <w:i/>
          <w:iCs/>
          <w:sz w:val="22"/>
          <w:szCs w:val="22"/>
          <w:vertAlign w:val="subscript"/>
        </w:rPr>
        <w:t>last.calc</w:t>
      </w:r>
      <w:r w:rsidRPr="00D2367C">
        <w:rPr>
          <w:rFonts w:ascii="Arial" w:hAnsi="Arial" w:cs="Arial"/>
          <w:bCs/>
          <w:sz w:val="22"/>
          <w:szCs w:val="22"/>
        </w:rPr>
        <w:t xml:space="preserve"> calculated concentration value at t</w:t>
      </w:r>
      <w:r w:rsidRPr="00D2367C">
        <w:rPr>
          <w:rFonts w:ascii="Arial" w:hAnsi="Arial" w:cs="Arial"/>
          <w:bCs/>
          <w:sz w:val="22"/>
          <w:szCs w:val="22"/>
          <w:vertAlign w:val="subscript"/>
        </w:rPr>
        <w:t>last</w:t>
      </w:r>
      <w:r w:rsidRPr="00D2367C">
        <w:rPr>
          <w:rFonts w:ascii="Arial" w:hAnsi="Arial" w:cs="Arial"/>
          <w:bCs/>
          <w:sz w:val="22"/>
          <w:szCs w:val="22"/>
          <w:vertAlign w:val="subscript"/>
        </w:rPr>
        <w:softHyphen/>
      </w:r>
      <w:r w:rsidRPr="00D2367C">
        <w:rPr>
          <w:rFonts w:ascii="Arial" w:hAnsi="Arial" w:cs="Arial"/>
          <w:bCs/>
          <w:sz w:val="22"/>
          <w:szCs w:val="22"/>
        </w:rPr>
        <w:t xml:space="preserve"> by regression of terminal phase, </w:t>
      </w:r>
      <w:r w:rsidRPr="00D2367C">
        <w:rPr>
          <w:rFonts w:ascii="Arial" w:hAnsi="Arial" w:cs="Arial"/>
          <w:bCs/>
          <w:i/>
          <w:iCs/>
          <w:sz w:val="22"/>
          <w:szCs w:val="22"/>
        </w:rPr>
        <w:t>LLOQ</w:t>
      </w:r>
      <w:r w:rsidRPr="00D2367C">
        <w:rPr>
          <w:rFonts w:ascii="Arial" w:hAnsi="Arial" w:cs="Arial"/>
          <w:bCs/>
          <w:sz w:val="22"/>
          <w:szCs w:val="22"/>
        </w:rPr>
        <w:t xml:space="preserve"> lower limit of quantification, </w:t>
      </w:r>
      <w:r w:rsidRPr="00D2367C">
        <w:rPr>
          <w:rFonts w:ascii="Arial" w:hAnsi="Arial" w:cs="Arial"/>
          <w:bCs/>
          <w:i/>
          <w:iCs/>
          <w:sz w:val="22"/>
          <w:szCs w:val="22"/>
        </w:rPr>
        <w:t>t</w:t>
      </w:r>
      <w:r w:rsidRPr="00D2367C">
        <w:rPr>
          <w:rFonts w:ascii="Arial" w:hAnsi="Arial" w:cs="Arial"/>
          <w:bCs/>
          <w:i/>
          <w:iCs/>
          <w:sz w:val="22"/>
          <w:szCs w:val="22"/>
          <w:vertAlign w:val="subscript"/>
        </w:rPr>
        <w:t>last</w:t>
      </w:r>
      <w:r w:rsidRPr="00D2367C">
        <w:rPr>
          <w:rFonts w:ascii="Arial" w:hAnsi="Arial" w:cs="Arial"/>
          <w:bCs/>
          <w:i/>
          <w:iCs/>
          <w:sz w:val="22"/>
          <w:szCs w:val="22"/>
          <w:vertAlign w:val="subscript"/>
        </w:rPr>
        <w:softHyphen/>
      </w:r>
      <w:r w:rsidRPr="00D2367C">
        <w:rPr>
          <w:rFonts w:ascii="Arial" w:hAnsi="Arial" w:cs="Arial"/>
          <w:bCs/>
          <w:i/>
          <w:iCs/>
          <w:sz w:val="22"/>
          <w:szCs w:val="22"/>
        </w:rPr>
        <w:t xml:space="preserve"> </w:t>
      </w:r>
      <w:r w:rsidRPr="00D2367C">
        <w:rPr>
          <w:rFonts w:ascii="Arial" w:hAnsi="Arial" w:cs="Arial"/>
          <w:bCs/>
          <w:sz w:val="22"/>
          <w:szCs w:val="22"/>
        </w:rPr>
        <w:t xml:space="preserve">time of last concentration above LLOQ, </w:t>
      </w:r>
      <w:r w:rsidRPr="00D2367C">
        <w:rPr>
          <w:rFonts w:ascii="Arial" w:hAnsi="Arial" w:cs="Arial"/>
          <w:bCs/>
          <w:i/>
          <w:iCs/>
          <w:sz w:val="22"/>
          <w:szCs w:val="22"/>
        </w:rPr>
        <w:t>λ</w:t>
      </w:r>
      <w:r w:rsidRPr="00D2367C">
        <w:rPr>
          <w:rFonts w:ascii="Arial" w:hAnsi="Arial" w:cs="Arial"/>
          <w:bCs/>
          <w:i/>
          <w:iCs/>
          <w:sz w:val="22"/>
          <w:szCs w:val="22"/>
          <w:vertAlign w:val="subscript"/>
        </w:rPr>
        <w:t>Z</w:t>
      </w:r>
      <w:r w:rsidRPr="00D2367C">
        <w:rPr>
          <w:rFonts w:ascii="Arial" w:hAnsi="Arial" w:cs="Arial"/>
          <w:bCs/>
          <w:sz w:val="22"/>
          <w:szCs w:val="22"/>
        </w:rPr>
        <w:t xml:space="preserve"> apparent terminal rate constant, calculated from the last slope of a log-linear regression of the unweighted data considering the last concentration-time points &gt;LLOQ</w:t>
      </w:r>
    </w:p>
    <w:p w14:paraId="67BB6D50"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AUC from time 0 to the last data point &gt;LLOQ (AUC(0-t</w:t>
      </w:r>
      <w:r w:rsidRPr="00D2367C">
        <w:rPr>
          <w:rFonts w:ascii="Arial" w:hAnsi="Arial" w:cs="Arial"/>
          <w:bCs/>
          <w:sz w:val="22"/>
          <w:szCs w:val="22"/>
          <w:vertAlign w:val="subscript"/>
        </w:rPr>
        <w:t>last</w:t>
      </w:r>
      <w:r w:rsidRPr="00D2367C">
        <w:rPr>
          <w:rFonts w:ascii="Arial" w:hAnsi="Arial" w:cs="Arial"/>
          <w:bCs/>
          <w:sz w:val="22"/>
          <w:szCs w:val="22"/>
        </w:rPr>
        <w:t>)), calculated up by linear trapezoidal rule, down by logarithmic trapezoidal rule:</w:t>
      </w:r>
    </w:p>
    <w:p w14:paraId="1C5D9538" w14:textId="77777777" w:rsidR="007E4871" w:rsidRPr="00D2367C" w:rsidRDefault="00575425" w:rsidP="007E4871">
      <w:pPr>
        <w:pStyle w:val="EndNoteBibliography"/>
        <w:spacing w:before="100" w:beforeAutospacing="1" w:after="120" w:line="480" w:lineRule="auto"/>
        <w:ind w:left="720" w:hanging="720"/>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AUC(t</m:t>
              </m:r>
            </m:e>
            <m:sub>
              <m:r>
                <w:rPr>
                  <w:rFonts w:ascii="Cambria Math" w:hAnsi="Cambria Math" w:cs="Arial"/>
                  <w:sz w:val="22"/>
                  <w:szCs w:val="22"/>
                </w:rPr>
                <m:t>i</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t</m:t>
              </m:r>
            </m:e>
            <m:sub>
              <m:r>
                <w:rPr>
                  <w:rFonts w:ascii="Cambria Math" w:hAnsi="Cambria Math" w:cs="Arial"/>
                  <w:sz w:val="22"/>
                  <w:szCs w:val="22"/>
                </w:rPr>
                <m:t>i+1</m:t>
              </m:r>
            </m:sub>
          </m:sSub>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C</m:t>
              </m:r>
            </m:e>
            <m:sub>
              <m:r>
                <w:rPr>
                  <w:rFonts w:ascii="Cambria Math" w:hAnsi="Cambria Math" w:cs="Arial"/>
                  <w:sz w:val="22"/>
                  <w:szCs w:val="22"/>
                </w:rPr>
                <m:t>i</m:t>
              </m:r>
            </m:sub>
          </m:sSub>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C</m:t>
              </m:r>
            </m:e>
            <m:sub>
              <m:r>
                <w:rPr>
                  <w:rFonts w:ascii="Cambria Math" w:hAnsi="Cambria Math" w:cs="Arial"/>
                  <w:sz w:val="22"/>
                  <w:szCs w:val="22"/>
                </w:rPr>
                <m:t>i+1</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t</m:t>
              </m:r>
            </m:e>
            <m:sub>
              <m:r>
                <w:rPr>
                  <w:rFonts w:ascii="Cambria Math" w:hAnsi="Cambria Math" w:cs="Arial"/>
                  <w:sz w:val="22"/>
                  <w:szCs w:val="22"/>
                </w:rPr>
                <m:t>i+1</m:t>
              </m:r>
            </m:sub>
          </m:sSub>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t</m:t>
              </m:r>
            </m:e>
            <m:sub>
              <m:r>
                <w:rPr>
                  <w:rFonts w:ascii="Cambria Math" w:hAnsi="Cambria Math" w:cs="Arial"/>
                  <w:sz w:val="22"/>
                  <w:szCs w:val="22"/>
                </w:rPr>
                <m:t>i</m:t>
              </m:r>
            </m:sub>
          </m:sSub>
          <m:r>
            <w:rPr>
              <w:rFonts w:ascii="Cambria Math" w:hAnsi="Cambria Math" w:cs="Arial"/>
              <w:sz w:val="22"/>
              <w:szCs w:val="22"/>
            </w:rPr>
            <m:t>)</m:t>
          </m:r>
        </m:oMath>
      </m:oMathPara>
    </w:p>
    <w:p w14:paraId="4D32422F"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m:oMathPara>
        <m:oMath>
          <m:r>
            <w:rPr>
              <w:rFonts w:ascii="Cambria Math" w:hAnsi="Cambria Math" w:cs="Arial"/>
              <w:sz w:val="22"/>
              <w:szCs w:val="22"/>
            </w:rPr>
            <m:t>AUC</m:t>
          </m:r>
          <m:d>
            <m:dPr>
              <m:ctrlPr>
                <w:rPr>
                  <w:rFonts w:ascii="Cambria Math" w:hAnsi="Cambria Math" w:cs="Arial"/>
                  <w:bCs/>
                  <w:i/>
                  <w:sz w:val="22"/>
                  <w:szCs w:val="22"/>
                </w:rPr>
              </m:ctrlPr>
            </m:dPr>
            <m:e>
              <m:sSub>
                <m:sSubPr>
                  <m:ctrlPr>
                    <w:rPr>
                      <w:rFonts w:ascii="Cambria Math" w:hAnsi="Cambria Math" w:cs="Arial"/>
                      <w:bCs/>
                      <w:i/>
                      <w:sz w:val="22"/>
                      <w:szCs w:val="22"/>
                    </w:rPr>
                  </m:ctrlPr>
                </m:sSubPr>
                <m:e>
                  <m:r>
                    <w:rPr>
                      <w:rFonts w:ascii="Cambria Math" w:hAnsi="Cambria Math" w:cs="Arial"/>
                      <w:sz w:val="22"/>
                      <w:szCs w:val="22"/>
                    </w:rPr>
                    <m:t>t</m:t>
                  </m:r>
                </m:e>
                <m:sub>
                  <m:r>
                    <w:rPr>
                      <w:rFonts w:ascii="Cambria Math" w:hAnsi="Cambria Math" w:cs="Arial"/>
                      <w:sz w:val="22"/>
                      <w:szCs w:val="22"/>
                    </w:rPr>
                    <m:t>i</m:t>
                  </m:r>
                </m:sub>
              </m:sSub>
              <m:r>
                <w:rPr>
                  <w:rFonts w:ascii="Cambria Math" w:hAnsi="Cambria Math" w:cs="Arial"/>
                  <w:sz w:val="22"/>
                  <w:szCs w:val="22"/>
                </w:rPr>
                <m:t>-</m:t>
              </m:r>
              <m:sSub>
                <m:sSubPr>
                  <m:ctrlPr>
                    <w:rPr>
                      <w:rFonts w:ascii="Cambria Math" w:hAnsi="Cambria Math" w:cs="Arial"/>
                      <w:bCs/>
                      <w:i/>
                      <w:sz w:val="22"/>
                      <w:szCs w:val="22"/>
                    </w:rPr>
                  </m:ctrlPr>
                </m:sSubPr>
                <m:e>
                  <m:r>
                    <w:rPr>
                      <w:rFonts w:ascii="Cambria Math" w:hAnsi="Cambria Math" w:cs="Arial"/>
                      <w:sz w:val="22"/>
                      <w:szCs w:val="22"/>
                    </w:rPr>
                    <m:t>t</m:t>
                  </m:r>
                </m:e>
                <m:sub>
                  <m:r>
                    <w:rPr>
                      <w:rFonts w:ascii="Cambria Math" w:hAnsi="Cambria Math" w:cs="Arial"/>
                      <w:sz w:val="22"/>
                      <w:szCs w:val="22"/>
                    </w:rPr>
                    <m:t>i+1</m:t>
                  </m:r>
                </m:sub>
              </m:sSub>
            </m:e>
          </m:d>
          <m:r>
            <w:rPr>
              <w:rFonts w:ascii="Cambria Math" w:hAnsi="Cambria Math" w:cs="Arial"/>
              <w:sz w:val="22"/>
              <w:szCs w:val="22"/>
            </w:rPr>
            <m:t xml:space="preserve">= </m:t>
          </m:r>
          <m:f>
            <m:fPr>
              <m:ctrlPr>
                <w:rPr>
                  <w:rFonts w:ascii="Cambria Math" w:hAnsi="Cambria Math" w:cs="Arial"/>
                  <w:bCs/>
                  <w:i/>
                  <w:sz w:val="22"/>
                  <w:szCs w:val="22"/>
                </w:rPr>
              </m:ctrlPr>
            </m:fPr>
            <m:num>
              <m:r>
                <w:rPr>
                  <w:rFonts w:ascii="Cambria Math" w:hAnsi="Cambria Math" w:cs="Arial"/>
                  <w:sz w:val="22"/>
                  <w:szCs w:val="22"/>
                </w:rPr>
                <m:t>(</m:t>
              </m:r>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i</m:t>
                  </m:r>
                </m:sub>
              </m:sSub>
              <m:r>
                <w:rPr>
                  <w:rFonts w:ascii="Cambria Math" w:hAnsi="Cambria Math" w:cs="Arial"/>
                  <w:sz w:val="22"/>
                  <w:szCs w:val="22"/>
                </w:rPr>
                <m:t>-</m:t>
              </m:r>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i+1</m:t>
                  </m:r>
                </m:sub>
              </m:sSub>
              <m:r>
                <w:rPr>
                  <w:rFonts w:ascii="Cambria Math" w:hAnsi="Cambria Math" w:cs="Arial"/>
                  <w:sz w:val="22"/>
                  <w:szCs w:val="22"/>
                </w:rPr>
                <m:t>)∙(</m:t>
              </m:r>
              <m:sSub>
                <m:sSubPr>
                  <m:ctrlPr>
                    <w:rPr>
                      <w:rFonts w:ascii="Cambria Math" w:hAnsi="Cambria Math" w:cs="Arial"/>
                      <w:bCs/>
                      <w:i/>
                      <w:sz w:val="22"/>
                      <w:szCs w:val="22"/>
                    </w:rPr>
                  </m:ctrlPr>
                </m:sSubPr>
                <m:e>
                  <m:r>
                    <w:rPr>
                      <w:rFonts w:ascii="Cambria Math" w:hAnsi="Cambria Math" w:cs="Arial"/>
                      <w:sz w:val="22"/>
                      <w:szCs w:val="22"/>
                    </w:rPr>
                    <m:t>t</m:t>
                  </m:r>
                </m:e>
                <m:sub>
                  <m:r>
                    <w:rPr>
                      <w:rFonts w:ascii="Cambria Math" w:hAnsi="Cambria Math" w:cs="Arial"/>
                      <w:sz w:val="22"/>
                      <w:szCs w:val="22"/>
                    </w:rPr>
                    <m:t>i+1</m:t>
                  </m:r>
                </m:sub>
              </m:sSub>
              <m:r>
                <w:rPr>
                  <w:rFonts w:ascii="Cambria Math" w:hAnsi="Cambria Math" w:cs="Arial"/>
                  <w:sz w:val="22"/>
                  <w:szCs w:val="22"/>
                </w:rPr>
                <m:t xml:space="preserve">- </m:t>
              </m:r>
              <m:sSub>
                <m:sSubPr>
                  <m:ctrlPr>
                    <w:rPr>
                      <w:rFonts w:ascii="Cambria Math" w:hAnsi="Cambria Math" w:cs="Arial"/>
                      <w:bCs/>
                      <w:i/>
                      <w:sz w:val="22"/>
                      <w:szCs w:val="22"/>
                    </w:rPr>
                  </m:ctrlPr>
                </m:sSubPr>
                <m:e>
                  <m:r>
                    <w:rPr>
                      <w:rFonts w:ascii="Cambria Math" w:hAnsi="Cambria Math" w:cs="Arial"/>
                      <w:sz w:val="22"/>
                      <w:szCs w:val="22"/>
                    </w:rPr>
                    <m:t>t</m:t>
                  </m:r>
                </m:e>
                <m:sub>
                  <m:r>
                    <w:rPr>
                      <w:rFonts w:ascii="Cambria Math" w:hAnsi="Cambria Math" w:cs="Arial"/>
                      <w:sz w:val="22"/>
                      <w:szCs w:val="22"/>
                    </w:rPr>
                    <m:t>i</m:t>
                  </m:r>
                </m:sub>
              </m:sSub>
              <m:r>
                <w:rPr>
                  <w:rFonts w:ascii="Cambria Math" w:hAnsi="Cambria Math" w:cs="Arial"/>
                  <w:sz w:val="22"/>
                  <w:szCs w:val="22"/>
                </w:rPr>
                <m:t>)</m:t>
              </m:r>
            </m:num>
            <m:den>
              <m:r>
                <w:rPr>
                  <w:rFonts w:ascii="Cambria Math" w:hAnsi="Cambria Math" w:cs="Arial"/>
                  <w:sz w:val="22"/>
                  <w:szCs w:val="22"/>
                </w:rPr>
                <m:t>ln</m:t>
              </m:r>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i</m:t>
                  </m:r>
                </m:sub>
              </m:sSub>
              <m:r>
                <w:rPr>
                  <w:rFonts w:ascii="Cambria Math" w:hAnsi="Cambria Math" w:cs="Arial"/>
                  <w:sz w:val="22"/>
                  <w:szCs w:val="22"/>
                </w:rPr>
                <m:t>-ln</m:t>
              </m:r>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i+1</m:t>
                  </m:r>
                </m:sub>
              </m:sSub>
            </m:den>
          </m:f>
        </m:oMath>
      </m:oMathPara>
    </w:p>
    <w:p w14:paraId="1C21F1CC"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i/>
          <w:iCs/>
          <w:sz w:val="22"/>
          <w:szCs w:val="22"/>
        </w:rPr>
        <w:t>AUCt</w:t>
      </w:r>
      <w:r w:rsidRPr="00D2367C">
        <w:rPr>
          <w:rFonts w:ascii="Arial" w:hAnsi="Arial" w:cs="Arial"/>
          <w:bCs/>
          <w:sz w:val="22"/>
          <w:szCs w:val="22"/>
        </w:rPr>
        <w:t xml:space="preserve"> area under the concentration–time curve, </w:t>
      </w:r>
      <w:r w:rsidRPr="00D2367C">
        <w:rPr>
          <w:rFonts w:ascii="Arial" w:hAnsi="Arial" w:cs="Arial"/>
          <w:bCs/>
          <w:i/>
          <w:iCs/>
          <w:sz w:val="22"/>
          <w:szCs w:val="22"/>
        </w:rPr>
        <w:t>C</w:t>
      </w:r>
      <w:r w:rsidRPr="00D2367C">
        <w:rPr>
          <w:rFonts w:ascii="Arial" w:hAnsi="Arial" w:cs="Arial"/>
          <w:bCs/>
          <w:sz w:val="22"/>
          <w:szCs w:val="22"/>
        </w:rPr>
        <w:t xml:space="preserve"> concentration, </w:t>
      </w:r>
      <w:r w:rsidRPr="00D2367C">
        <w:rPr>
          <w:rFonts w:ascii="Arial" w:hAnsi="Arial" w:cs="Arial"/>
          <w:bCs/>
          <w:i/>
          <w:iCs/>
          <w:sz w:val="22"/>
          <w:szCs w:val="22"/>
        </w:rPr>
        <w:t>t</w:t>
      </w:r>
      <w:r w:rsidRPr="00D2367C">
        <w:rPr>
          <w:rFonts w:ascii="Arial" w:hAnsi="Arial" w:cs="Arial"/>
          <w:bCs/>
          <w:sz w:val="22"/>
          <w:szCs w:val="22"/>
        </w:rPr>
        <w:t xml:space="preserve"> time</w:t>
      </w:r>
    </w:p>
    <w:p w14:paraId="5D45E817"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Half-life associated with the terminal slope (t</w:t>
      </w:r>
      <w:r w:rsidRPr="00D2367C">
        <w:rPr>
          <w:rFonts w:ascii="Arial" w:hAnsi="Arial" w:cs="Arial"/>
          <w:bCs/>
          <w:sz w:val="22"/>
          <w:szCs w:val="22"/>
          <w:vertAlign w:val="subscript"/>
        </w:rPr>
        <w:t>1/2</w:t>
      </w:r>
      <w:r w:rsidRPr="00D2367C">
        <w:rPr>
          <w:rFonts w:ascii="Arial" w:hAnsi="Arial" w:cs="Arial"/>
          <w:bCs/>
          <w:sz w:val="22"/>
          <w:szCs w:val="22"/>
        </w:rPr>
        <w:t>):</w:t>
      </w:r>
      <w:r w:rsidRPr="00D2367C">
        <w:rPr>
          <w:rFonts w:ascii="Arial" w:hAnsi="Arial" w:cs="Arial"/>
          <w:bCs/>
          <w:sz w:val="22"/>
          <w:szCs w:val="22"/>
        </w:rPr>
        <w:br/>
      </w:r>
      <m:oMathPara>
        <m:oMath>
          <m:sSub>
            <m:sSubPr>
              <m:ctrlPr>
                <w:rPr>
                  <w:rFonts w:ascii="Cambria Math" w:hAnsi="Cambria Math" w:cs="Arial"/>
                  <w:bCs/>
                  <w:i/>
                  <w:sz w:val="22"/>
                  <w:szCs w:val="22"/>
                </w:rPr>
              </m:ctrlPr>
            </m:sSubPr>
            <m:e>
              <m:r>
                <w:rPr>
                  <w:rFonts w:ascii="Cambria Math" w:hAnsi="Cambria Math" w:cs="Arial"/>
                  <w:sz w:val="22"/>
                  <w:szCs w:val="22"/>
                </w:rPr>
                <m:t>t</m:t>
              </m:r>
            </m:e>
            <m:sub>
              <m:r>
                <w:rPr>
                  <w:rFonts w:ascii="Cambria Math" w:hAnsi="Cambria Math" w:cs="Arial"/>
                  <w:sz w:val="22"/>
                  <w:szCs w:val="22"/>
                </w:rPr>
                <m:t>1/2</m:t>
              </m:r>
            </m:sub>
          </m:sSub>
          <m:r>
            <w:rPr>
              <w:rFonts w:ascii="Cambria Math" w:hAnsi="Cambria Math" w:cs="Arial"/>
              <w:sz w:val="22"/>
              <w:szCs w:val="22"/>
            </w:rPr>
            <m:t xml:space="preserve">= </m:t>
          </m:r>
          <m:f>
            <m:fPr>
              <m:ctrlPr>
                <w:rPr>
                  <w:rFonts w:ascii="Cambria Math" w:hAnsi="Cambria Math" w:cs="Arial"/>
                  <w:bCs/>
                  <w:i/>
                  <w:sz w:val="22"/>
                  <w:szCs w:val="22"/>
                </w:rPr>
              </m:ctrlPr>
            </m:fPr>
            <m:num>
              <m:r>
                <w:rPr>
                  <w:rFonts w:ascii="Cambria Math" w:hAnsi="Cambria Math" w:cs="Arial"/>
                  <w:sz w:val="22"/>
                  <w:szCs w:val="22"/>
                </w:rPr>
                <m:t>ln2</m:t>
              </m:r>
            </m:num>
            <m:den>
              <m:sSub>
                <m:sSubPr>
                  <m:ctrlPr>
                    <w:rPr>
                      <w:rFonts w:ascii="Cambria Math" w:hAnsi="Cambria Math" w:cs="Arial"/>
                      <w:bCs/>
                      <w:i/>
                      <w:sz w:val="22"/>
                      <w:szCs w:val="22"/>
                    </w:rPr>
                  </m:ctrlPr>
                </m:sSubPr>
                <m:e>
                  <m:r>
                    <w:rPr>
                      <w:rFonts w:ascii="Cambria Math" w:hAnsi="Cambria Math" w:cs="Arial"/>
                      <w:sz w:val="22"/>
                      <w:szCs w:val="22"/>
                    </w:rPr>
                    <m:t>λ</m:t>
                  </m:r>
                </m:e>
                <m:sub>
                  <m:r>
                    <w:rPr>
                      <w:rFonts w:ascii="Cambria Math" w:hAnsi="Cambria Math" w:cs="Arial"/>
                      <w:sz w:val="22"/>
                      <w:szCs w:val="22"/>
                    </w:rPr>
                    <m:t>Z</m:t>
                  </m:r>
                </m:sub>
              </m:sSub>
            </m:den>
          </m:f>
        </m:oMath>
      </m:oMathPara>
    </w:p>
    <w:p w14:paraId="5DE5910C"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i/>
          <w:iCs/>
          <w:sz w:val="22"/>
          <w:szCs w:val="22"/>
        </w:rPr>
        <w:t>LLOQ</w:t>
      </w:r>
      <w:r w:rsidRPr="00D2367C">
        <w:rPr>
          <w:rFonts w:ascii="Arial" w:hAnsi="Arial" w:cs="Arial"/>
          <w:bCs/>
          <w:sz w:val="22"/>
          <w:szCs w:val="22"/>
        </w:rPr>
        <w:t xml:space="preserve"> lower limit of quantification, </w:t>
      </w:r>
      <w:r w:rsidRPr="00D2367C">
        <w:rPr>
          <w:rFonts w:ascii="Arial" w:hAnsi="Arial" w:cs="Arial"/>
          <w:bCs/>
          <w:i/>
          <w:iCs/>
          <w:sz w:val="22"/>
          <w:szCs w:val="22"/>
        </w:rPr>
        <w:t>λ</w:t>
      </w:r>
      <w:r w:rsidRPr="00D2367C">
        <w:rPr>
          <w:rFonts w:ascii="Arial" w:hAnsi="Arial" w:cs="Arial"/>
          <w:bCs/>
          <w:i/>
          <w:iCs/>
          <w:sz w:val="22"/>
          <w:szCs w:val="22"/>
          <w:vertAlign w:val="subscript"/>
        </w:rPr>
        <w:t>Z</w:t>
      </w:r>
      <w:r w:rsidRPr="00D2367C">
        <w:rPr>
          <w:rFonts w:ascii="Arial" w:hAnsi="Arial" w:cs="Arial"/>
          <w:bCs/>
          <w:sz w:val="22"/>
          <w:szCs w:val="22"/>
        </w:rPr>
        <w:t xml:space="preserve"> apparent terminal rate constant, calculated from the last slope of a log-linear regression of the unweighted data considering the last concentration-time points &gt;LLOQ</w:t>
      </w:r>
    </w:p>
    <w:p w14:paraId="4AFA5944"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Accumulation ratio calculated from AUCt (R</w:t>
      </w:r>
      <w:r w:rsidRPr="00D2367C">
        <w:rPr>
          <w:rFonts w:ascii="Arial" w:hAnsi="Arial" w:cs="Arial"/>
          <w:bCs/>
          <w:sz w:val="22"/>
          <w:szCs w:val="22"/>
          <w:vertAlign w:val="subscript"/>
        </w:rPr>
        <w:t>A</w:t>
      </w:r>
      <w:r w:rsidRPr="00D2367C">
        <w:rPr>
          <w:rFonts w:ascii="Arial" w:hAnsi="Arial" w:cs="Arial"/>
          <w:bCs/>
          <w:sz w:val="22"/>
          <w:szCs w:val="22"/>
        </w:rPr>
        <w:t>AUC) after multiple dosing (md) and single dosing (sd) during planned dosing interval t:</w:t>
      </w:r>
    </w:p>
    <w:p w14:paraId="013F72BA" w14:textId="77777777" w:rsidR="007E4871" w:rsidRPr="00D2367C" w:rsidRDefault="00575425" w:rsidP="007E4871">
      <w:pPr>
        <w:pStyle w:val="EndNoteBibliography"/>
        <w:spacing w:before="100" w:beforeAutospacing="1" w:after="120" w:line="480" w:lineRule="auto"/>
        <w:ind w:left="720" w:hanging="720"/>
        <w:rPr>
          <w:rFonts w:ascii="Arial" w:hAnsi="Arial" w:cs="Arial"/>
          <w:bCs/>
          <w:sz w:val="22"/>
          <w:szCs w:val="22"/>
        </w:rPr>
      </w:pPr>
      <m:oMathPara>
        <m:oMath>
          <m:sSub>
            <m:sSubPr>
              <m:ctrlPr>
                <w:rPr>
                  <w:rFonts w:ascii="Cambria Math" w:hAnsi="Cambria Math" w:cs="Arial"/>
                  <w:bCs/>
                  <w:i/>
                  <w:sz w:val="22"/>
                  <w:szCs w:val="22"/>
                </w:rPr>
              </m:ctrlPr>
            </m:sSubPr>
            <m:e>
              <m:r>
                <w:rPr>
                  <w:rFonts w:ascii="Cambria Math" w:hAnsi="Cambria Math" w:cs="Arial"/>
                  <w:sz w:val="22"/>
                  <w:szCs w:val="22"/>
                </w:rPr>
                <m:t>R</m:t>
              </m:r>
            </m:e>
            <m:sub>
              <m:r>
                <w:rPr>
                  <w:rFonts w:ascii="Cambria Math" w:hAnsi="Cambria Math" w:cs="Arial"/>
                  <w:sz w:val="22"/>
                  <w:szCs w:val="22"/>
                </w:rPr>
                <m:t>A</m:t>
              </m:r>
            </m:sub>
          </m:sSub>
          <m:r>
            <w:rPr>
              <w:rFonts w:ascii="Cambria Math" w:hAnsi="Cambria Math" w:cs="Arial"/>
              <w:sz w:val="22"/>
              <w:szCs w:val="22"/>
            </w:rPr>
            <m:t xml:space="preserve">AUC= </m:t>
          </m:r>
          <m:f>
            <m:fPr>
              <m:ctrlPr>
                <w:rPr>
                  <w:rFonts w:ascii="Cambria Math" w:hAnsi="Cambria Math" w:cs="Arial"/>
                  <w:bCs/>
                  <w:i/>
                  <w:sz w:val="22"/>
                  <w:szCs w:val="22"/>
                </w:rPr>
              </m:ctrlPr>
            </m:fPr>
            <m:num>
              <m:sSub>
                <m:sSubPr>
                  <m:ctrlPr>
                    <w:rPr>
                      <w:rFonts w:ascii="Cambria Math" w:hAnsi="Cambria Math" w:cs="Arial"/>
                      <w:bCs/>
                      <w:i/>
                      <w:sz w:val="22"/>
                      <w:szCs w:val="22"/>
                    </w:rPr>
                  </m:ctrlPr>
                </m:sSubPr>
                <m:e>
                  <m:r>
                    <w:rPr>
                      <w:rFonts w:ascii="Cambria Math" w:hAnsi="Cambria Math" w:cs="Arial"/>
                      <w:sz w:val="22"/>
                      <w:szCs w:val="22"/>
                    </w:rPr>
                    <m:t>AUC</m:t>
                  </m:r>
                </m:e>
                <m:sub>
                  <m:r>
                    <w:rPr>
                      <w:rFonts w:ascii="Cambria Math" w:hAnsi="Cambria Math" w:cs="Arial"/>
                      <w:sz w:val="22"/>
                      <w:szCs w:val="22"/>
                    </w:rPr>
                    <m:t>τ,md</m:t>
                  </m:r>
                </m:sub>
              </m:sSub>
            </m:num>
            <m:den>
              <m:sSub>
                <m:sSubPr>
                  <m:ctrlPr>
                    <w:rPr>
                      <w:rFonts w:ascii="Cambria Math" w:hAnsi="Cambria Math" w:cs="Arial"/>
                      <w:bCs/>
                      <w:i/>
                      <w:sz w:val="22"/>
                      <w:szCs w:val="22"/>
                    </w:rPr>
                  </m:ctrlPr>
                </m:sSubPr>
                <m:e>
                  <m:r>
                    <w:rPr>
                      <w:rFonts w:ascii="Cambria Math" w:hAnsi="Cambria Math" w:cs="Arial"/>
                      <w:sz w:val="22"/>
                      <w:szCs w:val="22"/>
                    </w:rPr>
                    <m:t>AUC</m:t>
                  </m:r>
                </m:e>
                <m:sub>
                  <m:r>
                    <w:rPr>
                      <w:rFonts w:ascii="Cambria Math" w:hAnsi="Cambria Math" w:cs="Arial"/>
                      <w:sz w:val="22"/>
                      <w:szCs w:val="22"/>
                    </w:rPr>
                    <m:t>τ.sd</m:t>
                  </m:r>
                </m:sub>
              </m:sSub>
            </m:den>
          </m:f>
        </m:oMath>
      </m:oMathPara>
    </w:p>
    <w:p w14:paraId="7A21080F"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i/>
          <w:iCs/>
          <w:sz w:val="22"/>
          <w:szCs w:val="22"/>
        </w:rPr>
        <w:t>AUCt</w:t>
      </w:r>
      <w:r w:rsidRPr="00D2367C">
        <w:rPr>
          <w:rFonts w:ascii="Arial" w:hAnsi="Arial" w:cs="Arial"/>
          <w:bCs/>
          <w:sz w:val="22"/>
          <w:szCs w:val="22"/>
        </w:rPr>
        <w:t xml:space="preserve"> area under the concentration–time curve for the planned dose interval after the single (first) dose, </w:t>
      </w:r>
      <w:r w:rsidRPr="00D2367C">
        <w:rPr>
          <w:rFonts w:ascii="Arial" w:hAnsi="Arial" w:cs="Arial"/>
          <w:bCs/>
          <w:i/>
          <w:iCs/>
          <w:sz w:val="22"/>
          <w:szCs w:val="22"/>
        </w:rPr>
        <w:t>md</w:t>
      </w:r>
      <w:r w:rsidRPr="00D2367C">
        <w:rPr>
          <w:rFonts w:ascii="Arial" w:hAnsi="Arial" w:cs="Arial"/>
          <w:bCs/>
          <w:sz w:val="22"/>
          <w:szCs w:val="22"/>
        </w:rPr>
        <w:t xml:space="preserve"> multiple dose, </w:t>
      </w:r>
      <w:r w:rsidRPr="00D2367C">
        <w:rPr>
          <w:rFonts w:ascii="Arial" w:hAnsi="Arial" w:cs="Arial"/>
          <w:bCs/>
          <w:i/>
          <w:iCs/>
          <w:sz w:val="22"/>
          <w:szCs w:val="22"/>
        </w:rPr>
        <w:t>sd</w:t>
      </w:r>
      <w:r w:rsidRPr="00D2367C">
        <w:rPr>
          <w:rFonts w:ascii="Arial" w:hAnsi="Arial" w:cs="Arial"/>
          <w:bCs/>
          <w:sz w:val="22"/>
          <w:szCs w:val="22"/>
        </w:rPr>
        <w:t xml:space="preserve"> single dose and also first dose in a multiple-dose study</w:t>
      </w:r>
    </w:p>
    <w:p w14:paraId="603F1405"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Accumulation ratio calculated from maximum plasma concentration (C</w:t>
      </w:r>
      <w:r w:rsidRPr="00D2367C">
        <w:rPr>
          <w:rFonts w:ascii="Arial" w:hAnsi="Arial" w:cs="Arial"/>
          <w:bCs/>
          <w:sz w:val="22"/>
          <w:szCs w:val="22"/>
          <w:vertAlign w:val="subscript"/>
        </w:rPr>
        <w:t>max</w:t>
      </w:r>
      <w:r w:rsidRPr="00D2367C">
        <w:rPr>
          <w:rFonts w:ascii="Arial" w:hAnsi="Arial" w:cs="Arial"/>
          <w:bCs/>
          <w:sz w:val="22"/>
          <w:szCs w:val="22"/>
        </w:rPr>
        <w:t>) after multiple dosing and C</w:t>
      </w:r>
      <w:r w:rsidRPr="00D2367C">
        <w:rPr>
          <w:rFonts w:ascii="Arial" w:hAnsi="Arial" w:cs="Arial"/>
          <w:bCs/>
          <w:sz w:val="22"/>
          <w:szCs w:val="22"/>
          <w:vertAlign w:val="subscript"/>
        </w:rPr>
        <w:t>max</w:t>
      </w:r>
      <w:r w:rsidRPr="00D2367C">
        <w:rPr>
          <w:rFonts w:ascii="Arial" w:hAnsi="Arial" w:cs="Arial"/>
          <w:bCs/>
          <w:sz w:val="22"/>
          <w:szCs w:val="22"/>
        </w:rPr>
        <w:t xml:space="preserve"> during planned t after single dose:</w:t>
      </w:r>
    </w:p>
    <w:p w14:paraId="6EEFF0D6" w14:textId="77777777" w:rsidR="007E4871" w:rsidRPr="00D2367C" w:rsidRDefault="00575425" w:rsidP="007E4871">
      <w:pPr>
        <w:pStyle w:val="EndNoteBibliography"/>
        <w:spacing w:before="100" w:beforeAutospacing="1" w:after="120" w:line="480" w:lineRule="auto"/>
        <w:ind w:left="720" w:hanging="720"/>
        <w:rPr>
          <w:rFonts w:ascii="Arial" w:hAnsi="Arial" w:cs="Arial"/>
          <w:bCs/>
          <w:sz w:val="22"/>
          <w:szCs w:val="22"/>
        </w:rPr>
      </w:pPr>
      <m:oMathPara>
        <m:oMath>
          <m:sSub>
            <m:sSubPr>
              <m:ctrlPr>
                <w:rPr>
                  <w:rFonts w:ascii="Cambria Math" w:hAnsi="Cambria Math" w:cs="Arial"/>
                  <w:bCs/>
                  <w:i/>
                  <w:sz w:val="22"/>
                  <w:szCs w:val="22"/>
                </w:rPr>
              </m:ctrlPr>
            </m:sSubPr>
            <m:e>
              <m:r>
                <w:rPr>
                  <w:rFonts w:ascii="Cambria Math" w:hAnsi="Cambria Math" w:cs="Arial"/>
                  <w:sz w:val="22"/>
                  <w:szCs w:val="22"/>
                </w:rPr>
                <m:t>R</m:t>
              </m:r>
            </m:e>
            <m:sub>
              <m:r>
                <w:rPr>
                  <w:rFonts w:ascii="Cambria Math" w:hAnsi="Cambria Math" w:cs="Arial"/>
                  <w:sz w:val="22"/>
                  <w:szCs w:val="22"/>
                </w:rPr>
                <m:t>A</m:t>
              </m:r>
            </m:sub>
          </m:sSub>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max</m:t>
              </m:r>
            </m:sub>
          </m:sSub>
          <m:r>
            <w:rPr>
              <w:rFonts w:ascii="Cambria Math" w:hAnsi="Cambria Math" w:cs="Arial"/>
              <w:sz w:val="22"/>
              <w:szCs w:val="22"/>
            </w:rPr>
            <m:t xml:space="preserve">= </m:t>
          </m:r>
          <m:f>
            <m:fPr>
              <m:ctrlPr>
                <w:rPr>
                  <w:rFonts w:ascii="Cambria Math" w:hAnsi="Cambria Math" w:cs="Arial"/>
                  <w:bCs/>
                  <w:i/>
                  <w:sz w:val="22"/>
                  <w:szCs w:val="22"/>
                </w:rPr>
              </m:ctrlPr>
            </m:fPr>
            <m:num>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max,md</m:t>
                  </m:r>
                </m:sub>
              </m:sSub>
            </m:num>
            <m:den>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max,sd</m:t>
                  </m:r>
                </m:sub>
              </m:sSub>
            </m:den>
          </m:f>
        </m:oMath>
      </m:oMathPara>
    </w:p>
    <w:p w14:paraId="05F72699"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i/>
          <w:iCs/>
          <w:sz w:val="22"/>
          <w:szCs w:val="22"/>
        </w:rPr>
        <w:t>C</w:t>
      </w:r>
      <w:r w:rsidRPr="00D2367C">
        <w:rPr>
          <w:rFonts w:ascii="Arial" w:hAnsi="Arial" w:cs="Arial"/>
          <w:bCs/>
          <w:i/>
          <w:iCs/>
          <w:sz w:val="22"/>
          <w:szCs w:val="22"/>
          <w:vertAlign w:val="subscript"/>
        </w:rPr>
        <w:t>max</w:t>
      </w:r>
      <w:r w:rsidRPr="00D2367C">
        <w:rPr>
          <w:rFonts w:ascii="Arial" w:hAnsi="Arial" w:cs="Arial"/>
          <w:bCs/>
          <w:i/>
          <w:iCs/>
          <w:sz w:val="22"/>
          <w:szCs w:val="22"/>
        </w:rPr>
        <w:t xml:space="preserve"> </w:t>
      </w:r>
      <w:r w:rsidRPr="00D2367C">
        <w:rPr>
          <w:rFonts w:ascii="Arial" w:hAnsi="Arial" w:cs="Arial"/>
          <w:bCs/>
          <w:sz w:val="22"/>
          <w:szCs w:val="22"/>
        </w:rPr>
        <w:t xml:space="preserve">maximum drug concentration, </w:t>
      </w:r>
      <w:r w:rsidRPr="00D2367C">
        <w:rPr>
          <w:rFonts w:ascii="Arial" w:hAnsi="Arial" w:cs="Arial"/>
          <w:bCs/>
          <w:i/>
          <w:iCs/>
          <w:sz w:val="22"/>
          <w:szCs w:val="22"/>
        </w:rPr>
        <w:t>md</w:t>
      </w:r>
      <w:r w:rsidRPr="00D2367C">
        <w:rPr>
          <w:rFonts w:ascii="Arial" w:hAnsi="Arial" w:cs="Arial"/>
          <w:bCs/>
          <w:sz w:val="22"/>
          <w:szCs w:val="22"/>
        </w:rPr>
        <w:t xml:space="preserve"> multiple dose, </w:t>
      </w:r>
      <w:r w:rsidRPr="00D2367C">
        <w:rPr>
          <w:rFonts w:ascii="Arial" w:hAnsi="Arial" w:cs="Arial"/>
          <w:bCs/>
          <w:i/>
          <w:iCs/>
          <w:sz w:val="22"/>
          <w:szCs w:val="22"/>
        </w:rPr>
        <w:t>sd</w:t>
      </w:r>
      <w:r w:rsidRPr="00D2367C">
        <w:rPr>
          <w:rFonts w:ascii="Arial" w:hAnsi="Arial" w:cs="Arial"/>
          <w:bCs/>
          <w:sz w:val="22"/>
          <w:szCs w:val="22"/>
        </w:rPr>
        <w:t xml:space="preserve"> single dose and also first dose in a multiple-dose study </w:t>
      </w:r>
    </w:p>
    <w:p w14:paraId="759081F0"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Accumulation ratio calculated from trough plasma concentration (C</w:t>
      </w:r>
      <w:r w:rsidRPr="00D2367C">
        <w:rPr>
          <w:rFonts w:ascii="Arial" w:hAnsi="Arial" w:cs="Arial"/>
          <w:bCs/>
          <w:sz w:val="22"/>
          <w:szCs w:val="22"/>
          <w:vertAlign w:val="subscript"/>
        </w:rPr>
        <w:t>trough</w:t>
      </w:r>
      <w:r w:rsidRPr="00D2367C">
        <w:rPr>
          <w:rFonts w:ascii="Arial" w:hAnsi="Arial" w:cs="Arial"/>
          <w:bCs/>
          <w:sz w:val="22"/>
          <w:szCs w:val="22"/>
        </w:rPr>
        <w:t>) after multiple dosing and C</w:t>
      </w:r>
      <w:r w:rsidRPr="00D2367C">
        <w:rPr>
          <w:rFonts w:ascii="Arial" w:hAnsi="Arial" w:cs="Arial"/>
          <w:bCs/>
          <w:sz w:val="22"/>
          <w:szCs w:val="22"/>
          <w:vertAlign w:val="subscript"/>
        </w:rPr>
        <w:t>trough</w:t>
      </w:r>
      <w:r w:rsidRPr="00D2367C">
        <w:rPr>
          <w:rFonts w:ascii="Arial" w:hAnsi="Arial" w:cs="Arial"/>
          <w:bCs/>
          <w:sz w:val="22"/>
          <w:szCs w:val="22"/>
        </w:rPr>
        <w:t xml:space="preserve"> during planned τ after single dose:</w:t>
      </w:r>
    </w:p>
    <w:p w14:paraId="43D5C388" w14:textId="77777777" w:rsidR="007E4871" w:rsidRPr="00D2367C" w:rsidRDefault="00575425" w:rsidP="007E4871">
      <w:pPr>
        <w:pStyle w:val="EndNoteBibliography"/>
        <w:spacing w:before="100" w:beforeAutospacing="1" w:after="120" w:line="480" w:lineRule="auto"/>
        <w:ind w:left="720" w:hanging="720"/>
        <w:rPr>
          <w:rFonts w:ascii="Arial" w:hAnsi="Arial" w:cs="Arial"/>
          <w:bCs/>
          <w:sz w:val="22"/>
          <w:szCs w:val="22"/>
        </w:rPr>
      </w:pPr>
      <m:oMathPara>
        <m:oMath>
          <m:sSub>
            <m:sSubPr>
              <m:ctrlPr>
                <w:rPr>
                  <w:rFonts w:ascii="Cambria Math" w:hAnsi="Cambria Math" w:cs="Arial"/>
                  <w:bCs/>
                  <w:i/>
                  <w:sz w:val="22"/>
                  <w:szCs w:val="22"/>
                </w:rPr>
              </m:ctrlPr>
            </m:sSubPr>
            <m:e>
              <m:r>
                <w:rPr>
                  <w:rFonts w:ascii="Cambria Math" w:hAnsi="Cambria Math" w:cs="Arial"/>
                  <w:sz w:val="22"/>
                  <w:szCs w:val="22"/>
                </w:rPr>
                <m:t>R</m:t>
              </m:r>
            </m:e>
            <m:sub>
              <m:r>
                <w:rPr>
                  <w:rFonts w:ascii="Cambria Math" w:hAnsi="Cambria Math" w:cs="Arial"/>
                  <w:sz w:val="22"/>
                  <w:szCs w:val="22"/>
                </w:rPr>
                <m:t>A</m:t>
              </m:r>
            </m:sub>
          </m:sSub>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trough</m:t>
              </m:r>
            </m:sub>
          </m:sSub>
          <m:r>
            <w:rPr>
              <w:rFonts w:ascii="Cambria Math" w:hAnsi="Cambria Math" w:cs="Arial"/>
              <w:sz w:val="22"/>
              <w:szCs w:val="22"/>
            </w:rPr>
            <m:t xml:space="preserve">= </m:t>
          </m:r>
          <m:f>
            <m:fPr>
              <m:ctrlPr>
                <w:rPr>
                  <w:rFonts w:ascii="Cambria Math" w:hAnsi="Cambria Math" w:cs="Arial"/>
                  <w:bCs/>
                  <w:i/>
                  <w:sz w:val="22"/>
                  <w:szCs w:val="22"/>
                </w:rPr>
              </m:ctrlPr>
            </m:fPr>
            <m:num>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trough,md</m:t>
                  </m:r>
                </m:sub>
              </m:sSub>
            </m:num>
            <m:den>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trough,sd</m:t>
                  </m:r>
                </m:sub>
              </m:sSub>
            </m:den>
          </m:f>
        </m:oMath>
      </m:oMathPara>
    </w:p>
    <w:p w14:paraId="7ABB0F3F"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i/>
          <w:iCs/>
          <w:sz w:val="22"/>
          <w:szCs w:val="22"/>
        </w:rPr>
        <w:t>C</w:t>
      </w:r>
      <w:r w:rsidRPr="00D2367C">
        <w:rPr>
          <w:rFonts w:ascii="Arial" w:hAnsi="Arial" w:cs="Arial"/>
          <w:bCs/>
          <w:i/>
          <w:iCs/>
          <w:sz w:val="22"/>
          <w:szCs w:val="22"/>
          <w:vertAlign w:val="subscript"/>
        </w:rPr>
        <w:t>trough</w:t>
      </w:r>
      <w:r w:rsidRPr="00D2367C">
        <w:rPr>
          <w:rFonts w:ascii="Arial" w:hAnsi="Arial" w:cs="Arial"/>
          <w:bCs/>
          <w:i/>
          <w:iCs/>
          <w:sz w:val="22"/>
          <w:szCs w:val="22"/>
        </w:rPr>
        <w:t xml:space="preserve"> </w:t>
      </w:r>
      <w:r w:rsidRPr="00D2367C">
        <w:rPr>
          <w:rFonts w:ascii="Arial" w:hAnsi="Arial" w:cs="Arial"/>
          <w:bCs/>
          <w:sz w:val="22"/>
          <w:szCs w:val="22"/>
        </w:rPr>
        <w:t xml:space="preserve">drug concentration at the end of a dosing interval, </w:t>
      </w:r>
      <w:r w:rsidRPr="00D2367C">
        <w:rPr>
          <w:rFonts w:ascii="Arial" w:hAnsi="Arial" w:cs="Arial"/>
          <w:bCs/>
          <w:i/>
          <w:iCs/>
          <w:sz w:val="22"/>
          <w:szCs w:val="22"/>
        </w:rPr>
        <w:t>md</w:t>
      </w:r>
      <w:r w:rsidRPr="00D2367C">
        <w:rPr>
          <w:rFonts w:ascii="Arial" w:hAnsi="Arial" w:cs="Arial"/>
          <w:bCs/>
          <w:sz w:val="22"/>
          <w:szCs w:val="22"/>
        </w:rPr>
        <w:t xml:space="preserve"> multiple dose, </w:t>
      </w:r>
      <w:r w:rsidRPr="00D2367C">
        <w:rPr>
          <w:rFonts w:ascii="Arial" w:hAnsi="Arial" w:cs="Arial"/>
          <w:bCs/>
          <w:i/>
          <w:iCs/>
          <w:sz w:val="22"/>
          <w:szCs w:val="22"/>
        </w:rPr>
        <w:t>sd</w:t>
      </w:r>
      <w:r w:rsidRPr="00D2367C">
        <w:rPr>
          <w:rFonts w:ascii="Arial" w:hAnsi="Arial" w:cs="Arial"/>
          <w:bCs/>
          <w:sz w:val="22"/>
          <w:szCs w:val="22"/>
        </w:rPr>
        <w:t xml:space="preserve"> single dose and also first dose in a multiple-dose study </w:t>
      </w:r>
    </w:p>
    <w:p w14:paraId="7544D1BB"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Linearity factor (R</w:t>
      </w:r>
      <w:r w:rsidRPr="00D2367C">
        <w:rPr>
          <w:rFonts w:ascii="Arial" w:hAnsi="Arial" w:cs="Arial"/>
          <w:bCs/>
          <w:sz w:val="22"/>
          <w:szCs w:val="22"/>
          <w:vertAlign w:val="subscript"/>
        </w:rPr>
        <w:t>LIN</w:t>
      </w:r>
      <w:r w:rsidRPr="00D2367C">
        <w:rPr>
          <w:rFonts w:ascii="Arial" w:hAnsi="Arial" w:cs="Arial"/>
          <w:bCs/>
          <w:sz w:val="22"/>
          <w:szCs w:val="22"/>
        </w:rPr>
        <w:t>) of pharmacokinetics after repeated administration of identical doses calculated as ratio of AUCτ after multiple dosing and AUC after single dosing:</w:t>
      </w:r>
    </w:p>
    <w:p w14:paraId="6C2ED7DC" w14:textId="77777777" w:rsidR="007E4871" w:rsidRPr="00D2367C" w:rsidRDefault="00575425" w:rsidP="007E4871">
      <w:pPr>
        <w:pStyle w:val="EndNoteBibliography"/>
        <w:spacing w:before="100" w:beforeAutospacing="1" w:after="120" w:line="480" w:lineRule="auto"/>
        <w:ind w:left="720" w:hanging="720"/>
        <w:rPr>
          <w:rFonts w:ascii="Arial" w:hAnsi="Arial" w:cs="Arial"/>
          <w:bCs/>
          <w:sz w:val="22"/>
          <w:szCs w:val="22"/>
        </w:rPr>
      </w:pPr>
      <m:oMathPara>
        <m:oMath>
          <m:sSub>
            <m:sSubPr>
              <m:ctrlPr>
                <w:rPr>
                  <w:rFonts w:ascii="Cambria Math" w:hAnsi="Cambria Math" w:cs="Arial"/>
                  <w:bCs/>
                  <w:i/>
                  <w:sz w:val="22"/>
                  <w:szCs w:val="22"/>
                </w:rPr>
              </m:ctrlPr>
            </m:sSubPr>
            <m:e>
              <m:r>
                <w:rPr>
                  <w:rFonts w:ascii="Cambria Math" w:hAnsi="Cambria Math" w:cs="Arial"/>
                  <w:sz w:val="22"/>
                  <w:szCs w:val="22"/>
                </w:rPr>
                <m:t>R</m:t>
              </m:r>
            </m:e>
            <m:sub>
              <m:r>
                <w:rPr>
                  <w:rFonts w:ascii="Cambria Math" w:hAnsi="Cambria Math" w:cs="Arial"/>
                  <w:sz w:val="22"/>
                  <w:szCs w:val="22"/>
                </w:rPr>
                <m:t>LIN</m:t>
              </m:r>
            </m:sub>
          </m:sSub>
          <m:r>
            <w:rPr>
              <w:rFonts w:ascii="Cambria Math" w:hAnsi="Cambria Math" w:cs="Arial"/>
              <w:sz w:val="22"/>
              <w:szCs w:val="22"/>
            </w:rPr>
            <m:t xml:space="preserve">= </m:t>
          </m:r>
          <m:f>
            <m:fPr>
              <m:ctrlPr>
                <w:rPr>
                  <w:rFonts w:ascii="Cambria Math" w:hAnsi="Cambria Math" w:cs="Arial"/>
                  <w:bCs/>
                  <w:i/>
                  <w:sz w:val="22"/>
                  <w:szCs w:val="22"/>
                </w:rPr>
              </m:ctrlPr>
            </m:fPr>
            <m:num>
              <m:r>
                <w:rPr>
                  <w:rFonts w:ascii="Cambria Math" w:hAnsi="Cambria Math" w:cs="Arial"/>
                  <w:sz w:val="22"/>
                  <w:szCs w:val="22"/>
                </w:rPr>
                <m:t>AU</m:t>
              </m:r>
              <m:sSub>
                <m:sSubPr>
                  <m:ctrlPr>
                    <w:rPr>
                      <w:rFonts w:ascii="Cambria Math" w:hAnsi="Cambria Math" w:cs="Arial"/>
                      <w:bCs/>
                      <w:i/>
                      <w:sz w:val="22"/>
                      <w:szCs w:val="22"/>
                    </w:rPr>
                  </m:ctrlPr>
                </m:sSubPr>
                <m:e>
                  <m:r>
                    <w:rPr>
                      <w:rFonts w:ascii="Cambria Math" w:hAnsi="Cambria Math" w:cs="Arial"/>
                      <w:sz w:val="22"/>
                      <w:szCs w:val="22"/>
                    </w:rPr>
                    <m:t>C</m:t>
                  </m:r>
                </m:e>
                <m:sub>
                  <m:r>
                    <w:rPr>
                      <w:rFonts w:ascii="Cambria Math" w:hAnsi="Cambria Math" w:cs="Arial"/>
                      <w:sz w:val="22"/>
                      <w:szCs w:val="22"/>
                    </w:rPr>
                    <m:t>τ,md</m:t>
                  </m:r>
                </m:sub>
              </m:sSub>
            </m:num>
            <m:den>
              <m:sSub>
                <m:sSubPr>
                  <m:ctrlPr>
                    <w:rPr>
                      <w:rFonts w:ascii="Cambria Math" w:hAnsi="Cambria Math" w:cs="Arial"/>
                      <w:bCs/>
                      <w:i/>
                      <w:sz w:val="22"/>
                      <w:szCs w:val="22"/>
                    </w:rPr>
                  </m:ctrlPr>
                </m:sSubPr>
                <m:e>
                  <m:r>
                    <w:rPr>
                      <w:rFonts w:ascii="Cambria Math" w:hAnsi="Cambria Math" w:cs="Arial"/>
                      <w:sz w:val="22"/>
                      <w:szCs w:val="22"/>
                    </w:rPr>
                    <m:t>AUC</m:t>
                  </m:r>
                </m:e>
                <m:sub>
                  <m:r>
                    <w:rPr>
                      <w:rFonts w:ascii="Cambria Math" w:hAnsi="Cambria Math" w:cs="Arial"/>
                      <w:sz w:val="22"/>
                      <w:szCs w:val="22"/>
                    </w:rPr>
                    <m:t>sd</m:t>
                  </m:r>
                </m:sub>
              </m:sSub>
            </m:den>
          </m:f>
        </m:oMath>
      </m:oMathPara>
    </w:p>
    <w:p w14:paraId="5C1C0689"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i/>
          <w:iCs/>
          <w:sz w:val="22"/>
          <w:szCs w:val="22"/>
        </w:rPr>
        <w:t>AUC</w:t>
      </w:r>
      <w:r w:rsidRPr="00D2367C">
        <w:rPr>
          <w:rFonts w:ascii="Arial" w:hAnsi="Arial" w:cs="Arial"/>
          <w:bCs/>
          <w:sz w:val="22"/>
          <w:szCs w:val="22"/>
        </w:rPr>
        <w:t xml:space="preserve"> area under the concentration–time curve for the planned dose interval after the single (first) dose, </w:t>
      </w:r>
      <w:r w:rsidRPr="00D2367C">
        <w:rPr>
          <w:rFonts w:ascii="Arial" w:hAnsi="Arial" w:cs="Arial"/>
          <w:bCs/>
          <w:i/>
          <w:iCs/>
          <w:sz w:val="22"/>
          <w:szCs w:val="22"/>
        </w:rPr>
        <w:t>md</w:t>
      </w:r>
      <w:r w:rsidRPr="00D2367C">
        <w:rPr>
          <w:rFonts w:ascii="Arial" w:hAnsi="Arial" w:cs="Arial"/>
          <w:bCs/>
          <w:sz w:val="22"/>
          <w:szCs w:val="22"/>
        </w:rPr>
        <w:t xml:space="preserve"> multiple dose, </w:t>
      </w:r>
      <w:r w:rsidRPr="00D2367C">
        <w:rPr>
          <w:rFonts w:ascii="Arial" w:hAnsi="Arial" w:cs="Arial"/>
          <w:bCs/>
          <w:i/>
          <w:iCs/>
          <w:sz w:val="22"/>
          <w:szCs w:val="22"/>
        </w:rPr>
        <w:t>sd</w:t>
      </w:r>
      <w:r w:rsidRPr="00D2367C">
        <w:rPr>
          <w:rFonts w:ascii="Arial" w:hAnsi="Arial" w:cs="Arial"/>
          <w:bCs/>
          <w:sz w:val="22"/>
          <w:szCs w:val="22"/>
        </w:rPr>
        <w:t xml:space="preserve"> single dose and also first dose in a multiple-dose study</w:t>
      </w:r>
    </w:p>
    <w:p w14:paraId="3A339A19"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r w:rsidRPr="00D2367C">
        <w:rPr>
          <w:rFonts w:ascii="Arial" w:hAnsi="Arial" w:cs="Arial"/>
          <w:b/>
          <w:sz w:val="22"/>
          <w:szCs w:val="22"/>
        </w:rPr>
        <w:t>5</w:t>
      </w:r>
      <w:r w:rsidRPr="00D2367C">
        <w:rPr>
          <w:rFonts w:ascii="Arial" w:hAnsi="Arial" w:cs="Arial"/>
          <w:b/>
          <w:sz w:val="22"/>
          <w:szCs w:val="22"/>
        </w:rPr>
        <w:tab/>
        <w:t>Bioanalytical Methods</w:t>
      </w:r>
    </w:p>
    <w:p w14:paraId="68AB933C"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Quantitative analysis of mosliciguat in plasma (and in mouth rinse in Study 1) was performed using a fully validated high-performance liquid chromatography and tandem mass spectrometric detection (LC-MS/MS). For the mouth rinse analysis in inhalation groups using a charcoal block, participants gargled 200 mL of non-sparkling water immediately following inhalation and prior to ingesting 240 mL of water. The water used for the mouth rinse was collected and analyzed. The analyses were performed in compliance with the pertinent guidelines on Bioanalytical Method Validation .</w:t>
      </w:r>
    </w:p>
    <w:p w14:paraId="193C630E"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Concentrations of mosliciguat in plasma were determined after protein precipitation with acetonitrile (Study 1) or acetonitrile/formic acid (2%) 90/10 volume in volume (v/v) (Study 2) containing a stable isotope-labeled internal standard ([</w:t>
      </w:r>
      <w:r w:rsidRPr="00D2367C">
        <w:rPr>
          <w:rFonts w:ascii="Arial" w:hAnsi="Arial" w:cs="Arial"/>
          <w:bCs/>
          <w:sz w:val="22"/>
          <w:szCs w:val="22"/>
          <w:vertAlign w:val="superscript"/>
        </w:rPr>
        <w:t>13</w:t>
      </w:r>
      <w:r w:rsidRPr="00D2367C">
        <w:rPr>
          <w:rFonts w:ascii="Arial" w:hAnsi="Arial" w:cs="Arial"/>
          <w:bCs/>
          <w:sz w:val="22"/>
          <w:szCs w:val="22"/>
        </w:rPr>
        <w:t>C</w:t>
      </w:r>
      <w:r w:rsidRPr="00D2367C">
        <w:rPr>
          <w:rFonts w:ascii="Arial" w:hAnsi="Arial" w:cs="Arial"/>
          <w:bCs/>
          <w:sz w:val="22"/>
          <w:szCs w:val="22"/>
          <w:vertAlign w:val="subscript"/>
        </w:rPr>
        <w:t>6</w:t>
      </w:r>
      <w:r w:rsidRPr="00D2367C">
        <w:rPr>
          <w:rFonts w:ascii="Arial" w:hAnsi="Arial" w:cs="Arial"/>
          <w:bCs/>
          <w:sz w:val="22"/>
          <w:szCs w:val="22"/>
        </w:rPr>
        <w:t>,</w:t>
      </w:r>
      <w:r w:rsidRPr="00D2367C">
        <w:rPr>
          <w:rFonts w:ascii="Arial" w:hAnsi="Arial" w:cs="Arial"/>
          <w:bCs/>
          <w:sz w:val="22"/>
          <w:szCs w:val="22"/>
          <w:vertAlign w:val="superscript"/>
        </w:rPr>
        <w:t>2</w:t>
      </w:r>
      <w:r w:rsidRPr="00D2367C">
        <w:rPr>
          <w:rFonts w:ascii="Arial" w:hAnsi="Arial" w:cs="Arial"/>
          <w:bCs/>
          <w:sz w:val="22"/>
          <w:szCs w:val="22"/>
        </w:rPr>
        <w:t>H</w:t>
      </w:r>
      <w:r w:rsidRPr="00D2367C">
        <w:rPr>
          <w:rFonts w:ascii="Arial" w:hAnsi="Arial" w:cs="Arial"/>
          <w:bCs/>
          <w:sz w:val="22"/>
          <w:szCs w:val="22"/>
          <w:vertAlign w:val="subscript"/>
        </w:rPr>
        <w:t>3</w:t>
      </w:r>
      <w:r w:rsidRPr="00D2367C">
        <w:rPr>
          <w:rFonts w:ascii="Arial" w:hAnsi="Arial" w:cs="Arial"/>
          <w:bCs/>
          <w:sz w:val="22"/>
          <w:szCs w:val="22"/>
        </w:rPr>
        <w:t>]mosliciguat).</w:t>
      </w:r>
    </w:p>
    <w:p w14:paraId="3CB0C609"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In Study 1, the calibration range of the procedure for mosliciguat in plasma was from 50.0 ng/L (lower limit of quantification [LLOQ]) to 50,000 ng/L (upper limit of quantification [ULOQ]). Mean inter-assay accuracy of back-calculated concentrations (except LLOQ) in calibrators ranged between 99.2% and 101.0% and precision was ≤ 3.6%. Accuracy and precision at the lowest calibrator (LLOQ) were equal to 99.8% and 6.1%, respectively. Quality control (QC) samples in the concentration range 150–37,500 ng/L were determined with an accuracy of 98.0–105.0% and a precision of 2.2–4.2%. All samples were stored at</w:t>
      </w:r>
      <w:r w:rsidRPr="00D2367C">
        <w:rPr>
          <w:rFonts w:ascii="Arial" w:hAnsi="Arial" w:cs="Arial"/>
          <w:bCs/>
          <w:sz w:val="22"/>
          <w:szCs w:val="22"/>
        </w:rPr>
        <w:br/>
        <w:t xml:space="preserve">–85 (±10)°C and analyzed within 160 days after sampling. </w:t>
      </w:r>
    </w:p>
    <w:p w14:paraId="64AA18B7"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The calibration range of the procedure for mosliciguat in mouth rinse was from 10.0 (LLOQ) to 10,000 µg/L (ULOQ). Mean inter-assay accuracy of back-calculated concentrations (except LLOQ) in calibrators ranged between 89.9% and 104.8% and precision was ≤ 5.4%. Accuracy and precision at the lowest calibrator (LLOQ) were equal to 97.9% and 5.8%, respectively. QC samples in the concentration range 30–7500 µg/L were determined with an accuracy of 97.1–106.3% and a precision of 2.2–3.1%. All samples were stored at 85 (±10)°C and analyzed within 107 days after sampling.</w:t>
      </w:r>
    </w:p>
    <w:p w14:paraId="6C830F53"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In Study 2, the calibration range of the procedure for sequences 2018-BS-00053 and 2018-BS-00060 for mosliciguat in plasma was from 0.2 (LLOQ) to 1000 µg/L (ULOQ). For all other sequences, the linear range was 0.2–500 μg/L. QC samples in the concentration range 0.6–800 µg/L were determined with an accuracy of 86–102% and a precision of 3.1–8.8%. All samples were stored at or below –15°C and analyzed within 82 days after sampling.</w:t>
      </w:r>
    </w:p>
    <w:p w14:paraId="7AEFE41A" w14:textId="77777777" w:rsidR="007E4871" w:rsidRPr="00D2367C" w:rsidRDefault="007E4871" w:rsidP="007E4871">
      <w:pPr>
        <w:pStyle w:val="EndNoteBibliography"/>
        <w:spacing w:before="100" w:beforeAutospacing="1" w:after="120" w:line="480" w:lineRule="auto"/>
        <w:ind w:left="720" w:hanging="720"/>
        <w:rPr>
          <w:rFonts w:ascii="Arial" w:hAnsi="Arial" w:cs="Arial"/>
          <w:bCs/>
          <w:sz w:val="22"/>
          <w:szCs w:val="22"/>
        </w:rPr>
      </w:pPr>
      <w:r w:rsidRPr="00D2367C">
        <w:rPr>
          <w:rFonts w:ascii="Arial" w:hAnsi="Arial" w:cs="Arial"/>
          <w:bCs/>
          <w:sz w:val="22"/>
          <w:szCs w:val="22"/>
        </w:rPr>
        <w:t xml:space="preserve">In Study 3, mosliciguat was determined in plasma by high-performance liquid chromatography/mass spectrometry (HPLC/MS) with a calibration range of 0.05 (LLOQ) to 50 µg/L (ULOQ). All samples were stored at –85 (±10)°C throughout the study. QC samples in concentrations of 0.15, 2.0, and 37.5 µg/L were determined with a cumulative accuracy of 93.1–108.5% and a cumulative precision of ≤ 8.6%. Cumulative accuracy of back-calculated calibration samples was 92.8–105.2% with cumulative precision ≤ 8.8%. </w:t>
      </w:r>
    </w:p>
    <w:p w14:paraId="600EAA83" w14:textId="77777777" w:rsidR="007E4871" w:rsidRPr="00D2367C" w:rsidRDefault="007E4871" w:rsidP="007E4871">
      <w:pPr>
        <w:pStyle w:val="EndNoteBibliography"/>
        <w:spacing w:before="100" w:beforeAutospacing="1" w:after="120" w:line="480" w:lineRule="auto"/>
        <w:ind w:left="720" w:hanging="720"/>
        <w:rPr>
          <w:rFonts w:ascii="Arial" w:hAnsi="Arial" w:cs="Arial"/>
          <w:b/>
          <w:sz w:val="22"/>
          <w:szCs w:val="22"/>
        </w:rPr>
      </w:pPr>
      <w:r w:rsidRPr="00D2367C">
        <w:rPr>
          <w:rFonts w:ascii="Arial" w:hAnsi="Arial" w:cs="Arial"/>
          <w:b/>
          <w:sz w:val="22"/>
          <w:szCs w:val="22"/>
        </w:rPr>
        <w:br w:type="page"/>
      </w:r>
    </w:p>
    <w:p w14:paraId="2DB0412D"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
          <w:sz w:val="22"/>
          <w:szCs w:val="22"/>
        </w:rPr>
      </w:pPr>
      <w:r w:rsidRPr="00D2367C">
        <w:rPr>
          <w:rFonts w:ascii="Arial" w:hAnsi="Arial" w:cs="Arial"/>
          <w:b/>
          <w:sz w:val="22"/>
          <w:szCs w:val="22"/>
        </w:rPr>
        <w:t>References</w:t>
      </w:r>
    </w:p>
    <w:p w14:paraId="5DC1302A" w14:textId="77777777" w:rsidR="007E4871" w:rsidRPr="00D2367C" w:rsidRDefault="007E4871" w:rsidP="007E4871">
      <w:pPr>
        <w:pStyle w:val="EndNoteBibliography"/>
        <w:numPr>
          <w:ilvl w:val="0"/>
          <w:numId w:val="4"/>
        </w:numPr>
        <w:spacing w:before="100" w:beforeAutospacing="1" w:after="100" w:afterAutospacing="1" w:line="480" w:lineRule="auto"/>
        <w:rPr>
          <w:rFonts w:ascii="Arial" w:hAnsi="Arial" w:cs="Arial"/>
          <w:bCs/>
          <w:sz w:val="22"/>
          <w:szCs w:val="22"/>
        </w:rPr>
      </w:pPr>
      <w:r w:rsidRPr="00D2367C">
        <w:rPr>
          <w:rFonts w:ascii="Arial" w:hAnsi="Arial" w:cs="Arial"/>
          <w:bCs/>
          <w:sz w:val="22"/>
          <w:szCs w:val="22"/>
        </w:rPr>
        <w:t>European Medicines Agency. Guideline on bioanalytical method validation (EMEA/CHMP/EWP/192217/2009), 2011. Available at: https://www.ema.europa.eu/en/documents/scientific-guideline/guideline-bioanalytical-method-validation_en.pdf. Last accessed October 2024.</w:t>
      </w:r>
    </w:p>
    <w:p w14:paraId="5761ACC6" w14:textId="77777777" w:rsidR="007E4871" w:rsidRPr="00D2367C" w:rsidRDefault="007E4871" w:rsidP="007E4871">
      <w:pPr>
        <w:pStyle w:val="EndNoteBibliography"/>
        <w:numPr>
          <w:ilvl w:val="0"/>
          <w:numId w:val="4"/>
        </w:numPr>
        <w:spacing w:before="100" w:beforeAutospacing="1" w:after="100" w:afterAutospacing="1" w:line="480" w:lineRule="auto"/>
        <w:rPr>
          <w:rFonts w:ascii="Arial" w:hAnsi="Arial" w:cs="Arial"/>
          <w:bCs/>
          <w:sz w:val="22"/>
          <w:szCs w:val="22"/>
        </w:rPr>
      </w:pPr>
      <w:r w:rsidRPr="00D2367C">
        <w:rPr>
          <w:rFonts w:ascii="Arial" w:hAnsi="Arial" w:cs="Arial"/>
          <w:bCs/>
          <w:sz w:val="22"/>
          <w:szCs w:val="22"/>
        </w:rPr>
        <w:t>US Food and Drug Administration Center for Drug Evaluation and Research (CDER) Center for Veterinary Medicine. Guidance for industry: bioanalytical method validation, 2018. Available at: https://www.fda.gov/files/drugs/published/Bioanalytical-Method-Validation-Guidance-for-Industry.pdf</w:t>
      </w:r>
      <w:r w:rsidRPr="00D2367C">
        <w:rPr>
          <w:rFonts w:ascii="Arial" w:hAnsi="Arial" w:cs="Arial"/>
          <w:bCs/>
          <w:sz w:val="22"/>
          <w:szCs w:val="22"/>
          <w:u w:val="single"/>
        </w:rPr>
        <w:t>.</w:t>
      </w:r>
      <w:r w:rsidRPr="00D2367C">
        <w:rPr>
          <w:rFonts w:ascii="Arial" w:hAnsi="Arial" w:cs="Arial"/>
          <w:bCs/>
          <w:sz w:val="22"/>
          <w:szCs w:val="22"/>
        </w:rPr>
        <w:t xml:space="preserve"> Last accessed October 2024.</w:t>
      </w:r>
    </w:p>
    <w:p w14:paraId="592E08E3"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5617C7F4"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695EAD29"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7025EFB5"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7A69EF95"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4D1918A5"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56D352F9"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0422FCEB"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4D4D6A69"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2DF809F9"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1FA36868" w14:textId="77777777" w:rsidR="007E4871" w:rsidRPr="00D2367C" w:rsidRDefault="007E4871" w:rsidP="007E4871">
      <w:pPr>
        <w:pStyle w:val="EndNoteBibliography"/>
        <w:spacing w:before="100" w:beforeAutospacing="1" w:after="100" w:afterAutospacing="1" w:line="480" w:lineRule="auto"/>
        <w:ind w:left="720" w:hanging="720"/>
        <w:rPr>
          <w:rFonts w:ascii="Arial" w:hAnsi="Arial" w:cs="Arial"/>
          <w:bCs/>
          <w:sz w:val="22"/>
          <w:szCs w:val="22"/>
        </w:rPr>
      </w:pPr>
    </w:p>
    <w:p w14:paraId="5AE9142E" w14:textId="77777777" w:rsidR="007E4871" w:rsidRPr="00D2367C" w:rsidRDefault="007E4871" w:rsidP="007E4871">
      <w:pPr>
        <w:pStyle w:val="EndNoteBibliography"/>
        <w:ind w:left="720" w:hanging="720"/>
        <w:rPr>
          <w:rFonts w:ascii="Arial" w:hAnsi="Arial" w:cs="Arial"/>
          <w:b/>
          <w:bCs/>
        </w:rPr>
      </w:pPr>
    </w:p>
    <w:p w14:paraId="3AB7FD9B" w14:textId="77777777" w:rsidR="007E4871" w:rsidRPr="00D2367C" w:rsidRDefault="007E4871" w:rsidP="007E4871">
      <w:pPr>
        <w:pStyle w:val="EndNoteBibliography"/>
        <w:ind w:left="720" w:hanging="720"/>
        <w:rPr>
          <w:rFonts w:ascii="Arial" w:hAnsi="Arial" w:cs="Arial"/>
        </w:rPr>
      </w:pPr>
      <w:r w:rsidRPr="00D2367C">
        <w:rPr>
          <w:rFonts w:ascii="Arial" w:hAnsi="Arial" w:cs="Arial"/>
          <w:b/>
          <w:bCs/>
        </w:rPr>
        <w:t>Table S1</w:t>
      </w:r>
      <w:r w:rsidRPr="00D2367C">
        <w:rPr>
          <w:rFonts w:ascii="Arial" w:hAnsi="Arial" w:cs="Arial"/>
          <w:b/>
          <w:bCs/>
        </w:rPr>
        <w:tab/>
      </w:r>
      <w:r w:rsidRPr="00D2367C">
        <w:rPr>
          <w:rFonts w:ascii="Arial" w:hAnsi="Arial" w:cs="Arial"/>
        </w:rPr>
        <w:t>In vitro data for dry powder inhaler formulations used in Studies 1–3</w:t>
      </w:r>
    </w:p>
    <w:tbl>
      <w:tblPr>
        <w:tblW w:w="9075" w:type="dxa"/>
        <w:tblLayout w:type="fixed"/>
        <w:tblLook w:val="04A0" w:firstRow="1" w:lastRow="0" w:firstColumn="1" w:lastColumn="0" w:noHBand="0" w:noVBand="1"/>
      </w:tblPr>
      <w:tblGrid>
        <w:gridCol w:w="3257"/>
        <w:gridCol w:w="1453"/>
        <w:gridCol w:w="1457"/>
        <w:gridCol w:w="1454"/>
        <w:gridCol w:w="1454"/>
      </w:tblGrid>
      <w:tr w:rsidR="007E4871" w:rsidRPr="00D2367C" w14:paraId="5DC54DD2" w14:textId="77777777" w:rsidTr="00240098">
        <w:tc>
          <w:tcPr>
            <w:tcW w:w="3255" w:type="dxa"/>
            <w:tcBorders>
              <w:top w:val="single" w:sz="6" w:space="0" w:color="000000"/>
              <w:bottom w:val="single" w:sz="12" w:space="0" w:color="000000"/>
            </w:tcBorders>
            <w:hideMark/>
          </w:tcPr>
          <w:p w14:paraId="3F88F56E"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Parameter</w:t>
            </w:r>
          </w:p>
        </w:tc>
        <w:tc>
          <w:tcPr>
            <w:tcW w:w="1452" w:type="dxa"/>
            <w:tcBorders>
              <w:top w:val="single" w:sz="6" w:space="0" w:color="000000"/>
              <w:bottom w:val="single" w:sz="12" w:space="0" w:color="000000"/>
            </w:tcBorders>
            <w:hideMark/>
          </w:tcPr>
          <w:p w14:paraId="043C59CD" w14:textId="77777777" w:rsidR="007E4871" w:rsidRPr="00D2367C" w:rsidRDefault="007E4871" w:rsidP="00240098">
            <w:pPr>
              <w:pStyle w:val="EndNoteBibliography"/>
              <w:spacing w:before="100" w:beforeAutospacing="1" w:after="100" w:afterAutospacing="1" w:line="480" w:lineRule="auto"/>
              <w:rPr>
                <w:rFonts w:ascii="Arial" w:hAnsi="Arial" w:cs="Arial"/>
              </w:rPr>
            </w:pPr>
            <w:r w:rsidRPr="00D2367C">
              <w:rPr>
                <w:rFonts w:ascii="Arial" w:hAnsi="Arial" w:cs="Arial"/>
              </w:rPr>
              <w:t>1000 µg capsule</w:t>
            </w:r>
          </w:p>
        </w:tc>
        <w:tc>
          <w:tcPr>
            <w:tcW w:w="1456" w:type="dxa"/>
            <w:tcBorders>
              <w:top w:val="single" w:sz="6" w:space="0" w:color="000000"/>
              <w:bottom w:val="single" w:sz="12" w:space="0" w:color="000000"/>
            </w:tcBorders>
            <w:hideMark/>
          </w:tcPr>
          <w:p w14:paraId="1A4DC2F9" w14:textId="77777777" w:rsidR="007E4871" w:rsidRPr="00D2367C" w:rsidRDefault="007E4871" w:rsidP="00240098">
            <w:pPr>
              <w:pStyle w:val="EndNoteBibliography"/>
              <w:spacing w:before="100" w:beforeAutospacing="1" w:after="100" w:afterAutospacing="1" w:line="480" w:lineRule="auto"/>
              <w:rPr>
                <w:rFonts w:ascii="Arial" w:hAnsi="Arial" w:cs="Arial"/>
              </w:rPr>
            </w:pPr>
            <w:r w:rsidRPr="00D2367C">
              <w:rPr>
                <w:rFonts w:ascii="Arial" w:hAnsi="Arial" w:cs="Arial"/>
              </w:rPr>
              <w:t xml:space="preserve">480 µg </w:t>
            </w:r>
            <w:r w:rsidRPr="00D2367C">
              <w:rPr>
                <w:rFonts w:ascii="Arial" w:hAnsi="Arial" w:cs="Arial"/>
              </w:rPr>
              <w:br/>
              <w:t>capsule</w:t>
            </w:r>
          </w:p>
        </w:tc>
        <w:tc>
          <w:tcPr>
            <w:tcW w:w="1453" w:type="dxa"/>
            <w:tcBorders>
              <w:top w:val="single" w:sz="6" w:space="0" w:color="000000"/>
              <w:bottom w:val="single" w:sz="12" w:space="0" w:color="000000"/>
            </w:tcBorders>
            <w:hideMark/>
          </w:tcPr>
          <w:p w14:paraId="343D9875" w14:textId="77777777" w:rsidR="007E4871" w:rsidRPr="00D2367C" w:rsidRDefault="007E4871" w:rsidP="00240098">
            <w:pPr>
              <w:pStyle w:val="EndNoteBibliography"/>
              <w:spacing w:before="100" w:beforeAutospacing="1" w:after="100" w:afterAutospacing="1" w:line="480" w:lineRule="auto"/>
              <w:ind w:left="109"/>
              <w:rPr>
                <w:rFonts w:ascii="Arial" w:hAnsi="Arial" w:cs="Arial"/>
              </w:rPr>
            </w:pPr>
            <w:r w:rsidRPr="00D2367C">
              <w:rPr>
                <w:rFonts w:ascii="Arial" w:hAnsi="Arial" w:cs="Arial"/>
              </w:rPr>
              <w:t xml:space="preserve">1000 µg </w:t>
            </w:r>
            <w:r w:rsidRPr="00D2367C">
              <w:rPr>
                <w:rFonts w:ascii="Arial" w:hAnsi="Arial" w:cs="Arial"/>
              </w:rPr>
              <w:br/>
              <w:t>capsule</w:t>
            </w:r>
          </w:p>
        </w:tc>
        <w:tc>
          <w:tcPr>
            <w:tcW w:w="1453" w:type="dxa"/>
            <w:tcBorders>
              <w:top w:val="single" w:sz="6" w:space="0" w:color="000000"/>
              <w:bottom w:val="single" w:sz="12" w:space="0" w:color="000000"/>
            </w:tcBorders>
            <w:hideMark/>
          </w:tcPr>
          <w:p w14:paraId="3A0E9DB7" w14:textId="77777777" w:rsidR="007E4871" w:rsidRPr="00D2367C" w:rsidRDefault="007E4871" w:rsidP="00240098">
            <w:pPr>
              <w:pStyle w:val="EndNoteBibliography"/>
              <w:spacing w:before="100" w:beforeAutospacing="1" w:after="100" w:afterAutospacing="1" w:line="480" w:lineRule="auto"/>
              <w:rPr>
                <w:rFonts w:ascii="Arial" w:hAnsi="Arial" w:cs="Arial"/>
              </w:rPr>
            </w:pPr>
            <w:r w:rsidRPr="00D2367C">
              <w:rPr>
                <w:rFonts w:ascii="Arial" w:hAnsi="Arial" w:cs="Arial"/>
              </w:rPr>
              <w:t>1000 µg</w:t>
            </w:r>
            <w:r w:rsidRPr="00D2367C">
              <w:rPr>
                <w:rFonts w:ascii="Arial" w:hAnsi="Arial" w:cs="Arial"/>
              </w:rPr>
              <w:br/>
              <w:t>capsule</w:t>
            </w:r>
          </w:p>
        </w:tc>
      </w:tr>
      <w:tr w:rsidR="007E4871" w:rsidRPr="00D2367C" w14:paraId="17D1B45F" w14:textId="77777777" w:rsidTr="00240098">
        <w:tc>
          <w:tcPr>
            <w:tcW w:w="3255" w:type="dxa"/>
            <w:tcBorders>
              <w:top w:val="single" w:sz="12" w:space="0" w:color="000000"/>
              <w:left w:val="nil"/>
              <w:bottom w:val="nil"/>
              <w:right w:val="nil"/>
            </w:tcBorders>
            <w:hideMark/>
          </w:tcPr>
          <w:p w14:paraId="7547510B"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Study</w:t>
            </w:r>
          </w:p>
        </w:tc>
        <w:tc>
          <w:tcPr>
            <w:tcW w:w="1452" w:type="dxa"/>
            <w:tcBorders>
              <w:top w:val="single" w:sz="12" w:space="0" w:color="000000"/>
              <w:left w:val="nil"/>
              <w:bottom w:val="nil"/>
              <w:right w:val="nil"/>
            </w:tcBorders>
            <w:hideMark/>
          </w:tcPr>
          <w:p w14:paraId="4BFD1871"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w:t>
            </w:r>
          </w:p>
        </w:tc>
        <w:tc>
          <w:tcPr>
            <w:tcW w:w="1456" w:type="dxa"/>
            <w:tcBorders>
              <w:top w:val="single" w:sz="12" w:space="0" w:color="000000"/>
              <w:left w:val="nil"/>
              <w:bottom w:val="nil"/>
              <w:right w:val="nil"/>
            </w:tcBorders>
            <w:hideMark/>
          </w:tcPr>
          <w:p w14:paraId="479F9439"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2</w:t>
            </w:r>
          </w:p>
        </w:tc>
        <w:tc>
          <w:tcPr>
            <w:tcW w:w="1453" w:type="dxa"/>
            <w:tcBorders>
              <w:top w:val="single" w:sz="12" w:space="0" w:color="000000"/>
              <w:left w:val="nil"/>
              <w:bottom w:val="nil"/>
              <w:right w:val="nil"/>
            </w:tcBorders>
            <w:hideMark/>
          </w:tcPr>
          <w:p w14:paraId="50061B22"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2</w:t>
            </w:r>
          </w:p>
        </w:tc>
        <w:tc>
          <w:tcPr>
            <w:tcW w:w="1453" w:type="dxa"/>
            <w:tcBorders>
              <w:top w:val="single" w:sz="12" w:space="0" w:color="000000"/>
              <w:left w:val="nil"/>
              <w:bottom w:val="nil"/>
              <w:right w:val="nil"/>
            </w:tcBorders>
            <w:hideMark/>
          </w:tcPr>
          <w:p w14:paraId="154BCBAF"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3</w:t>
            </w:r>
          </w:p>
        </w:tc>
      </w:tr>
      <w:tr w:rsidR="007E4871" w:rsidRPr="00D2367C" w14:paraId="77DD7666" w14:textId="77777777" w:rsidTr="00240098">
        <w:tc>
          <w:tcPr>
            <w:tcW w:w="3255" w:type="dxa"/>
            <w:tcBorders>
              <w:top w:val="nil"/>
              <w:left w:val="nil"/>
              <w:bottom w:val="nil"/>
              <w:right w:val="nil"/>
            </w:tcBorders>
            <w:hideMark/>
          </w:tcPr>
          <w:p w14:paraId="6301520A"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Mosliciguat content, µg</w:t>
            </w:r>
            <w:r w:rsidRPr="00D2367C">
              <w:rPr>
                <w:rFonts w:ascii="Arial" w:hAnsi="Arial" w:cs="Arial"/>
                <w:vertAlign w:val="superscript"/>
              </w:rPr>
              <w:t>a</w:t>
            </w:r>
            <w:r w:rsidRPr="00D2367C">
              <w:rPr>
                <w:rFonts w:ascii="Arial" w:hAnsi="Arial" w:cs="Arial"/>
              </w:rPr>
              <w:t xml:space="preserve"> (%)</w:t>
            </w:r>
          </w:p>
        </w:tc>
        <w:tc>
          <w:tcPr>
            <w:tcW w:w="1452" w:type="dxa"/>
            <w:tcBorders>
              <w:top w:val="nil"/>
              <w:left w:val="nil"/>
              <w:bottom w:val="nil"/>
              <w:right w:val="nil"/>
            </w:tcBorders>
            <w:hideMark/>
          </w:tcPr>
          <w:p w14:paraId="44B525F2"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962 (96)</w:t>
            </w:r>
          </w:p>
        </w:tc>
        <w:tc>
          <w:tcPr>
            <w:tcW w:w="1456" w:type="dxa"/>
            <w:tcBorders>
              <w:top w:val="nil"/>
              <w:left w:val="nil"/>
              <w:bottom w:val="nil"/>
              <w:right w:val="nil"/>
            </w:tcBorders>
            <w:hideMark/>
          </w:tcPr>
          <w:p w14:paraId="747D865C"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449 (94)</w:t>
            </w:r>
          </w:p>
        </w:tc>
        <w:tc>
          <w:tcPr>
            <w:tcW w:w="1453" w:type="dxa"/>
            <w:tcBorders>
              <w:top w:val="nil"/>
              <w:left w:val="nil"/>
              <w:bottom w:val="nil"/>
              <w:right w:val="nil"/>
            </w:tcBorders>
            <w:hideMark/>
          </w:tcPr>
          <w:p w14:paraId="0E986246"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982 (98)</w:t>
            </w:r>
          </w:p>
        </w:tc>
        <w:tc>
          <w:tcPr>
            <w:tcW w:w="1453" w:type="dxa"/>
            <w:tcBorders>
              <w:top w:val="nil"/>
              <w:left w:val="nil"/>
              <w:bottom w:val="nil"/>
              <w:right w:val="nil"/>
            </w:tcBorders>
            <w:hideMark/>
          </w:tcPr>
          <w:p w14:paraId="06FECBCF"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987 (99)</w:t>
            </w:r>
          </w:p>
        </w:tc>
      </w:tr>
      <w:tr w:rsidR="007E4871" w:rsidRPr="00D2367C" w14:paraId="34D15CE2" w14:textId="77777777" w:rsidTr="00240098">
        <w:tc>
          <w:tcPr>
            <w:tcW w:w="3255" w:type="dxa"/>
            <w:tcBorders>
              <w:top w:val="nil"/>
              <w:left w:val="nil"/>
              <w:bottom w:val="nil"/>
              <w:right w:val="nil"/>
            </w:tcBorders>
            <w:hideMark/>
          </w:tcPr>
          <w:p w14:paraId="06141BB9"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Delivered dose, µg</w:t>
            </w:r>
          </w:p>
        </w:tc>
        <w:tc>
          <w:tcPr>
            <w:tcW w:w="1452" w:type="dxa"/>
            <w:tcBorders>
              <w:top w:val="nil"/>
              <w:left w:val="nil"/>
              <w:bottom w:val="nil"/>
              <w:right w:val="nil"/>
            </w:tcBorders>
            <w:hideMark/>
          </w:tcPr>
          <w:p w14:paraId="4C7834A4"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624</w:t>
            </w:r>
          </w:p>
        </w:tc>
        <w:tc>
          <w:tcPr>
            <w:tcW w:w="1456" w:type="dxa"/>
            <w:tcBorders>
              <w:top w:val="nil"/>
              <w:left w:val="nil"/>
              <w:bottom w:val="nil"/>
              <w:right w:val="nil"/>
            </w:tcBorders>
            <w:hideMark/>
          </w:tcPr>
          <w:p w14:paraId="3A884667"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316</w:t>
            </w:r>
          </w:p>
        </w:tc>
        <w:tc>
          <w:tcPr>
            <w:tcW w:w="1453" w:type="dxa"/>
            <w:tcBorders>
              <w:top w:val="nil"/>
              <w:left w:val="nil"/>
              <w:bottom w:val="nil"/>
              <w:right w:val="nil"/>
            </w:tcBorders>
            <w:hideMark/>
          </w:tcPr>
          <w:p w14:paraId="1901BA8E"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671</w:t>
            </w:r>
          </w:p>
        </w:tc>
        <w:tc>
          <w:tcPr>
            <w:tcW w:w="1453" w:type="dxa"/>
            <w:tcBorders>
              <w:top w:val="nil"/>
              <w:left w:val="nil"/>
              <w:bottom w:val="nil"/>
              <w:right w:val="nil"/>
            </w:tcBorders>
            <w:hideMark/>
          </w:tcPr>
          <w:p w14:paraId="725EAAF5"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705</w:t>
            </w:r>
          </w:p>
        </w:tc>
      </w:tr>
      <w:tr w:rsidR="007E4871" w:rsidRPr="00D2367C" w14:paraId="471436C2" w14:textId="77777777" w:rsidTr="00240098">
        <w:tc>
          <w:tcPr>
            <w:tcW w:w="3255" w:type="dxa"/>
            <w:tcBorders>
              <w:top w:val="nil"/>
              <w:left w:val="nil"/>
              <w:bottom w:val="nil"/>
              <w:right w:val="nil"/>
            </w:tcBorders>
            <w:hideMark/>
          </w:tcPr>
          <w:p w14:paraId="5EE528E2"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Fine particle dose, µg</w:t>
            </w:r>
          </w:p>
        </w:tc>
        <w:tc>
          <w:tcPr>
            <w:tcW w:w="1452" w:type="dxa"/>
            <w:tcBorders>
              <w:top w:val="nil"/>
              <w:left w:val="nil"/>
              <w:bottom w:val="nil"/>
              <w:right w:val="nil"/>
            </w:tcBorders>
            <w:hideMark/>
          </w:tcPr>
          <w:p w14:paraId="185E5DB1"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194</w:t>
            </w:r>
          </w:p>
        </w:tc>
        <w:tc>
          <w:tcPr>
            <w:tcW w:w="1456" w:type="dxa"/>
            <w:tcBorders>
              <w:top w:val="nil"/>
              <w:left w:val="nil"/>
              <w:bottom w:val="nil"/>
              <w:right w:val="nil"/>
            </w:tcBorders>
            <w:hideMark/>
          </w:tcPr>
          <w:p w14:paraId="773CFEE1"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126</w:t>
            </w:r>
          </w:p>
        </w:tc>
        <w:tc>
          <w:tcPr>
            <w:tcW w:w="1453" w:type="dxa"/>
            <w:tcBorders>
              <w:top w:val="nil"/>
              <w:left w:val="nil"/>
              <w:bottom w:val="nil"/>
              <w:right w:val="nil"/>
            </w:tcBorders>
            <w:hideMark/>
          </w:tcPr>
          <w:p w14:paraId="7A0AE4B0"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242</w:t>
            </w:r>
          </w:p>
        </w:tc>
        <w:tc>
          <w:tcPr>
            <w:tcW w:w="1453" w:type="dxa"/>
            <w:tcBorders>
              <w:top w:val="nil"/>
              <w:left w:val="nil"/>
              <w:bottom w:val="nil"/>
              <w:right w:val="nil"/>
            </w:tcBorders>
            <w:hideMark/>
          </w:tcPr>
          <w:p w14:paraId="0EF423F5"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258</w:t>
            </w:r>
          </w:p>
        </w:tc>
      </w:tr>
      <w:tr w:rsidR="007E4871" w:rsidRPr="00D2367C" w14:paraId="6F36B953" w14:textId="77777777" w:rsidTr="00240098">
        <w:tc>
          <w:tcPr>
            <w:tcW w:w="3255" w:type="dxa"/>
            <w:tcBorders>
              <w:top w:val="nil"/>
              <w:left w:val="nil"/>
              <w:bottom w:val="nil"/>
              <w:right w:val="nil"/>
            </w:tcBorders>
            <w:hideMark/>
          </w:tcPr>
          <w:p w14:paraId="6D8598A0"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Fine particle fraction, &lt; 4.5 µm</w:t>
            </w:r>
            <w:r w:rsidRPr="00D2367C">
              <w:rPr>
                <w:rFonts w:ascii="Arial" w:hAnsi="Arial" w:cs="Arial"/>
                <w:vertAlign w:val="superscript"/>
              </w:rPr>
              <w:t>b</w:t>
            </w:r>
            <w:r w:rsidRPr="00D2367C">
              <w:rPr>
                <w:rFonts w:ascii="Arial" w:hAnsi="Arial" w:cs="Arial"/>
              </w:rPr>
              <w:t xml:space="preserve"> </w:t>
            </w:r>
          </w:p>
        </w:tc>
        <w:tc>
          <w:tcPr>
            <w:tcW w:w="1452" w:type="dxa"/>
            <w:tcBorders>
              <w:top w:val="nil"/>
              <w:left w:val="nil"/>
              <w:bottom w:val="nil"/>
              <w:right w:val="nil"/>
            </w:tcBorders>
            <w:hideMark/>
          </w:tcPr>
          <w:p w14:paraId="393D1E66"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19%</w:t>
            </w:r>
          </w:p>
        </w:tc>
        <w:tc>
          <w:tcPr>
            <w:tcW w:w="1456" w:type="dxa"/>
            <w:tcBorders>
              <w:top w:val="nil"/>
              <w:left w:val="nil"/>
              <w:bottom w:val="nil"/>
              <w:right w:val="nil"/>
            </w:tcBorders>
            <w:hideMark/>
          </w:tcPr>
          <w:p w14:paraId="78C3F4A9"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26%</w:t>
            </w:r>
          </w:p>
        </w:tc>
        <w:tc>
          <w:tcPr>
            <w:tcW w:w="1453" w:type="dxa"/>
            <w:tcBorders>
              <w:top w:val="nil"/>
              <w:left w:val="nil"/>
              <w:bottom w:val="nil"/>
              <w:right w:val="nil"/>
            </w:tcBorders>
            <w:hideMark/>
          </w:tcPr>
          <w:p w14:paraId="108DEDC9"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24%</w:t>
            </w:r>
          </w:p>
        </w:tc>
        <w:tc>
          <w:tcPr>
            <w:tcW w:w="1453" w:type="dxa"/>
            <w:tcBorders>
              <w:top w:val="nil"/>
              <w:left w:val="nil"/>
              <w:bottom w:val="nil"/>
              <w:right w:val="nil"/>
            </w:tcBorders>
            <w:hideMark/>
          </w:tcPr>
          <w:p w14:paraId="2FE7EB32"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26%</w:t>
            </w:r>
          </w:p>
        </w:tc>
      </w:tr>
      <w:tr w:rsidR="007E4871" w:rsidRPr="00D2367C" w14:paraId="4A84D380" w14:textId="77777777" w:rsidTr="00240098">
        <w:tc>
          <w:tcPr>
            <w:tcW w:w="3255" w:type="dxa"/>
            <w:tcBorders>
              <w:top w:val="nil"/>
              <w:left w:val="nil"/>
              <w:bottom w:val="nil"/>
              <w:right w:val="nil"/>
            </w:tcBorders>
            <w:hideMark/>
          </w:tcPr>
          <w:p w14:paraId="21708F07"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Capsule residual, µg</w:t>
            </w:r>
          </w:p>
        </w:tc>
        <w:tc>
          <w:tcPr>
            <w:tcW w:w="1452" w:type="dxa"/>
            <w:tcBorders>
              <w:top w:val="nil"/>
              <w:left w:val="nil"/>
              <w:bottom w:val="nil"/>
              <w:right w:val="nil"/>
            </w:tcBorders>
            <w:hideMark/>
          </w:tcPr>
          <w:p w14:paraId="762BCC57"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160</w:t>
            </w:r>
          </w:p>
        </w:tc>
        <w:tc>
          <w:tcPr>
            <w:tcW w:w="1456" w:type="dxa"/>
            <w:tcBorders>
              <w:top w:val="nil"/>
              <w:left w:val="nil"/>
              <w:bottom w:val="nil"/>
              <w:right w:val="nil"/>
            </w:tcBorders>
            <w:hideMark/>
          </w:tcPr>
          <w:p w14:paraId="094B2CC8"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84</w:t>
            </w:r>
          </w:p>
        </w:tc>
        <w:tc>
          <w:tcPr>
            <w:tcW w:w="1453" w:type="dxa"/>
            <w:tcBorders>
              <w:top w:val="nil"/>
              <w:left w:val="nil"/>
              <w:bottom w:val="nil"/>
              <w:right w:val="nil"/>
            </w:tcBorders>
            <w:hideMark/>
          </w:tcPr>
          <w:p w14:paraId="24019BD9"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207</w:t>
            </w:r>
          </w:p>
        </w:tc>
        <w:tc>
          <w:tcPr>
            <w:tcW w:w="1453" w:type="dxa"/>
            <w:tcBorders>
              <w:top w:val="nil"/>
              <w:left w:val="nil"/>
              <w:bottom w:val="nil"/>
              <w:right w:val="nil"/>
            </w:tcBorders>
            <w:hideMark/>
          </w:tcPr>
          <w:p w14:paraId="6CC4873B"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157</w:t>
            </w:r>
          </w:p>
        </w:tc>
      </w:tr>
      <w:tr w:rsidR="007E4871" w:rsidRPr="00D2367C" w14:paraId="37A73DDF" w14:textId="77777777" w:rsidTr="00240098">
        <w:tc>
          <w:tcPr>
            <w:tcW w:w="3255" w:type="dxa"/>
            <w:tcBorders>
              <w:top w:val="nil"/>
              <w:left w:val="nil"/>
              <w:bottom w:val="single" w:sz="6" w:space="0" w:color="000000"/>
              <w:right w:val="nil"/>
            </w:tcBorders>
            <w:hideMark/>
          </w:tcPr>
          <w:p w14:paraId="64B2B315"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Device residual, µg</w:t>
            </w:r>
          </w:p>
        </w:tc>
        <w:tc>
          <w:tcPr>
            <w:tcW w:w="1452" w:type="dxa"/>
            <w:tcBorders>
              <w:top w:val="nil"/>
              <w:left w:val="nil"/>
              <w:bottom w:val="single" w:sz="6" w:space="0" w:color="000000"/>
              <w:right w:val="nil"/>
            </w:tcBorders>
            <w:hideMark/>
          </w:tcPr>
          <w:p w14:paraId="368D27D0"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119</w:t>
            </w:r>
          </w:p>
        </w:tc>
        <w:tc>
          <w:tcPr>
            <w:tcW w:w="1456" w:type="dxa"/>
            <w:tcBorders>
              <w:top w:val="nil"/>
              <w:left w:val="nil"/>
              <w:bottom w:val="single" w:sz="6" w:space="0" w:color="000000"/>
              <w:right w:val="nil"/>
            </w:tcBorders>
            <w:hideMark/>
          </w:tcPr>
          <w:p w14:paraId="603D21B7"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43</w:t>
            </w:r>
          </w:p>
        </w:tc>
        <w:tc>
          <w:tcPr>
            <w:tcW w:w="1453" w:type="dxa"/>
            <w:tcBorders>
              <w:top w:val="nil"/>
              <w:left w:val="nil"/>
              <w:bottom w:val="single" w:sz="6" w:space="0" w:color="000000"/>
              <w:right w:val="nil"/>
            </w:tcBorders>
            <w:hideMark/>
          </w:tcPr>
          <w:p w14:paraId="24434A71"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107</w:t>
            </w:r>
          </w:p>
        </w:tc>
        <w:tc>
          <w:tcPr>
            <w:tcW w:w="1453" w:type="dxa"/>
            <w:tcBorders>
              <w:top w:val="nil"/>
              <w:left w:val="nil"/>
              <w:bottom w:val="single" w:sz="6" w:space="0" w:color="000000"/>
              <w:right w:val="nil"/>
            </w:tcBorders>
            <w:hideMark/>
          </w:tcPr>
          <w:p w14:paraId="448B862D" w14:textId="77777777" w:rsidR="007E4871" w:rsidRPr="00D2367C" w:rsidRDefault="007E4871" w:rsidP="00240098">
            <w:pPr>
              <w:pStyle w:val="EndNoteBibliography"/>
              <w:spacing w:before="100" w:beforeAutospacing="1" w:after="100" w:afterAutospacing="1" w:line="480" w:lineRule="auto"/>
              <w:ind w:left="720" w:hanging="720"/>
              <w:rPr>
                <w:rFonts w:ascii="Arial" w:hAnsi="Arial" w:cs="Arial"/>
              </w:rPr>
            </w:pPr>
            <w:r w:rsidRPr="00D2367C">
              <w:rPr>
                <w:rFonts w:ascii="Arial" w:hAnsi="Arial" w:cs="Arial"/>
              </w:rPr>
              <w:t>107</w:t>
            </w:r>
          </w:p>
        </w:tc>
      </w:tr>
    </w:tbl>
    <w:p w14:paraId="25FD5F77" w14:textId="77777777" w:rsidR="007E4871" w:rsidRPr="00D2367C" w:rsidRDefault="007E4871" w:rsidP="007E4871">
      <w:pPr>
        <w:pStyle w:val="EndNoteBibliography"/>
        <w:ind w:left="720" w:hanging="720"/>
        <w:rPr>
          <w:rFonts w:ascii="Arial" w:hAnsi="Arial" w:cs="Arial"/>
        </w:rPr>
      </w:pPr>
      <w:r w:rsidRPr="00D2367C">
        <w:rPr>
          <w:rFonts w:ascii="Arial" w:hAnsi="Arial" w:cs="Arial"/>
          <w:vertAlign w:val="superscript"/>
        </w:rPr>
        <w:t>a</w:t>
      </w:r>
      <w:r w:rsidRPr="00D2367C">
        <w:rPr>
          <w:rFonts w:ascii="Arial" w:hAnsi="Arial" w:cs="Arial"/>
        </w:rPr>
        <w:t>Assayed by high-performance liquid chromatography</w:t>
      </w:r>
    </w:p>
    <w:p w14:paraId="04442EB4" w14:textId="77777777" w:rsidR="007E4871" w:rsidRPr="00D2367C" w:rsidRDefault="007E4871" w:rsidP="007E4871">
      <w:pPr>
        <w:pStyle w:val="EndNoteBibliography"/>
        <w:ind w:left="720" w:hanging="720"/>
        <w:rPr>
          <w:rFonts w:ascii="Arial" w:hAnsi="Arial" w:cs="Arial"/>
        </w:rPr>
      </w:pPr>
      <w:r w:rsidRPr="00D2367C">
        <w:rPr>
          <w:rFonts w:ascii="Arial" w:hAnsi="Arial" w:cs="Arial"/>
          <w:vertAlign w:val="superscript"/>
        </w:rPr>
        <w:t>b</w:t>
      </w:r>
      <w:r w:rsidRPr="00D2367C">
        <w:rPr>
          <w:rFonts w:ascii="Arial" w:hAnsi="Arial" w:cs="Arial"/>
        </w:rPr>
        <w:t>Related to nominal capsule content</w:t>
      </w:r>
    </w:p>
    <w:p w14:paraId="46C05408" w14:textId="77777777" w:rsidR="007E4871" w:rsidRPr="00D2367C" w:rsidRDefault="007E4871" w:rsidP="007E4871">
      <w:pPr>
        <w:pStyle w:val="EndNoteBibliography"/>
        <w:ind w:left="720" w:hanging="720"/>
        <w:rPr>
          <w:rFonts w:ascii="Arial" w:hAnsi="Arial" w:cs="Arial"/>
          <w:b/>
          <w:bCs/>
        </w:rPr>
      </w:pPr>
      <w:r w:rsidRPr="00D2367C">
        <w:rPr>
          <w:rFonts w:ascii="Arial" w:hAnsi="Arial" w:cs="Arial"/>
          <w:b/>
          <w:bCs/>
        </w:rPr>
        <w:br w:type="page"/>
      </w:r>
    </w:p>
    <w:p w14:paraId="5B6489ED" w14:textId="77777777" w:rsidR="007E4871" w:rsidRPr="00D2367C" w:rsidRDefault="007E4871" w:rsidP="007E4871">
      <w:pPr>
        <w:pStyle w:val="EndNoteBibliography"/>
        <w:ind w:left="720" w:hanging="720"/>
        <w:rPr>
          <w:rFonts w:ascii="Arial" w:hAnsi="Arial" w:cs="Arial"/>
        </w:rPr>
      </w:pPr>
      <w:r w:rsidRPr="00D2367C">
        <w:rPr>
          <w:rFonts w:ascii="Arial" w:hAnsi="Arial" w:cs="Arial"/>
          <w:b/>
          <w:bCs/>
        </w:rPr>
        <w:t>Table S2</w:t>
      </w:r>
      <w:r w:rsidRPr="00D2367C">
        <w:rPr>
          <w:rFonts w:ascii="Arial" w:hAnsi="Arial" w:cs="Arial"/>
          <w:b/>
          <w:bCs/>
        </w:rPr>
        <w:tab/>
      </w:r>
      <w:r w:rsidRPr="00D2367C">
        <w:rPr>
          <w:rFonts w:ascii="Arial" w:hAnsi="Arial" w:cs="Arial"/>
        </w:rPr>
        <w:t>Baseline characteristics for Part 1 of Study 1</w:t>
      </w:r>
    </w:p>
    <w:tbl>
      <w:tblPr>
        <w:tblW w:w="10568" w:type="dxa"/>
        <w:tblInd w:w="-284" w:type="dxa"/>
        <w:tblLook w:val="04A0" w:firstRow="1" w:lastRow="0" w:firstColumn="1" w:lastColumn="0" w:noHBand="0" w:noVBand="1"/>
      </w:tblPr>
      <w:tblGrid>
        <w:gridCol w:w="2552"/>
        <w:gridCol w:w="1566"/>
        <w:gridCol w:w="1628"/>
        <w:gridCol w:w="1566"/>
        <w:gridCol w:w="1628"/>
        <w:gridCol w:w="1628"/>
      </w:tblGrid>
      <w:tr w:rsidR="007E4871" w:rsidRPr="00D2367C" w14:paraId="29C88639" w14:textId="77777777" w:rsidTr="00240098">
        <w:tc>
          <w:tcPr>
            <w:tcW w:w="2552" w:type="dxa"/>
            <w:tcBorders>
              <w:top w:val="single" w:sz="6" w:space="0" w:color="000000"/>
              <w:bottom w:val="single" w:sz="12" w:space="0" w:color="000000"/>
            </w:tcBorders>
          </w:tcPr>
          <w:p w14:paraId="3B0C2CD4" w14:textId="77777777" w:rsidR="007E4871" w:rsidRPr="00D2367C" w:rsidRDefault="007E4871" w:rsidP="00240098">
            <w:pPr>
              <w:pStyle w:val="EndNoteBibliography"/>
              <w:ind w:left="720" w:hanging="720"/>
              <w:rPr>
                <w:rFonts w:ascii="Arial" w:hAnsi="Arial" w:cs="Arial"/>
              </w:rPr>
            </w:pPr>
          </w:p>
        </w:tc>
        <w:tc>
          <w:tcPr>
            <w:tcW w:w="1566" w:type="dxa"/>
            <w:tcBorders>
              <w:top w:val="single" w:sz="6" w:space="0" w:color="000000"/>
              <w:bottom w:val="single" w:sz="12" w:space="0" w:color="000000"/>
            </w:tcBorders>
            <w:hideMark/>
          </w:tcPr>
          <w:p w14:paraId="5D2091C9" w14:textId="77777777" w:rsidR="007E4871" w:rsidRPr="00D2367C" w:rsidRDefault="007E4871" w:rsidP="00240098">
            <w:pPr>
              <w:pStyle w:val="EndNoteBibliography"/>
              <w:ind w:left="70"/>
              <w:rPr>
                <w:rFonts w:ascii="Arial" w:hAnsi="Arial" w:cs="Arial"/>
                <w:bCs/>
              </w:rPr>
            </w:pPr>
            <w:r w:rsidRPr="00D2367C">
              <w:rPr>
                <w:rFonts w:ascii="Arial" w:hAnsi="Arial" w:cs="Arial"/>
                <w:bCs/>
              </w:rPr>
              <w:t>25 mg IV</w:t>
            </w:r>
            <w:r w:rsidRPr="00D2367C">
              <w:rPr>
                <w:rFonts w:ascii="Arial" w:hAnsi="Arial" w:cs="Arial"/>
                <w:bCs/>
              </w:rPr>
              <w:br/>
              <w:t>(</w:t>
            </w:r>
            <w:r w:rsidRPr="00D2367C">
              <w:rPr>
                <w:rFonts w:ascii="Arial" w:hAnsi="Arial" w:cs="Arial"/>
                <w:bCs/>
                <w:i/>
                <w:iCs/>
              </w:rPr>
              <w:t xml:space="preserve">n </w:t>
            </w:r>
            <w:r w:rsidRPr="00D2367C">
              <w:rPr>
                <w:rFonts w:ascii="Arial" w:hAnsi="Arial" w:cs="Arial"/>
                <w:bCs/>
              </w:rPr>
              <w:t>= 2)</w:t>
            </w:r>
          </w:p>
        </w:tc>
        <w:tc>
          <w:tcPr>
            <w:tcW w:w="1628" w:type="dxa"/>
            <w:tcBorders>
              <w:top w:val="single" w:sz="6" w:space="0" w:color="000000"/>
              <w:bottom w:val="single" w:sz="12" w:space="0" w:color="000000"/>
            </w:tcBorders>
            <w:hideMark/>
          </w:tcPr>
          <w:p w14:paraId="4585C4E1" w14:textId="77777777" w:rsidR="007E4871" w:rsidRPr="00D2367C" w:rsidRDefault="007E4871" w:rsidP="00240098">
            <w:pPr>
              <w:pStyle w:val="EndNoteBibliography"/>
              <w:ind w:left="18" w:hanging="18"/>
              <w:rPr>
                <w:rFonts w:ascii="Arial" w:hAnsi="Arial" w:cs="Arial"/>
                <w:bCs/>
              </w:rPr>
            </w:pPr>
            <w:r w:rsidRPr="00D2367C">
              <w:rPr>
                <w:rFonts w:ascii="Arial" w:hAnsi="Arial" w:cs="Arial"/>
                <w:bCs/>
              </w:rPr>
              <w:t>50 mg IV</w:t>
            </w:r>
            <w:r w:rsidRPr="00D2367C">
              <w:rPr>
                <w:rFonts w:ascii="Arial" w:hAnsi="Arial" w:cs="Arial"/>
                <w:bCs/>
              </w:rPr>
              <w:br/>
              <w:t>(</w:t>
            </w:r>
            <w:r w:rsidRPr="00D2367C">
              <w:rPr>
                <w:rFonts w:ascii="Arial" w:hAnsi="Arial" w:cs="Arial"/>
                <w:bCs/>
                <w:i/>
                <w:iCs/>
              </w:rPr>
              <w:t xml:space="preserve">n </w:t>
            </w:r>
            <w:r w:rsidRPr="00D2367C">
              <w:rPr>
                <w:rFonts w:ascii="Arial" w:hAnsi="Arial" w:cs="Arial"/>
                <w:bCs/>
              </w:rPr>
              <w:t>= 2)</w:t>
            </w:r>
          </w:p>
        </w:tc>
        <w:tc>
          <w:tcPr>
            <w:tcW w:w="1566" w:type="dxa"/>
            <w:tcBorders>
              <w:top w:val="single" w:sz="6" w:space="0" w:color="000000"/>
              <w:bottom w:val="single" w:sz="12" w:space="0" w:color="000000"/>
            </w:tcBorders>
            <w:hideMark/>
          </w:tcPr>
          <w:p w14:paraId="37DEC50E" w14:textId="77777777" w:rsidR="007E4871" w:rsidRPr="00D2367C" w:rsidRDefault="007E4871" w:rsidP="00240098">
            <w:pPr>
              <w:pStyle w:val="EndNoteBibliography"/>
              <w:ind w:left="32" w:hanging="32"/>
              <w:rPr>
                <w:rFonts w:ascii="Arial" w:hAnsi="Arial" w:cs="Arial"/>
                <w:bCs/>
              </w:rPr>
            </w:pPr>
            <w:r w:rsidRPr="00D2367C">
              <w:rPr>
                <w:rFonts w:ascii="Arial" w:hAnsi="Arial" w:cs="Arial"/>
                <w:bCs/>
              </w:rPr>
              <w:t xml:space="preserve">100 mg IV </w:t>
            </w:r>
            <w:r w:rsidRPr="00D2367C">
              <w:rPr>
                <w:rFonts w:ascii="Arial" w:hAnsi="Arial" w:cs="Arial"/>
                <w:bCs/>
              </w:rPr>
              <w:br/>
              <w:t>(</w:t>
            </w:r>
            <w:r w:rsidRPr="00D2367C">
              <w:rPr>
                <w:rFonts w:ascii="Arial" w:hAnsi="Arial" w:cs="Arial"/>
                <w:bCs/>
                <w:i/>
                <w:iCs/>
              </w:rPr>
              <w:t xml:space="preserve">n </w:t>
            </w:r>
            <w:r w:rsidRPr="00D2367C">
              <w:rPr>
                <w:rFonts w:ascii="Arial" w:hAnsi="Arial" w:cs="Arial"/>
                <w:bCs/>
              </w:rPr>
              <w:t>= 2)</w:t>
            </w:r>
          </w:p>
        </w:tc>
        <w:tc>
          <w:tcPr>
            <w:tcW w:w="1628" w:type="dxa"/>
            <w:tcBorders>
              <w:top w:val="single" w:sz="6" w:space="0" w:color="000000"/>
              <w:bottom w:val="single" w:sz="12" w:space="0" w:color="000000"/>
            </w:tcBorders>
            <w:hideMark/>
          </w:tcPr>
          <w:p w14:paraId="783A7157" w14:textId="77777777" w:rsidR="007E4871" w:rsidRPr="00D2367C" w:rsidRDefault="007E4871" w:rsidP="00240098">
            <w:pPr>
              <w:pStyle w:val="EndNoteBibliography"/>
              <w:rPr>
                <w:rFonts w:ascii="Arial" w:hAnsi="Arial" w:cs="Arial"/>
                <w:bCs/>
              </w:rPr>
            </w:pPr>
            <w:r w:rsidRPr="00D2367C">
              <w:rPr>
                <w:rFonts w:ascii="Arial" w:hAnsi="Arial" w:cs="Arial"/>
                <w:bCs/>
              </w:rPr>
              <w:t xml:space="preserve">500 mg oral </w:t>
            </w:r>
            <w:r w:rsidRPr="00D2367C">
              <w:rPr>
                <w:rFonts w:ascii="Arial" w:hAnsi="Arial" w:cs="Arial"/>
                <w:bCs/>
              </w:rPr>
              <w:br/>
              <w:t>(</w:t>
            </w:r>
            <w:r w:rsidRPr="00D2367C">
              <w:rPr>
                <w:rFonts w:ascii="Arial" w:hAnsi="Arial" w:cs="Arial"/>
                <w:bCs/>
                <w:i/>
                <w:iCs/>
              </w:rPr>
              <w:t xml:space="preserve">n </w:t>
            </w:r>
            <w:r w:rsidRPr="00D2367C">
              <w:rPr>
                <w:rFonts w:ascii="Arial" w:hAnsi="Arial" w:cs="Arial"/>
                <w:bCs/>
              </w:rPr>
              <w:t>= 2)</w:t>
            </w:r>
          </w:p>
        </w:tc>
        <w:tc>
          <w:tcPr>
            <w:tcW w:w="1628" w:type="dxa"/>
            <w:tcBorders>
              <w:top w:val="single" w:sz="6" w:space="0" w:color="000000"/>
              <w:bottom w:val="single" w:sz="12" w:space="0" w:color="000000"/>
            </w:tcBorders>
            <w:hideMark/>
          </w:tcPr>
          <w:p w14:paraId="751B0CD7" w14:textId="77777777" w:rsidR="007E4871" w:rsidRPr="00D2367C" w:rsidRDefault="007E4871" w:rsidP="00240098">
            <w:pPr>
              <w:pStyle w:val="EndNoteBibliography"/>
              <w:ind w:left="9" w:hanging="9"/>
              <w:rPr>
                <w:rFonts w:ascii="Arial" w:hAnsi="Arial" w:cs="Arial"/>
                <w:bCs/>
              </w:rPr>
            </w:pPr>
            <w:r w:rsidRPr="00D2367C">
              <w:rPr>
                <w:rFonts w:ascii="Arial" w:hAnsi="Arial" w:cs="Arial"/>
                <w:bCs/>
              </w:rPr>
              <w:t>1000 mg oral</w:t>
            </w:r>
            <w:r w:rsidRPr="00D2367C">
              <w:rPr>
                <w:rFonts w:ascii="Arial" w:hAnsi="Arial" w:cs="Arial"/>
                <w:bCs/>
              </w:rPr>
              <w:br/>
              <w:t>(</w:t>
            </w:r>
            <w:r w:rsidRPr="00D2367C">
              <w:rPr>
                <w:rFonts w:ascii="Arial" w:hAnsi="Arial" w:cs="Arial"/>
                <w:bCs/>
                <w:i/>
                <w:iCs/>
              </w:rPr>
              <w:t xml:space="preserve">n </w:t>
            </w:r>
            <w:r w:rsidRPr="00D2367C">
              <w:rPr>
                <w:rFonts w:ascii="Arial" w:hAnsi="Arial" w:cs="Arial"/>
                <w:bCs/>
              </w:rPr>
              <w:t>= 2)</w:t>
            </w:r>
          </w:p>
        </w:tc>
      </w:tr>
      <w:tr w:rsidR="007E4871" w:rsidRPr="00D2367C" w14:paraId="5A86CBB3" w14:textId="77777777" w:rsidTr="00240098">
        <w:tc>
          <w:tcPr>
            <w:tcW w:w="2552" w:type="dxa"/>
            <w:tcBorders>
              <w:top w:val="single" w:sz="12" w:space="0" w:color="000000"/>
              <w:left w:val="nil"/>
              <w:bottom w:val="nil"/>
              <w:right w:val="nil"/>
            </w:tcBorders>
            <w:hideMark/>
          </w:tcPr>
          <w:p w14:paraId="0CD204C3"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 xml:space="preserve">Male sex, </w:t>
            </w:r>
            <w:r w:rsidRPr="00D2367C">
              <w:rPr>
                <w:rFonts w:ascii="Arial" w:hAnsi="Arial" w:cs="Arial"/>
                <w:i/>
                <w:iCs/>
              </w:rPr>
              <w:t>n</w:t>
            </w:r>
            <w:r w:rsidRPr="00D2367C">
              <w:rPr>
                <w:rFonts w:ascii="Arial" w:hAnsi="Arial" w:cs="Arial"/>
              </w:rPr>
              <w:t xml:space="preserve"> (%)</w:t>
            </w:r>
          </w:p>
        </w:tc>
        <w:tc>
          <w:tcPr>
            <w:tcW w:w="1566" w:type="dxa"/>
            <w:tcBorders>
              <w:top w:val="single" w:sz="12" w:space="0" w:color="000000"/>
              <w:left w:val="nil"/>
              <w:bottom w:val="nil"/>
              <w:right w:val="nil"/>
            </w:tcBorders>
            <w:hideMark/>
          </w:tcPr>
          <w:p w14:paraId="700D6E53"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tc>
        <w:tc>
          <w:tcPr>
            <w:tcW w:w="1628" w:type="dxa"/>
            <w:tcBorders>
              <w:top w:val="single" w:sz="12" w:space="0" w:color="000000"/>
              <w:left w:val="nil"/>
              <w:bottom w:val="nil"/>
              <w:right w:val="nil"/>
            </w:tcBorders>
            <w:hideMark/>
          </w:tcPr>
          <w:p w14:paraId="4E4E5CEA"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tc>
        <w:tc>
          <w:tcPr>
            <w:tcW w:w="1566" w:type="dxa"/>
            <w:tcBorders>
              <w:top w:val="single" w:sz="12" w:space="0" w:color="000000"/>
              <w:left w:val="nil"/>
              <w:bottom w:val="nil"/>
              <w:right w:val="nil"/>
            </w:tcBorders>
            <w:hideMark/>
          </w:tcPr>
          <w:p w14:paraId="2F4F531A"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tc>
        <w:tc>
          <w:tcPr>
            <w:tcW w:w="1628" w:type="dxa"/>
            <w:tcBorders>
              <w:top w:val="single" w:sz="12" w:space="0" w:color="000000"/>
              <w:left w:val="nil"/>
              <w:bottom w:val="nil"/>
              <w:right w:val="nil"/>
            </w:tcBorders>
            <w:hideMark/>
          </w:tcPr>
          <w:p w14:paraId="1133DAF9"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tc>
        <w:tc>
          <w:tcPr>
            <w:tcW w:w="1628" w:type="dxa"/>
            <w:tcBorders>
              <w:top w:val="single" w:sz="12" w:space="0" w:color="000000"/>
              <w:left w:val="nil"/>
              <w:bottom w:val="nil"/>
              <w:right w:val="nil"/>
            </w:tcBorders>
            <w:hideMark/>
          </w:tcPr>
          <w:p w14:paraId="0D6443B9"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tc>
      </w:tr>
      <w:tr w:rsidR="007E4871" w:rsidRPr="00D2367C" w14:paraId="0EAB3127" w14:textId="77777777" w:rsidTr="00240098">
        <w:tc>
          <w:tcPr>
            <w:tcW w:w="2552" w:type="dxa"/>
            <w:tcBorders>
              <w:top w:val="nil"/>
              <w:left w:val="nil"/>
              <w:bottom w:val="nil"/>
              <w:right w:val="nil"/>
            </w:tcBorders>
            <w:hideMark/>
          </w:tcPr>
          <w:p w14:paraId="0041746A"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 xml:space="preserve">Race, </w:t>
            </w:r>
            <w:r w:rsidRPr="00D2367C">
              <w:rPr>
                <w:rFonts w:ascii="Arial" w:hAnsi="Arial" w:cs="Arial"/>
                <w:i/>
                <w:iCs/>
              </w:rPr>
              <w:t>n</w:t>
            </w:r>
            <w:r w:rsidRPr="00D2367C">
              <w:rPr>
                <w:rFonts w:ascii="Arial" w:hAnsi="Arial" w:cs="Arial"/>
              </w:rPr>
              <w:t xml:space="preserve"> (%)</w:t>
            </w:r>
          </w:p>
          <w:p w14:paraId="6A1BA693"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ab/>
              <w:t>White</w:t>
            </w:r>
          </w:p>
          <w:p w14:paraId="41D24BB7"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ab/>
              <w:t>Black</w:t>
            </w:r>
          </w:p>
        </w:tc>
        <w:tc>
          <w:tcPr>
            <w:tcW w:w="1566" w:type="dxa"/>
            <w:tcBorders>
              <w:top w:val="nil"/>
              <w:left w:val="nil"/>
              <w:bottom w:val="nil"/>
              <w:right w:val="nil"/>
            </w:tcBorders>
          </w:tcPr>
          <w:p w14:paraId="3BAF8C70" w14:textId="77777777" w:rsidR="007E4871" w:rsidRPr="00D2367C" w:rsidRDefault="007E4871" w:rsidP="00240098">
            <w:pPr>
              <w:pStyle w:val="EndNoteBibliography"/>
              <w:ind w:left="720" w:hanging="720"/>
              <w:rPr>
                <w:rFonts w:ascii="Arial" w:hAnsi="Arial" w:cs="Arial"/>
              </w:rPr>
            </w:pPr>
          </w:p>
          <w:p w14:paraId="58AB802C"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p w14:paraId="46610FDF"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0</w:t>
            </w:r>
          </w:p>
        </w:tc>
        <w:tc>
          <w:tcPr>
            <w:tcW w:w="1628" w:type="dxa"/>
            <w:tcBorders>
              <w:top w:val="nil"/>
              <w:left w:val="nil"/>
              <w:bottom w:val="nil"/>
              <w:right w:val="nil"/>
            </w:tcBorders>
          </w:tcPr>
          <w:p w14:paraId="14AAA978" w14:textId="77777777" w:rsidR="007E4871" w:rsidRPr="00D2367C" w:rsidRDefault="007E4871" w:rsidP="00240098">
            <w:pPr>
              <w:pStyle w:val="EndNoteBibliography"/>
              <w:ind w:left="720" w:hanging="720"/>
              <w:rPr>
                <w:rFonts w:ascii="Arial" w:hAnsi="Arial" w:cs="Arial"/>
              </w:rPr>
            </w:pPr>
          </w:p>
          <w:p w14:paraId="723410B2"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p w14:paraId="52716E08"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0</w:t>
            </w:r>
          </w:p>
        </w:tc>
        <w:tc>
          <w:tcPr>
            <w:tcW w:w="1566" w:type="dxa"/>
            <w:tcBorders>
              <w:top w:val="nil"/>
              <w:left w:val="nil"/>
              <w:bottom w:val="nil"/>
              <w:right w:val="nil"/>
            </w:tcBorders>
          </w:tcPr>
          <w:p w14:paraId="6496FC00" w14:textId="77777777" w:rsidR="007E4871" w:rsidRPr="00D2367C" w:rsidRDefault="007E4871" w:rsidP="00240098">
            <w:pPr>
              <w:pStyle w:val="EndNoteBibliography"/>
              <w:ind w:left="720" w:hanging="720"/>
              <w:rPr>
                <w:rFonts w:ascii="Arial" w:hAnsi="Arial" w:cs="Arial"/>
              </w:rPr>
            </w:pPr>
          </w:p>
          <w:p w14:paraId="0F4E76B4"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p w14:paraId="502C7DAE"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0</w:t>
            </w:r>
          </w:p>
        </w:tc>
        <w:tc>
          <w:tcPr>
            <w:tcW w:w="1628" w:type="dxa"/>
            <w:tcBorders>
              <w:top w:val="nil"/>
              <w:left w:val="nil"/>
              <w:bottom w:val="nil"/>
              <w:right w:val="nil"/>
            </w:tcBorders>
          </w:tcPr>
          <w:p w14:paraId="55DE4F15" w14:textId="77777777" w:rsidR="007E4871" w:rsidRPr="00D2367C" w:rsidRDefault="007E4871" w:rsidP="00240098">
            <w:pPr>
              <w:pStyle w:val="EndNoteBibliography"/>
              <w:ind w:left="720" w:hanging="720"/>
              <w:rPr>
                <w:rFonts w:ascii="Arial" w:hAnsi="Arial" w:cs="Arial"/>
              </w:rPr>
            </w:pPr>
          </w:p>
          <w:p w14:paraId="4C8CAE6C"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p w14:paraId="4C0C3E40"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0</w:t>
            </w:r>
          </w:p>
        </w:tc>
        <w:tc>
          <w:tcPr>
            <w:tcW w:w="1628" w:type="dxa"/>
            <w:tcBorders>
              <w:top w:val="nil"/>
              <w:left w:val="nil"/>
              <w:bottom w:val="nil"/>
              <w:right w:val="nil"/>
            </w:tcBorders>
          </w:tcPr>
          <w:p w14:paraId="0CBCEF00" w14:textId="77777777" w:rsidR="007E4871" w:rsidRPr="00D2367C" w:rsidRDefault="007E4871" w:rsidP="00240098">
            <w:pPr>
              <w:pStyle w:val="EndNoteBibliography"/>
              <w:ind w:left="720" w:hanging="720"/>
              <w:rPr>
                <w:rFonts w:ascii="Arial" w:hAnsi="Arial" w:cs="Arial"/>
              </w:rPr>
            </w:pPr>
          </w:p>
          <w:p w14:paraId="47298CFF"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p w14:paraId="2012DCBE"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0</w:t>
            </w:r>
          </w:p>
        </w:tc>
      </w:tr>
      <w:tr w:rsidR="007E4871" w:rsidRPr="00D2367C" w14:paraId="11ADEB9C" w14:textId="77777777" w:rsidTr="00240098">
        <w:tc>
          <w:tcPr>
            <w:tcW w:w="2552" w:type="dxa"/>
            <w:tcBorders>
              <w:top w:val="nil"/>
              <w:left w:val="nil"/>
              <w:bottom w:val="nil"/>
              <w:right w:val="nil"/>
            </w:tcBorders>
            <w:hideMark/>
          </w:tcPr>
          <w:p w14:paraId="58896D9F"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Age, years, mean (SD)</w:t>
            </w:r>
          </w:p>
        </w:tc>
        <w:tc>
          <w:tcPr>
            <w:tcW w:w="1566" w:type="dxa"/>
            <w:tcBorders>
              <w:top w:val="nil"/>
              <w:left w:val="nil"/>
              <w:bottom w:val="nil"/>
              <w:right w:val="nil"/>
            </w:tcBorders>
            <w:hideMark/>
          </w:tcPr>
          <w:p w14:paraId="2B3F5F67"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31.0 (9.9)</w:t>
            </w:r>
          </w:p>
        </w:tc>
        <w:tc>
          <w:tcPr>
            <w:tcW w:w="1628" w:type="dxa"/>
            <w:tcBorders>
              <w:top w:val="nil"/>
              <w:left w:val="nil"/>
              <w:bottom w:val="nil"/>
              <w:right w:val="nil"/>
            </w:tcBorders>
            <w:hideMark/>
          </w:tcPr>
          <w:p w14:paraId="393BC8D0"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29.5 (12.0)</w:t>
            </w:r>
          </w:p>
        </w:tc>
        <w:tc>
          <w:tcPr>
            <w:tcW w:w="1566" w:type="dxa"/>
            <w:tcBorders>
              <w:top w:val="nil"/>
              <w:left w:val="nil"/>
              <w:bottom w:val="nil"/>
              <w:right w:val="nil"/>
            </w:tcBorders>
            <w:hideMark/>
          </w:tcPr>
          <w:p w14:paraId="45939799"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32.0 (2.8)</w:t>
            </w:r>
          </w:p>
        </w:tc>
        <w:tc>
          <w:tcPr>
            <w:tcW w:w="1628" w:type="dxa"/>
            <w:tcBorders>
              <w:top w:val="nil"/>
              <w:left w:val="nil"/>
              <w:bottom w:val="nil"/>
              <w:right w:val="nil"/>
            </w:tcBorders>
            <w:hideMark/>
          </w:tcPr>
          <w:p w14:paraId="4A2B9FB9"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34.0 (7.1)</w:t>
            </w:r>
          </w:p>
        </w:tc>
        <w:tc>
          <w:tcPr>
            <w:tcW w:w="1628" w:type="dxa"/>
            <w:tcBorders>
              <w:top w:val="nil"/>
              <w:left w:val="nil"/>
              <w:bottom w:val="nil"/>
              <w:right w:val="nil"/>
            </w:tcBorders>
            <w:hideMark/>
          </w:tcPr>
          <w:p w14:paraId="069B5F91"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32.0 (2.8)</w:t>
            </w:r>
          </w:p>
        </w:tc>
      </w:tr>
      <w:tr w:rsidR="007E4871" w:rsidRPr="00D2367C" w14:paraId="2130AE2B" w14:textId="77777777" w:rsidTr="00240098">
        <w:tc>
          <w:tcPr>
            <w:tcW w:w="2552" w:type="dxa"/>
            <w:tcBorders>
              <w:top w:val="nil"/>
              <w:left w:val="nil"/>
              <w:bottom w:val="nil"/>
              <w:right w:val="nil"/>
            </w:tcBorders>
            <w:hideMark/>
          </w:tcPr>
          <w:p w14:paraId="58348069"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BMI, kg/m</w:t>
            </w:r>
            <w:r w:rsidRPr="00D2367C">
              <w:rPr>
                <w:rFonts w:ascii="Arial" w:hAnsi="Arial" w:cs="Arial"/>
                <w:vertAlign w:val="superscript"/>
              </w:rPr>
              <w:t>2</w:t>
            </w:r>
            <w:r w:rsidRPr="00D2367C">
              <w:rPr>
                <w:rFonts w:ascii="Arial" w:hAnsi="Arial" w:cs="Arial"/>
              </w:rPr>
              <w:t>, mean (SD)</w:t>
            </w:r>
          </w:p>
        </w:tc>
        <w:tc>
          <w:tcPr>
            <w:tcW w:w="1566" w:type="dxa"/>
            <w:tcBorders>
              <w:top w:val="nil"/>
              <w:left w:val="nil"/>
              <w:bottom w:val="nil"/>
              <w:right w:val="nil"/>
            </w:tcBorders>
            <w:hideMark/>
          </w:tcPr>
          <w:p w14:paraId="712F1395"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19.7 (1.0)</w:t>
            </w:r>
          </w:p>
        </w:tc>
        <w:tc>
          <w:tcPr>
            <w:tcW w:w="1628" w:type="dxa"/>
            <w:tcBorders>
              <w:top w:val="nil"/>
              <w:left w:val="nil"/>
              <w:bottom w:val="nil"/>
              <w:right w:val="nil"/>
            </w:tcBorders>
            <w:hideMark/>
          </w:tcPr>
          <w:p w14:paraId="360F3A5C"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22.8 (4.7)</w:t>
            </w:r>
          </w:p>
        </w:tc>
        <w:tc>
          <w:tcPr>
            <w:tcW w:w="1566" w:type="dxa"/>
            <w:tcBorders>
              <w:top w:val="nil"/>
              <w:left w:val="nil"/>
              <w:bottom w:val="nil"/>
              <w:right w:val="nil"/>
            </w:tcBorders>
            <w:hideMark/>
          </w:tcPr>
          <w:p w14:paraId="013E9F63"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24.5 (5.7)</w:t>
            </w:r>
          </w:p>
        </w:tc>
        <w:tc>
          <w:tcPr>
            <w:tcW w:w="1628" w:type="dxa"/>
            <w:tcBorders>
              <w:top w:val="nil"/>
              <w:left w:val="nil"/>
              <w:bottom w:val="nil"/>
              <w:right w:val="nil"/>
            </w:tcBorders>
            <w:hideMark/>
          </w:tcPr>
          <w:p w14:paraId="5A7542C6"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23.5 (0.4)</w:t>
            </w:r>
          </w:p>
        </w:tc>
        <w:tc>
          <w:tcPr>
            <w:tcW w:w="1628" w:type="dxa"/>
            <w:tcBorders>
              <w:top w:val="nil"/>
              <w:left w:val="nil"/>
              <w:bottom w:val="nil"/>
              <w:right w:val="nil"/>
            </w:tcBorders>
            <w:hideMark/>
          </w:tcPr>
          <w:p w14:paraId="5F8F8D68"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26.5 (1.8)</w:t>
            </w:r>
          </w:p>
        </w:tc>
      </w:tr>
      <w:tr w:rsidR="007E4871" w:rsidRPr="00D2367C" w14:paraId="04D32322" w14:textId="77777777" w:rsidTr="00240098">
        <w:tc>
          <w:tcPr>
            <w:tcW w:w="2552" w:type="dxa"/>
            <w:tcBorders>
              <w:top w:val="nil"/>
              <w:left w:val="nil"/>
              <w:bottom w:val="nil"/>
              <w:right w:val="nil"/>
            </w:tcBorders>
            <w:hideMark/>
          </w:tcPr>
          <w:p w14:paraId="639663DD"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 xml:space="preserve">Smoking history, </w:t>
            </w:r>
            <w:r w:rsidRPr="00D2367C">
              <w:rPr>
                <w:rFonts w:ascii="Arial" w:hAnsi="Arial" w:cs="Arial"/>
                <w:i/>
                <w:iCs/>
              </w:rPr>
              <w:t>n</w:t>
            </w:r>
            <w:r w:rsidRPr="00D2367C">
              <w:rPr>
                <w:rFonts w:ascii="Arial" w:hAnsi="Arial" w:cs="Arial"/>
              </w:rPr>
              <w:t xml:space="preserve"> (%)</w:t>
            </w:r>
          </w:p>
          <w:p w14:paraId="1B81F0A0"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ab/>
              <w:t>Never</w:t>
            </w:r>
          </w:p>
          <w:p w14:paraId="62F8EDB5"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ab/>
              <w:t>Former</w:t>
            </w:r>
          </w:p>
        </w:tc>
        <w:tc>
          <w:tcPr>
            <w:tcW w:w="1566" w:type="dxa"/>
            <w:tcBorders>
              <w:top w:val="nil"/>
              <w:left w:val="nil"/>
              <w:bottom w:val="nil"/>
              <w:right w:val="nil"/>
            </w:tcBorders>
          </w:tcPr>
          <w:p w14:paraId="02C432D1" w14:textId="77777777" w:rsidR="007E4871" w:rsidRPr="00D2367C" w:rsidRDefault="007E4871" w:rsidP="00240098">
            <w:pPr>
              <w:pStyle w:val="EndNoteBibliography"/>
              <w:ind w:left="720" w:hanging="720"/>
              <w:rPr>
                <w:rFonts w:ascii="Arial" w:hAnsi="Arial" w:cs="Arial"/>
              </w:rPr>
            </w:pPr>
          </w:p>
          <w:p w14:paraId="3BDE2B48"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p w14:paraId="552F3B34"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0</w:t>
            </w:r>
          </w:p>
        </w:tc>
        <w:tc>
          <w:tcPr>
            <w:tcW w:w="1628" w:type="dxa"/>
            <w:tcBorders>
              <w:top w:val="nil"/>
              <w:left w:val="nil"/>
              <w:bottom w:val="nil"/>
              <w:right w:val="nil"/>
            </w:tcBorders>
          </w:tcPr>
          <w:p w14:paraId="0FFF26C4" w14:textId="77777777" w:rsidR="007E4871" w:rsidRPr="00D2367C" w:rsidRDefault="007E4871" w:rsidP="00240098">
            <w:pPr>
              <w:pStyle w:val="EndNoteBibliography"/>
              <w:ind w:left="720" w:hanging="720"/>
              <w:rPr>
                <w:rFonts w:ascii="Arial" w:hAnsi="Arial" w:cs="Arial"/>
              </w:rPr>
            </w:pPr>
          </w:p>
          <w:p w14:paraId="4A7EDDC2"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1 (50.0)</w:t>
            </w:r>
          </w:p>
          <w:p w14:paraId="000E29EE"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1 (50.0)</w:t>
            </w:r>
          </w:p>
        </w:tc>
        <w:tc>
          <w:tcPr>
            <w:tcW w:w="1566" w:type="dxa"/>
            <w:tcBorders>
              <w:top w:val="nil"/>
              <w:left w:val="nil"/>
              <w:bottom w:val="nil"/>
              <w:right w:val="nil"/>
            </w:tcBorders>
          </w:tcPr>
          <w:p w14:paraId="3A6B49C1" w14:textId="77777777" w:rsidR="007E4871" w:rsidRPr="00D2367C" w:rsidRDefault="007E4871" w:rsidP="00240098">
            <w:pPr>
              <w:pStyle w:val="EndNoteBibliography"/>
              <w:ind w:left="720" w:hanging="720"/>
              <w:rPr>
                <w:rFonts w:ascii="Arial" w:hAnsi="Arial" w:cs="Arial"/>
              </w:rPr>
            </w:pPr>
          </w:p>
          <w:p w14:paraId="40F95718"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p w14:paraId="388EFD00"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0</w:t>
            </w:r>
          </w:p>
        </w:tc>
        <w:tc>
          <w:tcPr>
            <w:tcW w:w="1628" w:type="dxa"/>
            <w:tcBorders>
              <w:top w:val="nil"/>
              <w:left w:val="nil"/>
              <w:bottom w:val="nil"/>
              <w:right w:val="nil"/>
            </w:tcBorders>
          </w:tcPr>
          <w:p w14:paraId="608CB533" w14:textId="77777777" w:rsidR="007E4871" w:rsidRPr="00D2367C" w:rsidRDefault="007E4871" w:rsidP="00240098">
            <w:pPr>
              <w:pStyle w:val="EndNoteBibliography"/>
              <w:ind w:left="720" w:hanging="720"/>
              <w:rPr>
                <w:rFonts w:ascii="Arial" w:hAnsi="Arial" w:cs="Arial"/>
              </w:rPr>
            </w:pPr>
          </w:p>
          <w:p w14:paraId="11105B51"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2 (100)</w:t>
            </w:r>
          </w:p>
          <w:p w14:paraId="3B8BFA95"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0</w:t>
            </w:r>
          </w:p>
        </w:tc>
        <w:tc>
          <w:tcPr>
            <w:tcW w:w="1628" w:type="dxa"/>
            <w:tcBorders>
              <w:top w:val="nil"/>
              <w:left w:val="nil"/>
              <w:bottom w:val="nil"/>
              <w:right w:val="nil"/>
            </w:tcBorders>
          </w:tcPr>
          <w:p w14:paraId="0418FCE6" w14:textId="77777777" w:rsidR="007E4871" w:rsidRPr="00D2367C" w:rsidRDefault="007E4871" w:rsidP="00240098">
            <w:pPr>
              <w:pStyle w:val="EndNoteBibliography"/>
              <w:ind w:left="720" w:hanging="720"/>
              <w:rPr>
                <w:rFonts w:ascii="Arial" w:hAnsi="Arial" w:cs="Arial"/>
              </w:rPr>
            </w:pPr>
          </w:p>
          <w:p w14:paraId="4DAAC411"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1 (50.0)</w:t>
            </w:r>
          </w:p>
          <w:p w14:paraId="2B30A914"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1 (50.0)</w:t>
            </w:r>
          </w:p>
        </w:tc>
      </w:tr>
      <w:tr w:rsidR="007E4871" w:rsidRPr="00D2367C" w14:paraId="41E36E4E" w14:textId="77777777" w:rsidTr="00240098">
        <w:tc>
          <w:tcPr>
            <w:tcW w:w="2552" w:type="dxa"/>
            <w:tcBorders>
              <w:top w:val="nil"/>
              <w:left w:val="nil"/>
              <w:bottom w:val="single" w:sz="6" w:space="0" w:color="000000"/>
              <w:right w:val="nil"/>
            </w:tcBorders>
            <w:hideMark/>
          </w:tcPr>
          <w:p w14:paraId="32F7920A" w14:textId="77777777" w:rsidR="007E4871" w:rsidRPr="00D2367C" w:rsidRDefault="007E4871" w:rsidP="00240098">
            <w:pPr>
              <w:pStyle w:val="EndNoteBibliography"/>
              <w:rPr>
                <w:rFonts w:ascii="Arial" w:hAnsi="Arial" w:cs="Arial"/>
              </w:rPr>
            </w:pPr>
            <w:r w:rsidRPr="00D2367C">
              <w:rPr>
                <w:rFonts w:ascii="Arial" w:hAnsi="Arial" w:cs="Arial"/>
              </w:rPr>
              <w:t>Alcohol consumption, g/day, mean (SD)</w:t>
            </w:r>
          </w:p>
        </w:tc>
        <w:tc>
          <w:tcPr>
            <w:tcW w:w="1566" w:type="dxa"/>
            <w:tcBorders>
              <w:top w:val="nil"/>
              <w:left w:val="nil"/>
              <w:bottom w:val="single" w:sz="6" w:space="0" w:color="000000"/>
              <w:right w:val="nil"/>
            </w:tcBorders>
            <w:hideMark/>
          </w:tcPr>
          <w:p w14:paraId="5EAA566F"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1.0 (1.4)</w:t>
            </w:r>
          </w:p>
        </w:tc>
        <w:tc>
          <w:tcPr>
            <w:tcW w:w="1628" w:type="dxa"/>
            <w:tcBorders>
              <w:top w:val="nil"/>
              <w:left w:val="nil"/>
              <w:bottom w:val="single" w:sz="6" w:space="0" w:color="000000"/>
              <w:right w:val="nil"/>
            </w:tcBorders>
            <w:hideMark/>
          </w:tcPr>
          <w:p w14:paraId="47C2C122"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3.0 (4.2)</w:t>
            </w:r>
          </w:p>
        </w:tc>
        <w:tc>
          <w:tcPr>
            <w:tcW w:w="1566" w:type="dxa"/>
            <w:tcBorders>
              <w:top w:val="nil"/>
              <w:left w:val="nil"/>
              <w:bottom w:val="single" w:sz="6" w:space="0" w:color="000000"/>
              <w:right w:val="nil"/>
            </w:tcBorders>
            <w:hideMark/>
          </w:tcPr>
          <w:p w14:paraId="157802E8"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7.0 (5.7)</w:t>
            </w:r>
          </w:p>
        </w:tc>
        <w:tc>
          <w:tcPr>
            <w:tcW w:w="1628" w:type="dxa"/>
            <w:tcBorders>
              <w:top w:val="nil"/>
              <w:left w:val="nil"/>
              <w:bottom w:val="single" w:sz="6" w:space="0" w:color="000000"/>
              <w:right w:val="nil"/>
            </w:tcBorders>
            <w:hideMark/>
          </w:tcPr>
          <w:p w14:paraId="381431AF"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9.5 (13.4)</w:t>
            </w:r>
          </w:p>
        </w:tc>
        <w:tc>
          <w:tcPr>
            <w:tcW w:w="1628" w:type="dxa"/>
            <w:tcBorders>
              <w:top w:val="nil"/>
              <w:left w:val="nil"/>
              <w:bottom w:val="single" w:sz="6" w:space="0" w:color="000000"/>
              <w:right w:val="nil"/>
            </w:tcBorders>
            <w:hideMark/>
          </w:tcPr>
          <w:p w14:paraId="79C2D146" w14:textId="77777777" w:rsidR="007E4871" w:rsidRPr="00D2367C" w:rsidRDefault="007E4871" w:rsidP="00240098">
            <w:pPr>
              <w:pStyle w:val="EndNoteBibliography"/>
              <w:ind w:left="720" w:hanging="720"/>
              <w:rPr>
                <w:rFonts w:ascii="Arial" w:hAnsi="Arial" w:cs="Arial"/>
              </w:rPr>
            </w:pPr>
            <w:r w:rsidRPr="00D2367C">
              <w:rPr>
                <w:rFonts w:ascii="Arial" w:hAnsi="Arial" w:cs="Arial"/>
              </w:rPr>
              <w:t>6.0 (4.2)</w:t>
            </w:r>
          </w:p>
        </w:tc>
      </w:tr>
    </w:tbl>
    <w:p w14:paraId="4D0B7430" w14:textId="77777777" w:rsidR="007E4871" w:rsidRPr="00D2367C" w:rsidRDefault="007E4871" w:rsidP="007E4871">
      <w:pPr>
        <w:pStyle w:val="EndNoteBibliography"/>
        <w:ind w:left="720" w:hanging="720"/>
        <w:rPr>
          <w:rFonts w:ascii="Arial" w:hAnsi="Arial" w:cs="Arial"/>
        </w:rPr>
      </w:pPr>
      <w:r w:rsidRPr="00D2367C">
        <w:rPr>
          <w:rFonts w:ascii="Arial" w:hAnsi="Arial" w:cs="Arial"/>
          <w:i/>
          <w:iCs/>
        </w:rPr>
        <w:t>BMI</w:t>
      </w:r>
      <w:r w:rsidRPr="00D2367C">
        <w:rPr>
          <w:rFonts w:ascii="Arial" w:hAnsi="Arial" w:cs="Arial"/>
        </w:rPr>
        <w:t xml:space="preserve"> body mass index, </w:t>
      </w:r>
      <w:r w:rsidRPr="00D2367C">
        <w:rPr>
          <w:rFonts w:ascii="Arial" w:hAnsi="Arial" w:cs="Arial"/>
          <w:i/>
          <w:iCs/>
        </w:rPr>
        <w:t>IV</w:t>
      </w:r>
      <w:r w:rsidRPr="00D2367C">
        <w:rPr>
          <w:rFonts w:ascii="Arial" w:hAnsi="Arial" w:cs="Arial"/>
        </w:rPr>
        <w:t xml:space="preserve"> intravenous, </w:t>
      </w:r>
      <w:r w:rsidRPr="00D2367C">
        <w:rPr>
          <w:rFonts w:ascii="Arial" w:hAnsi="Arial" w:cs="Arial"/>
          <w:i/>
          <w:iCs/>
        </w:rPr>
        <w:t>SD</w:t>
      </w:r>
      <w:r w:rsidRPr="00D2367C">
        <w:rPr>
          <w:rFonts w:ascii="Arial" w:hAnsi="Arial" w:cs="Arial"/>
        </w:rPr>
        <w:t xml:space="preserve"> standard deviation</w:t>
      </w:r>
      <w:r w:rsidRPr="00D2367C">
        <w:rPr>
          <w:rFonts w:ascii="Arial" w:hAnsi="Arial" w:cs="Arial"/>
        </w:rPr>
        <w:br/>
      </w:r>
    </w:p>
    <w:p w14:paraId="4B7524B6" w14:textId="77777777" w:rsidR="007E4871" w:rsidRPr="00D2367C" w:rsidRDefault="007E4871" w:rsidP="007E4871">
      <w:pPr>
        <w:pStyle w:val="EndNoteBibliography"/>
        <w:spacing w:line="480" w:lineRule="auto"/>
        <w:ind w:left="720" w:hanging="720"/>
        <w:rPr>
          <w:rFonts w:ascii="Arial" w:hAnsi="Arial" w:cs="Arial"/>
          <w:b/>
        </w:rPr>
      </w:pPr>
      <w:r w:rsidRPr="00D2367C">
        <w:rPr>
          <w:rFonts w:ascii="Arial" w:hAnsi="Arial" w:cs="Arial"/>
          <w:b/>
        </w:rPr>
        <w:br w:type="page"/>
      </w:r>
    </w:p>
    <w:p w14:paraId="680E3AB3" w14:textId="77777777" w:rsidR="007E4871" w:rsidRPr="00D2367C" w:rsidRDefault="007E4871" w:rsidP="007E4871">
      <w:pPr>
        <w:pStyle w:val="EndNoteBibliography"/>
        <w:rPr>
          <w:rFonts w:ascii="Arial" w:hAnsi="Arial" w:cs="Arial"/>
          <w:bCs/>
        </w:rPr>
      </w:pPr>
      <w:r w:rsidRPr="00D2367C">
        <w:rPr>
          <w:rFonts w:ascii="Arial" w:hAnsi="Arial" w:cs="Arial"/>
          <w:b/>
        </w:rPr>
        <w:t xml:space="preserve">Fig. S1 </w:t>
      </w:r>
      <w:r w:rsidRPr="00D2367C">
        <w:rPr>
          <w:rFonts w:ascii="Arial" w:hAnsi="Arial" w:cs="Arial"/>
          <w:bCs/>
        </w:rPr>
        <w:t>Geometric mean plasma mosliciguat trough concentrations over time (Study 2)</w:t>
      </w:r>
    </w:p>
    <w:p w14:paraId="04EEC40A" w14:textId="77777777" w:rsidR="007E4871" w:rsidRPr="00D2367C" w:rsidRDefault="007E4871" w:rsidP="007E4871">
      <w:pPr>
        <w:pStyle w:val="EndNoteBibliography"/>
        <w:rPr>
          <w:rFonts w:ascii="Arial" w:hAnsi="Arial" w:cs="Arial"/>
          <w:bCs/>
        </w:rPr>
      </w:pPr>
    </w:p>
    <w:p w14:paraId="56E37365" w14:textId="77777777" w:rsidR="007E4871" w:rsidRPr="00D2367C" w:rsidRDefault="007E4871" w:rsidP="007E4871">
      <w:pPr>
        <w:pStyle w:val="EndNoteBibliography"/>
        <w:ind w:left="720" w:hanging="720"/>
        <w:rPr>
          <w:rFonts w:ascii="Arial" w:hAnsi="Arial" w:cs="Arial"/>
          <w:bCs/>
        </w:rPr>
      </w:pPr>
      <w:r w:rsidRPr="00D2367C">
        <w:rPr>
          <w:lang w:val="en-IN" w:eastAsia="en-IN"/>
        </w:rPr>
        <w:drawing>
          <wp:inline distT="0" distB="0" distL="0" distR="0" wp14:anchorId="4E6C4079" wp14:editId="29F24384">
            <wp:extent cx="6120130" cy="4327525"/>
            <wp:effectExtent l="0" t="0" r="0" b="0"/>
            <wp:docPr id="815391501" name="Picture 3" descr="A graph of a number of small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91501" name="Picture 3" descr="A graph of a number of small black squar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4327525"/>
                    </a:xfrm>
                    <a:prstGeom prst="rect">
                      <a:avLst/>
                    </a:prstGeom>
                    <a:noFill/>
                    <a:ln>
                      <a:noFill/>
                    </a:ln>
                  </pic:spPr>
                </pic:pic>
              </a:graphicData>
            </a:graphic>
          </wp:inline>
        </w:drawing>
      </w:r>
      <w:r w:rsidRPr="00D2367C">
        <w:rPr>
          <w:rFonts w:ascii="Arial" w:hAnsi="Arial" w:cs="Arial"/>
          <w:bCs/>
          <w:i/>
          <w:iCs/>
        </w:rPr>
        <w:t>LLOQ</w:t>
      </w:r>
      <w:r w:rsidRPr="00D2367C">
        <w:rPr>
          <w:rFonts w:ascii="Arial" w:hAnsi="Arial" w:cs="Arial"/>
          <w:bCs/>
        </w:rPr>
        <w:t xml:space="preserve"> lower limit of quantification, </w:t>
      </w:r>
      <w:r w:rsidRPr="00D2367C">
        <w:rPr>
          <w:rFonts w:ascii="Arial" w:hAnsi="Arial" w:cs="Arial"/>
          <w:bCs/>
          <w:i/>
          <w:iCs/>
        </w:rPr>
        <w:t>OD</w:t>
      </w:r>
      <w:r w:rsidRPr="00D2367C">
        <w:rPr>
          <w:rFonts w:ascii="Arial" w:hAnsi="Arial" w:cs="Arial"/>
          <w:bCs/>
        </w:rPr>
        <w:t xml:space="preserve"> </w:t>
      </w:r>
      <w:r w:rsidRPr="00D2367C">
        <w:rPr>
          <w:rFonts w:ascii="Arial" w:hAnsi="Arial" w:cs="Arial"/>
        </w:rPr>
        <w:t>once daily</w:t>
      </w:r>
    </w:p>
    <w:p w14:paraId="6ECED9A2" w14:textId="77777777" w:rsidR="007E4871" w:rsidRPr="00D2367C" w:rsidRDefault="007E4871" w:rsidP="007E4871">
      <w:pPr>
        <w:pStyle w:val="EndNoteBibliography"/>
        <w:ind w:left="720" w:hanging="720"/>
        <w:rPr>
          <w:rFonts w:ascii="Arial" w:hAnsi="Arial" w:cs="Arial"/>
          <w:bCs/>
        </w:rPr>
      </w:pPr>
    </w:p>
    <w:p w14:paraId="108003EE" w14:textId="77777777" w:rsidR="007E4871" w:rsidRPr="00D2367C" w:rsidRDefault="007E4871" w:rsidP="007E4871">
      <w:pPr>
        <w:pStyle w:val="EndNoteBibliography"/>
        <w:ind w:left="720" w:hanging="720"/>
        <w:rPr>
          <w:rFonts w:ascii="Arial" w:hAnsi="Arial" w:cs="Arial"/>
          <w:bCs/>
        </w:rPr>
      </w:pPr>
    </w:p>
    <w:p w14:paraId="1A23807A" w14:textId="77777777" w:rsidR="007E4871" w:rsidRPr="00D2367C" w:rsidRDefault="007E4871" w:rsidP="007E4871">
      <w:pPr>
        <w:pStyle w:val="EndNoteBibliography"/>
        <w:spacing w:line="480" w:lineRule="auto"/>
        <w:ind w:left="720" w:hanging="720"/>
        <w:rPr>
          <w:rFonts w:ascii="Arial" w:hAnsi="Arial" w:cs="Arial"/>
        </w:rPr>
      </w:pPr>
    </w:p>
    <w:p w14:paraId="5F0498F1" w14:textId="77777777" w:rsidR="007E4871" w:rsidRPr="00D2367C" w:rsidRDefault="007E4871" w:rsidP="007E4871">
      <w:pPr>
        <w:pStyle w:val="EndNoteBibliography"/>
        <w:spacing w:line="480" w:lineRule="auto"/>
        <w:ind w:left="720" w:hanging="720"/>
        <w:rPr>
          <w:rFonts w:ascii="Arial" w:hAnsi="Arial" w:cs="Arial"/>
          <w:sz w:val="22"/>
          <w:szCs w:val="22"/>
        </w:rPr>
      </w:pPr>
    </w:p>
    <w:p w14:paraId="467F2BB0" w14:textId="77777777" w:rsidR="00593856" w:rsidRPr="007E4871" w:rsidRDefault="00593856">
      <w:pPr>
        <w:rPr>
          <w:lang w:val="en-US"/>
        </w:rPr>
      </w:pPr>
      <w:bookmarkStart w:id="0" w:name="_GoBack"/>
      <w:bookmarkEnd w:id="0"/>
    </w:p>
    <w:sectPr w:rsidR="00593856" w:rsidRPr="007E4871" w:rsidSect="00575425">
      <w:footerReference w:type="even"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8ECB2" w14:textId="77777777" w:rsidR="007E4871" w:rsidRDefault="007E4871" w:rsidP="007E4871">
      <w:pPr>
        <w:spacing w:after="0" w:line="240" w:lineRule="auto"/>
      </w:pPr>
      <w:r>
        <w:separator/>
      </w:r>
    </w:p>
  </w:endnote>
  <w:endnote w:type="continuationSeparator" w:id="0">
    <w:p w14:paraId="684E9382" w14:textId="77777777" w:rsidR="007E4871" w:rsidRDefault="007E4871" w:rsidP="007E4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05208" w14:textId="4603A9DF" w:rsidR="007E4871" w:rsidRDefault="007E4871">
    <w:pPr>
      <w:pStyle w:val="Footer"/>
    </w:pPr>
    <w:r>
      <w:rPr>
        <w:noProof/>
        <w:lang w:val="en-IN" w:eastAsia="en-IN"/>
        <w14:ligatures w14:val="standardContextual"/>
      </w:rPr>
      <mc:AlternateContent>
        <mc:Choice Requires="wps">
          <w:drawing>
            <wp:anchor distT="0" distB="0" distL="0" distR="0" simplePos="0" relativeHeight="251659264" behindDoc="0" locked="0" layoutInCell="1" allowOverlap="1" wp14:anchorId="15989E04" wp14:editId="15637498">
              <wp:simplePos x="635" y="635"/>
              <wp:positionH relativeFrom="page">
                <wp:align>center</wp:align>
              </wp:positionH>
              <wp:positionV relativeFrom="page">
                <wp:align>bottom</wp:align>
              </wp:positionV>
              <wp:extent cx="2934970" cy="368935"/>
              <wp:effectExtent l="0" t="0" r="17780" b="0"/>
              <wp:wrapNone/>
              <wp:docPr id="1588449695" name="Text Box 2" descr="Confidential - Not for Public Consumption or Distribution">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2934970" cy="368935"/>
                      </a:xfrm>
                      <a:prstGeom prst="rect">
                        <a:avLst/>
                      </a:prstGeom>
                      <a:noFill/>
                      <a:ln>
                        <a:noFill/>
                      </a:ln>
                    </wps:spPr>
                    <wps:txbx>
                      <w:txbxContent>
                        <w:p w14:paraId="346F5CD2" w14:textId="2F48C386" w:rsidR="007E4871" w:rsidRPr="007E4871" w:rsidRDefault="007E4871" w:rsidP="007E4871">
                          <w:pPr>
                            <w:spacing w:after="0"/>
                            <w:rPr>
                              <w:rFonts w:ascii="Calibri" w:eastAsia="Calibri" w:hAnsi="Calibri" w:cs="Calibri"/>
                              <w:noProof/>
                              <w:color w:val="000000"/>
                              <w:sz w:val="20"/>
                              <w:szCs w:val="20"/>
                            </w:rPr>
                          </w:pPr>
                          <w:r w:rsidRPr="007E4871">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989E04"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1.1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" filled="f" stroked="f">
              <v:textbox style="mso-fit-shape-to-text:t" inset="0,0,0,15pt">
                <w:txbxContent>
                  <w:p w14:paraId="346F5CD2" w14:textId="2F48C386" w:rsidR="007E4871" w:rsidRPr="007E4871" w:rsidRDefault="007E4871" w:rsidP="007E4871">
                    <w:pPr>
                      <w:spacing w:after="0"/>
                      <w:rPr>
                        <w:rFonts w:ascii="Calibri" w:eastAsia="Calibri" w:hAnsi="Calibri" w:cs="Calibri"/>
                        <w:noProof/>
                        <w:color w:val="000000"/>
                        <w:sz w:val="20"/>
                        <w:szCs w:val="20"/>
                      </w:rPr>
                    </w:pPr>
                    <w:r w:rsidRPr="007E4871">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DBFB0" w14:textId="1404E515" w:rsidR="007E4871" w:rsidRDefault="007E4871">
    <w:pPr>
      <w:pStyle w:val="Footer"/>
    </w:pPr>
    <w:r>
      <w:rPr>
        <w:noProof/>
        <w:lang w:val="en-IN" w:eastAsia="en-IN"/>
        <w14:ligatures w14:val="standardContextual"/>
      </w:rPr>
      <mc:AlternateContent>
        <mc:Choice Requires="wps">
          <w:drawing>
            <wp:anchor distT="0" distB="0" distL="0" distR="0" simplePos="0" relativeHeight="251658240" behindDoc="0" locked="0" layoutInCell="1" allowOverlap="1" wp14:anchorId="1AD50DDB" wp14:editId="56BB2024">
              <wp:simplePos x="635" y="635"/>
              <wp:positionH relativeFrom="page">
                <wp:align>center</wp:align>
              </wp:positionH>
              <wp:positionV relativeFrom="page">
                <wp:align>bottom</wp:align>
              </wp:positionV>
              <wp:extent cx="2934970" cy="368935"/>
              <wp:effectExtent l="0" t="0" r="17780" b="0"/>
              <wp:wrapNone/>
              <wp:docPr id="713158264" name="Text Box 1" descr="Confidential - Not for Public Consumption or Distribution">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2934970" cy="368935"/>
                      </a:xfrm>
                      <a:prstGeom prst="rect">
                        <a:avLst/>
                      </a:prstGeom>
                      <a:noFill/>
                      <a:ln>
                        <a:noFill/>
                      </a:ln>
                    </wps:spPr>
                    <wps:txbx>
                      <w:txbxContent>
                        <w:p w14:paraId="09643058" w14:textId="639F5C0F" w:rsidR="007E4871" w:rsidRPr="007E4871" w:rsidRDefault="007E4871" w:rsidP="007E4871">
                          <w:pPr>
                            <w:spacing w:after="0"/>
                            <w:rPr>
                              <w:rFonts w:ascii="Calibri" w:eastAsia="Calibri" w:hAnsi="Calibri" w:cs="Calibri"/>
                              <w:noProof/>
                              <w:color w:val="000000"/>
                              <w:sz w:val="20"/>
                              <w:szCs w:val="20"/>
                            </w:rPr>
                          </w:pPr>
                          <w:r w:rsidRPr="007E4871">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D50DDB" id="_x0000_t202" coordsize="21600,21600" o:spt="202" path="m,l,21600r21600,l21600,xe">
              <v:stroke joinstyle="miter"/>
              <v:path gradientshapeok="t" o:connecttype="rect"/>
            </v:shapetype>
            <v:shape id="Text Box 1" o:spid="_x0000_s1027" type="#_x0000_t202" alt="Confidential - Not for Public Consumption or Distribution" style="position:absolute;margin-left:0;margin-top:0;width:231.1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" filled="f" stroked="f">
              <v:textbox style="mso-fit-shape-to-text:t" inset="0,0,0,15pt">
                <w:txbxContent>
                  <w:p w14:paraId="09643058" w14:textId="639F5C0F" w:rsidR="007E4871" w:rsidRPr="007E4871" w:rsidRDefault="007E4871" w:rsidP="007E4871">
                    <w:pPr>
                      <w:spacing w:after="0"/>
                      <w:rPr>
                        <w:rFonts w:ascii="Calibri" w:eastAsia="Calibri" w:hAnsi="Calibri" w:cs="Calibri"/>
                        <w:noProof/>
                        <w:color w:val="000000"/>
                        <w:sz w:val="20"/>
                        <w:szCs w:val="20"/>
                      </w:rPr>
                    </w:pPr>
                    <w:r w:rsidRPr="007E4871">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99198" w14:textId="77777777" w:rsidR="007E4871" w:rsidRDefault="007E4871" w:rsidP="007E4871">
      <w:pPr>
        <w:spacing w:after="0" w:line="240" w:lineRule="auto"/>
      </w:pPr>
      <w:r>
        <w:separator/>
      </w:r>
    </w:p>
  </w:footnote>
  <w:footnote w:type="continuationSeparator" w:id="0">
    <w:p w14:paraId="02A90385" w14:textId="77777777" w:rsidR="007E4871" w:rsidRDefault="007E4871" w:rsidP="007E48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512E"/>
    <w:multiLevelType w:val="hybridMultilevel"/>
    <w:tmpl w:val="D128A3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685400A"/>
    <w:multiLevelType w:val="hybridMultilevel"/>
    <w:tmpl w:val="7876B362"/>
    <w:lvl w:ilvl="0" w:tplc="4A0E7A7C">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EA4557A"/>
    <w:multiLevelType w:val="hybridMultilevel"/>
    <w:tmpl w:val="CCFA132E"/>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C2240B9"/>
    <w:multiLevelType w:val="hybridMultilevel"/>
    <w:tmpl w:val="0394A1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71"/>
    <w:rsid w:val="00234D6D"/>
    <w:rsid w:val="002E3B26"/>
    <w:rsid w:val="002F3276"/>
    <w:rsid w:val="00575425"/>
    <w:rsid w:val="00593856"/>
    <w:rsid w:val="007A694D"/>
    <w:rsid w:val="007E4871"/>
    <w:rsid w:val="00EB7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20FFEE"/>
  <w15:chartTrackingRefBased/>
  <w15:docId w15:val="{2B568B3A-57C2-46C5-A4F2-090114CC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871"/>
    <w:pPr>
      <w:spacing w:after="200" w:line="276" w:lineRule="auto"/>
    </w:pPr>
    <w:rPr>
      <w:kern w:val="0"/>
      <w14:ligatures w14:val="none"/>
    </w:rPr>
  </w:style>
  <w:style w:type="paragraph" w:styleId="Heading1">
    <w:name w:val="heading 1"/>
    <w:basedOn w:val="Normal"/>
    <w:next w:val="Normal"/>
    <w:link w:val="Heading1Char"/>
    <w:uiPriority w:val="9"/>
    <w:qFormat/>
    <w:rsid w:val="007E4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8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8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8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8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8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8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8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8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8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8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8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8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871"/>
    <w:rPr>
      <w:rFonts w:eastAsiaTheme="majorEastAsia" w:cstheme="majorBidi"/>
      <w:color w:val="272727" w:themeColor="text1" w:themeTint="D8"/>
    </w:rPr>
  </w:style>
  <w:style w:type="paragraph" w:styleId="Title">
    <w:name w:val="Title"/>
    <w:basedOn w:val="Normal"/>
    <w:next w:val="Normal"/>
    <w:link w:val="TitleChar"/>
    <w:uiPriority w:val="10"/>
    <w:qFormat/>
    <w:rsid w:val="007E4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8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871"/>
    <w:pPr>
      <w:spacing w:before="160"/>
      <w:jc w:val="center"/>
    </w:pPr>
    <w:rPr>
      <w:i/>
      <w:iCs/>
      <w:color w:val="404040" w:themeColor="text1" w:themeTint="BF"/>
    </w:rPr>
  </w:style>
  <w:style w:type="character" w:customStyle="1" w:styleId="QuoteChar">
    <w:name w:val="Quote Char"/>
    <w:basedOn w:val="DefaultParagraphFont"/>
    <w:link w:val="Quote"/>
    <w:uiPriority w:val="29"/>
    <w:rsid w:val="007E4871"/>
    <w:rPr>
      <w:i/>
      <w:iCs/>
      <w:color w:val="404040" w:themeColor="text1" w:themeTint="BF"/>
    </w:rPr>
  </w:style>
  <w:style w:type="paragraph" w:styleId="ListParagraph">
    <w:name w:val="List Paragraph"/>
    <w:basedOn w:val="Normal"/>
    <w:uiPriority w:val="34"/>
    <w:qFormat/>
    <w:rsid w:val="007E4871"/>
    <w:pPr>
      <w:ind w:left="720"/>
      <w:contextualSpacing/>
    </w:pPr>
  </w:style>
  <w:style w:type="character" w:styleId="IntenseEmphasis">
    <w:name w:val="Intense Emphasis"/>
    <w:basedOn w:val="DefaultParagraphFont"/>
    <w:uiPriority w:val="21"/>
    <w:qFormat/>
    <w:rsid w:val="007E4871"/>
    <w:rPr>
      <w:i/>
      <w:iCs/>
      <w:color w:val="0F4761" w:themeColor="accent1" w:themeShade="BF"/>
    </w:rPr>
  </w:style>
  <w:style w:type="paragraph" w:styleId="IntenseQuote">
    <w:name w:val="Intense Quote"/>
    <w:basedOn w:val="Normal"/>
    <w:next w:val="Normal"/>
    <w:link w:val="IntenseQuoteChar"/>
    <w:uiPriority w:val="30"/>
    <w:qFormat/>
    <w:rsid w:val="007E4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871"/>
    <w:rPr>
      <w:i/>
      <w:iCs/>
      <w:color w:val="0F4761" w:themeColor="accent1" w:themeShade="BF"/>
    </w:rPr>
  </w:style>
  <w:style w:type="character" w:styleId="IntenseReference">
    <w:name w:val="Intense Reference"/>
    <w:basedOn w:val="DefaultParagraphFont"/>
    <w:uiPriority w:val="32"/>
    <w:qFormat/>
    <w:rsid w:val="007E4871"/>
    <w:rPr>
      <w:b/>
      <w:bCs/>
      <w:smallCaps/>
      <w:color w:val="0F4761" w:themeColor="accent1" w:themeShade="BF"/>
      <w:spacing w:val="5"/>
    </w:rPr>
  </w:style>
  <w:style w:type="character" w:styleId="Hyperlink">
    <w:name w:val="Hyperlink"/>
    <w:uiPriority w:val="99"/>
    <w:rsid w:val="007E4871"/>
    <w:rPr>
      <w:color w:val="0000FF"/>
      <w:u w:val="single"/>
    </w:rPr>
  </w:style>
  <w:style w:type="paragraph" w:customStyle="1" w:styleId="EndNoteBibliography">
    <w:name w:val="EndNote Bibliography"/>
    <w:basedOn w:val="Normal"/>
    <w:link w:val="EndNoteBibliographyZchn"/>
    <w:rsid w:val="007E4871"/>
    <w:pPr>
      <w:spacing w:after="0" w:line="240" w:lineRule="auto"/>
    </w:pPr>
    <w:rPr>
      <w:rFonts w:ascii="Calibri" w:eastAsia="Times New Roman" w:hAnsi="Calibri" w:cs="Calibri"/>
      <w:noProof/>
      <w:sz w:val="20"/>
      <w:szCs w:val="20"/>
      <w:lang w:val="en-US"/>
    </w:rPr>
  </w:style>
  <w:style w:type="character" w:customStyle="1" w:styleId="EndNoteBibliographyZchn">
    <w:name w:val="EndNote Bibliography Zchn"/>
    <w:basedOn w:val="DefaultParagraphFont"/>
    <w:link w:val="EndNoteBibliography"/>
    <w:rsid w:val="007E4871"/>
    <w:rPr>
      <w:rFonts w:ascii="Calibri" w:eastAsia="Times New Roman" w:hAnsi="Calibri" w:cs="Calibri"/>
      <w:noProof/>
      <w:kern w:val="0"/>
      <w:sz w:val="20"/>
      <w:szCs w:val="20"/>
      <w:lang w:val="en-US"/>
      <w14:ligatures w14:val="none"/>
    </w:rPr>
  </w:style>
  <w:style w:type="paragraph" w:styleId="Footer">
    <w:name w:val="footer"/>
    <w:basedOn w:val="Normal"/>
    <w:link w:val="FooterChar"/>
    <w:uiPriority w:val="99"/>
    <w:unhideWhenUsed/>
    <w:rsid w:val="007E48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871"/>
    <w:rPr>
      <w:kern w:val="0"/>
      <w14:ligatures w14:val="none"/>
    </w:rPr>
  </w:style>
  <w:style w:type="paragraph" w:styleId="Header">
    <w:name w:val="header"/>
    <w:basedOn w:val="Normal"/>
    <w:link w:val="HeaderChar"/>
    <w:uiPriority w:val="99"/>
    <w:unhideWhenUsed/>
    <w:rsid w:val="002F3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27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oundos.saleh@bay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2393</Words>
  <Characters>13644</Characters>
  <Application>Microsoft Office Word</Application>
  <DocSecurity>0</DocSecurity>
  <Lines>113</Lines>
  <Paragraphs>32</Paragraphs>
  <ScaleCrop>false</ScaleCrop>
  <Company/>
  <LinksUpToDate>false</LinksUpToDate>
  <CharactersWithSpaces>16005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Lintern (Adelphi Communications)</dc:creator>
  <cp:keywords/>
  <dc:description/>
  <cp:lastModifiedBy>Paul Alexander D Dennis MP</cp:lastModifiedBy>
  <cp:revision>3</cp:revision>
  <dcterms:created xsi:type="dcterms:W3CDTF">2025-03-11T13:42:00Z</dcterms:created>
  <dcterms:modified xsi:type="dcterms:W3CDTF">2025-03-27T08:06:00Z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2a81ee78,5eadd19f,3d4d25e1</vt:lpwstr>
  </property>
  <property fmtid="{D5CDD505-2E9C-101B-9397-08002B2CF9AE}" pid="3" name="ClassificationContentMarkingFooterFontProps">
    <vt:lpwstr>#000000,10,Calibri</vt:lpwstr>
  </property>
  <property fmtid="{D5CDD505-2E9C-101B-9397-08002B2CF9AE}" pid="4" name="ClassificationContentMarkingFooterText">
    <vt:lpwstr>Confidential - Not for Public Consumption or Distribution</vt:lpwstr>
  </property>
  <property fmtid="{D5CDD505-2E9C-101B-9397-08002B2CF9AE}" pid="5" name="MSIP_Label_8e19d756-792e-42a1-bcad-4cb9051ddd2d_Enabled">
    <vt:lpwstr>true</vt:lpwstr>
  </property>
  <property fmtid="{D5CDD505-2E9C-101B-9397-08002B2CF9AE}" pid="6" name="MSIP_Label_8e19d756-792e-42a1-bcad-4cb9051ddd2d_SetDate">
    <vt:lpwstr>2025-03-11T13:42:57Z</vt:lpwstr>
  </property>
  <property fmtid="{D5CDD505-2E9C-101B-9397-08002B2CF9AE}" pid="7" name="MSIP_Label_8e19d756-792e-42a1-bcad-4cb9051ddd2d_Method">
    <vt:lpwstr>Standard</vt:lpwstr>
  </property>
  <property fmtid="{D5CDD505-2E9C-101B-9397-08002B2CF9AE}" pid="8" name="MSIP_Label_8e19d756-792e-42a1-bcad-4cb9051ddd2d_Name">
    <vt:lpwstr>Confidential</vt:lpwstr>
  </property>
  <property fmtid="{D5CDD505-2E9C-101B-9397-08002B2CF9AE}" pid="9" name="MSIP_Label_8e19d756-792e-42a1-bcad-4cb9051ddd2d_SiteId">
    <vt:lpwstr>41eb501a-f671-4ce0-a5bf-b64168c3705f</vt:lpwstr>
  </property>
  <property fmtid="{D5CDD505-2E9C-101B-9397-08002B2CF9AE}" pid="10" name="MSIP_Label_8e19d756-792e-42a1-bcad-4cb9051ddd2d_ActionId">
    <vt:lpwstr>3839f15c-b2bb-4b74-9538-9259fd4b97bf</vt:lpwstr>
  </property>
  <property fmtid="{D5CDD505-2E9C-101B-9397-08002B2CF9AE}" pid="11" name="MSIP_Label_8e19d756-792e-42a1-bcad-4cb9051ddd2d_ContentBits">
    <vt:lpwstr>2</vt:lpwstr>
  </property>
  <property fmtid="{D5CDD505-2E9C-101B-9397-08002B2CF9AE}" pid="12" name="MSIP_Label_8e19d756-792e-42a1-bcad-4cb9051ddd2d_Tag">
    <vt:lpwstr>10, 3, 0, 1</vt:lpwstr>
  </property>
</Properties>
</file>