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F5933" w14:textId="5AA5B0D3" w:rsidR="008F6FFC" w:rsidRDefault="008F6FFC" w:rsidP="008F6FFC">
      <w:pPr>
        <w:shd w:val="clear" w:color="auto" w:fill="FFFFFF"/>
        <w:spacing w:after="0" w:line="480" w:lineRule="auto"/>
        <w:outlineLvl w:val="1"/>
        <w:rPr>
          <w:rFonts w:asciiTheme="majorBidi" w:eastAsia="Times New Roman" w:hAnsiTheme="majorBidi" w:cstheme="majorBidi"/>
          <w:i/>
          <w:iCs/>
          <w:color w:val="000000" w:themeColor="text1"/>
          <w:sz w:val="20"/>
          <w:szCs w:val="20"/>
        </w:rPr>
      </w:pPr>
      <w:bookmarkStart w:id="0" w:name="_Hlk162569785"/>
      <w:bookmarkStart w:id="1" w:name="_Hlk116751098"/>
      <w:r w:rsidRPr="008F6FFC">
        <w:rPr>
          <w:rFonts w:asciiTheme="majorBidi" w:eastAsia="Times New Roman" w:hAnsiTheme="majorBidi" w:cstheme="majorBidi" w:hint="eastAsia"/>
          <w:i/>
          <w:iCs/>
          <w:color w:val="000000" w:themeColor="text1"/>
          <w:sz w:val="20"/>
          <w:szCs w:val="20"/>
        </w:rPr>
        <w:t>C</w:t>
      </w:r>
      <w:r w:rsidRPr="008F6FFC">
        <w:rPr>
          <w:rFonts w:asciiTheme="majorBidi" w:eastAsia="Times New Roman" w:hAnsiTheme="majorBidi" w:cstheme="majorBidi"/>
          <w:i/>
          <w:iCs/>
          <w:color w:val="000000" w:themeColor="text1"/>
          <w:sz w:val="20"/>
          <w:szCs w:val="20"/>
        </w:rPr>
        <w:t>linical Pharmacokinetics</w:t>
      </w:r>
    </w:p>
    <w:p w14:paraId="223C263E" w14:textId="77777777" w:rsidR="008F6FFC" w:rsidRPr="008F6FFC" w:rsidRDefault="008F6FFC" w:rsidP="008F6FFC">
      <w:pPr>
        <w:shd w:val="clear" w:color="auto" w:fill="FFFFFF"/>
        <w:spacing w:after="0" w:line="480" w:lineRule="auto"/>
        <w:outlineLvl w:val="1"/>
        <w:rPr>
          <w:rFonts w:asciiTheme="majorBidi" w:eastAsia="Times New Roman" w:hAnsiTheme="majorBidi" w:cstheme="majorBidi" w:hint="eastAsia"/>
          <w:i/>
          <w:iCs/>
          <w:color w:val="000000" w:themeColor="text1"/>
          <w:sz w:val="20"/>
          <w:szCs w:val="20"/>
        </w:rPr>
      </w:pPr>
    </w:p>
    <w:p w14:paraId="6465DE86" w14:textId="43CC3238" w:rsidR="001E40DD" w:rsidRPr="000E1337" w:rsidRDefault="001E40DD" w:rsidP="001E40DD">
      <w:pPr>
        <w:shd w:val="clear" w:color="auto" w:fill="FFFFFF"/>
        <w:spacing w:after="0" w:line="480" w:lineRule="auto"/>
        <w:jc w:val="center"/>
        <w:outlineLvl w:val="1"/>
        <w:rPr>
          <w:rFonts w:asciiTheme="majorBidi" w:eastAsia="Times New Roman" w:hAnsiTheme="majorBidi" w:cstheme="majorBidi"/>
          <w:b/>
          <w:bCs/>
          <w:color w:val="000000" w:themeColor="text1"/>
          <w:sz w:val="28"/>
          <w:szCs w:val="28"/>
        </w:rPr>
      </w:pPr>
      <w:r w:rsidRPr="000E1337">
        <w:rPr>
          <w:rFonts w:asciiTheme="majorBidi" w:eastAsia="Times New Roman" w:hAnsiTheme="majorBidi" w:cstheme="majorBidi"/>
          <w:b/>
          <w:bCs/>
          <w:color w:val="000000" w:themeColor="text1"/>
          <w:sz w:val="28"/>
          <w:szCs w:val="28"/>
        </w:rPr>
        <w:t xml:space="preserve">Evaluation of </w:t>
      </w:r>
      <w:r w:rsidRPr="009A25F3">
        <w:rPr>
          <w:rFonts w:asciiTheme="majorBidi" w:eastAsia="Times New Roman" w:hAnsiTheme="majorBidi" w:cstheme="majorBidi"/>
          <w:b/>
          <w:bCs/>
          <w:color w:val="000000" w:themeColor="text1"/>
          <w:sz w:val="28"/>
          <w:szCs w:val="28"/>
        </w:rPr>
        <w:t>Fentanyl</w:t>
      </w:r>
      <w:r w:rsidR="009A25F3" w:rsidRPr="009A25F3">
        <w:rPr>
          <w:rFonts w:asciiTheme="majorBidi" w:eastAsia="Times New Roman" w:hAnsiTheme="majorBidi" w:cstheme="majorBidi"/>
          <w:b/>
          <w:bCs/>
          <w:color w:val="000000" w:themeColor="text1"/>
          <w:sz w:val="28"/>
          <w:szCs w:val="28"/>
          <w:highlight w:val="yellow"/>
        </w:rPr>
        <w:t>-Emerged Adverse Events</w:t>
      </w:r>
      <w:r w:rsidRPr="000E1337">
        <w:rPr>
          <w:rFonts w:asciiTheme="majorBidi" w:eastAsia="Times New Roman" w:hAnsiTheme="majorBidi" w:cstheme="majorBidi"/>
          <w:b/>
          <w:bCs/>
          <w:color w:val="000000" w:themeColor="text1"/>
          <w:sz w:val="28"/>
          <w:szCs w:val="28"/>
        </w:rPr>
        <w:t xml:space="preserve"> and Pharmacokinetics in </w:t>
      </w:r>
      <w:r w:rsidR="00AA2C13" w:rsidRPr="00A74EA9">
        <w:rPr>
          <w:rFonts w:asciiTheme="majorBidi" w:eastAsia="Times New Roman" w:hAnsiTheme="majorBidi" w:cstheme="majorBidi"/>
          <w:b/>
          <w:bCs/>
          <w:color w:val="000000" w:themeColor="text1"/>
          <w:sz w:val="28"/>
          <w:szCs w:val="28"/>
          <w:highlight w:val="yellow"/>
        </w:rPr>
        <w:t>Neonates</w:t>
      </w:r>
      <w:r w:rsidRPr="000E1337">
        <w:rPr>
          <w:rFonts w:asciiTheme="majorBidi" w:eastAsia="Times New Roman" w:hAnsiTheme="majorBidi" w:cstheme="majorBidi"/>
          <w:b/>
          <w:bCs/>
          <w:color w:val="000000" w:themeColor="text1"/>
          <w:sz w:val="28"/>
          <w:szCs w:val="28"/>
        </w:rPr>
        <w:t>: A Physiologically-Based Pharmacokinetic Modeling Approach</w:t>
      </w:r>
    </w:p>
    <w:p w14:paraId="3316B051" w14:textId="77777777" w:rsidR="001E40DD" w:rsidRPr="000E1337" w:rsidRDefault="001E40DD" w:rsidP="001E40DD">
      <w:pPr>
        <w:pStyle w:val="paperauthor"/>
        <w:shd w:val="clear" w:color="auto" w:fill="FFFFFF"/>
        <w:spacing w:before="0" w:beforeAutospacing="0" w:after="0" w:afterAutospacing="0" w:line="480" w:lineRule="auto"/>
        <w:jc w:val="both"/>
        <w:rPr>
          <w:rFonts w:asciiTheme="majorBidi" w:hAnsiTheme="majorBidi" w:cstheme="majorBidi"/>
          <w:color w:val="000000" w:themeColor="text1"/>
          <w:sz w:val="20"/>
          <w:szCs w:val="20"/>
        </w:rPr>
      </w:pPr>
    </w:p>
    <w:p w14:paraId="0876F403" w14:textId="77777777" w:rsidR="001E40DD" w:rsidRPr="000E1337" w:rsidRDefault="001E40DD" w:rsidP="001E40DD">
      <w:pPr>
        <w:pStyle w:val="paperauthor"/>
        <w:shd w:val="clear" w:color="auto" w:fill="FFFFFF"/>
        <w:spacing w:before="0" w:beforeAutospacing="0" w:after="0" w:afterAutospacing="0" w:line="480" w:lineRule="auto"/>
        <w:jc w:val="both"/>
        <w:rPr>
          <w:rFonts w:asciiTheme="majorBidi" w:hAnsiTheme="majorBidi" w:cstheme="majorBidi"/>
          <w:color w:val="000000" w:themeColor="text1"/>
          <w:sz w:val="20"/>
          <w:szCs w:val="20"/>
          <w:vertAlign w:val="superscript"/>
        </w:rPr>
      </w:pPr>
      <w:r w:rsidRPr="000E1337">
        <w:rPr>
          <w:rFonts w:asciiTheme="majorBidi" w:hAnsiTheme="majorBidi" w:cstheme="majorBidi"/>
          <w:color w:val="000000" w:themeColor="text1"/>
          <w:sz w:val="20"/>
          <w:szCs w:val="20"/>
        </w:rPr>
        <w:t>Walaa Yousef Bassyouni Mahdy</w:t>
      </w:r>
      <w:r w:rsidRPr="000E1337">
        <w:rPr>
          <w:rFonts w:asciiTheme="majorBidi" w:hAnsiTheme="majorBidi" w:cstheme="majorBidi"/>
          <w:color w:val="000000" w:themeColor="text1"/>
          <w:sz w:val="20"/>
          <w:szCs w:val="20"/>
          <w:vertAlign w:val="superscript"/>
        </w:rPr>
        <w:t>1,2</w:t>
      </w:r>
      <w:r w:rsidRPr="000E1337">
        <w:rPr>
          <w:rFonts w:asciiTheme="majorBidi" w:hAnsiTheme="majorBidi" w:cstheme="majorBidi"/>
          <w:color w:val="000000" w:themeColor="text1"/>
          <w:sz w:val="20"/>
          <w:szCs w:val="20"/>
        </w:rPr>
        <w:t>, Kazuhiro Yamamoto</w:t>
      </w:r>
      <w:r w:rsidRPr="000E1337">
        <w:rPr>
          <w:rFonts w:asciiTheme="majorBidi" w:hAnsiTheme="majorBidi" w:cstheme="majorBidi"/>
          <w:color w:val="000000" w:themeColor="text1"/>
          <w:sz w:val="20"/>
          <w:szCs w:val="20"/>
          <w:vertAlign w:val="superscript"/>
        </w:rPr>
        <w:t>1,3*</w:t>
      </w:r>
      <w:r w:rsidRPr="000E1337">
        <w:rPr>
          <w:rFonts w:asciiTheme="majorBidi" w:hAnsiTheme="majorBidi" w:cstheme="majorBidi"/>
          <w:color w:val="000000" w:themeColor="text1"/>
          <w:sz w:val="20"/>
          <w:szCs w:val="20"/>
        </w:rPr>
        <w:t>, Risa Joji</w:t>
      </w:r>
      <w:r w:rsidRPr="000E1337">
        <w:rPr>
          <w:rFonts w:asciiTheme="majorBidi" w:hAnsiTheme="majorBidi" w:cstheme="majorBidi"/>
          <w:color w:val="000000" w:themeColor="text1"/>
          <w:sz w:val="20"/>
          <w:szCs w:val="20"/>
          <w:vertAlign w:val="superscript"/>
        </w:rPr>
        <w:t>1</w:t>
      </w:r>
      <w:r w:rsidRPr="000E1337">
        <w:rPr>
          <w:rFonts w:asciiTheme="majorBidi" w:hAnsiTheme="majorBidi" w:cstheme="majorBidi"/>
          <w:color w:val="000000" w:themeColor="text1"/>
          <w:sz w:val="20"/>
          <w:szCs w:val="20"/>
        </w:rPr>
        <w:t>, Mari Hashimoto</w:t>
      </w:r>
      <w:r w:rsidRPr="000E1337">
        <w:rPr>
          <w:rFonts w:asciiTheme="majorBidi" w:hAnsiTheme="majorBidi" w:cstheme="majorBidi"/>
          <w:color w:val="000000" w:themeColor="text1"/>
          <w:sz w:val="20"/>
          <w:szCs w:val="20"/>
          <w:vertAlign w:val="superscript"/>
        </w:rPr>
        <w:t>1</w:t>
      </w:r>
      <w:r w:rsidRPr="000E1337">
        <w:rPr>
          <w:rFonts w:asciiTheme="majorBidi" w:hAnsiTheme="majorBidi" w:cstheme="majorBidi"/>
          <w:color w:val="000000" w:themeColor="text1"/>
          <w:sz w:val="20"/>
          <w:szCs w:val="20"/>
        </w:rPr>
        <w:t xml:space="preserve">, </w:t>
      </w:r>
      <w:proofErr w:type="spellStart"/>
      <w:r w:rsidRPr="000E1337">
        <w:rPr>
          <w:rFonts w:asciiTheme="majorBidi" w:hAnsiTheme="majorBidi" w:cstheme="majorBidi"/>
          <w:color w:val="000000" w:themeColor="text1"/>
          <w:sz w:val="20"/>
          <w:szCs w:val="20"/>
        </w:rPr>
        <w:t>Ruka</w:t>
      </w:r>
      <w:proofErr w:type="spellEnd"/>
      <w:r w:rsidRPr="000E1337">
        <w:rPr>
          <w:rFonts w:asciiTheme="majorBidi" w:hAnsiTheme="majorBidi" w:cstheme="majorBidi"/>
          <w:color w:val="000000" w:themeColor="text1"/>
          <w:sz w:val="20"/>
          <w:szCs w:val="20"/>
        </w:rPr>
        <w:t xml:space="preserve"> Nakasone</w:t>
      </w:r>
      <w:r w:rsidRPr="000E1337">
        <w:rPr>
          <w:rFonts w:asciiTheme="majorBidi" w:hAnsiTheme="majorBidi" w:cstheme="majorBidi"/>
          <w:color w:val="000000" w:themeColor="text1"/>
          <w:sz w:val="20"/>
          <w:szCs w:val="20"/>
          <w:vertAlign w:val="superscript"/>
        </w:rPr>
        <w:t>4</w:t>
      </w:r>
      <w:r w:rsidRPr="000E1337">
        <w:rPr>
          <w:rFonts w:asciiTheme="majorBidi" w:hAnsiTheme="majorBidi" w:cstheme="majorBidi"/>
          <w:color w:val="000000" w:themeColor="text1"/>
          <w:sz w:val="20"/>
          <w:szCs w:val="20"/>
        </w:rPr>
        <w:t xml:space="preserve">, </w:t>
      </w:r>
      <w:proofErr w:type="spellStart"/>
      <w:r w:rsidRPr="000E1337">
        <w:rPr>
          <w:rFonts w:asciiTheme="majorBidi" w:hAnsiTheme="majorBidi" w:cstheme="majorBidi"/>
          <w:color w:val="000000" w:themeColor="text1"/>
          <w:sz w:val="20"/>
          <w:szCs w:val="20"/>
        </w:rPr>
        <w:t>Kazumichi</w:t>
      </w:r>
      <w:proofErr w:type="spellEnd"/>
      <w:r w:rsidRPr="000E1337">
        <w:rPr>
          <w:rFonts w:asciiTheme="majorBidi" w:hAnsiTheme="majorBidi" w:cstheme="majorBidi"/>
          <w:color w:val="000000" w:themeColor="text1"/>
          <w:sz w:val="20"/>
          <w:szCs w:val="20"/>
        </w:rPr>
        <w:t xml:space="preserve"> Fujioka</w:t>
      </w:r>
      <w:r w:rsidRPr="000E1337">
        <w:rPr>
          <w:rFonts w:asciiTheme="majorBidi" w:hAnsiTheme="majorBidi" w:cstheme="majorBidi"/>
          <w:color w:val="000000" w:themeColor="text1"/>
          <w:sz w:val="20"/>
          <w:szCs w:val="20"/>
          <w:vertAlign w:val="superscript"/>
        </w:rPr>
        <w:t>4</w:t>
      </w:r>
      <w:r w:rsidRPr="000E1337">
        <w:rPr>
          <w:rFonts w:asciiTheme="majorBidi" w:hAnsiTheme="majorBidi" w:cstheme="majorBidi"/>
          <w:color w:val="000000" w:themeColor="text1"/>
          <w:sz w:val="20"/>
          <w:szCs w:val="20"/>
        </w:rPr>
        <w:t>, Kotaro Itohara</w:t>
      </w:r>
      <w:r w:rsidRPr="000E1337">
        <w:rPr>
          <w:rFonts w:asciiTheme="majorBidi" w:hAnsiTheme="majorBidi" w:cstheme="majorBidi"/>
          <w:color w:val="000000" w:themeColor="text1"/>
          <w:sz w:val="20"/>
          <w:szCs w:val="20"/>
          <w:vertAlign w:val="superscript"/>
        </w:rPr>
        <w:t>1</w:t>
      </w:r>
      <w:r w:rsidRPr="000E1337">
        <w:rPr>
          <w:rFonts w:asciiTheme="majorBidi" w:hAnsiTheme="majorBidi" w:cstheme="majorBidi"/>
          <w:color w:val="000000" w:themeColor="text1"/>
          <w:sz w:val="20"/>
          <w:szCs w:val="20"/>
        </w:rPr>
        <w:t>, Yumi Kitahiro</w:t>
      </w:r>
      <w:r w:rsidRPr="000E1337">
        <w:rPr>
          <w:rFonts w:asciiTheme="majorBidi" w:hAnsiTheme="majorBidi" w:cstheme="majorBidi"/>
          <w:color w:val="000000" w:themeColor="text1"/>
          <w:sz w:val="20"/>
          <w:szCs w:val="20"/>
          <w:vertAlign w:val="superscript"/>
        </w:rPr>
        <w:t>1</w:t>
      </w:r>
      <w:r w:rsidRPr="000E1337">
        <w:rPr>
          <w:rFonts w:asciiTheme="majorBidi" w:hAnsiTheme="majorBidi" w:cstheme="majorBidi"/>
          <w:color w:val="000000" w:themeColor="text1"/>
          <w:sz w:val="20"/>
          <w:szCs w:val="20"/>
        </w:rPr>
        <w:t>, Tomohiro Omura</w:t>
      </w:r>
      <w:r w:rsidRPr="000E1337">
        <w:rPr>
          <w:rFonts w:asciiTheme="majorBidi" w:hAnsiTheme="majorBidi" w:cstheme="majorBidi"/>
          <w:color w:val="000000" w:themeColor="text1"/>
          <w:sz w:val="20"/>
          <w:szCs w:val="20"/>
          <w:vertAlign w:val="superscript"/>
        </w:rPr>
        <w:t>1</w:t>
      </w:r>
      <w:r w:rsidRPr="000E1337">
        <w:rPr>
          <w:rFonts w:asciiTheme="majorBidi" w:hAnsiTheme="majorBidi" w:cstheme="majorBidi"/>
          <w:color w:val="000000" w:themeColor="text1"/>
          <w:sz w:val="20"/>
          <w:szCs w:val="20"/>
        </w:rPr>
        <w:t>, Ikuko Yano</w:t>
      </w:r>
      <w:r w:rsidRPr="000E1337">
        <w:rPr>
          <w:rFonts w:asciiTheme="majorBidi" w:hAnsiTheme="majorBidi" w:cstheme="majorBidi"/>
          <w:color w:val="000000" w:themeColor="text1"/>
          <w:sz w:val="20"/>
          <w:szCs w:val="20"/>
          <w:vertAlign w:val="superscript"/>
        </w:rPr>
        <w:t>1</w:t>
      </w:r>
    </w:p>
    <w:p w14:paraId="567BCFBC" w14:textId="77777777" w:rsidR="001E40DD" w:rsidRPr="000E1337" w:rsidRDefault="001E40DD" w:rsidP="001E40DD">
      <w:pPr>
        <w:pStyle w:val="paperauthor"/>
        <w:shd w:val="clear" w:color="auto" w:fill="FFFFFF"/>
        <w:spacing w:before="0" w:beforeAutospacing="0" w:after="0" w:afterAutospacing="0" w:line="480" w:lineRule="auto"/>
        <w:jc w:val="both"/>
        <w:rPr>
          <w:rFonts w:asciiTheme="majorBidi" w:hAnsiTheme="majorBidi" w:cstheme="majorBidi"/>
          <w:color w:val="000000" w:themeColor="text1"/>
          <w:sz w:val="20"/>
          <w:szCs w:val="20"/>
        </w:rPr>
      </w:pPr>
    </w:p>
    <w:p w14:paraId="66DD456C" w14:textId="77777777" w:rsidR="001E40DD" w:rsidRPr="000E1337" w:rsidRDefault="001E40DD" w:rsidP="001E40DD">
      <w:pPr>
        <w:pStyle w:val="paperorganisation"/>
        <w:shd w:val="clear" w:color="auto" w:fill="FFFFFF"/>
        <w:spacing w:before="0" w:beforeAutospacing="0" w:after="0" w:afterAutospacing="0" w:line="480" w:lineRule="auto"/>
        <w:jc w:val="both"/>
        <w:rPr>
          <w:rFonts w:asciiTheme="majorBidi" w:hAnsiTheme="majorBidi" w:cstheme="majorBidi"/>
          <w:color w:val="000000" w:themeColor="text1"/>
          <w:sz w:val="20"/>
          <w:szCs w:val="20"/>
        </w:rPr>
      </w:pPr>
      <w:r w:rsidRPr="000E1337">
        <w:rPr>
          <w:rFonts w:asciiTheme="majorBidi" w:hAnsiTheme="majorBidi" w:cstheme="majorBidi"/>
          <w:color w:val="000000" w:themeColor="text1"/>
          <w:sz w:val="20"/>
          <w:szCs w:val="20"/>
        </w:rPr>
        <w:t xml:space="preserve">1: Department of Pharmacy, Kobe University Hospital, Japan </w:t>
      </w:r>
    </w:p>
    <w:p w14:paraId="51BD302D" w14:textId="77777777" w:rsidR="001E40DD" w:rsidRPr="000E1337" w:rsidRDefault="001E40DD" w:rsidP="001E40DD">
      <w:pPr>
        <w:pStyle w:val="paperorganisation"/>
        <w:shd w:val="clear" w:color="auto" w:fill="FFFFFF"/>
        <w:spacing w:before="0" w:beforeAutospacing="0" w:after="0" w:afterAutospacing="0" w:line="480" w:lineRule="auto"/>
        <w:jc w:val="both"/>
        <w:rPr>
          <w:rFonts w:asciiTheme="majorBidi" w:hAnsiTheme="majorBidi" w:cstheme="majorBidi"/>
          <w:color w:val="000000" w:themeColor="text1"/>
          <w:sz w:val="20"/>
          <w:szCs w:val="20"/>
        </w:rPr>
      </w:pPr>
      <w:r w:rsidRPr="000E1337">
        <w:rPr>
          <w:rFonts w:asciiTheme="majorBidi" w:hAnsiTheme="majorBidi" w:cstheme="majorBidi"/>
          <w:color w:val="000000" w:themeColor="text1"/>
          <w:sz w:val="20"/>
          <w:szCs w:val="20"/>
        </w:rPr>
        <w:t>2: Department of Forensic Medicine and Clinical Toxicology, Faculty of Medicine, Assiut University, Egypt</w:t>
      </w:r>
    </w:p>
    <w:p w14:paraId="61EE166C" w14:textId="77777777" w:rsidR="001E40DD" w:rsidRPr="000E1337" w:rsidRDefault="001E40DD" w:rsidP="001E40DD">
      <w:pPr>
        <w:pStyle w:val="paperorganisation"/>
        <w:shd w:val="clear" w:color="auto" w:fill="FFFFFF"/>
        <w:spacing w:before="0" w:beforeAutospacing="0" w:after="0" w:afterAutospacing="0" w:line="480" w:lineRule="auto"/>
        <w:jc w:val="both"/>
        <w:rPr>
          <w:rFonts w:asciiTheme="majorBidi" w:hAnsiTheme="majorBidi" w:cstheme="majorBidi"/>
          <w:color w:val="000000" w:themeColor="text1"/>
          <w:sz w:val="20"/>
          <w:szCs w:val="20"/>
        </w:rPr>
      </w:pPr>
      <w:r w:rsidRPr="000E1337">
        <w:rPr>
          <w:rFonts w:asciiTheme="majorBidi" w:hAnsiTheme="majorBidi" w:cstheme="majorBidi"/>
          <w:color w:val="000000" w:themeColor="text1"/>
          <w:sz w:val="20"/>
          <w:szCs w:val="20"/>
        </w:rPr>
        <w:t>3: Department of Integrated Clinical and Basic Pharmaceutical Sciences, Faculty of Medicine, Dentistry and Pharmaceutical Sciences, Okayama University, Japan</w:t>
      </w:r>
    </w:p>
    <w:p w14:paraId="05DF128B" w14:textId="77777777" w:rsidR="001E40DD" w:rsidRPr="000E1337" w:rsidRDefault="001E40DD" w:rsidP="001E40DD">
      <w:pPr>
        <w:pStyle w:val="paperorganisation"/>
        <w:shd w:val="clear" w:color="auto" w:fill="FFFFFF"/>
        <w:spacing w:before="0" w:beforeAutospacing="0" w:after="0" w:afterAutospacing="0" w:line="480" w:lineRule="auto"/>
        <w:jc w:val="both"/>
        <w:rPr>
          <w:rStyle w:val="ac"/>
          <w:rFonts w:asciiTheme="majorBidi" w:hAnsiTheme="majorBidi" w:cstheme="majorBidi"/>
          <w:color w:val="000000" w:themeColor="text1"/>
          <w:sz w:val="20"/>
          <w:szCs w:val="20"/>
          <w:bdr w:val="none" w:sz="0" w:space="0" w:color="auto" w:frame="1"/>
        </w:rPr>
      </w:pPr>
      <w:r w:rsidRPr="000E1337">
        <w:rPr>
          <w:rFonts w:asciiTheme="majorBidi" w:hAnsiTheme="majorBidi" w:cstheme="majorBidi"/>
          <w:color w:val="000000" w:themeColor="text1"/>
          <w:sz w:val="20"/>
          <w:szCs w:val="20"/>
        </w:rPr>
        <w:t>4: Department of Pediatrics, Graduate School of Medicine, Kobe University, Japan</w:t>
      </w:r>
    </w:p>
    <w:p w14:paraId="59D701C9" w14:textId="77777777" w:rsidR="001E40DD" w:rsidRPr="000E1337" w:rsidRDefault="001E40DD" w:rsidP="001E40DD">
      <w:pPr>
        <w:snapToGrid w:val="0"/>
        <w:spacing w:after="0" w:line="480" w:lineRule="auto"/>
        <w:jc w:val="both"/>
        <w:rPr>
          <w:rFonts w:asciiTheme="majorBidi" w:hAnsiTheme="majorBidi" w:cstheme="majorBidi"/>
          <w:color w:val="000000" w:themeColor="text1"/>
          <w:sz w:val="20"/>
          <w:szCs w:val="20"/>
        </w:rPr>
      </w:pPr>
    </w:p>
    <w:p w14:paraId="286C6B11" w14:textId="77777777" w:rsidR="001E40DD" w:rsidRPr="000E1337" w:rsidRDefault="001E40DD" w:rsidP="001E40DD">
      <w:pPr>
        <w:snapToGrid w:val="0"/>
        <w:spacing w:after="0" w:line="480" w:lineRule="auto"/>
        <w:jc w:val="both"/>
        <w:rPr>
          <w:rFonts w:asciiTheme="majorBidi" w:hAnsiTheme="majorBidi" w:cstheme="majorBidi"/>
          <w:color w:val="000000" w:themeColor="text1"/>
          <w:sz w:val="20"/>
          <w:szCs w:val="20"/>
        </w:rPr>
      </w:pPr>
      <w:r w:rsidRPr="000E1337">
        <w:rPr>
          <w:rFonts w:asciiTheme="majorBidi" w:hAnsiTheme="majorBidi" w:cstheme="majorBidi"/>
          <w:color w:val="000000" w:themeColor="text1"/>
          <w:sz w:val="20"/>
          <w:szCs w:val="20"/>
        </w:rPr>
        <w:t xml:space="preserve">*Correspondence: Kazuhiro Yamamoto, PhD. Department of Integrated Clinical and Basic Pharmaceutical Sciences, Faculty of Medicine, Dentistry and Pharmaceutical Sciences, Okayama University, 2-5-1, </w:t>
      </w:r>
      <w:proofErr w:type="spellStart"/>
      <w:r w:rsidRPr="000E1337">
        <w:rPr>
          <w:rFonts w:asciiTheme="majorBidi" w:hAnsiTheme="majorBidi" w:cstheme="majorBidi"/>
          <w:color w:val="000000" w:themeColor="text1"/>
          <w:sz w:val="20"/>
          <w:szCs w:val="20"/>
        </w:rPr>
        <w:t>Shikata-cho</w:t>
      </w:r>
      <w:proofErr w:type="spellEnd"/>
      <w:r w:rsidRPr="000E1337">
        <w:rPr>
          <w:rFonts w:asciiTheme="majorBidi" w:hAnsiTheme="majorBidi" w:cstheme="majorBidi"/>
          <w:color w:val="000000" w:themeColor="text1"/>
          <w:sz w:val="20"/>
          <w:szCs w:val="20"/>
        </w:rPr>
        <w:t>, Kita-</w:t>
      </w:r>
      <w:proofErr w:type="spellStart"/>
      <w:r w:rsidRPr="000E1337">
        <w:rPr>
          <w:rFonts w:asciiTheme="majorBidi" w:hAnsiTheme="majorBidi" w:cstheme="majorBidi"/>
          <w:color w:val="000000" w:themeColor="text1"/>
          <w:sz w:val="20"/>
          <w:szCs w:val="20"/>
        </w:rPr>
        <w:t>ku</w:t>
      </w:r>
      <w:proofErr w:type="spellEnd"/>
      <w:r w:rsidRPr="000E1337">
        <w:rPr>
          <w:rFonts w:asciiTheme="majorBidi" w:hAnsiTheme="majorBidi" w:cstheme="majorBidi"/>
          <w:color w:val="000000" w:themeColor="text1"/>
          <w:sz w:val="20"/>
          <w:szCs w:val="20"/>
        </w:rPr>
        <w:t>, Okayama 700-8558, Japan</w:t>
      </w:r>
    </w:p>
    <w:p w14:paraId="625425FE" w14:textId="77777777" w:rsidR="001E40DD" w:rsidRPr="000E1337" w:rsidRDefault="001E40DD" w:rsidP="001E40DD">
      <w:pPr>
        <w:snapToGrid w:val="0"/>
        <w:spacing w:after="0" w:line="480" w:lineRule="auto"/>
        <w:jc w:val="both"/>
        <w:rPr>
          <w:rFonts w:asciiTheme="majorBidi" w:hAnsiTheme="majorBidi" w:cstheme="majorBidi"/>
          <w:color w:val="000000" w:themeColor="text1"/>
          <w:sz w:val="20"/>
          <w:szCs w:val="20"/>
        </w:rPr>
      </w:pPr>
      <w:r w:rsidRPr="000E1337">
        <w:rPr>
          <w:rFonts w:asciiTheme="majorBidi" w:hAnsiTheme="majorBidi" w:cstheme="majorBidi"/>
          <w:color w:val="000000" w:themeColor="text1"/>
          <w:sz w:val="20"/>
          <w:szCs w:val="20"/>
        </w:rPr>
        <w:t>Tel: +81 86 235 6580</w:t>
      </w:r>
    </w:p>
    <w:p w14:paraId="514271AA" w14:textId="77777777" w:rsidR="001E40DD" w:rsidRPr="000E1337" w:rsidRDefault="001E40DD" w:rsidP="001E40DD">
      <w:pPr>
        <w:snapToGrid w:val="0"/>
        <w:spacing w:after="0" w:line="480" w:lineRule="auto"/>
        <w:jc w:val="both"/>
        <w:rPr>
          <w:rFonts w:asciiTheme="majorBidi" w:hAnsiTheme="majorBidi" w:cstheme="majorBidi"/>
          <w:color w:val="000000" w:themeColor="text1"/>
          <w:sz w:val="20"/>
          <w:szCs w:val="20"/>
        </w:rPr>
      </w:pPr>
      <w:r w:rsidRPr="000E1337">
        <w:rPr>
          <w:rFonts w:asciiTheme="majorBidi" w:hAnsiTheme="majorBidi" w:cstheme="majorBidi"/>
          <w:color w:val="000000" w:themeColor="text1"/>
          <w:sz w:val="20"/>
          <w:szCs w:val="20"/>
        </w:rPr>
        <w:t xml:space="preserve">E-mail: </w:t>
      </w:r>
      <w:hyperlink r:id="rId7" w:history="1">
        <w:r w:rsidRPr="000E1337">
          <w:rPr>
            <w:rStyle w:val="ac"/>
            <w:rFonts w:asciiTheme="majorBidi" w:hAnsiTheme="majorBidi" w:cstheme="majorBidi"/>
            <w:color w:val="000000" w:themeColor="text1"/>
            <w:sz w:val="20"/>
            <w:szCs w:val="20"/>
          </w:rPr>
          <w:t>yamakz@okayama-u.ac.jp</w:t>
        </w:r>
      </w:hyperlink>
    </w:p>
    <w:p w14:paraId="228FE562" w14:textId="77777777" w:rsidR="001E40DD" w:rsidRPr="000E1337" w:rsidRDefault="001E40DD">
      <w:pPr>
        <w:rPr>
          <w:rFonts w:asciiTheme="majorBidi" w:hAnsiTheme="majorBidi" w:cstheme="majorBidi"/>
          <w:b/>
          <w:bCs/>
        </w:rPr>
      </w:pPr>
      <w:r w:rsidRPr="000E1337">
        <w:rPr>
          <w:rFonts w:asciiTheme="majorBidi" w:hAnsiTheme="majorBidi" w:cstheme="majorBidi"/>
          <w:b/>
          <w:bCs/>
        </w:rPr>
        <w:br w:type="page"/>
      </w:r>
    </w:p>
    <w:p w14:paraId="546F7C03" w14:textId="3211B08A" w:rsidR="00256504" w:rsidRPr="000E1337" w:rsidRDefault="00A47C20" w:rsidP="00A47C20">
      <w:pPr>
        <w:spacing w:after="0" w:line="240" w:lineRule="auto"/>
        <w:rPr>
          <w:rFonts w:asciiTheme="majorBidi" w:hAnsiTheme="majorBidi" w:cstheme="majorBidi"/>
        </w:rPr>
      </w:pPr>
      <w:r w:rsidRPr="000E1337">
        <w:rPr>
          <w:rFonts w:asciiTheme="majorBidi" w:hAnsiTheme="majorBidi" w:cstheme="majorBidi"/>
          <w:b/>
          <w:bCs/>
        </w:rPr>
        <w:lastRenderedPageBreak/>
        <w:t>Table S</w:t>
      </w:r>
      <w:r w:rsidR="00D42984" w:rsidRPr="000E1337">
        <w:rPr>
          <w:rFonts w:asciiTheme="majorBidi" w:hAnsiTheme="majorBidi" w:cstheme="majorBidi"/>
          <w:b/>
          <w:bCs/>
        </w:rPr>
        <w:t>1</w:t>
      </w:r>
      <w:r w:rsidRPr="000E1337">
        <w:rPr>
          <w:rFonts w:asciiTheme="majorBidi" w:hAnsiTheme="majorBidi" w:cstheme="majorBidi"/>
          <w:b/>
          <w:bCs/>
        </w:rPr>
        <w:t xml:space="preserve">. Parameters used to </w:t>
      </w:r>
      <w:r w:rsidR="002140C0" w:rsidRPr="000E1337">
        <w:rPr>
          <w:rFonts w:asciiTheme="majorBidi" w:hAnsiTheme="majorBidi" w:cstheme="majorBidi"/>
          <w:b/>
          <w:bCs/>
        </w:rPr>
        <w:t xml:space="preserve">build </w:t>
      </w:r>
      <w:r w:rsidRPr="000E1337">
        <w:rPr>
          <w:rFonts w:asciiTheme="majorBidi" w:hAnsiTheme="majorBidi" w:cstheme="majorBidi"/>
          <w:b/>
          <w:bCs/>
        </w:rPr>
        <w:t xml:space="preserve">the PBPK compound model for </w:t>
      </w:r>
      <w:r w:rsidR="00C20041" w:rsidRPr="000E1337">
        <w:rPr>
          <w:rFonts w:asciiTheme="majorBidi" w:hAnsiTheme="majorBidi" w:cstheme="majorBidi"/>
          <w:b/>
          <w:bCs/>
        </w:rPr>
        <w:t>f</w:t>
      </w:r>
      <w:r w:rsidRPr="000E1337">
        <w:rPr>
          <w:rFonts w:asciiTheme="majorBidi" w:hAnsiTheme="majorBidi" w:cstheme="majorBidi"/>
          <w:b/>
          <w:bCs/>
        </w:rPr>
        <w:t>entanyl</w:t>
      </w:r>
    </w:p>
    <w:tbl>
      <w:tblPr>
        <w:tblStyle w:val="21"/>
        <w:tblpPr w:leftFromText="180" w:rightFromText="180" w:vertAnchor="text" w:horzAnchor="page" w:tblpX="1009" w:tblpY="117"/>
        <w:tblW w:w="10638" w:type="dxa"/>
        <w:tblLayout w:type="fixed"/>
        <w:tblLook w:val="04A0" w:firstRow="1" w:lastRow="0" w:firstColumn="1" w:lastColumn="0" w:noHBand="0" w:noVBand="1"/>
      </w:tblPr>
      <w:tblGrid>
        <w:gridCol w:w="2659"/>
        <w:gridCol w:w="2659"/>
        <w:gridCol w:w="2660"/>
        <w:gridCol w:w="2660"/>
      </w:tblGrid>
      <w:tr w:rsidR="00D00368" w:rsidRPr="000E1337" w14:paraId="75C9E11F" w14:textId="77777777" w:rsidTr="002343D9">
        <w:trPr>
          <w:cnfStyle w:val="100000000000" w:firstRow="1" w:lastRow="0" w:firstColumn="0" w:lastColumn="0" w:oddVBand="0" w:evenVBand="0" w:oddHBand="0"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12" w:space="0" w:color="auto"/>
              <w:bottom w:val="single" w:sz="12" w:space="0" w:color="auto"/>
            </w:tcBorders>
            <w:hideMark/>
          </w:tcPr>
          <w:bookmarkEnd w:id="0"/>
          <w:p w14:paraId="2E071FB9" w14:textId="3B4F08FC" w:rsidR="00D00368" w:rsidRPr="000E1337" w:rsidRDefault="00D00368" w:rsidP="00D00368">
            <w:pPr>
              <w:jc w:val="center"/>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Parameter</w:t>
            </w:r>
            <w:r w:rsidR="0041361A" w:rsidRPr="000E1337">
              <w:rPr>
                <w:rFonts w:asciiTheme="majorBidi" w:eastAsia="Times New Roman" w:hAnsiTheme="majorBidi" w:cstheme="majorBidi"/>
                <w:sz w:val="20"/>
                <w:szCs w:val="20"/>
              </w:rPr>
              <w:t>s</w:t>
            </w:r>
          </w:p>
        </w:tc>
        <w:tc>
          <w:tcPr>
            <w:tcW w:w="0" w:type="dxa"/>
            <w:tcBorders>
              <w:top w:val="single" w:sz="12" w:space="0" w:color="auto"/>
              <w:bottom w:val="single" w:sz="12" w:space="0" w:color="auto"/>
            </w:tcBorders>
            <w:hideMark/>
          </w:tcPr>
          <w:p w14:paraId="6258B753" w14:textId="540AEB64" w:rsidR="00D00368" w:rsidRPr="000E1337" w:rsidRDefault="006E7AF0" w:rsidP="00D0036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hAnsiTheme="majorBidi" w:cstheme="majorBidi"/>
                <w:sz w:val="20"/>
                <w:szCs w:val="20"/>
              </w:rPr>
              <w:t>Values</w:t>
            </w:r>
          </w:p>
        </w:tc>
        <w:tc>
          <w:tcPr>
            <w:tcW w:w="0" w:type="dxa"/>
            <w:tcBorders>
              <w:top w:val="single" w:sz="12" w:space="0" w:color="auto"/>
              <w:bottom w:val="single" w:sz="12" w:space="0" w:color="auto"/>
            </w:tcBorders>
            <w:hideMark/>
          </w:tcPr>
          <w:p w14:paraId="007DD10F" w14:textId="7B9586CF" w:rsidR="00D00368" w:rsidRPr="000E1337" w:rsidRDefault="00D00368" w:rsidP="00D00368">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Method/ </w:t>
            </w:r>
            <w:r w:rsidR="0041361A" w:rsidRPr="000E1337">
              <w:rPr>
                <w:rFonts w:asciiTheme="majorBidi" w:eastAsia="Times New Roman" w:hAnsiTheme="majorBidi" w:cstheme="majorBidi"/>
                <w:sz w:val="20"/>
                <w:szCs w:val="20"/>
              </w:rPr>
              <w:t>C</w:t>
            </w:r>
            <w:r w:rsidRPr="000E1337">
              <w:rPr>
                <w:rFonts w:asciiTheme="majorBidi" w:eastAsia="Times New Roman" w:hAnsiTheme="majorBidi" w:cstheme="majorBidi"/>
                <w:sz w:val="20"/>
                <w:szCs w:val="20"/>
              </w:rPr>
              <w:t xml:space="preserve">omment/ </w:t>
            </w:r>
            <w:r w:rsidR="0041361A" w:rsidRPr="000E1337">
              <w:rPr>
                <w:rFonts w:asciiTheme="majorBidi" w:eastAsia="Times New Roman" w:hAnsiTheme="majorBidi" w:cstheme="majorBidi"/>
                <w:sz w:val="20"/>
                <w:szCs w:val="20"/>
              </w:rPr>
              <w:t>R</w:t>
            </w:r>
            <w:r w:rsidRPr="000E1337">
              <w:rPr>
                <w:rFonts w:asciiTheme="majorBidi" w:eastAsia="Times New Roman" w:hAnsiTheme="majorBidi" w:cstheme="majorBidi"/>
                <w:sz w:val="20"/>
                <w:szCs w:val="20"/>
              </w:rPr>
              <w:t>eference</w:t>
            </w:r>
          </w:p>
        </w:tc>
      </w:tr>
      <w:tr w:rsidR="00D00368" w:rsidRPr="000E1337" w14:paraId="72E100BE" w14:textId="77777777" w:rsidTr="002343D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0" w:type="dxa"/>
            <w:gridSpan w:val="4"/>
            <w:tcBorders>
              <w:top w:val="single" w:sz="12" w:space="0" w:color="auto"/>
              <w:bottom w:val="single" w:sz="4" w:space="0" w:color="auto"/>
            </w:tcBorders>
            <w:vAlign w:val="center"/>
            <w:hideMark/>
          </w:tcPr>
          <w:p w14:paraId="5CCE56B3" w14:textId="2924EC24" w:rsidR="00D00368" w:rsidRPr="000E1337" w:rsidRDefault="00D00368" w:rsidP="00D00368">
            <w:pPr>
              <w:jc w:val="center"/>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Physiochemical and </w:t>
            </w:r>
            <w:r w:rsidR="00F45F7F" w:rsidRPr="000E1337">
              <w:rPr>
                <w:rFonts w:asciiTheme="majorBidi" w:eastAsia="Times New Roman" w:hAnsiTheme="majorBidi" w:cstheme="majorBidi"/>
                <w:sz w:val="20"/>
                <w:szCs w:val="20"/>
              </w:rPr>
              <w:t>B</w:t>
            </w:r>
            <w:r w:rsidRPr="000E1337">
              <w:rPr>
                <w:rFonts w:asciiTheme="majorBidi" w:eastAsia="Times New Roman" w:hAnsiTheme="majorBidi" w:cstheme="majorBidi"/>
                <w:sz w:val="20"/>
                <w:szCs w:val="20"/>
              </w:rPr>
              <w:t xml:space="preserve">lood </w:t>
            </w:r>
            <w:r w:rsidR="00F45F7F" w:rsidRPr="000E1337">
              <w:rPr>
                <w:rFonts w:asciiTheme="majorBidi" w:eastAsia="Times New Roman" w:hAnsiTheme="majorBidi" w:cstheme="majorBidi"/>
                <w:sz w:val="20"/>
                <w:szCs w:val="20"/>
              </w:rPr>
              <w:t>B</w:t>
            </w:r>
            <w:r w:rsidRPr="000E1337">
              <w:rPr>
                <w:rFonts w:asciiTheme="majorBidi" w:eastAsia="Times New Roman" w:hAnsiTheme="majorBidi" w:cstheme="majorBidi"/>
                <w:sz w:val="20"/>
                <w:szCs w:val="20"/>
              </w:rPr>
              <w:t>inding</w:t>
            </w:r>
          </w:p>
        </w:tc>
      </w:tr>
      <w:tr w:rsidR="00D00368" w:rsidRPr="000E1337" w14:paraId="6F35DB9E" w14:textId="77777777" w:rsidTr="002343D9">
        <w:trPr>
          <w:trHeight w:val="191"/>
        </w:trPr>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4" w:space="0" w:color="auto"/>
              <w:bottom w:val="nil"/>
            </w:tcBorders>
            <w:hideMark/>
          </w:tcPr>
          <w:p w14:paraId="3CE6728F" w14:textId="39AF3C87"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Molecular weight (g/mo</w:t>
            </w:r>
            <w:r w:rsidR="0041361A" w:rsidRPr="000E1337">
              <w:rPr>
                <w:rFonts w:asciiTheme="majorBidi" w:eastAsia="Times New Roman" w:hAnsiTheme="majorBidi" w:cstheme="majorBidi"/>
                <w:sz w:val="20"/>
                <w:szCs w:val="20"/>
              </w:rPr>
              <w:t>l</w:t>
            </w:r>
            <w:r w:rsidRPr="000E1337">
              <w:rPr>
                <w:rFonts w:asciiTheme="majorBidi" w:eastAsia="Times New Roman" w:hAnsiTheme="majorBidi" w:cstheme="majorBidi"/>
                <w:sz w:val="20"/>
                <w:szCs w:val="20"/>
              </w:rPr>
              <w:t>)</w:t>
            </w:r>
          </w:p>
        </w:tc>
        <w:tc>
          <w:tcPr>
            <w:tcW w:w="0" w:type="dxa"/>
            <w:tcBorders>
              <w:top w:val="single" w:sz="4" w:space="0" w:color="auto"/>
              <w:bottom w:val="nil"/>
            </w:tcBorders>
            <w:hideMark/>
          </w:tcPr>
          <w:p w14:paraId="6FC5A366" w14:textId="77777777"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336.50</w:t>
            </w:r>
          </w:p>
        </w:tc>
        <w:tc>
          <w:tcPr>
            <w:tcW w:w="0" w:type="dxa"/>
            <w:tcBorders>
              <w:top w:val="single" w:sz="4" w:space="0" w:color="auto"/>
              <w:bottom w:val="nil"/>
            </w:tcBorders>
            <w:hideMark/>
          </w:tcPr>
          <w:p w14:paraId="0C1A7CE4" w14:textId="2C1D8283" w:rsidR="00D00368" w:rsidRPr="000E1337" w:rsidRDefault="00D00368" w:rsidP="001F1F54">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u w:val="single"/>
              </w:rPr>
            </w:pPr>
            <w:r w:rsidRPr="000E1337">
              <w:rPr>
                <w:rFonts w:asciiTheme="majorBidi" w:eastAsia="Times New Roman" w:hAnsiTheme="majorBidi" w:cstheme="majorBidi"/>
                <w:sz w:val="20"/>
                <w:szCs w:val="20"/>
              </w:rPr>
              <w:t xml:space="preserve">Reported </w:t>
            </w:r>
            <w:r w:rsidR="00025C6A" w:rsidRPr="000E1337">
              <w:rPr>
                <w:rFonts w:asciiTheme="majorBidi" w:hAnsiTheme="majorBidi" w:cstheme="majorBidi"/>
                <w:sz w:val="20"/>
                <w:szCs w:val="20"/>
              </w:rPr>
              <w:fldChar w:fldCharType="begin"/>
            </w:r>
            <w:r w:rsidR="001F1F54" w:rsidRPr="000E1337">
              <w:rPr>
                <w:rFonts w:asciiTheme="majorBidi" w:hAnsiTheme="majorBidi" w:cstheme="majorBidi"/>
                <w:sz w:val="20"/>
                <w:szCs w:val="20"/>
              </w:rPr>
              <w:instrText xml:space="preserve"> ADDIN ZOTERO_ITEM CSL_CITATION {"citationID":"JttgWgrI","properties":{"formattedCitation":"[1]","plainCitation":"[1]","noteIndex":0},"citationItems":[{"id":"NzKo45Wf/PZWtPpqB","uris":["http://zotero.org/users/6482121/items/SY3EF234"],"itemData":{"id":2601,"type":"webpage","abstract":"Fentanyl | C22H28N2O | CID 3345 - structure, chemical names, physical and chemical properties, classification, patents, literature, biological activities, safety/hazards/toxicity information, supplier lists, and more.","language":"en","title":"Fentanyl","URL":"https://pubchem.ncbi.nlm.nih.gov/compound/3345","author":[{"family":"PubChem","given":""}],"accessed":{"date-parts":[["2022",10,10]]}}}],"schema":"https://github.com/citation-style-language/schema/raw/master/csl-citation.json"} </w:instrText>
            </w:r>
            <w:r w:rsidR="00025C6A" w:rsidRPr="000E1337">
              <w:rPr>
                <w:rFonts w:asciiTheme="majorBidi" w:hAnsiTheme="majorBidi" w:cstheme="majorBidi"/>
                <w:sz w:val="20"/>
                <w:szCs w:val="20"/>
              </w:rPr>
              <w:fldChar w:fldCharType="separate"/>
            </w:r>
            <w:r w:rsidR="001F1F54" w:rsidRPr="008A707E">
              <w:rPr>
                <w:rFonts w:asciiTheme="majorBidi" w:hAnsiTheme="majorBidi" w:cstheme="majorBidi"/>
                <w:sz w:val="20"/>
              </w:rPr>
              <w:t>[1]</w:t>
            </w:r>
            <w:r w:rsidR="00025C6A" w:rsidRPr="000E1337">
              <w:rPr>
                <w:rFonts w:asciiTheme="majorBidi" w:hAnsiTheme="majorBidi" w:cstheme="majorBidi"/>
                <w:sz w:val="20"/>
                <w:szCs w:val="20"/>
              </w:rPr>
              <w:fldChar w:fldCharType="end"/>
            </w:r>
          </w:p>
        </w:tc>
      </w:tr>
      <w:tr w:rsidR="00D00368" w:rsidRPr="000E1337" w14:paraId="26C5F839" w14:textId="77777777" w:rsidTr="002343D9">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hideMark/>
          </w:tcPr>
          <w:p w14:paraId="00371D5C" w14:textId="15E00710"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 xml:space="preserve">Log </w:t>
            </w:r>
            <w:r w:rsidR="00F45F7F" w:rsidRPr="000E1337">
              <w:rPr>
                <w:rFonts w:asciiTheme="majorBidi" w:eastAsia="Times New Roman" w:hAnsiTheme="majorBidi" w:cstheme="majorBidi"/>
                <w:sz w:val="20"/>
                <w:szCs w:val="20"/>
              </w:rPr>
              <w:t xml:space="preserve">P </w:t>
            </w:r>
            <w:proofErr w:type="spellStart"/>
            <w:proofErr w:type="gramStart"/>
            <w:r w:rsidR="00F45F7F" w:rsidRPr="000E1337">
              <w:rPr>
                <w:rFonts w:asciiTheme="majorBidi" w:eastAsia="Times New Roman" w:hAnsiTheme="majorBidi" w:cstheme="majorBidi"/>
                <w:sz w:val="20"/>
                <w:szCs w:val="20"/>
              </w:rPr>
              <w:t>o:w</w:t>
            </w:r>
            <w:proofErr w:type="spellEnd"/>
            <w:proofErr w:type="gramEnd"/>
          </w:p>
        </w:tc>
        <w:tc>
          <w:tcPr>
            <w:tcW w:w="0" w:type="dxa"/>
            <w:tcBorders>
              <w:top w:val="nil"/>
              <w:bottom w:val="nil"/>
            </w:tcBorders>
            <w:hideMark/>
          </w:tcPr>
          <w:p w14:paraId="5D6E07B2" w14:textId="77777777"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4.05</w:t>
            </w:r>
          </w:p>
        </w:tc>
        <w:tc>
          <w:tcPr>
            <w:tcW w:w="0" w:type="dxa"/>
            <w:tcBorders>
              <w:top w:val="nil"/>
              <w:bottom w:val="nil"/>
            </w:tcBorders>
            <w:hideMark/>
          </w:tcPr>
          <w:p w14:paraId="612A171F" w14:textId="41E4F566" w:rsidR="00D00368" w:rsidRPr="000E1337" w:rsidRDefault="00D00368" w:rsidP="00D77762">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Reported </w:t>
            </w:r>
            <w:r w:rsidR="00025C6A"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{"citationID":"Qx6z96pN","properties":{"formattedCitation":"[2]","plainCitation":"[2]","noteIndex":0},"citationItems":[{"id":38,"uris":["http://zotero.org/users/local/J5Cy8xXX/items/UXB5XAEG"],"itemData":{"id":38,"type":"article-journal","abstract":"Obesity is an increasingly alarming public health threat, with nearly 20% of children classified as obese in the United States today. Children with obesity are commonly prescribed the opioids fentanyl and methadone, and accurate dosing is critical to reducing the risk of serious adverse events associated with overexposure. However, pharmacokinetic studies in children with obesity are challenging to conduct, so there is limited information to guide fentanyl and methadone dosing in these children. To address this clinical knowledge gap, physiologically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based pharmacokinetic models of fentanyl and methadone were developed in adults and scaled to children with and without obesity to explore the interplay of obesity, age, and pharmacogenomics. These models included key obesity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induced changes in physiology and pharmacogenomic effects. Model predictions captured observed concentrations in children with obesity well, with an overall average fold error of 0.72 and 1.08 for fentanyl and methadone, respectively. Model simulations support a reduced fentanyl dose (1 vs. 2 μg/kg/h) starting at an earlier age (6 years) in virtual children with obesity, highlighting the importance of considering both age and obesity status when selecting an infusion rate most likely to achieve steady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state concentrations within the target range. Methadone dosing simulations highlight the importance of considering genotype in addition to obesity status when possible, as cytochrome P450 (CYP)2B6*6/*6 virtual children with obesity required half the dose to match the exposure of wildtype children without obesity. This physiologically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based pharmacokinetic modeling approach can be applied to explore dosing of other critical drugs in children with obesity.","container-title":"CPT: Pharmacometrics &amp; Systems Pharmacology","DOI":"10.1002/psp4.12793","ISSN":"2163-8306","issue":"6","journalAbbreviation":"CPT Pharmacometrics Syst Pharmacol","note":"PMID: 35491971\nPMCID: PMC9197535","page":"778-791","source":"PubMed Central","title":"Use of physiologically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based pharmacokinetic modeling to inform dosing of the opioid analgesics fentanyl and methadone in children with obesity","volume":"11","author":[{"family":"Gerhart","given":"Jacqueline G."},{"family":"Carreño","given":"Fernando O."},{"family":"Ford","given":"Jennifer L."},{"family":"Edginton","given":"Andrea N."},{"family":"Perrin","given":"Eliana M."},{"family":"Watt","given":"Kevin M."},{"family":"Muller","given":"William J."},{"family":"Atz","given":"Andrew M."},{"family":"Al</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 xml:space="preserve">Uzri","given":"Amira"},{"family":"Delmore","given":"Paula"},{"family":"Gonzalez","given":"Daniel"}],"issued":{"date-parts":[["2022",6]]}}}],"schema":"https://github.com/citation-style-language/schema/raw/master/csl-citation.json"} </w:instrText>
            </w:r>
            <w:r w:rsidR="00025C6A" w:rsidRPr="000E1337">
              <w:rPr>
                <w:rFonts w:asciiTheme="majorBidi" w:hAnsiTheme="majorBidi" w:cstheme="majorBidi"/>
                <w:sz w:val="20"/>
                <w:szCs w:val="20"/>
              </w:rPr>
              <w:fldChar w:fldCharType="separate"/>
            </w:r>
            <w:r w:rsidR="00D77762" w:rsidRPr="008A707E">
              <w:rPr>
                <w:rFonts w:asciiTheme="majorBidi" w:hAnsiTheme="majorBidi" w:cstheme="majorBidi"/>
                <w:sz w:val="20"/>
              </w:rPr>
              <w:t>[2]</w:t>
            </w:r>
            <w:r w:rsidR="00025C6A" w:rsidRPr="000E1337">
              <w:rPr>
                <w:rFonts w:asciiTheme="majorBidi" w:hAnsiTheme="majorBidi" w:cstheme="majorBidi"/>
                <w:sz w:val="20"/>
                <w:szCs w:val="20"/>
              </w:rPr>
              <w:fldChar w:fldCharType="end"/>
            </w:r>
          </w:p>
        </w:tc>
      </w:tr>
      <w:tr w:rsidR="00D00368" w:rsidRPr="000E1337" w14:paraId="0B6E0644" w14:textId="77777777" w:rsidTr="002343D9">
        <w:trPr>
          <w:trHeight w:val="191"/>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hideMark/>
          </w:tcPr>
          <w:p w14:paraId="13D07522" w14:textId="66F6DBF7" w:rsidR="00D00368" w:rsidRPr="000E1337" w:rsidRDefault="00AB2956" w:rsidP="00D00368">
            <w:pPr>
              <w:jc w:val="center"/>
              <w:rPr>
                <w:rFonts w:asciiTheme="majorBidi" w:eastAsia="Times New Roman" w:hAnsiTheme="majorBidi" w:cstheme="majorBidi"/>
                <w:b w:val="0"/>
                <w:bCs w:val="0"/>
                <w:sz w:val="20"/>
                <w:szCs w:val="20"/>
              </w:rPr>
            </w:pPr>
            <w:proofErr w:type="spellStart"/>
            <w:r>
              <w:rPr>
                <w:rFonts w:asciiTheme="majorBidi" w:eastAsia="Times New Roman" w:hAnsiTheme="majorBidi" w:cstheme="majorBidi"/>
                <w:sz w:val="20"/>
                <w:szCs w:val="20"/>
              </w:rPr>
              <w:t>p</w:t>
            </w:r>
            <w:r w:rsidR="00D00368" w:rsidRPr="000E1337">
              <w:rPr>
                <w:rFonts w:asciiTheme="majorBidi" w:eastAsia="Times New Roman" w:hAnsiTheme="majorBidi" w:cstheme="majorBidi"/>
                <w:sz w:val="20"/>
                <w:szCs w:val="20"/>
              </w:rPr>
              <w:t>Ka</w:t>
            </w:r>
            <w:proofErr w:type="spellEnd"/>
          </w:p>
        </w:tc>
        <w:tc>
          <w:tcPr>
            <w:tcW w:w="0" w:type="dxa"/>
            <w:tcBorders>
              <w:top w:val="nil"/>
              <w:bottom w:val="nil"/>
            </w:tcBorders>
            <w:hideMark/>
          </w:tcPr>
          <w:p w14:paraId="3F2A4556" w14:textId="77777777"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8.99</w:t>
            </w:r>
          </w:p>
        </w:tc>
        <w:tc>
          <w:tcPr>
            <w:tcW w:w="0" w:type="dxa"/>
            <w:tcBorders>
              <w:top w:val="nil"/>
              <w:bottom w:val="nil"/>
            </w:tcBorders>
            <w:hideMark/>
          </w:tcPr>
          <w:p w14:paraId="53B2BF9F" w14:textId="597BF2DE" w:rsidR="00D00368" w:rsidRPr="000E1337" w:rsidRDefault="00D00368" w:rsidP="001F1F54">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Monoprotic base </w:t>
            </w:r>
            <w:r w:rsidR="00025C6A" w:rsidRPr="000E1337">
              <w:rPr>
                <w:rFonts w:asciiTheme="majorBidi" w:hAnsiTheme="majorBidi" w:cstheme="majorBidi"/>
                <w:sz w:val="20"/>
                <w:szCs w:val="20"/>
              </w:rPr>
              <w:fldChar w:fldCharType="begin"/>
            </w:r>
            <w:r w:rsidR="001F1F54" w:rsidRPr="000E1337">
              <w:rPr>
                <w:rFonts w:asciiTheme="majorBidi" w:hAnsiTheme="majorBidi" w:cstheme="majorBidi"/>
                <w:sz w:val="20"/>
                <w:szCs w:val="20"/>
              </w:rPr>
              <w:instrText xml:space="preserve"> ADDIN ZOTERO_ITEM CSL_CITATION {"citationID":"Qrgxh740","properties":{"formattedCitation":"[1]","plainCitation":"[1]","noteIndex":0},"citationItems":[{"id":"NzKo45Wf/PZWtPpqB","uris":["http://zotero.org/users/6482121/items/SY3EF234"],"itemData":{"id":2601,"type":"webpage","abstract":"Fentanyl | C22H28N2O | CID 3345 - structure, chemical names, physical and chemical properties, classification, patents, literature, biological activities, safety/hazards/toxicity information, supplier lists, and more.","language":"en","title":"Fentanyl","URL":"https://pubchem.ncbi.nlm.nih.gov/compound/3345","author":[{"family":"PubChem","given":""}],"accessed":{"date-parts":[["2022",10,10]]}}}],"schema":"https://github.com/citation-style-language/schema/raw/master/csl-citation.json"} </w:instrText>
            </w:r>
            <w:r w:rsidR="00025C6A" w:rsidRPr="000E1337">
              <w:rPr>
                <w:rFonts w:asciiTheme="majorBidi" w:hAnsiTheme="majorBidi" w:cstheme="majorBidi"/>
                <w:sz w:val="20"/>
                <w:szCs w:val="20"/>
              </w:rPr>
              <w:fldChar w:fldCharType="separate"/>
            </w:r>
            <w:r w:rsidR="001F1F54" w:rsidRPr="008A707E">
              <w:rPr>
                <w:rFonts w:asciiTheme="majorBidi" w:hAnsiTheme="majorBidi" w:cstheme="majorBidi"/>
                <w:sz w:val="20"/>
              </w:rPr>
              <w:t>[1]</w:t>
            </w:r>
            <w:r w:rsidR="00025C6A" w:rsidRPr="000E1337">
              <w:rPr>
                <w:rFonts w:asciiTheme="majorBidi" w:hAnsiTheme="majorBidi" w:cstheme="majorBidi"/>
                <w:sz w:val="20"/>
                <w:szCs w:val="20"/>
              </w:rPr>
              <w:fldChar w:fldCharType="end"/>
            </w:r>
          </w:p>
        </w:tc>
      </w:tr>
      <w:tr w:rsidR="00D00368" w:rsidRPr="000E1337" w14:paraId="7B69B980" w14:textId="77777777" w:rsidTr="002343D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hideMark/>
          </w:tcPr>
          <w:p w14:paraId="16F30778" w14:textId="77777777"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B/P ratio</w:t>
            </w:r>
          </w:p>
        </w:tc>
        <w:tc>
          <w:tcPr>
            <w:tcW w:w="0" w:type="dxa"/>
            <w:tcBorders>
              <w:top w:val="nil"/>
              <w:bottom w:val="nil"/>
            </w:tcBorders>
            <w:hideMark/>
          </w:tcPr>
          <w:p w14:paraId="047232E1" w14:textId="77777777"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1.59</w:t>
            </w:r>
          </w:p>
        </w:tc>
        <w:tc>
          <w:tcPr>
            <w:tcW w:w="0" w:type="dxa"/>
            <w:tcBorders>
              <w:top w:val="nil"/>
              <w:bottom w:val="nil"/>
            </w:tcBorders>
            <w:hideMark/>
          </w:tcPr>
          <w:p w14:paraId="2C16A2A1" w14:textId="2B688617" w:rsidR="00D00368" w:rsidRPr="000E1337" w:rsidRDefault="00D00368" w:rsidP="00D77762">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Reported </w:t>
            </w:r>
            <w:r w:rsidR="00025C6A"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{"citationID":"a1stanrduru","properties":{"formattedCitation":"[2]","plainCitation":"[2]","noteIndex":0},"citationItems":[{"id":38,"uris":["http://zotero.org/users/local/J5Cy8xXX/items/UXB5XAEG"],"itemData":{"id":38,"type":"article-journal","abstract":"Obesity is an increasingly alarming public health threat, with nearly 20% of children classified as obese in the United States today. Children with obesity are commonly prescribed the opioids fentanyl and methadone, and accurate dosing is critical to reducing the risk of serious adverse events associated with overexposure. However, pharmacokinetic studies in children with obesity are challenging to conduct, so there is limited information to guide fentanyl and methadone dosing in these children. To address this clinical knowledge gap, physiologically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based pharmacokinetic models of fentanyl and methadone were developed in adults and scaled to children with and without obesity to explore the interplay of obesity, age, and pharmacogenomics. These models included key obesity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induced changes in physiology and pharmacogenomic effects. Model predictions captured observed concentrations in children with obesity well, with an overall average fold error of 0.72 and 1.08 for fentanyl and methadone, respectively. Model simulations support a reduced fentanyl dose (1 vs. 2 μg/kg/h) starting at an earlier age (6 years) in virtual children with obesity, highlighting the importance of considering both age and obesity status when selecting an infusion rate most likely to achieve steady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state concentrations within the target range. Methadone dosing simulations highlight the importance of considering genotype in addition to obesity status when possible, as cytochrome P450 (CYP)2B6*6/*6 virtual children with obesity required half the dose to match the exposure of wildtype children without obesity. This physiologically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based pharmacokinetic modeling approach can be applied to explore dosing of other critical drugs in children with obesity.","container-title":"CPT: Pharmacometrics &amp; Systems Pharmacology","DOI":"10.1002/psp4.12793","ISSN":"2163-8306","issue":"6","journalAbbreviation":"CPT Pharmacometrics Syst Pharmacol","note":"PMID: 35491971\nPMCID: PMC9197535","page":"778-791","source":"PubMed Central","title":"Use of physiologically</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based pharmacokinetic modeling to inform dosing of the opioid analgesics fentanyl and methadone in children with obesity","volume":"11","author":[{"family":"Gerhart","given":"Jacqueline G."},{"family":"Carreño","given":"Fernando O."},{"family":"Ford","given":"Jennifer L."},{"family":"Edginton","given":"Andrea N."},{"family":"Perrin","given":"Eliana M."},{"family":"Watt","given":"Kevin M."},{"family":"Muller","given":"William J."},{"family":"Atz","given":"Andrew M."},{"family":"Al</w:instrText>
            </w:r>
            <w:r w:rsidR="00D77762" w:rsidRPr="000E1337">
              <w:rPr>
                <w:rFonts w:asciiTheme="majorBidi" w:hAnsiTheme="majorBidi" w:cstheme="majorBidi" w:hint="eastAsia"/>
                <w:sz w:val="20"/>
                <w:szCs w:val="20"/>
              </w:rPr>
              <w:instrText>‐</w:instrText>
            </w:r>
            <w:r w:rsidR="00D77762" w:rsidRPr="000E1337">
              <w:rPr>
                <w:rFonts w:asciiTheme="majorBidi" w:hAnsiTheme="majorBidi" w:cstheme="majorBidi"/>
                <w:sz w:val="20"/>
                <w:szCs w:val="20"/>
              </w:rPr>
              <w:instrText xml:space="preserve">Uzri","given":"Amira"},{"family":"Delmore","given":"Paula"},{"family":"Gonzalez","given":"Daniel"}],"issued":{"date-parts":[["2022",6]]}}}],"schema":"https://github.com/citation-style-language/schema/raw/master/csl-citation.json"} </w:instrText>
            </w:r>
            <w:r w:rsidR="00025C6A" w:rsidRPr="000E1337">
              <w:rPr>
                <w:rFonts w:asciiTheme="majorBidi" w:hAnsiTheme="majorBidi" w:cstheme="majorBidi"/>
                <w:sz w:val="20"/>
                <w:szCs w:val="20"/>
              </w:rPr>
              <w:fldChar w:fldCharType="separate"/>
            </w:r>
            <w:r w:rsidR="00D77762" w:rsidRPr="008A707E">
              <w:rPr>
                <w:rFonts w:asciiTheme="majorBidi" w:hAnsiTheme="majorBidi" w:cstheme="majorBidi"/>
                <w:sz w:val="20"/>
              </w:rPr>
              <w:t>[2]</w:t>
            </w:r>
            <w:r w:rsidR="00025C6A" w:rsidRPr="000E1337">
              <w:rPr>
                <w:rFonts w:asciiTheme="majorBidi" w:hAnsiTheme="majorBidi" w:cstheme="majorBidi"/>
                <w:sz w:val="20"/>
                <w:szCs w:val="20"/>
              </w:rPr>
              <w:fldChar w:fldCharType="end"/>
            </w:r>
          </w:p>
        </w:tc>
      </w:tr>
      <w:tr w:rsidR="00D00368" w:rsidRPr="000E1337" w14:paraId="45BB452D" w14:textId="77777777" w:rsidTr="002343D9">
        <w:trPr>
          <w:trHeight w:val="173"/>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single" w:sz="4" w:space="0" w:color="auto"/>
            </w:tcBorders>
            <w:hideMark/>
          </w:tcPr>
          <w:p w14:paraId="21FE5A7D" w14:textId="6DBFA32F"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f</w:t>
            </w:r>
            <w:r w:rsidRPr="000E1337">
              <w:rPr>
                <w:rFonts w:asciiTheme="majorBidi" w:eastAsia="Times New Roman" w:hAnsiTheme="majorBidi" w:cstheme="majorBidi"/>
                <w:sz w:val="20"/>
                <w:szCs w:val="20"/>
                <w:vertAlign w:val="subscript"/>
              </w:rPr>
              <w:t>u</w:t>
            </w:r>
          </w:p>
        </w:tc>
        <w:tc>
          <w:tcPr>
            <w:tcW w:w="0" w:type="dxa"/>
            <w:tcBorders>
              <w:top w:val="nil"/>
              <w:bottom w:val="single" w:sz="4" w:space="0" w:color="auto"/>
            </w:tcBorders>
            <w:hideMark/>
          </w:tcPr>
          <w:p w14:paraId="35E231F8" w14:textId="77777777"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0.11</w:t>
            </w:r>
          </w:p>
        </w:tc>
        <w:tc>
          <w:tcPr>
            <w:tcW w:w="0" w:type="dxa"/>
            <w:tcBorders>
              <w:top w:val="nil"/>
              <w:bottom w:val="single" w:sz="4" w:space="0" w:color="auto"/>
            </w:tcBorders>
            <w:hideMark/>
          </w:tcPr>
          <w:p w14:paraId="41A3D8A7" w14:textId="2A48B314" w:rsidR="00D00368" w:rsidRPr="000E1337" w:rsidRDefault="00D00368" w:rsidP="00D7776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Reported </w:t>
            </w:r>
            <w:r w:rsidR="00025C6A"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{"citationID":"as6kgk8ohp","properties":{"formattedCitation":"[3]","plainCitation":"[3]","noteIndex":0},"citationItems":[{"id":43,"uris":["http://zotero.org/users/local/J5Cy8xXX/items/T6DG7HSI"],"itemData":{"id":43,"type":"article-journal","abstract":"1.Fentanyl is a highly lipophilic opioid commonly used to treat cancer pain. Plasma protein binding (PPB) of fentanyl in human plasma is reported as 80-85%, however it is unclear whether fentanyl binds primarily to albumin (ALB) or α-1 acid glycoprotein (AAG) and no studies have been conducted on the metabolite, nor-fentanyl. Fentanyl is also known to bind to plasticware and ultrafiltration (UF) devices which impacts adversely on binding experiments. 2.PPB of fentanyl and nor-fentanyl to ALB and AAG in isotonic phosphate buffer solution and seeded human plasma was quantified. PPB was also performed in plasma samples obtained from cancer patients receiving transdermal fentanyl. The adsorption of fentanyl and nor-fentanyl to UF devices and plasticware commonly used in PPB studies was also assessed. 3.Fentanyl was shown to bind primarily to ALB as opposed to AAG, with nor-fentanyl exhibiting negligible binding to plasma proteins. Total PPB of fentanyl was 86-89% in seeded human plasma. PPB in 56 cancer patient samples was 95.1 ± 3.52% for fentanyl and 32.4 ± 21.9% for nor-fentanyl. 4.UF was shown to be a reliable and convenient method for PPB studies, thereby removing the need for complex testing for adsorption of the drug to plasticware during UF.","container-title":"Xenobiotica; the Fate of Foreign Compounds in Biological Systems","DOI":"10.3109/00498254.2014.971093","ISSN":"1366-5928","issue":"3","journalAbbreviation":"Xenobiotica","language":"eng","note":"PMID: 25314012","page":"207-212","source":"PubMed","title":"Protein binding of fentanyl and its metabolite nor-fentanyl in human plasma, albumin and α-1 acid glycoprotein","volume":"45","author":[{"family":"Bista","given":"Sudeep Raj"},{"family":"Haywood","given":"Alison"},{"family":"Hardy","given":"Janet"},{"family":"Lobb","given":"Michael"},{"family":"Tapuni","given":"Angela"},{"family":"Norris","given":"Ross"}],"issued":{"date-parts":[["2015",3]]}}}],"schema":"https://github.com/citation-style-language/schema/raw/master/csl-citation.json"} </w:instrText>
            </w:r>
            <w:r w:rsidR="00025C6A" w:rsidRPr="000E1337">
              <w:rPr>
                <w:rFonts w:asciiTheme="majorBidi" w:hAnsiTheme="majorBidi" w:cstheme="majorBidi"/>
                <w:sz w:val="20"/>
                <w:szCs w:val="20"/>
              </w:rPr>
              <w:fldChar w:fldCharType="separate"/>
            </w:r>
            <w:r w:rsidR="00D77762" w:rsidRPr="008A707E">
              <w:rPr>
                <w:rFonts w:asciiTheme="majorBidi" w:hAnsiTheme="majorBidi" w:cstheme="majorBidi"/>
                <w:sz w:val="20"/>
              </w:rPr>
              <w:t>[3]</w:t>
            </w:r>
            <w:r w:rsidR="00025C6A" w:rsidRPr="000E1337">
              <w:rPr>
                <w:rFonts w:asciiTheme="majorBidi" w:hAnsiTheme="majorBidi" w:cstheme="majorBidi"/>
                <w:sz w:val="20"/>
                <w:szCs w:val="20"/>
              </w:rPr>
              <w:fldChar w:fldCharType="end"/>
            </w:r>
          </w:p>
        </w:tc>
      </w:tr>
      <w:tr w:rsidR="00D00368" w:rsidRPr="000E1337" w14:paraId="564C4D27" w14:textId="77777777" w:rsidTr="002343D9">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0" w:type="dxa"/>
            <w:gridSpan w:val="4"/>
            <w:tcBorders>
              <w:top w:val="single" w:sz="4" w:space="0" w:color="auto"/>
            </w:tcBorders>
            <w:hideMark/>
          </w:tcPr>
          <w:p w14:paraId="3C59A644" w14:textId="77777777" w:rsidR="00D00368" w:rsidRPr="000E1337" w:rsidRDefault="00D00368" w:rsidP="00D00368">
            <w:pPr>
              <w:jc w:val="center"/>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Distribution</w:t>
            </w:r>
          </w:p>
        </w:tc>
      </w:tr>
      <w:tr w:rsidR="00D00368" w:rsidRPr="000E1337" w14:paraId="3BA8A517" w14:textId="77777777" w:rsidTr="002343D9">
        <w:trPr>
          <w:trHeight w:val="60"/>
        </w:trPr>
        <w:tc>
          <w:tcPr>
            <w:cnfStyle w:val="001000000000" w:firstRow="0" w:lastRow="0" w:firstColumn="1" w:lastColumn="0" w:oddVBand="0" w:evenVBand="0" w:oddHBand="0" w:evenHBand="0" w:firstRowFirstColumn="0" w:firstRowLastColumn="0" w:lastRowFirstColumn="0" w:lastRowLastColumn="0"/>
            <w:tcW w:w="0" w:type="dxa"/>
            <w:gridSpan w:val="2"/>
            <w:tcBorders>
              <w:bottom w:val="nil"/>
            </w:tcBorders>
            <w:hideMark/>
          </w:tcPr>
          <w:p w14:paraId="4838B1D3" w14:textId="77777777"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Distribution model</w:t>
            </w:r>
          </w:p>
        </w:tc>
        <w:tc>
          <w:tcPr>
            <w:tcW w:w="0" w:type="dxa"/>
            <w:tcBorders>
              <w:bottom w:val="nil"/>
            </w:tcBorders>
            <w:hideMark/>
          </w:tcPr>
          <w:p w14:paraId="420AD1A1" w14:textId="77777777"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Full PBPK</w:t>
            </w:r>
          </w:p>
        </w:tc>
        <w:tc>
          <w:tcPr>
            <w:tcW w:w="0" w:type="dxa"/>
            <w:tcBorders>
              <w:bottom w:val="nil"/>
            </w:tcBorders>
            <w:hideMark/>
          </w:tcPr>
          <w:p w14:paraId="3418EF7F" w14:textId="77777777"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p>
        </w:tc>
      </w:tr>
      <w:tr w:rsidR="00D00368" w:rsidRPr="000E1337" w14:paraId="44EE4A93" w14:textId="77777777" w:rsidTr="002343D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hideMark/>
          </w:tcPr>
          <w:p w14:paraId="4FD247E9" w14:textId="4A225072" w:rsidR="00D00368" w:rsidRPr="000E1337" w:rsidRDefault="00D00368" w:rsidP="00D00368">
            <w:pPr>
              <w:jc w:val="center"/>
              <w:rPr>
                <w:rFonts w:asciiTheme="majorBidi" w:eastAsia="Times New Roman" w:hAnsiTheme="majorBidi" w:cstheme="majorBidi"/>
                <w:b w:val="0"/>
                <w:bCs w:val="0"/>
                <w:sz w:val="20"/>
                <w:szCs w:val="20"/>
              </w:rPr>
            </w:pPr>
            <w:proofErr w:type="spellStart"/>
            <w:r w:rsidRPr="000E1337">
              <w:rPr>
                <w:rFonts w:asciiTheme="majorBidi" w:eastAsia="Times New Roman" w:hAnsiTheme="majorBidi" w:cstheme="majorBidi"/>
                <w:sz w:val="20"/>
                <w:szCs w:val="20"/>
              </w:rPr>
              <w:t>V</w:t>
            </w:r>
            <w:r w:rsidR="00F45F7F" w:rsidRPr="000E1337">
              <w:rPr>
                <w:rFonts w:asciiTheme="majorBidi" w:eastAsia="Times New Roman" w:hAnsiTheme="majorBidi" w:cstheme="majorBidi"/>
                <w:sz w:val="20"/>
                <w:szCs w:val="20"/>
              </w:rPr>
              <w:t>d</w:t>
            </w:r>
            <w:r w:rsidR="00F45F7F" w:rsidRPr="000E1337">
              <w:rPr>
                <w:rFonts w:asciiTheme="majorBidi" w:eastAsia="Times New Roman" w:hAnsiTheme="majorBidi" w:cstheme="majorBidi"/>
                <w:sz w:val="20"/>
                <w:szCs w:val="20"/>
                <w:vertAlign w:val="subscript"/>
              </w:rPr>
              <w:t>ss</w:t>
            </w:r>
            <w:proofErr w:type="spellEnd"/>
            <w:r w:rsidRPr="000E1337">
              <w:rPr>
                <w:rFonts w:asciiTheme="majorBidi" w:eastAsia="Times New Roman" w:hAnsiTheme="majorBidi" w:cstheme="majorBidi"/>
                <w:sz w:val="20"/>
                <w:szCs w:val="20"/>
              </w:rPr>
              <w:t xml:space="preserve"> – Adult population (L/kg)</w:t>
            </w:r>
          </w:p>
        </w:tc>
        <w:tc>
          <w:tcPr>
            <w:tcW w:w="0" w:type="dxa"/>
            <w:tcBorders>
              <w:top w:val="nil"/>
              <w:bottom w:val="nil"/>
            </w:tcBorders>
            <w:hideMark/>
          </w:tcPr>
          <w:p w14:paraId="511D8657" w14:textId="02A93A6E"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8.7</w:t>
            </w:r>
            <w:r w:rsidR="00F45F7F" w:rsidRPr="000E1337">
              <w:rPr>
                <w:rFonts w:asciiTheme="majorBidi" w:eastAsia="Times New Roman" w:hAnsiTheme="majorBidi" w:cstheme="majorBidi"/>
                <w:sz w:val="20"/>
                <w:szCs w:val="20"/>
              </w:rPr>
              <w:t>5</w:t>
            </w:r>
          </w:p>
        </w:tc>
        <w:tc>
          <w:tcPr>
            <w:tcW w:w="0" w:type="dxa"/>
            <w:tcBorders>
              <w:top w:val="nil"/>
              <w:bottom w:val="nil"/>
            </w:tcBorders>
            <w:hideMark/>
          </w:tcPr>
          <w:p w14:paraId="74B7A97E" w14:textId="77777777"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E1337">
              <w:rPr>
                <w:rFonts w:asciiTheme="majorBidi" w:hAnsiTheme="majorBidi" w:cstheme="majorBidi"/>
                <w:sz w:val="20"/>
                <w:szCs w:val="20"/>
              </w:rPr>
              <w:t xml:space="preserve">Predicted by </w:t>
            </w:r>
            <w:proofErr w:type="spellStart"/>
            <w:r w:rsidRPr="000E1337">
              <w:rPr>
                <w:rFonts w:asciiTheme="majorBidi" w:hAnsiTheme="majorBidi" w:cstheme="majorBidi"/>
                <w:sz w:val="20"/>
                <w:szCs w:val="20"/>
              </w:rPr>
              <w:t>Simcyp</w:t>
            </w:r>
            <w:proofErr w:type="spellEnd"/>
          </w:p>
        </w:tc>
      </w:tr>
      <w:tr w:rsidR="00D00368" w:rsidRPr="000E1337" w14:paraId="531F88B7" w14:textId="77777777" w:rsidTr="002343D9">
        <w:trPr>
          <w:trHeight w:val="191"/>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tcPr>
          <w:p w14:paraId="04AFB05D" w14:textId="39CDB5EC" w:rsidR="00D00368" w:rsidRPr="000E1337" w:rsidRDefault="00F45F7F" w:rsidP="00D00368">
            <w:pPr>
              <w:jc w:val="center"/>
              <w:rPr>
                <w:rFonts w:asciiTheme="majorBidi" w:eastAsia="Times New Roman" w:hAnsiTheme="majorBidi" w:cstheme="majorBidi"/>
                <w:b w:val="0"/>
                <w:bCs w:val="0"/>
                <w:sz w:val="20"/>
                <w:szCs w:val="20"/>
              </w:rPr>
            </w:pPr>
            <w:proofErr w:type="spellStart"/>
            <w:r w:rsidRPr="000E1337">
              <w:rPr>
                <w:rFonts w:asciiTheme="majorBidi" w:eastAsia="Times New Roman" w:hAnsiTheme="majorBidi" w:cstheme="majorBidi"/>
                <w:sz w:val="20"/>
                <w:szCs w:val="20"/>
              </w:rPr>
              <w:t>Vd</w:t>
            </w:r>
            <w:r w:rsidRPr="000E1337">
              <w:rPr>
                <w:rFonts w:asciiTheme="majorBidi" w:eastAsia="Times New Roman" w:hAnsiTheme="majorBidi" w:cstheme="majorBidi"/>
                <w:sz w:val="20"/>
                <w:szCs w:val="20"/>
                <w:vertAlign w:val="subscript"/>
              </w:rPr>
              <w:t>ss</w:t>
            </w:r>
            <w:proofErr w:type="spellEnd"/>
            <w:r w:rsidRPr="000E1337">
              <w:rPr>
                <w:rFonts w:asciiTheme="majorBidi" w:eastAsia="Times New Roman" w:hAnsiTheme="majorBidi" w:cstheme="majorBidi"/>
                <w:sz w:val="20"/>
                <w:szCs w:val="20"/>
              </w:rPr>
              <w:t xml:space="preserve"> –</w:t>
            </w:r>
            <w:r w:rsidR="00D00368" w:rsidRPr="000E1337">
              <w:rPr>
                <w:rFonts w:asciiTheme="majorBidi" w:eastAsia="Times New Roman" w:hAnsiTheme="majorBidi" w:cstheme="majorBidi"/>
                <w:sz w:val="20"/>
                <w:szCs w:val="20"/>
              </w:rPr>
              <w:t xml:space="preserve"> </w:t>
            </w:r>
            <w:r w:rsidR="0041361A" w:rsidRPr="000E1337">
              <w:rPr>
                <w:rFonts w:asciiTheme="majorBidi" w:eastAsia="Times New Roman" w:hAnsiTheme="majorBidi" w:cstheme="majorBidi"/>
                <w:sz w:val="20"/>
                <w:szCs w:val="20"/>
              </w:rPr>
              <w:t>P</w:t>
            </w:r>
            <w:r w:rsidR="00D00368" w:rsidRPr="000E1337">
              <w:rPr>
                <w:rFonts w:asciiTheme="majorBidi" w:eastAsia="Times New Roman" w:hAnsiTheme="majorBidi" w:cstheme="majorBidi"/>
                <w:sz w:val="20"/>
                <w:szCs w:val="20"/>
              </w:rPr>
              <w:t xml:space="preserve">ediatric and </w:t>
            </w:r>
            <w:r w:rsidR="0041361A" w:rsidRPr="000E1337">
              <w:rPr>
                <w:rFonts w:asciiTheme="majorBidi" w:eastAsia="Times New Roman" w:hAnsiTheme="majorBidi" w:cstheme="majorBidi"/>
                <w:sz w:val="20"/>
                <w:szCs w:val="20"/>
              </w:rPr>
              <w:t>P</w:t>
            </w:r>
            <w:r w:rsidR="00D00368" w:rsidRPr="000E1337">
              <w:rPr>
                <w:rFonts w:asciiTheme="majorBidi" w:eastAsia="Times New Roman" w:hAnsiTheme="majorBidi" w:cstheme="majorBidi"/>
                <w:sz w:val="20"/>
                <w:szCs w:val="20"/>
              </w:rPr>
              <w:t>reterm populations (L/kg)</w:t>
            </w:r>
          </w:p>
        </w:tc>
        <w:tc>
          <w:tcPr>
            <w:tcW w:w="0" w:type="dxa"/>
            <w:tcBorders>
              <w:top w:val="nil"/>
              <w:bottom w:val="nil"/>
            </w:tcBorders>
          </w:tcPr>
          <w:p w14:paraId="630D93C9" w14:textId="5A5F05E2"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12.4</w:t>
            </w:r>
            <w:r w:rsidR="00F45F7F" w:rsidRPr="000E1337">
              <w:rPr>
                <w:rFonts w:asciiTheme="majorBidi" w:eastAsia="Times New Roman" w:hAnsiTheme="majorBidi" w:cstheme="majorBidi"/>
                <w:sz w:val="20"/>
                <w:szCs w:val="20"/>
              </w:rPr>
              <w:t>5</w:t>
            </w:r>
          </w:p>
        </w:tc>
        <w:tc>
          <w:tcPr>
            <w:tcW w:w="0" w:type="dxa"/>
            <w:tcBorders>
              <w:top w:val="nil"/>
              <w:bottom w:val="nil"/>
            </w:tcBorders>
          </w:tcPr>
          <w:p w14:paraId="1AEB621C" w14:textId="77777777"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E1337">
              <w:rPr>
                <w:rFonts w:asciiTheme="majorBidi" w:hAnsiTheme="majorBidi" w:cstheme="majorBidi"/>
                <w:sz w:val="20"/>
                <w:szCs w:val="20"/>
              </w:rPr>
              <w:t xml:space="preserve">Predicted by </w:t>
            </w:r>
            <w:proofErr w:type="spellStart"/>
            <w:r w:rsidRPr="000E1337">
              <w:rPr>
                <w:rFonts w:asciiTheme="majorBidi" w:hAnsiTheme="majorBidi" w:cstheme="majorBidi"/>
                <w:sz w:val="20"/>
                <w:szCs w:val="20"/>
              </w:rPr>
              <w:t>Simcyp</w:t>
            </w:r>
            <w:proofErr w:type="spellEnd"/>
          </w:p>
        </w:tc>
      </w:tr>
      <w:tr w:rsidR="00D00368" w:rsidRPr="000E1337" w14:paraId="2332DAB0" w14:textId="77777777" w:rsidTr="00783D72">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vAlign w:val="center"/>
            <w:hideMark/>
          </w:tcPr>
          <w:p w14:paraId="7BCCA553" w14:textId="77777777" w:rsidR="00D00368" w:rsidRPr="000E1337" w:rsidRDefault="00D00368" w:rsidP="00783D72">
            <w:pPr>
              <w:jc w:val="center"/>
              <w:rPr>
                <w:rFonts w:asciiTheme="majorBidi" w:eastAsia="Times New Roman" w:hAnsiTheme="majorBidi" w:cstheme="majorBidi"/>
                <w:b w:val="0"/>
                <w:bCs w:val="0"/>
                <w:sz w:val="20"/>
                <w:szCs w:val="20"/>
              </w:rPr>
            </w:pPr>
            <w:proofErr w:type="spellStart"/>
            <w:r w:rsidRPr="000E1337">
              <w:rPr>
                <w:rFonts w:asciiTheme="majorBidi" w:eastAsia="Times New Roman" w:hAnsiTheme="majorBidi" w:cstheme="majorBidi"/>
                <w:sz w:val="20"/>
                <w:szCs w:val="20"/>
              </w:rPr>
              <w:t>Kp</w:t>
            </w:r>
            <w:proofErr w:type="spellEnd"/>
            <w:r w:rsidRPr="000E1337">
              <w:rPr>
                <w:rFonts w:asciiTheme="majorBidi" w:eastAsia="Times New Roman" w:hAnsiTheme="majorBidi" w:cstheme="majorBidi"/>
                <w:sz w:val="20"/>
                <w:szCs w:val="20"/>
              </w:rPr>
              <w:t xml:space="preserve"> scalar (Adult population)</w:t>
            </w:r>
          </w:p>
        </w:tc>
        <w:tc>
          <w:tcPr>
            <w:tcW w:w="0" w:type="dxa"/>
            <w:tcBorders>
              <w:top w:val="nil"/>
              <w:bottom w:val="nil"/>
            </w:tcBorders>
            <w:hideMark/>
          </w:tcPr>
          <w:p w14:paraId="74EF60FA" w14:textId="77777777"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0.70</w:t>
            </w:r>
          </w:p>
        </w:tc>
        <w:tc>
          <w:tcPr>
            <w:tcW w:w="0" w:type="dxa"/>
            <w:tcBorders>
              <w:top w:val="nil"/>
              <w:bottom w:val="nil"/>
            </w:tcBorders>
            <w:hideMark/>
          </w:tcPr>
          <w:p w14:paraId="1E685288" w14:textId="416600AB" w:rsidR="00D00368" w:rsidRPr="000E1337" w:rsidRDefault="00CD246F" w:rsidP="00D77762">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sz w:val="20"/>
                <w:szCs w:val="20"/>
              </w:rPr>
            </w:pPr>
            <w:bookmarkStart w:id="2" w:name="_Hlk160655929"/>
            <w:r w:rsidRPr="000E1337">
              <w:rPr>
                <w:rFonts w:asciiTheme="majorBidi" w:hAnsiTheme="majorBidi" w:cstheme="majorBidi"/>
                <w:sz w:val="20"/>
                <w:szCs w:val="20"/>
              </w:rPr>
              <w:t>T</w:t>
            </w:r>
            <w:r w:rsidR="00FD04CE" w:rsidRPr="000E1337">
              <w:rPr>
                <w:rFonts w:asciiTheme="majorBidi" w:hAnsiTheme="majorBidi" w:cstheme="majorBidi"/>
                <w:sz w:val="20"/>
                <w:szCs w:val="20"/>
              </w:rPr>
              <w:t xml:space="preserve">issue-specific </w:t>
            </w:r>
            <w:proofErr w:type="spellStart"/>
            <w:r w:rsidR="00FD04CE" w:rsidRPr="000E1337">
              <w:rPr>
                <w:rFonts w:asciiTheme="majorBidi" w:hAnsiTheme="majorBidi" w:cstheme="majorBidi"/>
                <w:sz w:val="20"/>
                <w:szCs w:val="20"/>
              </w:rPr>
              <w:t>Kp</w:t>
            </w:r>
            <w:proofErr w:type="spellEnd"/>
            <w:r w:rsidR="00FD04CE" w:rsidRPr="000E1337">
              <w:rPr>
                <w:rFonts w:asciiTheme="majorBidi" w:hAnsiTheme="majorBidi" w:cstheme="majorBidi"/>
                <w:sz w:val="20"/>
                <w:szCs w:val="20"/>
              </w:rPr>
              <w:t xml:space="preserve"> values for fentanyl</w:t>
            </w:r>
            <w:bookmarkStart w:id="3" w:name="_Hlk160655985"/>
            <w:bookmarkEnd w:id="2"/>
            <w:r w:rsidR="00FD04CE" w:rsidRPr="000E1337">
              <w:rPr>
                <w:rFonts w:asciiTheme="majorBidi" w:hAnsiTheme="majorBidi" w:cstheme="majorBidi"/>
                <w:sz w:val="20"/>
                <w:szCs w:val="20"/>
              </w:rPr>
              <w:t xml:space="preserve"> w</w:t>
            </w:r>
            <w:r w:rsidRPr="000E1337">
              <w:rPr>
                <w:rFonts w:asciiTheme="majorBidi" w:hAnsiTheme="majorBidi" w:cstheme="majorBidi"/>
                <w:sz w:val="20"/>
                <w:szCs w:val="20"/>
              </w:rPr>
              <w:t>ere</w:t>
            </w:r>
            <w:r w:rsidR="00FD04CE" w:rsidRPr="000E1337">
              <w:rPr>
                <w:rFonts w:asciiTheme="majorBidi" w:hAnsiTheme="majorBidi" w:cstheme="majorBidi"/>
                <w:sz w:val="20"/>
                <w:szCs w:val="20"/>
              </w:rPr>
              <w:t xml:space="preserve"> used </w:t>
            </w:r>
            <w:bookmarkEnd w:id="3"/>
            <w:r w:rsidR="00025C6A"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{"citationID":"BtuSFJQv","properties":{"formattedCitation":"[4]","plainCitation":"[4]","noteIndex":0},"citationItems":[{"id":19,"uris":["http://zotero.org/users/local/J5Cy8xXX/items/6VUFV7AP"],"itemData":{"id":19,"type":"article-journal","abstract":"Physiologically based pharmacokinetic (PBPK) models can be used to predict drug disposition in humans from animal data and the influence of disease or other changes in physiology on the pharmacokinetics of a drug. The potential usefulness of a PBPK model must however be balanced against the considerable effort needed for its development. Proposed methods to simplify PBPK modeling include predicting the necessary tissue:blood partition coefficients (kp) from physicochemical data on the drug instead of determining them in vivo, formal lumping of model compartments, and replacing the various kp values of the organs and tissues by only two values, for \"fat\" and \"lean\" tissues, respectively. The aim of this study was to investigate the effects of simplifying complex PBPK models on their ability to predict drug disposition in humans. Arterial plasma concentration curves of fentanyl and pethidine were simulated by means of a number of successively reduced models. Median absolute prediction errors were used to evaluate the performance of each model, in relation to arterial plasma concentration data from clinical studies, and the Wilcoxon matched pairs test was used for comparison of predictions. An originally diffusion-limited model for fentanyl was simplified to perfusion-limitation, and this model was either lumped, reducing 11 organ/tissue compartments to six, or changed to a model based on only two kp values, those of fat (used for fat and lungs) and muscle (used for all other tissues). None of these simplifications appreciably changed the predictions of arterial drug concentrations in the 10 patients. Perfusion-limited models for pethidine were set up using either experimentally determined [Gabrielsson et al. 1986] or theoretically calculated [Davis and Mapleson 1993] kp values, and predictions using the former were found to be significantly better. Lumping of the models did not appreciably change the predictions; however, going from a full set of kp values to only two (\"fat\" and \"lean\") had an adverse effect. Using a kp for lungs determined either in rats or indirectly in humans [Persson et al. 1988], i.e., a total of three kp values, improved these predictions. In conclusion, this study strongly suggested that complex PBPK models for lipophilic basic drugs may be considerably reduced with marginal loss of power to predict standard plasma pharmacokinetics in humans. Determination of only two or three kp values instead of a \"full\" set can mean an important reduction of experimental work to define a basic model. Organs of particular pharmacological or toxicological interest should of course be investigated separately as needed. This study also suggests and applies a simple method for statistical evaluation of the predictions of PBPK models.","container-title":"Journal of Pharmacokinetics and Pharmacodynamics","DOI":"10.1023/a:1026194618660","ISSN":"1567-567X","issue":"4","journalAbbreviation":"J Pharmacokinet Pharmacodyn","language":"eng","note":"PMID: 14650375","page":"285-307","source":"PubMed","title":"Reduction and lumping of physiologically based pharmacokinetic models: prediction of the disposition of fentanyl and pethidine in humans by successively simplified models","title-short":"Reduction and lumping of physiologically based pharmacokinetic models","volume":"30","author":[{"family":"Björkman","given":"Sven"}],"issued":{"date-parts":[["2003",8]]}}}],"schema":"https://github.com/citation-style-language/schema/raw/master/csl-citation.json"} </w:instrText>
            </w:r>
            <w:r w:rsidR="00025C6A" w:rsidRPr="000E1337">
              <w:rPr>
                <w:rFonts w:asciiTheme="majorBidi" w:hAnsiTheme="majorBidi" w:cstheme="majorBidi"/>
                <w:sz w:val="20"/>
                <w:szCs w:val="20"/>
              </w:rPr>
              <w:fldChar w:fldCharType="separate"/>
            </w:r>
            <w:r w:rsidR="00D77762" w:rsidRPr="008A707E">
              <w:rPr>
                <w:rFonts w:asciiTheme="majorBidi" w:hAnsiTheme="majorBidi" w:cstheme="majorBidi"/>
                <w:sz w:val="20"/>
              </w:rPr>
              <w:t>[4]</w:t>
            </w:r>
            <w:r w:rsidR="00025C6A" w:rsidRPr="000E1337">
              <w:rPr>
                <w:rFonts w:asciiTheme="majorBidi" w:hAnsiTheme="majorBidi" w:cstheme="majorBidi"/>
                <w:sz w:val="20"/>
                <w:szCs w:val="20"/>
              </w:rPr>
              <w:fldChar w:fldCharType="end"/>
            </w:r>
          </w:p>
        </w:tc>
      </w:tr>
      <w:tr w:rsidR="00D00368" w:rsidRPr="000E1337" w14:paraId="5E9CF669" w14:textId="77777777" w:rsidTr="00783D72">
        <w:trPr>
          <w:trHeight w:val="47"/>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vAlign w:val="center"/>
          </w:tcPr>
          <w:p w14:paraId="70FC5D03" w14:textId="682CE91B" w:rsidR="00D00368" w:rsidRPr="000E1337" w:rsidRDefault="00D00368" w:rsidP="00783D72">
            <w:pPr>
              <w:jc w:val="center"/>
              <w:rPr>
                <w:rFonts w:asciiTheme="majorBidi" w:eastAsia="Times New Roman" w:hAnsiTheme="majorBidi" w:cstheme="majorBidi"/>
                <w:b w:val="0"/>
                <w:bCs w:val="0"/>
                <w:sz w:val="20"/>
                <w:szCs w:val="20"/>
              </w:rPr>
            </w:pPr>
            <w:proofErr w:type="spellStart"/>
            <w:r w:rsidRPr="000E1337">
              <w:rPr>
                <w:rFonts w:asciiTheme="majorBidi" w:eastAsia="Times New Roman" w:hAnsiTheme="majorBidi" w:cstheme="majorBidi"/>
                <w:sz w:val="20"/>
                <w:szCs w:val="20"/>
              </w:rPr>
              <w:t>Kp</w:t>
            </w:r>
            <w:proofErr w:type="spellEnd"/>
            <w:r w:rsidRPr="000E1337">
              <w:rPr>
                <w:rFonts w:asciiTheme="majorBidi" w:eastAsia="Times New Roman" w:hAnsiTheme="majorBidi" w:cstheme="majorBidi"/>
                <w:sz w:val="20"/>
                <w:szCs w:val="20"/>
              </w:rPr>
              <w:t xml:space="preserve"> scalar (</w:t>
            </w:r>
            <w:r w:rsidR="00502B41" w:rsidRPr="000E1337">
              <w:rPr>
                <w:rFonts w:asciiTheme="majorBidi" w:eastAsia="Times New Roman" w:hAnsiTheme="majorBidi" w:cstheme="majorBidi"/>
                <w:sz w:val="20"/>
                <w:szCs w:val="20"/>
              </w:rPr>
              <w:t>P</w:t>
            </w:r>
            <w:r w:rsidRPr="000E1337">
              <w:rPr>
                <w:rFonts w:asciiTheme="majorBidi" w:eastAsia="Times New Roman" w:hAnsiTheme="majorBidi" w:cstheme="majorBidi"/>
                <w:sz w:val="20"/>
                <w:szCs w:val="20"/>
              </w:rPr>
              <w:t xml:space="preserve">ediatric and </w:t>
            </w:r>
            <w:r w:rsidR="00502B41" w:rsidRPr="000E1337">
              <w:rPr>
                <w:rFonts w:asciiTheme="majorBidi" w:eastAsia="Times New Roman" w:hAnsiTheme="majorBidi" w:cstheme="majorBidi"/>
                <w:sz w:val="20"/>
                <w:szCs w:val="20"/>
              </w:rPr>
              <w:t>P</w:t>
            </w:r>
            <w:r w:rsidRPr="000E1337">
              <w:rPr>
                <w:rFonts w:asciiTheme="majorBidi" w:eastAsia="Times New Roman" w:hAnsiTheme="majorBidi" w:cstheme="majorBidi"/>
                <w:sz w:val="20"/>
                <w:szCs w:val="20"/>
              </w:rPr>
              <w:t>reterm populations)</w:t>
            </w:r>
          </w:p>
        </w:tc>
        <w:tc>
          <w:tcPr>
            <w:tcW w:w="0" w:type="dxa"/>
            <w:tcBorders>
              <w:top w:val="nil"/>
              <w:bottom w:val="nil"/>
            </w:tcBorders>
          </w:tcPr>
          <w:p w14:paraId="1C893C72" w14:textId="0ACE854A"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1.0</w:t>
            </w:r>
            <w:r w:rsidR="00F45F7F" w:rsidRPr="000E1337">
              <w:rPr>
                <w:rFonts w:asciiTheme="majorBidi" w:eastAsia="Times New Roman" w:hAnsiTheme="majorBidi" w:cstheme="majorBidi"/>
                <w:sz w:val="20"/>
                <w:szCs w:val="20"/>
              </w:rPr>
              <w:t>0</w:t>
            </w:r>
          </w:p>
        </w:tc>
        <w:tc>
          <w:tcPr>
            <w:tcW w:w="0" w:type="dxa"/>
            <w:tcBorders>
              <w:top w:val="nil"/>
              <w:bottom w:val="nil"/>
            </w:tcBorders>
          </w:tcPr>
          <w:p w14:paraId="57E09ABC" w14:textId="2AB1E2CC" w:rsidR="00D00368" w:rsidRPr="000E1337" w:rsidRDefault="00025C6A" w:rsidP="00D7776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E1337">
              <w:rPr>
                <w:rFonts w:asciiTheme="majorBidi" w:hAnsiTheme="majorBidi" w:cstheme="majorBidi"/>
                <w:sz w:val="20"/>
                <w:szCs w:val="20"/>
              </w:rPr>
              <w:t xml:space="preserve">Default in </w:t>
            </w:r>
            <w:proofErr w:type="spellStart"/>
            <w:r w:rsidRPr="000E1337">
              <w:rPr>
                <w:rFonts w:asciiTheme="majorBidi" w:hAnsiTheme="majorBidi" w:cstheme="majorBidi"/>
                <w:sz w:val="20"/>
                <w:szCs w:val="20"/>
              </w:rPr>
              <w:t>Simcyp</w:t>
            </w:r>
            <w:proofErr w:type="spellEnd"/>
            <w:r w:rsidR="00870211" w:rsidRPr="000E1337">
              <w:rPr>
                <w:rFonts w:asciiTheme="majorBidi" w:hAnsiTheme="majorBidi" w:cstheme="majorBidi"/>
                <w:sz w:val="20"/>
                <w:szCs w:val="20"/>
              </w:rPr>
              <w:t xml:space="preserve"> and recover the observed value </w:t>
            </w:r>
            <w:r w:rsidR="00870211"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{"citationID":"a1qi49sd6ol","properties":{"formattedCitation":"[5]","plainCitation":"[5]","noteIndex":0},"citationItems":[{"id":45,"uris":["http://zotero.org/users/local/J5Cy8xXX/items/YM7K2XPQ"],"itemData":{"id":45,"type":"article-journal","abstract":"Background and Objective\nFentanyl is an opioid commonly used to prevent and treat severe pain in neonates; however, its use is off label and mostly based on bodyweight. Given the limited pharmacokinetic information across the entire neonatal age range, we characterized the pharmacokinetics of fentanyl across preterm and term neonates to individualize dosing.\n\nMethods\nWe pooled data from two previous studies on 164 newborns with a median gestational age of 29.0 weeks (range 23.9–42.3), birthweight of 1055 g (range 390–4245), and postnatal age (PNA) of 1 day (range 0–68). In total, 673 plasma samples upon bolus dosing (69 patients; median dose 2.1 μg/kg, median 2 boluses per patient) or continuous infusions (95 patients; median dose 1.1 μg/kg/h for 30 h) with and without boluses were used for population pharmacokinetic modeling in NONMEM® 7.4.\n\nResults\nClearance in neonates with birthweight of 2000 and 3000 g was 2.8- and 5.0-fold the clearance in a neonate with birthweight of 1000 g, respectively. Fentanyl clearance at PNA of 7, 14, and 21 days was 2.7-fold, 3.8-fold, and 4.6-fold the clearance at 1 day, respectively. Bodyweight-based dosing resulted in large differences in fentanyl concentrations. Depending on PNA and birthweight, fentanyl concentrations increased slowly after the start of therapy for both intermittent boluses and continuous infusion and reached a maximum concentration at 12–48 h.\n\nConclusions\nAs both prenatal and postnatal maturation are important for fentanyl exposure, we propose a birthweight- and PNA-based dosage regimen. To provide rapid analgesia in the first 24 h of treatment, additional loading doses need to be considered.\n\nSupplementary Information\nThe online version contains supplementary material available at 10.1007/s40262-021-01076-0.","container-title":"Clinical Pharmacokinetics","DOI":"10.1007/s40262-021-01076-0","ISSN":"0312-5963","issue":"3","journalAbbreviation":"Clin Pharmacokinet","note":"PMID: 34773609\nPMCID: PMC8891207","page":"401-412","source":"PubMed Central","title":"Pre- and Postnatal Maturation are Important for Fentanyl Exposure in Preterm and Term Newborns: A Pooled Population Pharmacokinetic Study","title-short":"Pre- and Postnatal Maturation are Important for Fentanyl Exposure in Preterm and Term Newborns","volume":"61","author":[{"family":"Wu","given":"Yunjiao"},{"family":"Völler","given":"Swantje"},{"family":"Flint","given":"Robert B."},{"family":"Simons","given":"Sinno H. P."},{"family":"Allegaert","given":"Karel"},{"family":"Fellman","given":"Vineta"},{"family":"Knibbe","given":"Catherijne A. J."}],"issued":{"date-parts":[["2022"]]}}}],"schema":"https://github.com/citation-style-language/schema/raw/master/csl-citation.json"} </w:instrText>
            </w:r>
            <w:r w:rsidR="00870211" w:rsidRPr="000E1337">
              <w:rPr>
                <w:rFonts w:asciiTheme="majorBidi" w:hAnsiTheme="majorBidi" w:cstheme="majorBidi"/>
                <w:sz w:val="20"/>
                <w:szCs w:val="20"/>
              </w:rPr>
              <w:fldChar w:fldCharType="separate"/>
            </w:r>
            <w:r w:rsidR="00D77762" w:rsidRPr="008A707E">
              <w:rPr>
                <w:rFonts w:asciiTheme="majorBidi" w:hAnsiTheme="majorBidi" w:cstheme="majorBidi"/>
                <w:sz w:val="20"/>
              </w:rPr>
              <w:t>[5]</w:t>
            </w:r>
            <w:r w:rsidR="00870211" w:rsidRPr="000E1337">
              <w:rPr>
                <w:rFonts w:asciiTheme="majorBidi" w:hAnsiTheme="majorBidi" w:cstheme="majorBidi"/>
                <w:sz w:val="20"/>
                <w:szCs w:val="20"/>
              </w:rPr>
              <w:fldChar w:fldCharType="end"/>
            </w:r>
          </w:p>
        </w:tc>
      </w:tr>
      <w:tr w:rsidR="008D7A42" w:rsidRPr="000E1337" w14:paraId="2E17379F" w14:textId="77777777" w:rsidTr="002343D9">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0" w:type="dxa"/>
            <w:gridSpan w:val="3"/>
            <w:tcBorders>
              <w:top w:val="nil"/>
              <w:bottom w:val="single" w:sz="4" w:space="0" w:color="auto"/>
            </w:tcBorders>
            <w:hideMark/>
          </w:tcPr>
          <w:p w14:paraId="46A60B5C" w14:textId="3D53F7F4"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 xml:space="preserve">Model for </w:t>
            </w:r>
            <w:r w:rsidR="00F45F7F" w:rsidRPr="000E1337">
              <w:rPr>
                <w:rFonts w:asciiTheme="majorBidi" w:eastAsia="Times New Roman" w:hAnsiTheme="majorBidi" w:cstheme="majorBidi"/>
                <w:sz w:val="20"/>
                <w:szCs w:val="20"/>
              </w:rPr>
              <w:t>E</w:t>
            </w:r>
            <w:r w:rsidRPr="000E1337">
              <w:rPr>
                <w:rFonts w:asciiTheme="majorBidi" w:eastAsia="Times New Roman" w:hAnsiTheme="majorBidi" w:cstheme="majorBidi"/>
                <w:sz w:val="20"/>
                <w:szCs w:val="20"/>
              </w:rPr>
              <w:t xml:space="preserve">stimating </w:t>
            </w:r>
            <w:r w:rsidR="00F45F7F" w:rsidRPr="000E1337">
              <w:rPr>
                <w:rFonts w:asciiTheme="majorBidi" w:eastAsia="Times New Roman" w:hAnsiTheme="majorBidi" w:cstheme="majorBidi"/>
                <w:sz w:val="20"/>
                <w:szCs w:val="20"/>
              </w:rPr>
              <w:t>O</w:t>
            </w:r>
            <w:r w:rsidRPr="000E1337">
              <w:rPr>
                <w:rFonts w:asciiTheme="majorBidi" w:eastAsia="Times New Roman" w:hAnsiTheme="majorBidi" w:cstheme="majorBidi"/>
                <w:sz w:val="20"/>
                <w:szCs w:val="20"/>
              </w:rPr>
              <w:t>rgan-</w:t>
            </w:r>
            <w:r w:rsidR="00F45F7F" w:rsidRPr="000E1337">
              <w:rPr>
                <w:rFonts w:asciiTheme="majorBidi" w:eastAsia="Times New Roman" w:hAnsiTheme="majorBidi" w:cstheme="majorBidi"/>
                <w:sz w:val="20"/>
                <w:szCs w:val="20"/>
              </w:rPr>
              <w:t>t</w:t>
            </w:r>
            <w:r w:rsidRPr="000E1337">
              <w:rPr>
                <w:rFonts w:asciiTheme="majorBidi" w:eastAsia="Times New Roman" w:hAnsiTheme="majorBidi" w:cstheme="majorBidi"/>
                <w:sz w:val="20"/>
                <w:szCs w:val="20"/>
              </w:rPr>
              <w:t>o-plasma partition coefficients</w:t>
            </w:r>
          </w:p>
        </w:tc>
        <w:tc>
          <w:tcPr>
            <w:tcW w:w="0" w:type="dxa"/>
            <w:tcBorders>
              <w:top w:val="nil"/>
              <w:bottom w:val="single" w:sz="4" w:space="0" w:color="auto"/>
            </w:tcBorders>
            <w:hideMark/>
          </w:tcPr>
          <w:p w14:paraId="6B0EB3DE" w14:textId="191C3CDB" w:rsidR="00D00368" w:rsidRPr="000E1337" w:rsidRDefault="00D00368" w:rsidP="00D77762">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Rodgers et al. </w:t>
            </w:r>
            <w:r w:rsidR="00025C6A"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{"citationID":"fBsw7S0r","properties":{"formattedCitation":"[6]","plainCitation":"[6]","noteIndex":0},"citationItems":[{"id":"NzKo45Wf/nR2H75Rp","uris":["http://zotero.org/users/6482121/items/6UCDRFYT"],"itemData":{"id":2597,"type":"article-journal","abstract":"Tissue-to-plasma water partition coefficients (Kpu's) form an integral part of whole body physiologically based pharmacokinetic (WBPBPK) models. This research aims to improve the predictability of Kpu values for moderate-to-strong bases (pK(a) &gt; or = 7), by developing a mechanistic equation that accommodates the unique electrostatic interactions of such drugs with tissue acidic phospholipids, where the affinity of this interaction is readily estimated from drug blood cell binding data. Additional model constituents are drug partitioning into neutral lipids and neutral phospholipids, and drug dissolution in tissue water. Major assumptions of this equation are that electrostatic interactions predominate, drugs distribute passively, and non-saturating conditions prevail. Resultant Kpu predictions for 28 moderate-to-strong bases were significantly more accurate than published equations with 89%, compared to 45%, of the predictions being within a factor of three of experimental values in rat adipose, bone, gut, heart, kidney, liver, muscle, pancreas, skin, spleen and thymus. Predictions in rat brain and lung were less accurate probably due to the involvement of additional processes not incorporated within the equation. This overall improvement in prediction should facilitate the further application of WBPBPK modeling, where time, cost and labor requirements associated with experimentally determining Kpu's have, to a large extent, deterred its application.","container-title":"Journal of Pharmaceutical Sciences","DOI":"10.1002/jps.20322","ISSN":"0022-3549","issue":"6","journalAbbreviation":"J Pharm Sci","language":"eng","note":"PMID: 15858854","page":"1259-1276","source":"PubMed","title":"Physiologically based pharmacokinetic modeling 1: predicting the tissue distribution of moderate-to-strong bases","title-short":"Physiologically based pharmacokinetic modeling 1","volume":"94","author":[{"family":"Rodgers","given":"Trudy"},{"family":"Leahy","given":"David"},{"family":"Rowland","given":"Malcolm"}],"issued":{"date-parts":[["2005",6]]}}}],"schema":"https://github.com/citation-style-language/schema/raw/master/csl-citation.json"} </w:instrText>
            </w:r>
            <w:r w:rsidR="00025C6A" w:rsidRPr="000E1337">
              <w:rPr>
                <w:rFonts w:asciiTheme="majorBidi" w:hAnsiTheme="majorBidi" w:cstheme="majorBidi"/>
                <w:sz w:val="20"/>
                <w:szCs w:val="20"/>
              </w:rPr>
              <w:fldChar w:fldCharType="separate"/>
            </w:r>
            <w:r w:rsidR="00D77762" w:rsidRPr="008A707E">
              <w:rPr>
                <w:rFonts w:asciiTheme="majorBidi" w:hAnsiTheme="majorBidi" w:cstheme="majorBidi"/>
                <w:sz w:val="20"/>
              </w:rPr>
              <w:t>[6]</w:t>
            </w:r>
            <w:r w:rsidR="00025C6A" w:rsidRPr="000E1337">
              <w:rPr>
                <w:rFonts w:asciiTheme="majorBidi" w:hAnsiTheme="majorBidi" w:cstheme="majorBidi"/>
                <w:sz w:val="20"/>
                <w:szCs w:val="20"/>
              </w:rPr>
              <w:fldChar w:fldCharType="end"/>
            </w:r>
          </w:p>
        </w:tc>
      </w:tr>
      <w:tr w:rsidR="00D00368" w:rsidRPr="000E1337" w14:paraId="44843E6E" w14:textId="77777777" w:rsidTr="002343D9">
        <w:trPr>
          <w:trHeight w:val="47"/>
        </w:trPr>
        <w:tc>
          <w:tcPr>
            <w:cnfStyle w:val="001000000000" w:firstRow="0" w:lastRow="0" w:firstColumn="1" w:lastColumn="0" w:oddVBand="0" w:evenVBand="0" w:oddHBand="0" w:evenHBand="0" w:firstRowFirstColumn="0" w:firstRowLastColumn="0" w:lastRowFirstColumn="0" w:lastRowLastColumn="0"/>
            <w:tcW w:w="0" w:type="dxa"/>
            <w:gridSpan w:val="4"/>
            <w:tcBorders>
              <w:top w:val="single" w:sz="4" w:space="0" w:color="auto"/>
              <w:bottom w:val="single" w:sz="4" w:space="0" w:color="auto"/>
            </w:tcBorders>
            <w:hideMark/>
          </w:tcPr>
          <w:p w14:paraId="4BBD9EDC" w14:textId="77777777" w:rsidR="00D00368" w:rsidRPr="000E1337" w:rsidRDefault="00D00368" w:rsidP="00D00368">
            <w:pPr>
              <w:jc w:val="center"/>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Elimination</w:t>
            </w:r>
          </w:p>
        </w:tc>
      </w:tr>
      <w:tr w:rsidR="00D00368" w:rsidRPr="000E1337" w14:paraId="328029D0" w14:textId="77777777" w:rsidTr="002343D9">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4" w:space="0" w:color="auto"/>
              <w:bottom w:val="nil"/>
            </w:tcBorders>
            <w:vAlign w:val="center"/>
            <w:hideMark/>
          </w:tcPr>
          <w:p w14:paraId="205BDA01" w14:textId="203C56F1" w:rsidR="00D00368" w:rsidRPr="000E1337" w:rsidRDefault="00D00368" w:rsidP="00D00368">
            <w:pPr>
              <w:jc w:val="center"/>
              <w:rPr>
                <w:rFonts w:asciiTheme="majorBidi" w:eastAsia="Times New Roman" w:hAnsiTheme="majorBidi" w:cstheme="majorBidi"/>
                <w:b w:val="0"/>
                <w:bCs w:val="0"/>
                <w:sz w:val="20"/>
                <w:szCs w:val="20"/>
              </w:rPr>
            </w:pPr>
            <w:proofErr w:type="spellStart"/>
            <w:r w:rsidRPr="000E1337">
              <w:rPr>
                <w:rFonts w:asciiTheme="majorBidi" w:eastAsia="Times New Roman" w:hAnsiTheme="majorBidi" w:cstheme="majorBidi"/>
                <w:sz w:val="20"/>
                <w:szCs w:val="20"/>
              </w:rPr>
              <w:t>C</w:t>
            </w:r>
            <w:r w:rsidR="00F45F7F" w:rsidRPr="000E1337">
              <w:rPr>
                <w:rFonts w:asciiTheme="majorBidi" w:eastAsia="Times New Roman" w:hAnsiTheme="majorBidi" w:cstheme="majorBidi"/>
                <w:sz w:val="20"/>
                <w:szCs w:val="20"/>
              </w:rPr>
              <w:t>L</w:t>
            </w:r>
            <w:r w:rsidR="00F45F7F" w:rsidRPr="000E1337">
              <w:rPr>
                <w:rFonts w:asciiTheme="majorBidi" w:eastAsia="Times New Roman" w:hAnsiTheme="majorBidi" w:cstheme="majorBidi"/>
                <w:sz w:val="20"/>
                <w:szCs w:val="20"/>
                <w:vertAlign w:val="subscript"/>
              </w:rPr>
              <w:t>t</w:t>
            </w:r>
            <w:proofErr w:type="spellEnd"/>
            <w:r w:rsidRPr="000E1337">
              <w:rPr>
                <w:rFonts w:asciiTheme="majorBidi" w:eastAsia="Times New Roman" w:hAnsiTheme="majorBidi" w:cstheme="majorBidi"/>
                <w:sz w:val="20"/>
                <w:szCs w:val="20"/>
              </w:rPr>
              <w:t xml:space="preserve"> (L/h)</w:t>
            </w:r>
          </w:p>
        </w:tc>
        <w:tc>
          <w:tcPr>
            <w:tcW w:w="0" w:type="dxa"/>
            <w:tcBorders>
              <w:top w:val="single" w:sz="4" w:space="0" w:color="auto"/>
              <w:bottom w:val="nil"/>
            </w:tcBorders>
            <w:vAlign w:val="center"/>
            <w:hideMark/>
          </w:tcPr>
          <w:p w14:paraId="7EC71C3F" w14:textId="0D9FC9DE"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hAnsiTheme="majorBidi" w:cstheme="majorBidi"/>
                <w:sz w:val="20"/>
                <w:szCs w:val="20"/>
              </w:rPr>
              <w:t xml:space="preserve">62.16 </w:t>
            </w:r>
          </w:p>
        </w:tc>
        <w:tc>
          <w:tcPr>
            <w:tcW w:w="0" w:type="dxa"/>
            <w:tcBorders>
              <w:top w:val="single" w:sz="4" w:space="0" w:color="auto"/>
              <w:bottom w:val="nil"/>
            </w:tcBorders>
            <w:hideMark/>
          </w:tcPr>
          <w:p w14:paraId="37938C75" w14:textId="3230C563" w:rsidR="00D00368" w:rsidRPr="000E1337" w:rsidRDefault="00D00368" w:rsidP="00D77762">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Mean value observed after the administration of </w:t>
            </w:r>
            <w:r w:rsidRPr="000E1337">
              <w:rPr>
                <w:rFonts w:asciiTheme="majorBidi" w:hAnsiTheme="majorBidi" w:cstheme="majorBidi"/>
                <w:sz w:val="20"/>
                <w:szCs w:val="20"/>
              </w:rPr>
              <w:t xml:space="preserve">5 </w:t>
            </w:r>
            <w:r w:rsidR="00F45F7F" w:rsidRPr="000E1337">
              <w:rPr>
                <w:rFonts w:asciiTheme="majorBidi" w:eastAsia="Times New Roman" w:hAnsiTheme="majorBidi" w:cstheme="majorBidi"/>
                <w:sz w:val="20"/>
                <w:szCs w:val="20"/>
              </w:rPr>
              <w:t>µ</w:t>
            </w:r>
            <w:r w:rsidRPr="000E1337">
              <w:rPr>
                <w:rFonts w:asciiTheme="majorBidi" w:hAnsiTheme="majorBidi" w:cstheme="majorBidi"/>
                <w:sz w:val="20"/>
                <w:szCs w:val="20"/>
              </w:rPr>
              <w:t xml:space="preserve">g/kg </w:t>
            </w:r>
            <w:r w:rsidR="004229FA">
              <w:rPr>
                <w:rFonts w:asciiTheme="majorBidi" w:hAnsiTheme="majorBidi" w:cstheme="majorBidi"/>
                <w:sz w:val="20"/>
                <w:szCs w:val="20"/>
              </w:rPr>
              <w:t>iv</w:t>
            </w:r>
            <w:r w:rsidRPr="000E1337">
              <w:rPr>
                <w:rFonts w:asciiTheme="majorBidi" w:hAnsiTheme="majorBidi" w:cstheme="majorBidi"/>
                <w:sz w:val="20"/>
                <w:szCs w:val="20"/>
              </w:rPr>
              <w:t xml:space="preserve"> bolus of fentanyl to Caucasian </w:t>
            </w:r>
            <w:r w:rsidRPr="000E1337">
              <w:rPr>
                <w:rFonts w:asciiTheme="majorBidi" w:eastAsia="Times New Roman" w:hAnsiTheme="majorBidi" w:cstheme="majorBidi"/>
                <w:sz w:val="20"/>
                <w:szCs w:val="20"/>
              </w:rPr>
              <w:t xml:space="preserve">healthy volunteers </w:t>
            </w:r>
            <w:r w:rsidR="00025C6A"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{"citationID":"N8rHrktO","properties":{"formattedCitation":"[7]","plainCitation":"[7]","noteIndex":0},"citationItems":[{"id":36,"uris":["http://zotero.org/users/local/J5Cy8xXX/items/4S2WIJGV"],"itemData":{"id":36,"type":"article-journal","abstract":"OBJECTIVE: Fentanyl is a widely used opioid analgesic, which is extensively metabolized by hepatic cytochrome P450 (CYP) 3A. Recent reports suggest that concomitant administration of CYP3A inhibitors with fentanyl may lead to dangerous drug interactions.\nMETHODS: The potential interactions of fentanyl with triazole antifungal agents voriconazole and fluconazole were studied in a randomized crossover study in three phases. Twelve healthy volunteers were given 5 microg/kg of intravenous fentanyl without pretreatment (control), after oral voriconazole (400 mg twice on the first day and 200 mg twice on the second day), or after oral fluconazole (400 mg once on the first day and 200 mg once on the second day). Plasma concentrations of fentanyl, norfentanyl, voriconazole, and fluconazole were determined up to 24 h. Pharmacokinetic parameters were calculated using compartmental methods.\nRESULTS: The mean plasma clearance of intravenous fentanyl was decreased by 23% (range -22 to 48%; p &lt; 0.05) and 16% (-34 to 53%; p &lt; 0.05) after voriconazole and fluconazole administration, respectively. Voriconazole increased the area under the fentanyl plasma concentration-time curve by 1.4-fold (p &lt; 0.05). The initial plasma concentrations and volume of distribution of fentanyl did not differ significantly between phases.\nCONCLUSION: Both voriconazole and fluconazole delay the elimination of fentanyl significantly. Caution should be exercised, especially in patients who are given voriconazole or fluconazole during long-lasting fentanyl treatment, because insidiously elevated fentanyl concentration may lead to respiratory depression.","container-title":"European Journal of Clinical Pharmacology","DOI":"10.1007/s00228-007-0398-x","ISSN":"1432-1041","issue":"1","journalAbbreviation":"Eur J Clin Pharmacol","language":"eng","note":"PMID: 17987285","page":"25-30","source":"PubMed","title":"Effect of voriconazole and fluconazole on the pharmacokinetics of intravenous fentanyl","volume":"64","author":[{"family":"Saari","given":"Teijo I."},{"family":"Laine","given":"Kari"},{"family":"Neuvonen","given":"Mikko"},{"family":"Neuvonen","given":"Pertti J."},{"family":"Olkkola","given":"Klaus T."}],"issued":{"date-parts":[["2008",1]]}}}],"schema":"https://github.com/citation-style-language/schema/raw/master/csl-citation.json"} </w:instrText>
            </w:r>
            <w:r w:rsidR="00025C6A" w:rsidRPr="000E1337">
              <w:rPr>
                <w:rFonts w:asciiTheme="majorBidi" w:hAnsiTheme="majorBidi" w:cstheme="majorBidi"/>
                <w:sz w:val="20"/>
                <w:szCs w:val="20"/>
              </w:rPr>
              <w:fldChar w:fldCharType="separate"/>
            </w:r>
            <w:r w:rsidR="00D77762" w:rsidRPr="008A707E">
              <w:rPr>
                <w:rFonts w:asciiTheme="majorBidi" w:hAnsiTheme="majorBidi" w:cstheme="majorBidi"/>
                <w:sz w:val="20"/>
              </w:rPr>
              <w:t>[7]</w:t>
            </w:r>
            <w:r w:rsidR="00025C6A" w:rsidRPr="000E1337">
              <w:rPr>
                <w:rFonts w:asciiTheme="majorBidi" w:hAnsiTheme="majorBidi" w:cstheme="majorBidi"/>
                <w:sz w:val="20"/>
                <w:szCs w:val="20"/>
              </w:rPr>
              <w:fldChar w:fldCharType="end"/>
            </w:r>
          </w:p>
        </w:tc>
      </w:tr>
      <w:tr w:rsidR="00D00368" w:rsidRPr="000E1337" w14:paraId="17D50477" w14:textId="77777777" w:rsidTr="002343D9">
        <w:trPr>
          <w:trHeight w:val="58"/>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nil"/>
            </w:tcBorders>
            <w:vAlign w:val="center"/>
            <w:hideMark/>
          </w:tcPr>
          <w:p w14:paraId="5ED721ED" w14:textId="01975BB8"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Enzyme kinetics</w:t>
            </w:r>
          </w:p>
        </w:tc>
        <w:tc>
          <w:tcPr>
            <w:tcW w:w="0" w:type="dxa"/>
            <w:tcBorders>
              <w:top w:val="nil"/>
              <w:bottom w:val="nil"/>
            </w:tcBorders>
            <w:vAlign w:val="center"/>
            <w:hideMark/>
          </w:tcPr>
          <w:p w14:paraId="7E3D5BD5" w14:textId="0F275D66"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CYP3A4 </w:t>
            </w:r>
            <w:proofErr w:type="spellStart"/>
            <w:r w:rsidRPr="000E1337">
              <w:rPr>
                <w:rFonts w:asciiTheme="majorBidi" w:eastAsia="Times New Roman" w:hAnsiTheme="majorBidi" w:cstheme="majorBidi"/>
                <w:sz w:val="20"/>
                <w:szCs w:val="20"/>
              </w:rPr>
              <w:t>C</w:t>
            </w:r>
            <w:r w:rsidR="00F45F7F" w:rsidRPr="000E1337">
              <w:rPr>
                <w:rFonts w:asciiTheme="majorBidi" w:eastAsia="Times New Roman" w:hAnsiTheme="majorBidi" w:cstheme="majorBidi"/>
                <w:sz w:val="20"/>
                <w:szCs w:val="20"/>
              </w:rPr>
              <w:t>L</w:t>
            </w:r>
            <w:r w:rsidR="00F45F7F" w:rsidRPr="000E1337">
              <w:rPr>
                <w:rFonts w:asciiTheme="majorBidi" w:eastAsia="Times New Roman" w:hAnsiTheme="majorBidi" w:cstheme="majorBidi"/>
                <w:sz w:val="20"/>
                <w:szCs w:val="20"/>
                <w:vertAlign w:val="subscript"/>
              </w:rPr>
              <w:t>int</w:t>
            </w:r>
            <w:proofErr w:type="spellEnd"/>
            <w:r w:rsidRPr="000E1337">
              <w:rPr>
                <w:rFonts w:asciiTheme="majorBidi" w:eastAsia="Times New Roman" w:hAnsiTheme="majorBidi" w:cstheme="majorBidi"/>
                <w:sz w:val="20"/>
                <w:szCs w:val="20"/>
              </w:rPr>
              <w:t xml:space="preserve"> (µL/min/</w:t>
            </w:r>
            <w:proofErr w:type="spellStart"/>
            <w:r w:rsidRPr="000E1337">
              <w:rPr>
                <w:rFonts w:asciiTheme="majorBidi" w:eastAsia="Times New Roman" w:hAnsiTheme="majorBidi" w:cstheme="majorBidi"/>
                <w:sz w:val="20"/>
                <w:szCs w:val="20"/>
              </w:rPr>
              <w:t>pmol</w:t>
            </w:r>
            <w:proofErr w:type="spellEnd"/>
            <w:r w:rsidRPr="000E1337">
              <w:rPr>
                <w:rFonts w:asciiTheme="majorBidi" w:eastAsia="Times New Roman" w:hAnsiTheme="majorBidi" w:cstheme="majorBidi"/>
                <w:sz w:val="20"/>
                <w:szCs w:val="20"/>
              </w:rPr>
              <w:t>)</w:t>
            </w:r>
          </w:p>
        </w:tc>
        <w:tc>
          <w:tcPr>
            <w:tcW w:w="0" w:type="dxa"/>
            <w:tcBorders>
              <w:top w:val="nil"/>
              <w:bottom w:val="nil"/>
            </w:tcBorders>
            <w:vAlign w:val="center"/>
            <w:hideMark/>
          </w:tcPr>
          <w:p w14:paraId="12F8F94F" w14:textId="1A8F3A7A"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0.86</w:t>
            </w:r>
          </w:p>
        </w:tc>
        <w:tc>
          <w:tcPr>
            <w:tcW w:w="0" w:type="dxa"/>
            <w:tcBorders>
              <w:top w:val="nil"/>
              <w:bottom w:val="nil"/>
            </w:tcBorders>
            <w:hideMark/>
          </w:tcPr>
          <w:p w14:paraId="74811A25" w14:textId="2838D2F8"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Retrograde calculation – assign 44.1% of </w:t>
            </w:r>
            <w:proofErr w:type="spellStart"/>
            <w:r w:rsidR="00F45F7F" w:rsidRPr="000E1337">
              <w:rPr>
                <w:rFonts w:asciiTheme="majorBidi" w:eastAsia="Times New Roman" w:hAnsiTheme="majorBidi" w:cstheme="majorBidi"/>
                <w:sz w:val="20"/>
                <w:szCs w:val="20"/>
              </w:rPr>
              <w:t>CL</w:t>
            </w:r>
            <w:r w:rsidR="00F45F7F" w:rsidRPr="000E1337">
              <w:rPr>
                <w:rFonts w:asciiTheme="majorBidi" w:eastAsia="Times New Roman" w:hAnsiTheme="majorBidi" w:cstheme="majorBidi"/>
                <w:sz w:val="20"/>
                <w:szCs w:val="20"/>
                <w:vertAlign w:val="subscript"/>
              </w:rPr>
              <w:t>h</w:t>
            </w:r>
            <w:proofErr w:type="spellEnd"/>
            <w:r w:rsidR="00C34CF4" w:rsidRPr="008A707E">
              <w:rPr>
                <w:rFonts w:asciiTheme="majorBidi" w:eastAsia="ＭＳ 明朝" w:hAnsiTheme="majorBidi" w:cstheme="majorBidi" w:hint="eastAsia"/>
                <w:sz w:val="20"/>
                <w:szCs w:val="20"/>
                <w:vertAlign w:val="superscript"/>
              </w:rPr>
              <w:t>†</w:t>
            </w:r>
          </w:p>
        </w:tc>
      </w:tr>
      <w:tr w:rsidR="00D00368" w:rsidRPr="000E1337" w14:paraId="6C9449DA" w14:textId="77777777" w:rsidTr="002343D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0" w:type="dxa"/>
            <w:vMerge/>
            <w:hideMark/>
          </w:tcPr>
          <w:p w14:paraId="621908FE" w14:textId="77777777" w:rsidR="00D00368" w:rsidRPr="000E1337" w:rsidRDefault="00D00368" w:rsidP="00D00368">
            <w:pPr>
              <w:jc w:val="center"/>
              <w:rPr>
                <w:rFonts w:asciiTheme="majorBidi" w:eastAsia="Times New Roman" w:hAnsiTheme="majorBidi" w:cstheme="majorBidi"/>
                <w:b w:val="0"/>
                <w:bCs w:val="0"/>
                <w:sz w:val="20"/>
                <w:szCs w:val="20"/>
              </w:rPr>
            </w:pPr>
          </w:p>
        </w:tc>
        <w:tc>
          <w:tcPr>
            <w:tcW w:w="0" w:type="dxa"/>
            <w:tcBorders>
              <w:top w:val="nil"/>
              <w:bottom w:val="nil"/>
            </w:tcBorders>
            <w:vAlign w:val="center"/>
            <w:hideMark/>
          </w:tcPr>
          <w:p w14:paraId="757AE837" w14:textId="6C836A15"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CYP3A5 </w:t>
            </w:r>
            <w:proofErr w:type="spellStart"/>
            <w:r w:rsidR="00F45F7F" w:rsidRPr="000E1337">
              <w:rPr>
                <w:rFonts w:asciiTheme="majorBidi" w:eastAsia="Times New Roman" w:hAnsiTheme="majorBidi" w:cstheme="majorBidi"/>
                <w:sz w:val="20"/>
                <w:szCs w:val="20"/>
              </w:rPr>
              <w:t>CL</w:t>
            </w:r>
            <w:r w:rsidR="00F45F7F" w:rsidRPr="000E1337">
              <w:rPr>
                <w:rFonts w:asciiTheme="majorBidi" w:eastAsia="Times New Roman" w:hAnsiTheme="majorBidi" w:cstheme="majorBidi"/>
                <w:sz w:val="20"/>
                <w:szCs w:val="20"/>
                <w:vertAlign w:val="subscript"/>
              </w:rPr>
              <w:t>int</w:t>
            </w:r>
            <w:proofErr w:type="spellEnd"/>
            <w:r w:rsidR="00F45F7F" w:rsidRPr="000E1337">
              <w:rPr>
                <w:rFonts w:asciiTheme="majorBidi" w:eastAsia="Times New Roman" w:hAnsiTheme="majorBidi" w:cstheme="majorBidi"/>
                <w:sz w:val="20"/>
                <w:szCs w:val="20"/>
              </w:rPr>
              <w:t xml:space="preserve"> </w:t>
            </w:r>
            <w:r w:rsidRPr="000E1337">
              <w:rPr>
                <w:rFonts w:asciiTheme="majorBidi" w:eastAsia="Times New Roman" w:hAnsiTheme="majorBidi" w:cstheme="majorBidi"/>
                <w:sz w:val="20"/>
                <w:szCs w:val="20"/>
              </w:rPr>
              <w:t>(µL/min/</w:t>
            </w:r>
            <w:proofErr w:type="spellStart"/>
            <w:r w:rsidRPr="000E1337">
              <w:rPr>
                <w:rFonts w:asciiTheme="majorBidi" w:eastAsia="Times New Roman" w:hAnsiTheme="majorBidi" w:cstheme="majorBidi"/>
                <w:sz w:val="20"/>
                <w:szCs w:val="20"/>
              </w:rPr>
              <w:t>pmol</w:t>
            </w:r>
            <w:proofErr w:type="spellEnd"/>
            <w:r w:rsidRPr="000E1337">
              <w:rPr>
                <w:rFonts w:asciiTheme="majorBidi" w:eastAsia="Times New Roman" w:hAnsiTheme="majorBidi" w:cstheme="majorBidi"/>
                <w:sz w:val="20"/>
                <w:szCs w:val="20"/>
              </w:rPr>
              <w:t>)</w:t>
            </w:r>
          </w:p>
        </w:tc>
        <w:tc>
          <w:tcPr>
            <w:tcW w:w="0" w:type="dxa"/>
            <w:tcBorders>
              <w:top w:val="nil"/>
              <w:bottom w:val="nil"/>
            </w:tcBorders>
            <w:vAlign w:val="center"/>
            <w:hideMark/>
          </w:tcPr>
          <w:p w14:paraId="072B6E0F" w14:textId="55768E5B"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0.5</w:t>
            </w:r>
            <w:r w:rsidR="00F45F7F" w:rsidRPr="000E1337">
              <w:rPr>
                <w:rFonts w:asciiTheme="majorBidi" w:eastAsia="Times New Roman" w:hAnsiTheme="majorBidi" w:cstheme="majorBidi"/>
                <w:sz w:val="20"/>
                <w:szCs w:val="20"/>
              </w:rPr>
              <w:t>5</w:t>
            </w:r>
          </w:p>
        </w:tc>
        <w:tc>
          <w:tcPr>
            <w:tcW w:w="0" w:type="dxa"/>
            <w:tcBorders>
              <w:top w:val="nil"/>
              <w:bottom w:val="nil"/>
            </w:tcBorders>
            <w:hideMark/>
          </w:tcPr>
          <w:p w14:paraId="2829F477" w14:textId="542928E5"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Retrograde calculation – assign 25.1% of </w:t>
            </w:r>
            <w:proofErr w:type="spellStart"/>
            <w:r w:rsidR="00F45F7F" w:rsidRPr="000E1337">
              <w:rPr>
                <w:rFonts w:asciiTheme="majorBidi" w:eastAsia="Times New Roman" w:hAnsiTheme="majorBidi" w:cstheme="majorBidi"/>
                <w:sz w:val="20"/>
                <w:szCs w:val="20"/>
              </w:rPr>
              <w:t>CL</w:t>
            </w:r>
            <w:r w:rsidR="00F45F7F" w:rsidRPr="000E1337">
              <w:rPr>
                <w:rFonts w:asciiTheme="majorBidi" w:eastAsia="Times New Roman" w:hAnsiTheme="majorBidi" w:cstheme="majorBidi"/>
                <w:sz w:val="20"/>
                <w:szCs w:val="20"/>
                <w:vertAlign w:val="subscript"/>
              </w:rPr>
              <w:t>h</w:t>
            </w:r>
            <w:proofErr w:type="spellEnd"/>
            <w:r w:rsidR="00C34CF4" w:rsidRPr="008A707E">
              <w:rPr>
                <w:rFonts w:asciiTheme="majorBidi" w:eastAsia="ＭＳ 明朝" w:hAnsiTheme="majorBidi" w:cstheme="majorBidi"/>
                <w:sz w:val="20"/>
                <w:szCs w:val="20"/>
                <w:vertAlign w:val="superscript"/>
              </w:rPr>
              <w:t>†</w:t>
            </w:r>
          </w:p>
        </w:tc>
      </w:tr>
      <w:tr w:rsidR="00D00368" w:rsidRPr="000E1337" w14:paraId="1219FF20" w14:textId="77777777" w:rsidTr="002343D9">
        <w:trPr>
          <w:trHeight w:val="267"/>
        </w:trPr>
        <w:tc>
          <w:tcPr>
            <w:cnfStyle w:val="001000000000" w:firstRow="0" w:lastRow="0" w:firstColumn="1" w:lastColumn="0" w:oddVBand="0" w:evenVBand="0" w:oddHBand="0" w:evenHBand="0" w:firstRowFirstColumn="0" w:firstRowLastColumn="0" w:lastRowFirstColumn="0" w:lastRowLastColumn="0"/>
            <w:tcW w:w="0" w:type="dxa"/>
            <w:vMerge/>
          </w:tcPr>
          <w:p w14:paraId="0FE21B1F" w14:textId="77777777" w:rsidR="00D00368" w:rsidRPr="000E1337" w:rsidRDefault="00D00368" w:rsidP="00D00368">
            <w:pPr>
              <w:jc w:val="center"/>
              <w:rPr>
                <w:rFonts w:asciiTheme="majorBidi" w:eastAsia="Times New Roman" w:hAnsiTheme="majorBidi" w:cstheme="majorBidi"/>
                <w:b w:val="0"/>
                <w:bCs w:val="0"/>
                <w:sz w:val="20"/>
                <w:szCs w:val="20"/>
              </w:rPr>
            </w:pPr>
          </w:p>
        </w:tc>
        <w:tc>
          <w:tcPr>
            <w:tcW w:w="0" w:type="dxa"/>
            <w:tcBorders>
              <w:top w:val="nil"/>
              <w:bottom w:val="nil"/>
            </w:tcBorders>
            <w:vAlign w:val="center"/>
          </w:tcPr>
          <w:p w14:paraId="70372F87" w14:textId="0889951A"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CYP3A7 </w:t>
            </w:r>
            <w:proofErr w:type="spellStart"/>
            <w:r w:rsidR="00F45F7F" w:rsidRPr="000E1337">
              <w:rPr>
                <w:rFonts w:asciiTheme="majorBidi" w:eastAsia="Times New Roman" w:hAnsiTheme="majorBidi" w:cstheme="majorBidi"/>
                <w:sz w:val="20"/>
                <w:szCs w:val="20"/>
              </w:rPr>
              <w:t>CL</w:t>
            </w:r>
            <w:r w:rsidR="00F45F7F" w:rsidRPr="000E1337">
              <w:rPr>
                <w:rFonts w:asciiTheme="majorBidi" w:eastAsia="Times New Roman" w:hAnsiTheme="majorBidi" w:cstheme="majorBidi"/>
                <w:sz w:val="20"/>
                <w:szCs w:val="20"/>
                <w:vertAlign w:val="subscript"/>
              </w:rPr>
              <w:t>int</w:t>
            </w:r>
            <w:proofErr w:type="spellEnd"/>
            <w:r w:rsidR="00F45F7F" w:rsidRPr="000E1337">
              <w:rPr>
                <w:rFonts w:asciiTheme="majorBidi" w:eastAsia="Times New Roman" w:hAnsiTheme="majorBidi" w:cstheme="majorBidi"/>
                <w:sz w:val="20"/>
                <w:szCs w:val="20"/>
              </w:rPr>
              <w:t xml:space="preserve"> </w:t>
            </w:r>
            <w:r w:rsidRPr="000E1337">
              <w:rPr>
                <w:rFonts w:asciiTheme="majorBidi" w:eastAsia="Times New Roman" w:hAnsiTheme="majorBidi" w:cstheme="majorBidi"/>
                <w:sz w:val="20"/>
                <w:szCs w:val="20"/>
              </w:rPr>
              <w:t>(µL/min/</w:t>
            </w:r>
            <w:proofErr w:type="spellStart"/>
            <w:r w:rsidRPr="000E1337">
              <w:rPr>
                <w:rFonts w:asciiTheme="majorBidi" w:eastAsia="Times New Roman" w:hAnsiTheme="majorBidi" w:cstheme="majorBidi"/>
                <w:sz w:val="20"/>
                <w:szCs w:val="20"/>
              </w:rPr>
              <w:t>pmol</w:t>
            </w:r>
            <w:proofErr w:type="spellEnd"/>
            <w:r w:rsidRPr="000E1337">
              <w:rPr>
                <w:rFonts w:asciiTheme="majorBidi" w:eastAsia="Times New Roman" w:hAnsiTheme="majorBidi" w:cstheme="majorBidi"/>
                <w:sz w:val="20"/>
                <w:szCs w:val="20"/>
              </w:rPr>
              <w:t>)</w:t>
            </w:r>
          </w:p>
        </w:tc>
        <w:tc>
          <w:tcPr>
            <w:tcW w:w="0" w:type="dxa"/>
            <w:tcBorders>
              <w:top w:val="nil"/>
              <w:bottom w:val="nil"/>
            </w:tcBorders>
            <w:vAlign w:val="center"/>
          </w:tcPr>
          <w:p w14:paraId="102741E3" w14:textId="33A417DE"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hAnsiTheme="majorBidi" w:cstheme="majorBidi"/>
                <w:sz w:val="20"/>
                <w:szCs w:val="20"/>
              </w:rPr>
              <w:t>0.0</w:t>
            </w:r>
            <w:r w:rsidR="00F45F7F" w:rsidRPr="000E1337">
              <w:rPr>
                <w:rFonts w:asciiTheme="majorBidi" w:hAnsiTheme="majorBidi" w:cstheme="majorBidi"/>
                <w:sz w:val="20"/>
                <w:szCs w:val="20"/>
              </w:rPr>
              <w:t>2</w:t>
            </w:r>
          </w:p>
        </w:tc>
        <w:tc>
          <w:tcPr>
            <w:tcW w:w="0" w:type="dxa"/>
            <w:tcBorders>
              <w:top w:val="nil"/>
              <w:bottom w:val="nil"/>
            </w:tcBorders>
          </w:tcPr>
          <w:p w14:paraId="4D174E0C" w14:textId="3E1CC516" w:rsidR="00D00368" w:rsidRPr="000E1337" w:rsidRDefault="00D00368" w:rsidP="00D7776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After prior study, using Baculovirus </w:t>
            </w:r>
            <w:proofErr w:type="spellStart"/>
            <w:r w:rsidRPr="000E1337">
              <w:rPr>
                <w:rFonts w:asciiTheme="majorBidi" w:eastAsia="Times New Roman" w:hAnsiTheme="majorBidi" w:cstheme="majorBidi"/>
                <w:sz w:val="20"/>
                <w:szCs w:val="20"/>
              </w:rPr>
              <w:t>rCYP</w:t>
            </w:r>
            <w:proofErr w:type="spellEnd"/>
            <w:r w:rsidRPr="000E1337">
              <w:rPr>
                <w:rFonts w:asciiTheme="majorBidi" w:eastAsia="Times New Roman" w:hAnsiTheme="majorBidi" w:cstheme="majorBidi"/>
                <w:sz w:val="20"/>
                <w:szCs w:val="20"/>
              </w:rPr>
              <w:t xml:space="preserve"> system </w:t>
            </w:r>
            <w:r w:rsidR="00025C6A"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{"citationID":"5yONWK21","properties":{"formattedCitation":"[8]","plainCitation":"[8]","noteIndex":0},"citationItems":[{"id":"NzKo45Wf/H3zu0vS3","uris":["http://zotero.org/users/6482121/items/ECAIE5A8"],"itemData":{"id":2578,"type":"article-journal","abstract":"Fentanyl is an opioid analgesic used to treat obstetrical pain in parturient women through epidural or intravenous route, and unfortunately can also be abused by pregnant women. Fentanyl is known to cross the placental barrier, but how the route of administration and time after dosing affects maternal-fetal disposition kinetics at different stages of pregnancy is not well characterized. To address this knowledge gap, we developed a maternal-fetal physiologically based pharmacokinetic (mf-PBPK) model for fentanyl to evaluate the feasibility to predict the maternal and fetal plasma concentration-time profiles of fentanyl after various dosing regimens. As fentanyl is typically given via the epidural route to control labor pain, an epidural dosing site was developed using alfentanil as a reference drug and extrapolated to fentanyl. Fetal hepatic clearance of fentanyl was predicted from CYP3A7-mediated norfentanyl formation in fetal liver microsomes (intrinsic clearance = 0.20 ± 0.05 µl/min/mg protein). The developed mf-PBPK model successfully captured fentanyl maternal and umbilical cord concentrations after epidural dosing and was used to simulate the concentrations after intravenous dosing (in a drug abuse situation). The distribution kinetics of fentanyl were found to have a considerable impact on the time course of maternal:umbilical cord concentration ratio and on interpretation of observed data. The data show that mf-PBPK modeling can be used successfully to predict maternal disposition, transplacental distribution, and fetal exposure to fentanyl. SIGNIFICANCE STATEMENT: This study establishes the modeling framework for predicting the time course of maternal and fetal exposures of fentanyl opioids from mf-PBPK modeling. The model was validated based on fentanyl exposure data collected during labor and delivery after intravenous or epidural dosing. The results show that mf-PBPK modeling is a useful predictive tool for assessing fetal exposures to fentanyl opioid therapeutic regimens and potentially can be extended to other drugs of abuse.","container-title":"Drug Metabolism and Disposition: The Biological Fate of Chemicals","DOI":"10.1124/dmd.121.000612","ISSN":"1521-009X","issue":"11","journalAbbreviation":"Drug Metab Dispos","language":"eng","note":"PMID: 34407992","page":"1003-1015","source":"PubMed","title":"Predicting Maternal-Fetal Disposition of Fentanyl Following Intravenous and Epidural Administration Using Physiologically Based Pharmacokinetic Modeling","volume":"49","author":[{"family":"Shum","given":"Sara"},{"family":"Shen","given":"Danny D."},{"family":"Isoherranen","given":"Nina"}],"issued":{"date-parts":[["2021",11]]}}}],"schema":"https://github.com/citation-style-language/schema/raw/master/csl-citation.json"} </w:instrText>
            </w:r>
            <w:r w:rsidR="00025C6A" w:rsidRPr="000E1337">
              <w:rPr>
                <w:rFonts w:asciiTheme="majorBidi" w:hAnsiTheme="majorBidi" w:cstheme="majorBidi"/>
                <w:sz w:val="20"/>
                <w:szCs w:val="20"/>
              </w:rPr>
              <w:fldChar w:fldCharType="separate"/>
            </w:r>
            <w:r w:rsidR="00D77762" w:rsidRPr="008A707E">
              <w:rPr>
                <w:rFonts w:asciiTheme="majorBidi" w:hAnsiTheme="majorBidi" w:cstheme="majorBidi"/>
                <w:sz w:val="20"/>
              </w:rPr>
              <w:t>[8]</w:t>
            </w:r>
            <w:r w:rsidR="00025C6A" w:rsidRPr="000E1337">
              <w:rPr>
                <w:rFonts w:asciiTheme="majorBidi" w:hAnsiTheme="majorBidi" w:cstheme="majorBidi"/>
                <w:sz w:val="20"/>
                <w:szCs w:val="20"/>
              </w:rPr>
              <w:fldChar w:fldCharType="end"/>
            </w:r>
          </w:p>
        </w:tc>
      </w:tr>
      <w:tr w:rsidR="00D00368" w:rsidRPr="000E1337" w14:paraId="466488BA" w14:textId="77777777" w:rsidTr="002343D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vAlign w:val="center"/>
            <w:hideMark/>
          </w:tcPr>
          <w:p w14:paraId="0A5D1D29" w14:textId="1277BB32"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 xml:space="preserve">Additional </w:t>
            </w:r>
            <w:r w:rsidR="00F45F7F" w:rsidRPr="000E1337">
              <w:rPr>
                <w:rFonts w:asciiTheme="majorBidi" w:eastAsia="Times New Roman" w:hAnsiTheme="majorBidi" w:cstheme="majorBidi"/>
                <w:sz w:val="20"/>
                <w:szCs w:val="20"/>
              </w:rPr>
              <w:t xml:space="preserve">HLM </w:t>
            </w:r>
            <w:proofErr w:type="spellStart"/>
            <w:r w:rsidR="00F45F7F" w:rsidRPr="000E1337">
              <w:rPr>
                <w:rFonts w:asciiTheme="majorBidi" w:eastAsia="Times New Roman" w:hAnsiTheme="majorBidi" w:cstheme="majorBidi"/>
                <w:sz w:val="20"/>
                <w:szCs w:val="20"/>
              </w:rPr>
              <w:t>CL</w:t>
            </w:r>
            <w:r w:rsidR="00F45F7F" w:rsidRPr="000E1337">
              <w:rPr>
                <w:rFonts w:asciiTheme="majorBidi" w:eastAsia="Times New Roman" w:hAnsiTheme="majorBidi" w:cstheme="majorBidi"/>
                <w:sz w:val="20"/>
                <w:szCs w:val="20"/>
                <w:vertAlign w:val="subscript"/>
              </w:rPr>
              <w:t>int</w:t>
            </w:r>
            <w:proofErr w:type="spellEnd"/>
            <w:r w:rsidRPr="000E1337">
              <w:rPr>
                <w:rFonts w:asciiTheme="majorBidi" w:eastAsia="Times New Roman" w:hAnsiTheme="majorBidi" w:cstheme="majorBidi"/>
                <w:sz w:val="20"/>
                <w:szCs w:val="20"/>
              </w:rPr>
              <w:t xml:space="preserve"> (µL/min/mg)</w:t>
            </w:r>
          </w:p>
        </w:tc>
        <w:tc>
          <w:tcPr>
            <w:tcW w:w="0" w:type="dxa"/>
            <w:tcBorders>
              <w:top w:val="nil"/>
              <w:bottom w:val="nil"/>
            </w:tcBorders>
            <w:vAlign w:val="center"/>
            <w:hideMark/>
          </w:tcPr>
          <w:p w14:paraId="313459A7" w14:textId="77777777"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73.75</w:t>
            </w:r>
          </w:p>
        </w:tc>
        <w:tc>
          <w:tcPr>
            <w:tcW w:w="0" w:type="dxa"/>
            <w:tcBorders>
              <w:top w:val="nil"/>
              <w:bottom w:val="nil"/>
            </w:tcBorders>
            <w:hideMark/>
          </w:tcPr>
          <w:p w14:paraId="40603881" w14:textId="3CB10FCB"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Retrograde calculation – assign 30.8% of </w:t>
            </w:r>
            <w:proofErr w:type="spellStart"/>
            <w:r w:rsidRPr="000E1337">
              <w:rPr>
                <w:rFonts w:asciiTheme="majorBidi" w:eastAsia="Times New Roman" w:hAnsiTheme="majorBidi" w:cstheme="majorBidi"/>
                <w:sz w:val="20"/>
                <w:szCs w:val="20"/>
              </w:rPr>
              <w:t>C</w:t>
            </w:r>
            <w:r w:rsidR="00F45F7F" w:rsidRPr="000E1337">
              <w:rPr>
                <w:rFonts w:asciiTheme="majorBidi" w:eastAsia="Times New Roman" w:hAnsiTheme="majorBidi" w:cstheme="majorBidi"/>
                <w:sz w:val="20"/>
                <w:szCs w:val="20"/>
              </w:rPr>
              <w:t>L</w:t>
            </w:r>
            <w:r w:rsidR="00F45F7F" w:rsidRPr="000E1337">
              <w:rPr>
                <w:rFonts w:asciiTheme="majorBidi" w:eastAsia="Times New Roman" w:hAnsiTheme="majorBidi" w:cstheme="majorBidi"/>
                <w:sz w:val="20"/>
                <w:szCs w:val="20"/>
                <w:vertAlign w:val="subscript"/>
              </w:rPr>
              <w:t>h</w:t>
            </w:r>
            <w:proofErr w:type="spellEnd"/>
            <w:r w:rsidR="00C34CF4" w:rsidRPr="008A707E">
              <w:rPr>
                <w:rFonts w:asciiTheme="majorBidi" w:eastAsia="ＭＳ 明朝" w:hAnsiTheme="majorBidi" w:cstheme="majorBidi"/>
                <w:sz w:val="20"/>
                <w:szCs w:val="20"/>
                <w:vertAlign w:val="superscript"/>
              </w:rPr>
              <w:t>†</w:t>
            </w:r>
          </w:p>
        </w:tc>
      </w:tr>
      <w:tr w:rsidR="00D00368" w:rsidRPr="000E1337" w14:paraId="4E0F6AB0" w14:textId="77777777" w:rsidTr="002343D9">
        <w:trPr>
          <w:trHeight w:val="58"/>
        </w:trPr>
        <w:tc>
          <w:tcPr>
            <w:cnfStyle w:val="001000000000" w:firstRow="0" w:lastRow="0" w:firstColumn="1" w:lastColumn="0" w:oddVBand="0" w:evenVBand="0" w:oddHBand="0" w:evenHBand="0" w:firstRowFirstColumn="0" w:firstRowLastColumn="0" w:lastRowFirstColumn="0" w:lastRowLastColumn="0"/>
            <w:tcW w:w="0" w:type="dxa"/>
            <w:gridSpan w:val="2"/>
            <w:tcBorders>
              <w:top w:val="nil"/>
              <w:bottom w:val="nil"/>
            </w:tcBorders>
            <w:vAlign w:val="center"/>
            <w:hideMark/>
          </w:tcPr>
          <w:p w14:paraId="19DE1593" w14:textId="1EE261B8" w:rsidR="00D00368" w:rsidRPr="000E1337" w:rsidRDefault="00D00368" w:rsidP="00D00368">
            <w:pPr>
              <w:jc w:val="center"/>
              <w:rPr>
                <w:rFonts w:asciiTheme="majorBidi" w:eastAsia="Times New Roman" w:hAnsiTheme="majorBidi" w:cstheme="majorBidi"/>
                <w:b w:val="0"/>
                <w:bCs w:val="0"/>
                <w:sz w:val="20"/>
                <w:szCs w:val="20"/>
              </w:rPr>
            </w:pPr>
            <w:proofErr w:type="spellStart"/>
            <w:r w:rsidRPr="000E1337">
              <w:rPr>
                <w:rFonts w:asciiTheme="majorBidi" w:eastAsia="Times New Roman" w:hAnsiTheme="majorBidi" w:cstheme="majorBidi"/>
                <w:sz w:val="20"/>
                <w:szCs w:val="20"/>
              </w:rPr>
              <w:t>C</w:t>
            </w:r>
            <w:r w:rsidR="00F45F7F" w:rsidRPr="000E1337">
              <w:rPr>
                <w:rFonts w:asciiTheme="majorBidi" w:eastAsia="Times New Roman" w:hAnsiTheme="majorBidi" w:cstheme="majorBidi"/>
                <w:sz w:val="20"/>
                <w:szCs w:val="20"/>
              </w:rPr>
              <w:t>L</w:t>
            </w:r>
            <w:r w:rsidR="00F45F7F" w:rsidRPr="000E1337">
              <w:rPr>
                <w:rFonts w:asciiTheme="majorBidi" w:eastAsia="Times New Roman" w:hAnsiTheme="majorBidi" w:cstheme="majorBidi"/>
                <w:sz w:val="20"/>
                <w:szCs w:val="20"/>
                <w:vertAlign w:val="subscript"/>
              </w:rPr>
              <w:t>r</w:t>
            </w:r>
            <w:proofErr w:type="spellEnd"/>
            <w:r w:rsidRPr="000E1337">
              <w:rPr>
                <w:rFonts w:asciiTheme="majorBidi" w:eastAsia="Times New Roman" w:hAnsiTheme="majorBidi" w:cstheme="majorBidi"/>
                <w:sz w:val="20"/>
                <w:szCs w:val="20"/>
                <w:vertAlign w:val="subscript"/>
              </w:rPr>
              <w:t xml:space="preserve"> </w:t>
            </w:r>
            <w:r w:rsidRPr="000E1337">
              <w:rPr>
                <w:rFonts w:asciiTheme="majorBidi" w:eastAsia="Times New Roman" w:hAnsiTheme="majorBidi" w:cstheme="majorBidi"/>
                <w:sz w:val="20"/>
                <w:szCs w:val="20"/>
              </w:rPr>
              <w:t>(L/h)</w:t>
            </w:r>
          </w:p>
        </w:tc>
        <w:tc>
          <w:tcPr>
            <w:tcW w:w="0" w:type="dxa"/>
            <w:tcBorders>
              <w:top w:val="nil"/>
              <w:bottom w:val="nil"/>
            </w:tcBorders>
            <w:vAlign w:val="center"/>
            <w:hideMark/>
          </w:tcPr>
          <w:p w14:paraId="77EE5F3F" w14:textId="77777777" w:rsidR="00D00368" w:rsidRPr="000E1337" w:rsidRDefault="00D00368" w:rsidP="00D00368">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4.04</w:t>
            </w:r>
          </w:p>
        </w:tc>
        <w:tc>
          <w:tcPr>
            <w:tcW w:w="0" w:type="dxa"/>
            <w:tcBorders>
              <w:top w:val="nil"/>
              <w:bottom w:val="nil"/>
            </w:tcBorders>
            <w:hideMark/>
          </w:tcPr>
          <w:p w14:paraId="0EC8F298" w14:textId="1114354E" w:rsidR="00D00368" w:rsidRPr="000E1337" w:rsidRDefault="00D00368" w:rsidP="00D77762">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 xml:space="preserve">Mean value observed after the administration of </w:t>
            </w:r>
            <w:r w:rsidR="004F440D" w:rsidRPr="000E1337">
              <w:rPr>
                <w:rFonts w:asciiTheme="majorBidi" w:eastAsia="Times New Roman" w:hAnsiTheme="majorBidi" w:cstheme="majorBidi"/>
                <w:sz w:val="20"/>
                <w:szCs w:val="20"/>
              </w:rPr>
              <w:t>6.4</w:t>
            </w:r>
            <w:r w:rsidRPr="000E1337">
              <w:rPr>
                <w:rFonts w:asciiTheme="majorBidi" w:eastAsia="Times New Roman" w:hAnsiTheme="majorBidi" w:cstheme="majorBidi"/>
                <w:sz w:val="20"/>
                <w:szCs w:val="20"/>
              </w:rPr>
              <w:t xml:space="preserve"> </w:t>
            </w:r>
            <w:r w:rsidR="00F45F7F" w:rsidRPr="000E1337">
              <w:rPr>
                <w:rFonts w:asciiTheme="majorBidi" w:eastAsia="Times New Roman" w:hAnsiTheme="majorBidi" w:cstheme="majorBidi"/>
                <w:sz w:val="20"/>
                <w:szCs w:val="20"/>
              </w:rPr>
              <w:t>µ</w:t>
            </w:r>
            <w:r w:rsidRPr="000E1337">
              <w:rPr>
                <w:rFonts w:asciiTheme="majorBidi" w:eastAsia="Times New Roman" w:hAnsiTheme="majorBidi" w:cstheme="majorBidi"/>
                <w:sz w:val="20"/>
                <w:szCs w:val="20"/>
              </w:rPr>
              <w:t>g/kg</w:t>
            </w:r>
            <w:r w:rsidRPr="000E1337">
              <w:rPr>
                <w:rFonts w:asciiTheme="majorBidi" w:hAnsiTheme="majorBidi" w:cstheme="majorBidi"/>
                <w:sz w:val="20"/>
                <w:szCs w:val="20"/>
              </w:rPr>
              <w:t xml:space="preserve"> </w:t>
            </w:r>
            <w:r w:rsidR="004229FA">
              <w:rPr>
                <w:rFonts w:asciiTheme="majorBidi" w:hAnsiTheme="majorBidi" w:cstheme="majorBidi"/>
                <w:sz w:val="20"/>
                <w:szCs w:val="20"/>
              </w:rPr>
              <w:t>iv</w:t>
            </w:r>
            <w:r w:rsidRPr="000E1337">
              <w:rPr>
                <w:rFonts w:asciiTheme="majorBidi" w:hAnsiTheme="majorBidi" w:cstheme="majorBidi"/>
                <w:sz w:val="20"/>
                <w:szCs w:val="20"/>
              </w:rPr>
              <w:t xml:space="preserve"> bolus of fentanyl to Caucasian </w:t>
            </w:r>
            <w:r w:rsidRPr="000E1337">
              <w:rPr>
                <w:rFonts w:asciiTheme="majorBidi" w:eastAsia="Times New Roman" w:hAnsiTheme="majorBidi" w:cstheme="majorBidi"/>
                <w:sz w:val="20"/>
                <w:szCs w:val="20"/>
              </w:rPr>
              <w:t xml:space="preserve">healthy volunteers </w:t>
            </w:r>
            <w:r w:rsidR="00025C6A"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{"citationID":"a19t523us3l","properties":{"formattedCitation":"[9]","plainCitation":"[9]","noteIndex":0},"citationItems":[{"id":48,"uris":["http://zotero.org/users/local/J5Cy8xXX/items/TSUTU6SB"],"itemData":{"id":48,"type":"article-journal","abstract":"Fentanyl is considered to be a short-acting narcotic analgesic but prolonged and recurrent ventilatory depression has been reported. We examined fentanyl kinetics and excretion in 7 healthy male subjects who were given a 3.2- or 6.4-micrograms/kg dose of 3H-fentanyl intravenously. Arterial blood and urine samples were analyzed for unchanged fentanyl and total radioactivity. Fentanyl concentrations fell rapidly and 98.6% of the dose was eliminated from plasma in 60 min but the terminal elimination phase of fentanyl from the body was slow (t1/2 beta = 219 min) due to the slow return of the unchanged drug from a peripheral compartment to the central compartment where elimination occurred primarily by biotransformation. Eighty-five percent of the dose was recovered in urine and feces in 72 hr; less than 8% was recovered as unchanged fentanyl. There were fluctuations in plasma fentanyl levels during the elimination phase in all cases. The long t1/2 beta and fluctuations in plasma levels may contribute to prolonged and recurrent ventilatory effects of fentanyl.","container-title":"Clinical Pharmacology and Therapeutics","DOI":"10.1038/clpt.1980.138","ISSN":"0009-9236","issue":"1","journalAbbreviation":"Clin Pharmacol Ther","language":"eng","note":"PMID: 7389247","page":"106-114","source":"PubMed","title":"Intravenous fentanyl kinetics","volume":"28","author":[{"family":"McClain","given":"D. A."},{"family":"Hug","given":"C. C."}],"issued":{"date-parts":[["1980",7]]}}}],"schema":"https://github.com/citation-style-language/schema/raw/master/csl-citation.json"} </w:instrText>
            </w:r>
            <w:r w:rsidR="00025C6A" w:rsidRPr="000E1337">
              <w:rPr>
                <w:rFonts w:asciiTheme="majorBidi" w:hAnsiTheme="majorBidi" w:cstheme="majorBidi"/>
                <w:sz w:val="20"/>
                <w:szCs w:val="20"/>
              </w:rPr>
              <w:fldChar w:fldCharType="separate"/>
            </w:r>
            <w:r w:rsidR="00D77762" w:rsidRPr="008A707E">
              <w:rPr>
                <w:rFonts w:asciiTheme="majorBidi" w:hAnsiTheme="majorBidi" w:cstheme="majorBidi"/>
                <w:sz w:val="20"/>
              </w:rPr>
              <w:t>[9]</w:t>
            </w:r>
            <w:r w:rsidR="00025C6A" w:rsidRPr="000E1337">
              <w:rPr>
                <w:rFonts w:asciiTheme="majorBidi" w:hAnsiTheme="majorBidi" w:cstheme="majorBidi"/>
                <w:sz w:val="20"/>
                <w:szCs w:val="20"/>
              </w:rPr>
              <w:fldChar w:fldCharType="end"/>
            </w:r>
          </w:p>
        </w:tc>
      </w:tr>
      <w:tr w:rsidR="00D00368" w:rsidRPr="000E1337" w14:paraId="41B4534C" w14:textId="77777777" w:rsidTr="002343D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0" w:type="dxa"/>
            <w:gridSpan w:val="3"/>
            <w:tcBorders>
              <w:top w:val="nil"/>
              <w:bottom w:val="single" w:sz="12" w:space="0" w:color="auto"/>
            </w:tcBorders>
            <w:hideMark/>
          </w:tcPr>
          <w:p w14:paraId="407CC7FD" w14:textId="77777777" w:rsidR="00D00368" w:rsidRPr="000E1337" w:rsidRDefault="00D00368" w:rsidP="00D00368">
            <w:pPr>
              <w:jc w:val="center"/>
              <w:rPr>
                <w:rFonts w:asciiTheme="majorBidi" w:eastAsia="Times New Roman" w:hAnsiTheme="majorBidi" w:cstheme="majorBidi"/>
                <w:b w:val="0"/>
                <w:bCs w:val="0"/>
                <w:sz w:val="20"/>
                <w:szCs w:val="20"/>
              </w:rPr>
            </w:pPr>
            <w:r w:rsidRPr="000E1337">
              <w:rPr>
                <w:rFonts w:asciiTheme="majorBidi" w:eastAsia="Times New Roman" w:hAnsiTheme="majorBidi" w:cstheme="majorBidi"/>
                <w:sz w:val="20"/>
                <w:szCs w:val="20"/>
              </w:rPr>
              <w:t>Model setup</w:t>
            </w:r>
          </w:p>
        </w:tc>
        <w:tc>
          <w:tcPr>
            <w:tcW w:w="0" w:type="dxa"/>
            <w:tcBorders>
              <w:top w:val="nil"/>
              <w:bottom w:val="single" w:sz="12" w:space="0" w:color="auto"/>
            </w:tcBorders>
            <w:hideMark/>
          </w:tcPr>
          <w:p w14:paraId="0E111DE3" w14:textId="77777777" w:rsidR="00D00368" w:rsidRPr="000E1337" w:rsidRDefault="00D00368" w:rsidP="00D00368">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rPr>
            </w:pPr>
            <w:r w:rsidRPr="000E1337">
              <w:rPr>
                <w:rFonts w:asciiTheme="majorBidi" w:eastAsia="Times New Roman" w:hAnsiTheme="majorBidi" w:cstheme="majorBidi"/>
                <w:sz w:val="20"/>
                <w:szCs w:val="20"/>
              </w:rPr>
              <w:t>Small molecule</w:t>
            </w:r>
          </w:p>
        </w:tc>
      </w:tr>
    </w:tbl>
    <w:p w14:paraId="449BDE90" w14:textId="1FE4EC45" w:rsidR="005637BF" w:rsidRPr="000E1337" w:rsidRDefault="0023424E" w:rsidP="002406BD">
      <w:pPr>
        <w:spacing w:after="0" w:line="240" w:lineRule="auto"/>
        <w:rPr>
          <w:rFonts w:asciiTheme="majorBidi" w:hAnsiTheme="majorBidi" w:cstheme="majorBidi"/>
          <w:i/>
          <w:iCs/>
          <w:sz w:val="20"/>
          <w:szCs w:val="20"/>
        </w:rPr>
      </w:pPr>
      <w:r w:rsidRPr="000E1337">
        <w:rPr>
          <w:rFonts w:asciiTheme="majorBidi" w:hAnsiTheme="majorBidi" w:cstheme="majorBidi"/>
          <w:i/>
          <w:iCs/>
          <w:sz w:val="20"/>
          <w:szCs w:val="20"/>
        </w:rPr>
        <w:t xml:space="preserve">Log </w:t>
      </w:r>
      <w:proofErr w:type="spellStart"/>
      <w:r w:rsidRPr="000E1337">
        <w:rPr>
          <w:rFonts w:asciiTheme="majorBidi" w:hAnsiTheme="majorBidi" w:cstheme="majorBidi"/>
          <w:i/>
          <w:iCs/>
          <w:sz w:val="20"/>
          <w:szCs w:val="20"/>
        </w:rPr>
        <w:t>Po:w</w:t>
      </w:r>
      <w:proofErr w:type="spellEnd"/>
      <w:r w:rsidRPr="000E1337">
        <w:rPr>
          <w:rFonts w:asciiTheme="majorBidi" w:hAnsiTheme="majorBidi" w:cstheme="majorBidi"/>
          <w:i/>
          <w:iCs/>
          <w:sz w:val="20"/>
          <w:szCs w:val="20"/>
        </w:rPr>
        <w:t>: log of the octanol-water partition coefficient</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bookmarkStart w:id="4" w:name="_Hlk107505598"/>
      <w:r w:rsidRPr="000E1337">
        <w:rPr>
          <w:rFonts w:asciiTheme="majorBidi" w:hAnsiTheme="majorBidi" w:cstheme="majorBidi"/>
          <w:i/>
          <w:iCs/>
          <w:sz w:val="20"/>
          <w:szCs w:val="20"/>
        </w:rPr>
        <w:t>B/P ratio: blood/plasma concentration ratio</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bookmarkEnd w:id="4"/>
      <w:r w:rsidR="008D58F4" w:rsidRPr="000E1337">
        <w:rPr>
          <w:rFonts w:asciiTheme="majorBidi" w:hAnsiTheme="majorBidi" w:cstheme="majorBidi"/>
          <w:i/>
          <w:iCs/>
          <w:sz w:val="20"/>
          <w:szCs w:val="20"/>
        </w:rPr>
        <w:t>f</w:t>
      </w:r>
      <w:r w:rsidRPr="004229FA">
        <w:rPr>
          <w:rFonts w:asciiTheme="majorBidi" w:hAnsiTheme="majorBidi" w:cstheme="majorBidi"/>
          <w:i/>
          <w:iCs/>
          <w:sz w:val="20"/>
          <w:szCs w:val="20"/>
          <w:vertAlign w:val="subscript"/>
        </w:rPr>
        <w:t>u</w:t>
      </w:r>
      <w:r w:rsidRPr="000E1337">
        <w:rPr>
          <w:rFonts w:asciiTheme="majorBidi" w:hAnsiTheme="majorBidi" w:cstheme="majorBidi"/>
          <w:i/>
          <w:iCs/>
          <w:sz w:val="20"/>
          <w:szCs w:val="20"/>
        </w:rPr>
        <w:t>: the unbound fraction of drugs in plasma</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proofErr w:type="spellStart"/>
      <w:r w:rsidRPr="000E1337">
        <w:rPr>
          <w:rFonts w:asciiTheme="majorBidi" w:hAnsiTheme="majorBidi" w:cstheme="majorBidi"/>
          <w:i/>
          <w:iCs/>
          <w:sz w:val="20"/>
          <w:szCs w:val="20"/>
        </w:rPr>
        <w:t>Vd</w:t>
      </w:r>
      <w:r w:rsidRPr="004229FA">
        <w:rPr>
          <w:rFonts w:asciiTheme="majorBidi" w:hAnsiTheme="majorBidi" w:cstheme="majorBidi"/>
          <w:i/>
          <w:iCs/>
          <w:sz w:val="20"/>
          <w:szCs w:val="20"/>
          <w:vertAlign w:val="subscript"/>
        </w:rPr>
        <w:t>ss</w:t>
      </w:r>
      <w:proofErr w:type="spellEnd"/>
      <w:r w:rsidRPr="000E1337">
        <w:rPr>
          <w:rFonts w:asciiTheme="majorBidi" w:hAnsiTheme="majorBidi" w:cstheme="majorBidi"/>
          <w:i/>
          <w:iCs/>
          <w:sz w:val="20"/>
          <w:szCs w:val="20"/>
        </w:rPr>
        <w:t>: volume at steady state</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proofErr w:type="spellStart"/>
      <w:r w:rsidRPr="000E1337">
        <w:rPr>
          <w:rFonts w:asciiTheme="majorBidi" w:hAnsiTheme="majorBidi" w:cstheme="majorBidi"/>
          <w:i/>
          <w:iCs/>
          <w:sz w:val="20"/>
          <w:szCs w:val="20"/>
        </w:rPr>
        <w:t>Kp</w:t>
      </w:r>
      <w:proofErr w:type="spellEnd"/>
      <w:r w:rsidRPr="000E1337">
        <w:rPr>
          <w:rFonts w:asciiTheme="majorBidi" w:hAnsiTheme="majorBidi" w:cstheme="majorBidi"/>
          <w:i/>
          <w:iCs/>
          <w:sz w:val="20"/>
          <w:szCs w:val="20"/>
        </w:rPr>
        <w:t xml:space="preserve"> scalar</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ratio of drug concentration in tissue and plasma</w:t>
      </w:r>
      <w:r w:rsidR="0098044B" w:rsidRPr="000E1337">
        <w:rPr>
          <w:rFonts w:asciiTheme="majorBidi" w:hAnsiTheme="majorBidi" w:cstheme="majorBidi"/>
          <w:i/>
          <w:iCs/>
          <w:sz w:val="20"/>
          <w:szCs w:val="20"/>
        </w:rPr>
        <w:t>,</w:t>
      </w:r>
      <w:r w:rsidR="00F45F7F" w:rsidRPr="000E1337">
        <w:rPr>
          <w:rFonts w:asciiTheme="majorBidi" w:hAnsiTheme="majorBidi" w:cstheme="majorBidi"/>
          <w:i/>
          <w:iCs/>
          <w:sz w:val="20"/>
          <w:szCs w:val="20"/>
        </w:rPr>
        <w:t xml:space="preserve"> </w:t>
      </w:r>
      <w:proofErr w:type="spellStart"/>
      <w:r w:rsidR="00F45F7F" w:rsidRPr="000E1337">
        <w:rPr>
          <w:rFonts w:asciiTheme="majorBidi" w:hAnsiTheme="majorBidi" w:cstheme="majorBidi"/>
          <w:i/>
          <w:iCs/>
          <w:sz w:val="20"/>
          <w:szCs w:val="20"/>
        </w:rPr>
        <w:t>CL</w:t>
      </w:r>
      <w:r w:rsidR="00F45F7F" w:rsidRPr="000E1337">
        <w:rPr>
          <w:rFonts w:asciiTheme="majorBidi" w:hAnsiTheme="majorBidi" w:cstheme="majorBidi"/>
          <w:i/>
          <w:iCs/>
          <w:sz w:val="20"/>
          <w:szCs w:val="20"/>
          <w:vertAlign w:val="subscript"/>
        </w:rPr>
        <w:t>t</w:t>
      </w:r>
      <w:proofErr w:type="spellEnd"/>
      <w:r w:rsidR="00F45F7F" w:rsidRPr="000E1337">
        <w:rPr>
          <w:rFonts w:asciiTheme="majorBidi" w:hAnsiTheme="majorBidi" w:cstheme="majorBidi"/>
          <w:i/>
          <w:iCs/>
          <w:sz w:val="20"/>
          <w:szCs w:val="20"/>
        </w:rPr>
        <w:t>: total drug clearance</w:t>
      </w:r>
      <w:r w:rsidR="0098044B" w:rsidRPr="000E1337">
        <w:rPr>
          <w:rFonts w:asciiTheme="majorBidi" w:hAnsiTheme="majorBidi" w:cstheme="majorBidi"/>
          <w:i/>
          <w:iCs/>
          <w:sz w:val="20"/>
          <w:szCs w:val="20"/>
        </w:rPr>
        <w:t>,</w:t>
      </w:r>
      <w:r w:rsidR="00F45F7F" w:rsidRPr="000E1337">
        <w:rPr>
          <w:rFonts w:asciiTheme="majorBidi" w:hAnsiTheme="majorBidi" w:cstheme="majorBidi"/>
          <w:i/>
          <w:iCs/>
          <w:sz w:val="20"/>
          <w:szCs w:val="20"/>
        </w:rPr>
        <w:t xml:space="preserve"> </w:t>
      </w:r>
      <w:proofErr w:type="spellStart"/>
      <w:r w:rsidRPr="000E1337">
        <w:rPr>
          <w:rFonts w:asciiTheme="majorBidi" w:hAnsiTheme="majorBidi" w:cstheme="majorBidi"/>
          <w:i/>
          <w:iCs/>
          <w:sz w:val="20"/>
          <w:szCs w:val="20"/>
        </w:rPr>
        <w:t>CL</w:t>
      </w:r>
      <w:r w:rsidRPr="000E1337">
        <w:rPr>
          <w:rFonts w:asciiTheme="majorBidi" w:hAnsiTheme="majorBidi" w:cstheme="majorBidi"/>
          <w:i/>
          <w:iCs/>
          <w:sz w:val="20"/>
          <w:szCs w:val="20"/>
          <w:vertAlign w:val="subscript"/>
        </w:rPr>
        <w:t>int</w:t>
      </w:r>
      <w:proofErr w:type="spellEnd"/>
      <w:r w:rsidRPr="000E1337">
        <w:rPr>
          <w:rFonts w:asciiTheme="majorBidi" w:hAnsiTheme="majorBidi" w:cstheme="majorBidi"/>
          <w:i/>
          <w:iCs/>
          <w:sz w:val="20"/>
          <w:szCs w:val="20"/>
        </w:rPr>
        <w:t>: intrinsic clearance</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proofErr w:type="spellStart"/>
      <w:r w:rsidR="008D58F4" w:rsidRPr="000E1337">
        <w:rPr>
          <w:rFonts w:asciiTheme="majorBidi" w:hAnsiTheme="majorBidi" w:cstheme="majorBidi"/>
          <w:i/>
          <w:iCs/>
          <w:sz w:val="20"/>
          <w:szCs w:val="20"/>
        </w:rPr>
        <w:t>CL</w:t>
      </w:r>
      <w:r w:rsidR="008D58F4" w:rsidRPr="000E1337">
        <w:rPr>
          <w:rFonts w:asciiTheme="majorBidi" w:hAnsiTheme="majorBidi" w:cstheme="majorBidi"/>
          <w:i/>
          <w:iCs/>
          <w:sz w:val="20"/>
          <w:szCs w:val="20"/>
          <w:vertAlign w:val="subscript"/>
        </w:rPr>
        <w:t>h</w:t>
      </w:r>
      <w:proofErr w:type="spellEnd"/>
      <w:r w:rsidR="008D58F4" w:rsidRPr="000E1337">
        <w:rPr>
          <w:rFonts w:asciiTheme="majorBidi" w:hAnsiTheme="majorBidi" w:cstheme="majorBidi"/>
          <w:i/>
          <w:iCs/>
          <w:sz w:val="20"/>
          <w:szCs w:val="20"/>
        </w:rPr>
        <w:t>: total hepatic clearance</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HLM: </w:t>
      </w:r>
      <w:bookmarkStart w:id="5" w:name="_Hlk107505674"/>
      <w:r w:rsidRPr="000E1337">
        <w:rPr>
          <w:rFonts w:asciiTheme="majorBidi" w:hAnsiTheme="majorBidi" w:cstheme="majorBidi"/>
          <w:i/>
          <w:iCs/>
          <w:sz w:val="20"/>
          <w:szCs w:val="20"/>
        </w:rPr>
        <w:t>human liver microsome</w:t>
      </w:r>
      <w:bookmarkEnd w:id="5"/>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proofErr w:type="spellStart"/>
      <w:r w:rsidRPr="000E1337">
        <w:rPr>
          <w:rFonts w:asciiTheme="majorBidi" w:hAnsiTheme="majorBidi" w:cstheme="majorBidi"/>
          <w:i/>
          <w:iCs/>
          <w:sz w:val="20"/>
          <w:szCs w:val="20"/>
        </w:rPr>
        <w:t>CL</w:t>
      </w:r>
      <w:r w:rsidRPr="000E1337">
        <w:rPr>
          <w:rFonts w:asciiTheme="majorBidi" w:hAnsiTheme="majorBidi" w:cstheme="majorBidi"/>
          <w:i/>
          <w:iCs/>
          <w:sz w:val="20"/>
          <w:szCs w:val="20"/>
          <w:vertAlign w:val="subscript"/>
        </w:rPr>
        <w:t>r</w:t>
      </w:r>
      <w:proofErr w:type="spellEnd"/>
      <w:r w:rsidRPr="000E1337">
        <w:rPr>
          <w:rFonts w:asciiTheme="majorBidi" w:hAnsiTheme="majorBidi" w:cstheme="majorBidi"/>
          <w:i/>
          <w:iCs/>
          <w:sz w:val="20"/>
          <w:szCs w:val="20"/>
        </w:rPr>
        <w:t>: renal clearance.</w:t>
      </w:r>
    </w:p>
    <w:p w14:paraId="7EC4BA58" w14:textId="2934C2B6" w:rsidR="00C34CF4" w:rsidRPr="008A707E" w:rsidRDefault="00C34CF4" w:rsidP="00D77762">
      <w:pPr>
        <w:spacing w:after="0" w:line="240" w:lineRule="auto"/>
        <w:rPr>
          <w:rFonts w:asciiTheme="majorBidi" w:eastAsia="ＭＳ 明朝" w:hAnsiTheme="majorBidi" w:cstheme="majorBidi"/>
          <w:i/>
          <w:iCs/>
          <w:sz w:val="20"/>
          <w:szCs w:val="20"/>
        </w:rPr>
      </w:pPr>
      <w:r w:rsidRPr="008A707E">
        <w:rPr>
          <w:rFonts w:asciiTheme="majorBidi" w:eastAsia="ＭＳ 明朝" w:hAnsiTheme="majorBidi" w:cstheme="majorBidi" w:hint="eastAsia"/>
          <w:i/>
          <w:iCs/>
          <w:sz w:val="20"/>
          <w:szCs w:val="20"/>
          <w:vertAlign w:val="superscript"/>
        </w:rPr>
        <w:t>†</w:t>
      </w:r>
      <w:r w:rsidRPr="008A707E">
        <w:rPr>
          <w:rFonts w:asciiTheme="majorBidi" w:eastAsia="ＭＳ 明朝" w:hAnsiTheme="majorBidi" w:cstheme="majorBidi"/>
          <w:i/>
          <w:iCs/>
          <w:sz w:val="20"/>
          <w:szCs w:val="20"/>
        </w:rPr>
        <w:t xml:space="preserve"> </w:t>
      </w:r>
      <w:r w:rsidR="00DE0A2E" w:rsidRPr="00F02507">
        <w:rPr>
          <w:rFonts w:ascii="Times New Roman" w:eastAsia="ＭＳ 明朝" w:hAnsi="Times New Roman" w:cs="Times New Roman"/>
          <w:i/>
          <w:iCs/>
          <w:sz w:val="20"/>
          <w:szCs w:val="20"/>
        </w:rPr>
        <w:t>Based on pharmacokinetic data from literature, DDI studies, and CYP3A5 PM subjects following fentanyl use in healthy volunteers, fm</w:t>
      </w:r>
      <w:r w:rsidR="00DE0A2E" w:rsidRPr="00F02507">
        <w:rPr>
          <w:rFonts w:ascii="Times New Roman" w:eastAsia="ＭＳ 明朝" w:hAnsi="Times New Roman" w:cs="Times New Roman"/>
          <w:i/>
          <w:iCs/>
          <w:sz w:val="20"/>
          <w:szCs w:val="20"/>
          <w:vertAlign w:val="subscript"/>
        </w:rPr>
        <w:t>CYP3A4</w:t>
      </w:r>
      <w:r w:rsidR="00DE0A2E" w:rsidRPr="00F02507">
        <w:rPr>
          <w:rFonts w:ascii="Times New Roman" w:eastAsia="ＭＳ 明朝" w:hAnsi="Times New Roman" w:cs="Times New Roman"/>
          <w:i/>
          <w:iCs/>
          <w:sz w:val="20"/>
          <w:szCs w:val="20"/>
        </w:rPr>
        <w:t xml:space="preserve"> was calculated to be 44.1% of fentanyl </w:t>
      </w:r>
      <w:proofErr w:type="spellStart"/>
      <w:r w:rsidR="00DE0A2E" w:rsidRPr="00F02507">
        <w:rPr>
          <w:rFonts w:ascii="Times New Roman" w:eastAsia="ＭＳ 明朝" w:hAnsi="Times New Roman" w:cs="Times New Roman"/>
          <w:i/>
          <w:iCs/>
          <w:sz w:val="20"/>
          <w:szCs w:val="20"/>
        </w:rPr>
        <w:t>CL</w:t>
      </w:r>
      <w:r w:rsidR="00DE0A2E" w:rsidRPr="00F02507">
        <w:rPr>
          <w:rFonts w:ascii="Times New Roman" w:eastAsia="ＭＳ 明朝" w:hAnsi="Times New Roman" w:cs="Times New Roman"/>
          <w:i/>
          <w:iCs/>
          <w:sz w:val="20"/>
          <w:szCs w:val="20"/>
          <w:vertAlign w:val="subscript"/>
        </w:rPr>
        <w:t>h</w:t>
      </w:r>
      <w:proofErr w:type="spellEnd"/>
      <w:r w:rsidR="00DE0A2E">
        <w:rPr>
          <w:rFonts w:ascii="Times New Roman" w:eastAsia="ＭＳ 明朝" w:hAnsi="Times New Roman" w:cs="Times New Roman"/>
          <w:i/>
          <w:iCs/>
          <w:sz w:val="20"/>
          <w:szCs w:val="20"/>
        </w:rPr>
        <w:t xml:space="preserve">. </w:t>
      </w:r>
      <w:r w:rsidR="00DE0A2E" w:rsidRPr="00F02507">
        <w:rPr>
          <w:rFonts w:ascii="Times New Roman" w:eastAsia="ＭＳ 明朝" w:hAnsi="Times New Roman" w:cs="Times New Roman"/>
          <w:i/>
          <w:iCs/>
          <w:sz w:val="20"/>
          <w:szCs w:val="20"/>
        </w:rPr>
        <w:t xml:space="preserve">Furthermore, the </w:t>
      </w:r>
      <w:r w:rsidR="00DE0A2E" w:rsidRPr="00F76722">
        <w:rPr>
          <w:rFonts w:ascii="Times New Roman" w:eastAsia="ＭＳ 明朝" w:hAnsi="Times New Roman" w:cs="Times New Roman"/>
          <w:i/>
          <w:iCs/>
          <w:sz w:val="20"/>
          <w:szCs w:val="20"/>
        </w:rPr>
        <w:t>CL of CYP3A5 substrates, such as fentanyl, in extensive metabolizers (EMs) and poor metabolizers (PMs)</w:t>
      </w:r>
      <w:r w:rsidRPr="00F76722">
        <w:rPr>
          <w:rFonts w:asciiTheme="majorBidi" w:eastAsia="ＭＳ 明朝" w:hAnsiTheme="majorBidi" w:cstheme="majorBidi"/>
          <w:i/>
          <w:iCs/>
          <w:sz w:val="20"/>
          <w:szCs w:val="20"/>
        </w:rPr>
        <w:t xml:space="preserve"> </w:t>
      </w:r>
      <w:r w:rsidR="001F1F54" w:rsidRPr="00F76722">
        <w:rPr>
          <w:rFonts w:asciiTheme="majorBidi" w:eastAsia="ＭＳ 明朝" w:hAnsiTheme="majorBidi" w:cstheme="majorBidi"/>
          <w:i/>
          <w:iCs/>
          <w:sz w:val="20"/>
          <w:szCs w:val="20"/>
        </w:rPr>
        <w:fldChar w:fldCharType="begin"/>
      </w:r>
      <w:r w:rsidR="00D77762" w:rsidRPr="00F76722">
        <w:rPr>
          <w:rFonts w:asciiTheme="majorBidi" w:eastAsia="ＭＳ 明朝" w:hAnsiTheme="majorBidi" w:cstheme="majorBidi"/>
          <w:i/>
          <w:iCs/>
          <w:sz w:val="20"/>
          <w:szCs w:val="20"/>
        </w:rPr>
        <w:instrText xml:space="preserve"> ADDIN ZOTERO_ITEM CSL_CITATION {"citationID":"Hr4Txd9g","properties":{"formattedCitation":"[10]","plainCitation":"[10]","noteIndex":0},"citationItems":[{"id":33,"uris":["http://zotero.org/users/local/J5Cy8xXX/items/2T38974Q"],"itemData":{"id":33,"type":"article-journal","abstract":"Fentanyl is an anesthetic/analgesic commonly used in surgical and recovery settings. CYP3A4 and CYP3A5 encode enzymes, which metabolize fentanyl; genetic variants in these genes impact fentanyl pharmacokinetics in adults. Pharmacokinetic (PK) studies are difficult to replicate in children due to the burden of additional blood taken solely for research purposes. The aim of this study is to test the effect of CYP3A5 and CYP3A4 genetic variants on fentanyl PKs in children using opportunistically collected samples. Fentanyl concentrations were measured from remnant blood specimens and dosing data were extracted from electronic health records. Variant data defining CYP3A4*1G and CYP3A5*3 and *6 alleles were available from prior genotyping; alleles with no variant were defined as *1. The study cohort included 434 individuals (median age 9 months, 52% male subjects) and 1,937 fentanyl concentrations were available. A two-compartment model was selected as the base model, and the final covariate model included age, weight, and surgical severity score. Clearance was significantly associated with either CYP3A5*3 or CYP3A5*6 alleles, but not the CYP3A4*1G allele. A genotype of CYP3A5*1/*3 or CYP3A5*1/*6 (i.e., intermediate metabolizer status) was associated with a 0.84-fold (95% confidence interval (CI): 0.71–1.00) reduction in clearance vs. CYP3A5*1/*1 (i.e., normal metabolizer status). CYP3A5*3/*3, CYP3A5*3/*6, or CYP3A5*6/*6 (i.e., poor metabolizer status) was associated with a 0.76-fold (95% CI: 0.58–0.99) reduction in clearance. In the final model, expected clearance was 8.9 and 6.8 L/hour for a normal and poor metabolizer, respectively, with median population covariates (9 months old, 7.7 kg, low surgical severity).","container-title":"Clinical Pharmacology &amp; Therapeutics","DOI":"10.1002/cpt.2506","ISSN":"1532-6535","issue":"4","language":"en","license":"© 2021 The Authors. Clinical Pharmacology &amp; Therapeutics © 2021 American Society for Clinical Pharmacology and Therapeutics","note":"_eprint: https://onlinelibrary.wiley.com/doi/pdf/10.1002/cpt.2506","page":"896-908","source":"Wiley Online Library","title":"Effect of CYP3A5 and CYP3A4 Genetic Variants on Fentanyl Pharmacokinetics in a Pediatric Population","volume":"111","author":[{"family":"Williams","given":"Michael L."},{"family":"Kannankeril","given":"Prince J."},{"family":"Breeyear","given":"Joseph H."},{"family":"Edwards","given":"Todd L."},{"family":"Van Driest","given":"Sara L."},{"family":"Choi","given":"Leena"}],"issued":{"date-parts":[["2022"]]}}}],"schema":"https://github.com/citation-style-language/schema/raw/master/csl-citation.json"} </w:instrText>
      </w:r>
      <w:r w:rsidR="001F1F54" w:rsidRPr="00F76722">
        <w:rPr>
          <w:rFonts w:asciiTheme="majorBidi" w:eastAsia="ＭＳ 明朝" w:hAnsiTheme="majorBidi" w:cstheme="majorBidi"/>
          <w:i/>
          <w:iCs/>
          <w:sz w:val="20"/>
          <w:szCs w:val="20"/>
        </w:rPr>
        <w:fldChar w:fldCharType="separate"/>
      </w:r>
      <w:r w:rsidR="00D77762" w:rsidRPr="00F76722">
        <w:rPr>
          <w:rFonts w:asciiTheme="majorBidi" w:hAnsiTheme="majorBidi" w:cstheme="majorBidi"/>
          <w:sz w:val="20"/>
        </w:rPr>
        <w:t>[10]</w:t>
      </w:r>
      <w:r w:rsidR="001F1F54" w:rsidRPr="00F76722">
        <w:rPr>
          <w:rFonts w:asciiTheme="majorBidi" w:eastAsia="ＭＳ 明朝" w:hAnsiTheme="majorBidi" w:cstheme="majorBidi"/>
          <w:i/>
          <w:iCs/>
          <w:sz w:val="20"/>
          <w:szCs w:val="20"/>
        </w:rPr>
        <w:fldChar w:fldCharType="end"/>
      </w:r>
      <w:r w:rsidRPr="00F76722">
        <w:rPr>
          <w:rFonts w:asciiTheme="majorBidi" w:eastAsia="ＭＳ 明朝" w:hAnsiTheme="majorBidi" w:cstheme="majorBidi"/>
          <w:i/>
          <w:iCs/>
          <w:sz w:val="20"/>
          <w:szCs w:val="20"/>
        </w:rPr>
        <w:t xml:space="preserve"> can</w:t>
      </w:r>
      <w:r w:rsidRPr="008A707E">
        <w:rPr>
          <w:rFonts w:asciiTheme="majorBidi" w:eastAsia="ＭＳ 明朝" w:hAnsiTheme="majorBidi" w:cstheme="majorBidi"/>
          <w:i/>
          <w:iCs/>
          <w:sz w:val="20"/>
          <w:szCs w:val="20"/>
        </w:rPr>
        <w:t xml:space="preserve"> be used to calculate the fentanyl’s fm</w:t>
      </w:r>
      <w:r w:rsidRPr="008A707E">
        <w:rPr>
          <w:rFonts w:asciiTheme="majorBidi" w:eastAsia="ＭＳ 明朝" w:hAnsiTheme="majorBidi" w:cstheme="majorBidi"/>
          <w:i/>
          <w:iCs/>
          <w:sz w:val="20"/>
          <w:szCs w:val="20"/>
          <w:vertAlign w:val="subscript"/>
        </w:rPr>
        <w:t>CYP3A5</w:t>
      </w:r>
      <w:r w:rsidRPr="008A707E">
        <w:rPr>
          <w:rFonts w:asciiTheme="majorBidi" w:eastAsia="ＭＳ 明朝" w:hAnsiTheme="majorBidi" w:cstheme="majorBidi"/>
          <w:i/>
          <w:iCs/>
          <w:sz w:val="20"/>
          <w:szCs w:val="20"/>
        </w:rPr>
        <w:t xml:space="preserve"> in EMs since CYP3A5 exhibits genetic polymorphism utilizing the following equation:</w:t>
      </w:r>
    </w:p>
    <w:p w14:paraId="79B098A2" w14:textId="38E12992" w:rsidR="00C34CF4" w:rsidRPr="008A707E" w:rsidRDefault="00000000" w:rsidP="008A707E">
      <w:pPr>
        <w:spacing w:after="0" w:line="480" w:lineRule="auto"/>
        <w:ind w:firstLine="432"/>
        <w:jc w:val="both"/>
        <w:rPr>
          <w:rFonts w:asciiTheme="majorBidi" w:hAnsiTheme="majorBidi" w:cstheme="majorBidi"/>
          <w:color w:val="242021"/>
          <w:sz w:val="20"/>
          <w:szCs w:val="20"/>
        </w:rPr>
      </w:pPr>
      <m:oMathPara>
        <m:oMath>
          <m:sSub>
            <m:sSubPr>
              <m:ctrlPr>
                <w:rPr>
                  <w:rFonts w:ascii="Cambria Math" w:hAnsi="Cambria Math" w:cstheme="majorBidi"/>
                  <w:i/>
                  <w:color w:val="242021"/>
                  <w:sz w:val="20"/>
                  <w:szCs w:val="20"/>
                </w:rPr>
              </m:ctrlPr>
            </m:sSubPr>
            <m:e>
              <m:r>
                <w:rPr>
                  <w:rFonts w:ascii="Cambria Math" w:hAnsi="Cambria Math" w:cstheme="majorBidi"/>
                  <w:color w:val="242021"/>
                  <w:sz w:val="20"/>
                  <w:szCs w:val="20"/>
                </w:rPr>
                <m:t>fm</m:t>
              </m:r>
            </m:e>
            <m:sub>
              <m:r>
                <w:rPr>
                  <w:rFonts w:ascii="Cambria Math" w:hAnsi="Cambria Math" w:cstheme="majorBidi"/>
                  <w:color w:val="242021"/>
                  <w:sz w:val="20"/>
                  <w:szCs w:val="20"/>
                </w:rPr>
                <m:t>CYP3A5</m:t>
              </m:r>
            </m:sub>
          </m:sSub>
          <m:r>
            <w:rPr>
              <w:rFonts w:ascii="Cambria Math" w:hAnsi="Cambria Math" w:cstheme="majorBidi"/>
              <w:color w:val="242021"/>
              <w:sz w:val="20"/>
              <w:szCs w:val="20"/>
            </w:rPr>
            <m:t>=1-</m:t>
          </m:r>
          <m:d>
            <m:dPr>
              <m:ctrlPr>
                <w:rPr>
                  <w:rFonts w:ascii="Cambria Math" w:hAnsi="Cambria Math" w:cstheme="majorBidi"/>
                  <w:color w:val="242021"/>
                  <w:sz w:val="20"/>
                  <w:szCs w:val="20"/>
                </w:rPr>
              </m:ctrlPr>
            </m:dPr>
            <m:e>
              <m:f>
                <m:fPr>
                  <m:ctrlPr>
                    <w:rPr>
                      <w:rFonts w:ascii="Cambria Math" w:hAnsi="Cambria Math" w:cstheme="majorBidi"/>
                      <w:color w:val="242021"/>
                      <w:sz w:val="20"/>
                      <w:szCs w:val="20"/>
                    </w:rPr>
                  </m:ctrlPr>
                </m:fPr>
                <m:num>
                  <m:r>
                    <w:rPr>
                      <w:rFonts w:ascii="Cambria Math" w:hAnsi="Cambria Math" w:cstheme="majorBidi"/>
                      <w:color w:val="242021"/>
                      <w:sz w:val="20"/>
                      <w:szCs w:val="20"/>
                    </w:rPr>
                    <m:t>CL</m:t>
                  </m:r>
                  <m:d>
                    <m:dPr>
                      <m:ctrlPr>
                        <w:rPr>
                          <w:rFonts w:ascii="Cambria Math" w:hAnsi="Cambria Math" w:cstheme="majorBidi"/>
                          <w:i/>
                          <w:color w:val="242021"/>
                          <w:sz w:val="20"/>
                          <w:szCs w:val="20"/>
                          <w:vertAlign w:val="subscript"/>
                        </w:rPr>
                      </m:ctrlPr>
                    </m:dPr>
                    <m:e>
                      <m:r>
                        <w:rPr>
                          <w:rFonts w:ascii="Cambria Math" w:hAnsi="Cambria Math" w:cstheme="majorBidi"/>
                          <w:color w:val="242021"/>
                          <w:sz w:val="20"/>
                          <w:szCs w:val="20"/>
                          <w:vertAlign w:val="subscript"/>
                        </w:rPr>
                        <m:t>PM</m:t>
                      </m:r>
                    </m:e>
                  </m:d>
                </m:num>
                <m:den>
                  <m:r>
                    <w:rPr>
                      <w:rFonts w:ascii="Cambria Math" w:hAnsi="Cambria Math" w:cstheme="majorBidi"/>
                      <w:color w:val="242021"/>
                      <w:sz w:val="20"/>
                      <w:szCs w:val="20"/>
                    </w:rPr>
                    <m:t>CL</m:t>
                  </m:r>
                  <m:d>
                    <m:dPr>
                      <m:ctrlPr>
                        <w:rPr>
                          <w:rFonts w:ascii="Cambria Math" w:hAnsi="Cambria Math" w:cstheme="majorBidi"/>
                          <w:i/>
                          <w:color w:val="242021"/>
                          <w:sz w:val="20"/>
                          <w:szCs w:val="20"/>
                          <w:vertAlign w:val="subscript"/>
                        </w:rPr>
                      </m:ctrlPr>
                    </m:dPr>
                    <m:e>
                      <m:r>
                        <w:rPr>
                          <w:rFonts w:ascii="Cambria Math" w:hAnsi="Cambria Math" w:cstheme="majorBidi"/>
                          <w:color w:val="242021"/>
                          <w:sz w:val="20"/>
                          <w:szCs w:val="20"/>
                          <w:vertAlign w:val="subscript"/>
                        </w:rPr>
                        <m:t>EM</m:t>
                      </m:r>
                    </m:e>
                  </m:d>
                </m:den>
              </m:f>
            </m:e>
          </m:d>
          <m:r>
            <w:rPr>
              <w:rFonts w:ascii="Cambria Math" w:hAnsi="Cambria Math" w:cstheme="majorBidi"/>
              <w:color w:val="242021"/>
              <w:sz w:val="20"/>
              <w:szCs w:val="20"/>
            </w:rPr>
            <m:t>=1-</m:t>
          </m:r>
          <m:d>
            <m:dPr>
              <m:ctrlPr>
                <w:rPr>
                  <w:rFonts w:ascii="Cambria Math" w:hAnsi="Cambria Math" w:cstheme="majorBidi"/>
                  <w:color w:val="242021"/>
                  <w:sz w:val="20"/>
                  <w:szCs w:val="20"/>
                </w:rPr>
              </m:ctrlPr>
            </m:dPr>
            <m:e>
              <m:f>
                <m:fPr>
                  <m:ctrlPr>
                    <w:rPr>
                      <w:rFonts w:ascii="Cambria Math" w:hAnsi="Cambria Math" w:cstheme="majorBidi"/>
                      <w:color w:val="242021"/>
                      <w:sz w:val="20"/>
                      <w:szCs w:val="20"/>
                    </w:rPr>
                  </m:ctrlPr>
                </m:fPr>
                <m:num>
                  <m:r>
                    <w:rPr>
                      <w:rFonts w:ascii="Cambria Math" w:hAnsi="Cambria Math" w:cstheme="majorBidi"/>
                      <w:color w:val="242021"/>
                      <w:sz w:val="20"/>
                      <w:szCs w:val="20"/>
                    </w:rPr>
                    <m:t>AUC</m:t>
                  </m:r>
                  <m:d>
                    <m:dPr>
                      <m:ctrlPr>
                        <w:rPr>
                          <w:rFonts w:ascii="Cambria Math" w:hAnsi="Cambria Math" w:cstheme="majorBidi"/>
                          <w:i/>
                          <w:color w:val="242021"/>
                          <w:sz w:val="20"/>
                          <w:szCs w:val="20"/>
                          <w:vertAlign w:val="subscript"/>
                        </w:rPr>
                      </m:ctrlPr>
                    </m:dPr>
                    <m:e>
                      <m:r>
                        <w:rPr>
                          <w:rFonts w:ascii="Cambria Math" w:hAnsi="Cambria Math" w:cstheme="majorBidi"/>
                          <w:color w:val="242021"/>
                          <w:sz w:val="20"/>
                          <w:szCs w:val="20"/>
                          <w:vertAlign w:val="subscript"/>
                        </w:rPr>
                        <m:t>EM</m:t>
                      </m:r>
                    </m:e>
                  </m:d>
                </m:num>
                <m:den>
                  <m:r>
                    <w:rPr>
                      <w:rFonts w:ascii="Cambria Math" w:hAnsi="Cambria Math" w:cstheme="majorBidi"/>
                      <w:color w:val="242021"/>
                      <w:sz w:val="20"/>
                      <w:szCs w:val="20"/>
                    </w:rPr>
                    <m:t>AUC</m:t>
                  </m:r>
                  <m:d>
                    <m:dPr>
                      <m:ctrlPr>
                        <w:rPr>
                          <w:rFonts w:ascii="Cambria Math" w:hAnsi="Cambria Math" w:cstheme="majorBidi"/>
                          <w:i/>
                          <w:color w:val="242021"/>
                          <w:sz w:val="20"/>
                          <w:szCs w:val="20"/>
                          <w:vertAlign w:val="subscript"/>
                        </w:rPr>
                      </m:ctrlPr>
                    </m:dPr>
                    <m:e>
                      <m:r>
                        <w:rPr>
                          <w:rFonts w:ascii="Cambria Math" w:hAnsi="Cambria Math" w:cstheme="majorBidi"/>
                          <w:color w:val="242021"/>
                          <w:sz w:val="20"/>
                          <w:szCs w:val="20"/>
                          <w:vertAlign w:val="subscript"/>
                        </w:rPr>
                        <m:t>PM</m:t>
                      </m:r>
                    </m:e>
                  </m:d>
                </m:den>
              </m:f>
            </m:e>
          </m:d>
        </m:oMath>
      </m:oMathPara>
    </w:p>
    <w:p w14:paraId="3FF4A1D6" w14:textId="5EEC80C9" w:rsidR="00DE0A2E" w:rsidRDefault="00DE0A2E" w:rsidP="00DE0A2E">
      <w:pPr>
        <w:spacing w:after="0" w:line="240" w:lineRule="auto"/>
        <w:rPr>
          <w:rFonts w:ascii="Times New Roman" w:eastAsia="ＭＳ 明朝" w:hAnsi="Times New Roman" w:cs="Times New Roman"/>
          <w:i/>
          <w:iCs/>
          <w:sz w:val="20"/>
          <w:szCs w:val="20"/>
        </w:rPr>
      </w:pPr>
      <w:r>
        <w:rPr>
          <w:rFonts w:ascii="Times New Roman" w:eastAsia="ＭＳ 明朝" w:hAnsi="Times New Roman" w:cs="Times New Roman" w:hint="eastAsia"/>
          <w:i/>
          <w:iCs/>
          <w:sz w:val="20"/>
          <w:szCs w:val="20"/>
        </w:rPr>
        <w:t>Using</w:t>
      </w:r>
      <w:r>
        <w:rPr>
          <w:rFonts w:ascii="Times New Roman" w:eastAsia="ＭＳ 明朝" w:hAnsi="Times New Roman" w:cs="Times New Roman"/>
          <w:i/>
          <w:iCs/>
          <w:sz w:val="20"/>
          <w:szCs w:val="20"/>
        </w:rPr>
        <w:t xml:space="preserve"> the above equation,</w:t>
      </w:r>
      <w:r w:rsidRPr="00F02507">
        <w:rPr>
          <w:rFonts w:ascii="Times New Roman" w:eastAsia="ＭＳ 明朝" w:hAnsi="Times New Roman" w:cs="Times New Roman"/>
          <w:i/>
          <w:iCs/>
          <w:sz w:val="20"/>
          <w:szCs w:val="20"/>
        </w:rPr>
        <w:t xml:space="preserve"> fm</w:t>
      </w:r>
      <w:r w:rsidRPr="00F02507">
        <w:rPr>
          <w:rFonts w:ascii="Times New Roman" w:eastAsia="ＭＳ 明朝" w:hAnsi="Times New Roman" w:cs="Times New Roman"/>
          <w:i/>
          <w:iCs/>
          <w:sz w:val="20"/>
          <w:szCs w:val="20"/>
          <w:vertAlign w:val="subscript"/>
        </w:rPr>
        <w:t>CYP3A5</w:t>
      </w:r>
      <w:r w:rsidRPr="00F02507">
        <w:rPr>
          <w:rFonts w:ascii="Times New Roman" w:eastAsia="ＭＳ 明朝" w:hAnsi="Times New Roman" w:cs="Times New Roman"/>
          <w:i/>
          <w:iCs/>
          <w:sz w:val="20"/>
          <w:szCs w:val="20"/>
        </w:rPr>
        <w:t xml:space="preserve"> was computed to be 25.1%</w:t>
      </w:r>
      <w:r>
        <w:rPr>
          <w:rFonts w:ascii="Times New Roman" w:eastAsia="ＭＳ 明朝" w:hAnsi="Times New Roman" w:cs="Times New Roman"/>
          <w:i/>
          <w:iCs/>
          <w:sz w:val="20"/>
          <w:szCs w:val="20"/>
        </w:rPr>
        <w:t xml:space="preserve"> </w:t>
      </w:r>
      <w:r w:rsidRPr="00F02507">
        <w:rPr>
          <w:rFonts w:ascii="Times New Roman" w:eastAsia="ＭＳ 明朝" w:hAnsi="Times New Roman" w:cs="Times New Roman"/>
          <w:i/>
          <w:iCs/>
          <w:sz w:val="20"/>
          <w:szCs w:val="20"/>
        </w:rPr>
        <w:t xml:space="preserve">of fentanyl </w:t>
      </w:r>
      <w:proofErr w:type="spellStart"/>
      <w:r w:rsidRPr="00F02507">
        <w:rPr>
          <w:rFonts w:ascii="Times New Roman" w:eastAsia="ＭＳ 明朝" w:hAnsi="Times New Roman" w:cs="Times New Roman"/>
          <w:i/>
          <w:iCs/>
          <w:sz w:val="20"/>
          <w:szCs w:val="20"/>
        </w:rPr>
        <w:t>CL</w:t>
      </w:r>
      <w:r w:rsidRPr="00F02507">
        <w:rPr>
          <w:rFonts w:ascii="Times New Roman" w:eastAsia="ＭＳ 明朝" w:hAnsi="Times New Roman" w:cs="Times New Roman"/>
          <w:i/>
          <w:iCs/>
          <w:sz w:val="20"/>
          <w:szCs w:val="20"/>
          <w:vertAlign w:val="subscript"/>
        </w:rPr>
        <w:t>h</w:t>
      </w:r>
      <w:proofErr w:type="spellEnd"/>
      <w:r w:rsidRPr="00F02507">
        <w:rPr>
          <w:rFonts w:ascii="Times New Roman" w:eastAsia="ＭＳ 明朝" w:hAnsi="Times New Roman" w:cs="Times New Roman"/>
          <w:i/>
          <w:iCs/>
          <w:sz w:val="20"/>
          <w:szCs w:val="20"/>
        </w:rPr>
        <w:t>.</w:t>
      </w:r>
      <w:r>
        <w:rPr>
          <w:rFonts w:ascii="Times New Roman" w:eastAsia="ＭＳ 明朝" w:hAnsi="Times New Roman" w:cs="Times New Roman"/>
          <w:i/>
          <w:iCs/>
          <w:sz w:val="20"/>
          <w:szCs w:val="20"/>
        </w:rPr>
        <w:t xml:space="preserve"> Furthermore, b</w:t>
      </w:r>
      <w:r w:rsidRPr="00F02507">
        <w:rPr>
          <w:rFonts w:ascii="Times New Roman" w:eastAsia="ＭＳ 明朝" w:hAnsi="Times New Roman" w:cs="Times New Roman"/>
          <w:i/>
          <w:iCs/>
          <w:sz w:val="20"/>
          <w:szCs w:val="20"/>
        </w:rPr>
        <w:t xml:space="preserve">ased on the reported mean </w:t>
      </w:r>
      <w:proofErr w:type="spellStart"/>
      <w:r w:rsidRPr="00F02507">
        <w:rPr>
          <w:rFonts w:ascii="Times New Roman" w:eastAsia="ＭＳ 明朝" w:hAnsi="Times New Roman" w:cs="Times New Roman"/>
          <w:i/>
          <w:iCs/>
          <w:sz w:val="20"/>
          <w:szCs w:val="20"/>
        </w:rPr>
        <w:t>CL</w:t>
      </w:r>
      <w:r w:rsidRPr="00F02507">
        <w:rPr>
          <w:rFonts w:ascii="Times New Roman" w:eastAsia="ＭＳ 明朝" w:hAnsi="Times New Roman" w:cs="Times New Roman"/>
          <w:i/>
          <w:iCs/>
          <w:sz w:val="20"/>
          <w:szCs w:val="20"/>
          <w:vertAlign w:val="subscript"/>
        </w:rPr>
        <w:t>t</w:t>
      </w:r>
      <w:proofErr w:type="spellEnd"/>
      <w:r w:rsidRPr="00F02507">
        <w:rPr>
          <w:rFonts w:ascii="Times New Roman" w:eastAsia="ＭＳ 明朝" w:hAnsi="Times New Roman" w:cs="Times New Roman"/>
          <w:i/>
          <w:iCs/>
          <w:sz w:val="20"/>
          <w:szCs w:val="20"/>
        </w:rPr>
        <w:t xml:space="preserve"> and the </w:t>
      </w:r>
      <w:proofErr w:type="spellStart"/>
      <w:r w:rsidRPr="00F02507">
        <w:rPr>
          <w:rFonts w:ascii="Times New Roman" w:eastAsia="ＭＳ 明朝" w:hAnsi="Times New Roman" w:cs="Times New Roman"/>
          <w:i/>
          <w:iCs/>
          <w:sz w:val="20"/>
          <w:szCs w:val="20"/>
        </w:rPr>
        <w:t>CL</w:t>
      </w:r>
      <w:r w:rsidRPr="00F02507">
        <w:rPr>
          <w:rFonts w:ascii="Times New Roman" w:eastAsia="ＭＳ 明朝" w:hAnsi="Times New Roman" w:cs="Times New Roman"/>
          <w:i/>
          <w:iCs/>
          <w:sz w:val="20"/>
          <w:szCs w:val="20"/>
          <w:vertAlign w:val="subscript"/>
        </w:rPr>
        <w:t>r</w:t>
      </w:r>
      <w:proofErr w:type="spellEnd"/>
      <w:r w:rsidRPr="00F02507">
        <w:rPr>
          <w:rFonts w:ascii="Times New Roman" w:eastAsia="ＭＳ 明朝" w:hAnsi="Times New Roman" w:cs="Times New Roman"/>
          <w:i/>
          <w:iCs/>
          <w:sz w:val="20"/>
          <w:szCs w:val="20"/>
        </w:rPr>
        <w:t xml:space="preserve"> values of fentanyl </w:t>
      </w:r>
      <w:r>
        <w:rPr>
          <w:rFonts w:ascii="Times New Roman" w:eastAsia="ＭＳ 明朝" w:hAnsi="Times New Roman" w:cs="Times New Roman"/>
          <w:i/>
          <w:iCs/>
          <w:sz w:val="20"/>
          <w:szCs w:val="20"/>
        </w:rPr>
        <w:t>in</w:t>
      </w:r>
      <w:r w:rsidRPr="00F02507">
        <w:rPr>
          <w:rFonts w:ascii="Times New Roman" w:eastAsia="ＭＳ 明朝" w:hAnsi="Times New Roman" w:cs="Times New Roman"/>
          <w:i/>
          <w:iCs/>
          <w:sz w:val="20"/>
          <w:szCs w:val="20"/>
        </w:rPr>
        <w:t xml:space="preserve"> Caucasian healthy volunteers (</w:t>
      </w:r>
      <w:proofErr w:type="spellStart"/>
      <w:r w:rsidRPr="00F02507">
        <w:rPr>
          <w:rFonts w:ascii="Times New Roman" w:eastAsia="ＭＳ 明朝" w:hAnsi="Times New Roman" w:cs="Times New Roman"/>
          <w:i/>
          <w:iCs/>
          <w:sz w:val="20"/>
          <w:szCs w:val="20"/>
        </w:rPr>
        <w:t>CL</w:t>
      </w:r>
      <w:r w:rsidRPr="00F02507">
        <w:rPr>
          <w:rFonts w:ascii="Times New Roman" w:eastAsia="ＭＳ 明朝" w:hAnsi="Times New Roman" w:cs="Times New Roman"/>
          <w:i/>
          <w:iCs/>
          <w:sz w:val="20"/>
          <w:szCs w:val="20"/>
          <w:vertAlign w:val="subscript"/>
        </w:rPr>
        <w:t>t</w:t>
      </w:r>
      <w:proofErr w:type="spellEnd"/>
      <w:r w:rsidRPr="00F02507">
        <w:rPr>
          <w:rFonts w:ascii="Times New Roman" w:eastAsia="ＭＳ 明朝" w:hAnsi="Times New Roman" w:cs="Times New Roman"/>
          <w:i/>
          <w:iCs/>
          <w:sz w:val="20"/>
          <w:szCs w:val="20"/>
        </w:rPr>
        <w:t>= 62.16 L/h [</w:t>
      </w:r>
      <w:r>
        <w:rPr>
          <w:rFonts w:ascii="Times New Roman" w:eastAsia="ＭＳ 明朝" w:hAnsi="Times New Roman" w:cs="Times New Roman"/>
          <w:i/>
          <w:iCs/>
          <w:sz w:val="20"/>
          <w:szCs w:val="20"/>
        </w:rPr>
        <w:t>7</w:t>
      </w:r>
      <w:r w:rsidRPr="00F02507">
        <w:rPr>
          <w:rFonts w:ascii="Times New Roman" w:eastAsia="ＭＳ 明朝" w:hAnsi="Times New Roman" w:cs="Times New Roman"/>
          <w:i/>
          <w:iCs/>
          <w:sz w:val="20"/>
          <w:szCs w:val="20"/>
        </w:rPr>
        <w:t xml:space="preserve">], and </w:t>
      </w:r>
      <w:proofErr w:type="spellStart"/>
      <w:r w:rsidRPr="00F02507">
        <w:rPr>
          <w:rFonts w:ascii="Times New Roman" w:eastAsia="ＭＳ 明朝" w:hAnsi="Times New Roman" w:cs="Times New Roman"/>
          <w:i/>
          <w:iCs/>
          <w:sz w:val="20"/>
          <w:szCs w:val="20"/>
        </w:rPr>
        <w:t>CL</w:t>
      </w:r>
      <w:r w:rsidRPr="00F02507">
        <w:rPr>
          <w:rFonts w:ascii="Times New Roman" w:eastAsia="ＭＳ 明朝" w:hAnsi="Times New Roman" w:cs="Times New Roman"/>
          <w:i/>
          <w:iCs/>
          <w:sz w:val="20"/>
          <w:szCs w:val="20"/>
          <w:vertAlign w:val="subscript"/>
        </w:rPr>
        <w:t>r</w:t>
      </w:r>
      <w:proofErr w:type="spellEnd"/>
      <w:r w:rsidRPr="00F02507">
        <w:rPr>
          <w:rFonts w:ascii="Times New Roman" w:eastAsia="ＭＳ 明朝" w:hAnsi="Times New Roman" w:cs="Times New Roman"/>
          <w:i/>
          <w:iCs/>
          <w:sz w:val="20"/>
          <w:szCs w:val="20"/>
        </w:rPr>
        <w:t>= 4.04 L/h [</w:t>
      </w:r>
      <w:r>
        <w:rPr>
          <w:rFonts w:ascii="Times New Roman" w:eastAsia="ＭＳ 明朝" w:hAnsi="Times New Roman" w:cs="Times New Roman"/>
          <w:i/>
          <w:iCs/>
          <w:sz w:val="20"/>
          <w:szCs w:val="20"/>
        </w:rPr>
        <w:t>9</w:t>
      </w:r>
      <w:r w:rsidRPr="00F02507">
        <w:rPr>
          <w:rFonts w:ascii="Times New Roman" w:eastAsia="ＭＳ 明朝" w:hAnsi="Times New Roman" w:cs="Times New Roman"/>
          <w:i/>
          <w:iCs/>
          <w:sz w:val="20"/>
          <w:szCs w:val="20"/>
        </w:rPr>
        <w:t>])</w:t>
      </w:r>
      <w:r>
        <w:rPr>
          <w:rFonts w:ascii="Times New Roman" w:eastAsia="ＭＳ 明朝" w:hAnsi="Times New Roman" w:cs="Times New Roman"/>
          <w:i/>
          <w:iCs/>
          <w:sz w:val="20"/>
          <w:szCs w:val="20"/>
        </w:rPr>
        <w:t xml:space="preserve"> and calculated </w:t>
      </w:r>
      <w:proofErr w:type="spellStart"/>
      <w:r>
        <w:rPr>
          <w:rFonts w:ascii="Times New Roman" w:eastAsia="ＭＳ 明朝" w:hAnsi="Times New Roman" w:cs="Times New Roman"/>
          <w:i/>
          <w:iCs/>
          <w:sz w:val="20"/>
          <w:szCs w:val="20"/>
        </w:rPr>
        <w:t>fm</w:t>
      </w:r>
      <w:proofErr w:type="spellEnd"/>
      <w:r>
        <w:rPr>
          <w:rFonts w:ascii="Times New Roman" w:eastAsia="ＭＳ 明朝" w:hAnsi="Times New Roman" w:cs="Times New Roman"/>
          <w:i/>
          <w:iCs/>
          <w:sz w:val="20"/>
          <w:szCs w:val="20"/>
        </w:rPr>
        <w:t xml:space="preserve"> values</w:t>
      </w:r>
      <w:r w:rsidRPr="00F02507">
        <w:rPr>
          <w:rFonts w:ascii="Times New Roman" w:eastAsia="ＭＳ 明朝" w:hAnsi="Times New Roman" w:cs="Times New Roman"/>
          <w:i/>
          <w:iCs/>
          <w:sz w:val="20"/>
          <w:szCs w:val="20"/>
        </w:rPr>
        <w:t xml:space="preserve">, </w:t>
      </w:r>
      <w:proofErr w:type="spellStart"/>
      <w:r w:rsidRPr="00F02507">
        <w:rPr>
          <w:rFonts w:ascii="Times New Roman" w:eastAsia="ＭＳ 明朝" w:hAnsi="Times New Roman" w:cs="Times New Roman"/>
          <w:i/>
          <w:iCs/>
          <w:sz w:val="20"/>
          <w:szCs w:val="20"/>
        </w:rPr>
        <w:t>Simcyp’s</w:t>
      </w:r>
      <w:proofErr w:type="spellEnd"/>
      <w:r w:rsidRPr="00F02507">
        <w:rPr>
          <w:rFonts w:ascii="Times New Roman" w:eastAsia="ＭＳ 明朝" w:hAnsi="Times New Roman" w:cs="Times New Roman"/>
          <w:i/>
          <w:iCs/>
          <w:sz w:val="20"/>
          <w:szCs w:val="20"/>
        </w:rPr>
        <w:t xml:space="preserve"> automated retrograde calculator was used to determine the enzymatic </w:t>
      </w:r>
      <w:proofErr w:type="spellStart"/>
      <w:r w:rsidRPr="00F02507">
        <w:rPr>
          <w:rFonts w:ascii="Times New Roman" w:eastAsia="ＭＳ 明朝" w:hAnsi="Times New Roman" w:cs="Times New Roman"/>
          <w:i/>
          <w:iCs/>
          <w:sz w:val="20"/>
          <w:szCs w:val="20"/>
        </w:rPr>
        <w:t>CL</w:t>
      </w:r>
      <w:r w:rsidRPr="00F02507">
        <w:rPr>
          <w:rFonts w:ascii="Times New Roman" w:eastAsia="ＭＳ 明朝" w:hAnsi="Times New Roman" w:cs="Times New Roman"/>
          <w:i/>
          <w:iCs/>
          <w:sz w:val="20"/>
          <w:szCs w:val="20"/>
          <w:vertAlign w:val="subscript"/>
        </w:rPr>
        <w:t>int</w:t>
      </w:r>
      <w:proofErr w:type="spellEnd"/>
      <w:r w:rsidRPr="00F02507">
        <w:rPr>
          <w:rFonts w:ascii="Times New Roman" w:eastAsia="ＭＳ 明朝" w:hAnsi="Times New Roman" w:cs="Times New Roman"/>
          <w:i/>
          <w:iCs/>
          <w:sz w:val="20"/>
          <w:szCs w:val="20"/>
        </w:rPr>
        <w:t>.</w:t>
      </w:r>
    </w:p>
    <w:p w14:paraId="73F6EEC9" w14:textId="79AFB3E9" w:rsidR="00705B78" w:rsidRPr="000E1337" w:rsidRDefault="005637BF" w:rsidP="005637BF">
      <w:pPr>
        <w:rPr>
          <w:rFonts w:asciiTheme="majorBidi" w:hAnsiTheme="majorBidi" w:cstheme="majorBidi"/>
          <w:i/>
          <w:iCs/>
          <w:sz w:val="20"/>
          <w:szCs w:val="20"/>
        </w:rPr>
      </w:pPr>
      <w:r w:rsidRPr="000E1337">
        <w:rPr>
          <w:rFonts w:asciiTheme="majorBidi" w:hAnsiTheme="majorBidi" w:cstheme="majorBidi"/>
          <w:i/>
          <w:iCs/>
          <w:sz w:val="20"/>
          <w:szCs w:val="20"/>
        </w:rPr>
        <w:br w:type="page"/>
      </w:r>
    </w:p>
    <w:p w14:paraId="1341CB4A" w14:textId="3C86546B" w:rsidR="00A47C20" w:rsidRPr="000E1337" w:rsidRDefault="00A47C20" w:rsidP="00D77762">
      <w:pPr>
        <w:spacing w:after="0" w:line="360" w:lineRule="auto"/>
        <w:rPr>
          <w:rFonts w:asciiTheme="majorBidi" w:hAnsiTheme="majorBidi" w:cstheme="majorBidi"/>
        </w:rPr>
      </w:pPr>
      <w:bookmarkStart w:id="6" w:name="_Hlk162569809"/>
      <w:r w:rsidRPr="000E1337">
        <w:rPr>
          <w:rFonts w:asciiTheme="majorBidi" w:hAnsiTheme="majorBidi" w:cstheme="majorBidi"/>
          <w:b/>
          <w:bCs/>
        </w:rPr>
        <w:lastRenderedPageBreak/>
        <w:t>Table S</w:t>
      </w:r>
      <w:r w:rsidR="00705B78" w:rsidRPr="000E1337">
        <w:rPr>
          <w:rFonts w:asciiTheme="majorBidi" w:hAnsiTheme="majorBidi" w:cstheme="majorBidi"/>
          <w:b/>
          <w:bCs/>
        </w:rPr>
        <w:t>2</w:t>
      </w:r>
      <w:r w:rsidRPr="000E1337">
        <w:rPr>
          <w:rFonts w:asciiTheme="majorBidi" w:hAnsiTheme="majorBidi" w:cstheme="majorBidi"/>
          <w:b/>
          <w:bCs/>
        </w:rPr>
        <w:t xml:space="preserve">. </w:t>
      </w:r>
      <w:r w:rsidR="008D7A42" w:rsidRPr="000E1337">
        <w:rPr>
          <w:rFonts w:asciiTheme="majorBidi" w:hAnsiTheme="majorBidi" w:cstheme="majorBidi"/>
          <w:b/>
          <w:bCs/>
        </w:rPr>
        <w:t>Tissue-</w:t>
      </w:r>
      <w:r w:rsidR="00C20041" w:rsidRPr="000E1337">
        <w:rPr>
          <w:rFonts w:asciiTheme="majorBidi" w:hAnsiTheme="majorBidi" w:cstheme="majorBidi"/>
          <w:b/>
          <w:bCs/>
        </w:rPr>
        <w:t>s</w:t>
      </w:r>
      <w:r w:rsidR="008D7A42" w:rsidRPr="000E1337">
        <w:rPr>
          <w:rFonts w:asciiTheme="majorBidi" w:hAnsiTheme="majorBidi" w:cstheme="majorBidi"/>
          <w:b/>
          <w:bCs/>
        </w:rPr>
        <w:t xml:space="preserve">pecific </w:t>
      </w:r>
      <w:r w:rsidR="00C20041" w:rsidRPr="000E1337">
        <w:rPr>
          <w:rFonts w:asciiTheme="majorBidi" w:hAnsiTheme="majorBidi" w:cstheme="majorBidi"/>
          <w:b/>
          <w:bCs/>
        </w:rPr>
        <w:t>p</w:t>
      </w:r>
      <w:r w:rsidR="008D7A42" w:rsidRPr="000E1337">
        <w:rPr>
          <w:rFonts w:asciiTheme="majorBidi" w:hAnsiTheme="majorBidi" w:cstheme="majorBidi"/>
          <w:b/>
          <w:bCs/>
        </w:rPr>
        <w:t xml:space="preserve">artition </w:t>
      </w:r>
      <w:r w:rsidR="00C20041" w:rsidRPr="000E1337">
        <w:rPr>
          <w:rFonts w:asciiTheme="majorBidi" w:hAnsiTheme="majorBidi" w:cstheme="majorBidi"/>
          <w:b/>
          <w:bCs/>
        </w:rPr>
        <w:t>c</w:t>
      </w:r>
      <w:r w:rsidR="008D7A42" w:rsidRPr="000E1337">
        <w:rPr>
          <w:rFonts w:asciiTheme="majorBidi" w:hAnsiTheme="majorBidi" w:cstheme="majorBidi"/>
          <w:b/>
          <w:bCs/>
        </w:rPr>
        <w:t>oefficients (</w:t>
      </w:r>
      <w:proofErr w:type="spellStart"/>
      <w:r w:rsidR="008D7A42" w:rsidRPr="000E1337">
        <w:rPr>
          <w:rFonts w:asciiTheme="majorBidi" w:hAnsiTheme="majorBidi" w:cstheme="majorBidi"/>
          <w:b/>
          <w:bCs/>
        </w:rPr>
        <w:t>Kp</w:t>
      </w:r>
      <w:proofErr w:type="spellEnd"/>
      <w:r w:rsidR="008D7A42" w:rsidRPr="000E1337">
        <w:rPr>
          <w:rFonts w:asciiTheme="majorBidi" w:hAnsiTheme="majorBidi" w:cstheme="majorBidi"/>
          <w:b/>
          <w:bCs/>
        </w:rPr>
        <w:t xml:space="preserve">) for </w:t>
      </w:r>
      <w:r w:rsidR="00C20041" w:rsidRPr="000E1337">
        <w:rPr>
          <w:rFonts w:asciiTheme="majorBidi" w:hAnsiTheme="majorBidi" w:cstheme="majorBidi"/>
          <w:b/>
          <w:bCs/>
        </w:rPr>
        <w:t>f</w:t>
      </w:r>
      <w:r w:rsidR="008D7A42" w:rsidRPr="000E1337">
        <w:rPr>
          <w:rFonts w:asciiTheme="majorBidi" w:hAnsiTheme="majorBidi" w:cstheme="majorBidi"/>
          <w:b/>
          <w:bCs/>
        </w:rPr>
        <w:t xml:space="preserve">entanyl in </w:t>
      </w:r>
      <w:r w:rsidR="00C20041" w:rsidRPr="000E1337">
        <w:rPr>
          <w:rFonts w:asciiTheme="majorBidi" w:hAnsiTheme="majorBidi" w:cstheme="majorBidi"/>
          <w:b/>
          <w:bCs/>
        </w:rPr>
        <w:t>a</w:t>
      </w:r>
      <w:r w:rsidR="008D7A42" w:rsidRPr="000E1337">
        <w:rPr>
          <w:rFonts w:asciiTheme="majorBidi" w:hAnsiTheme="majorBidi" w:cstheme="majorBidi"/>
          <w:b/>
          <w:bCs/>
        </w:rPr>
        <w:t xml:space="preserve">dult PBPK </w:t>
      </w:r>
      <w:r w:rsidR="00C20041" w:rsidRPr="000E1337">
        <w:rPr>
          <w:rFonts w:asciiTheme="majorBidi" w:hAnsiTheme="majorBidi" w:cstheme="majorBidi"/>
          <w:b/>
          <w:bCs/>
        </w:rPr>
        <w:t>m</w:t>
      </w:r>
      <w:r w:rsidR="008D7A42" w:rsidRPr="000E1337">
        <w:rPr>
          <w:rFonts w:asciiTheme="majorBidi" w:hAnsiTheme="majorBidi" w:cstheme="majorBidi"/>
          <w:b/>
          <w:bCs/>
        </w:rPr>
        <w:t xml:space="preserve">odel </w:t>
      </w:r>
      <w:r w:rsidR="00025C6A" w:rsidRPr="000E1337">
        <w:rPr>
          <w:rFonts w:asciiTheme="majorBidi" w:hAnsiTheme="majorBidi" w:cstheme="majorBidi"/>
          <w:sz w:val="20"/>
        </w:rPr>
        <w:fldChar w:fldCharType="begin"/>
      </w:r>
      <w:r w:rsidR="00D77762" w:rsidRPr="000E1337">
        <w:rPr>
          <w:rFonts w:asciiTheme="majorBidi" w:hAnsiTheme="majorBidi" w:cstheme="majorBidi"/>
          <w:sz w:val="20"/>
        </w:rPr>
        <w:instrText xml:space="preserve"> ADDIN ZOTERO_ITEM CSL_CITATION {"citationID":"JNWl4WqH","properties":{"formattedCitation":"[4]","plainCitation":"[4]","noteIndex":0},"citationItems":[{"id":19,"uris":["http://zotero.org/users/local/J5Cy8xXX/items/6VUFV7AP"],"itemData":{"id":19,"type":"article-journal","abstract":"Physiologically based pharmacokinetic (PBPK) models can be used to predict drug disposition in humans from animal data and the influence of disease or other changes in physiology on the pharmacokinetics of a drug. The potential usefulness of a PBPK model must however be balanced against the considerable effort needed for its development. Proposed methods to simplify PBPK modeling include predicting the necessary tissue:blood partition coefficients (kp) from physicochemical data on the drug instead of determining them in vivo, formal lumping of model compartments, and replacing the various kp values of the organs and tissues by only two values, for \"fat\" and \"lean\" tissues, respectively. The aim of this study was to investigate the effects of simplifying complex PBPK models on their ability to predict drug disposition in humans. Arterial plasma concentration curves of fentanyl and pethidine were simulated by means of a number of successively reduced models. Median absolute prediction errors were used to evaluate the performance of each model, in relation to arterial plasma concentration data from clinical studies, and the Wilcoxon matched pairs test was used for comparison of predictions. An originally diffusion-limited model for fentanyl was simplified to perfusion-limitation, and this model was either lumped, reducing 11 organ/tissue compartments to six, or changed to a model based on only two kp values, those of fat (used for fat and lungs) and muscle (used for all other tissues). None of these simplifications appreciably changed the predictions of arterial drug concentrations in the 10 patients. Perfusion-limited models for pethidine were set up using either experimentally determined [Gabrielsson et al. 1986] or theoretically calculated [Davis and Mapleson 1993] kp values, and predictions using the former were found to be significantly better. Lumping of the models did not appreciably change the predictions; however, going from a full set of kp values to only two (\"fat\" and \"lean\") had an adverse effect. Using a kp for lungs determined either in rats or indirectly in humans [Persson et al. 1988], i.e., a total of three kp values, improved these predictions. In conclusion, this study strongly suggested that complex PBPK models for lipophilic basic drugs may be considerably reduced with marginal loss of power to predict standard plasma pharmacokinetics in humans. Determination of only two or three kp values instead of a \"full\" set can mean an important reduction of experimental work to define a basic model. Organs of particular pharmacological or toxicological interest should of course be investigated separately as needed. This study also suggests and applies a simple method for statistical evaluation of the predictions of PBPK models.","container-title":"Journal of Pharmacokinetics and Pharmacodynamics","DOI":"10.1023/a:1026194618660","ISSN":"1567-567X","issue":"4","journalAbbreviation":"J Pharmacokinet Pharmacodyn","language":"eng","note":"PMID: 14650375","page":"285-307","source":"PubMed","title":"Reduction and lumping of physiologically based pharmacokinetic models: prediction of the disposition of fentanyl and pethidine in humans by successively simplified models","title-short":"Reduction and lumping of physiologically based pharmacokinetic models","volume":"30","author":[{"family":"Björkman","given":"Sven"}],"issued":{"date-parts":[["2003",8]]}}}],"schema":"https://github.com/citation-style-language/schema/raw/master/csl-citation.json"} </w:instrText>
      </w:r>
      <w:r w:rsidR="00025C6A" w:rsidRPr="000E1337">
        <w:rPr>
          <w:rFonts w:asciiTheme="majorBidi" w:hAnsiTheme="majorBidi" w:cstheme="majorBidi"/>
          <w:sz w:val="20"/>
        </w:rPr>
        <w:fldChar w:fldCharType="separate"/>
      </w:r>
      <w:r w:rsidR="00D77762" w:rsidRPr="008A707E">
        <w:rPr>
          <w:rFonts w:asciiTheme="majorBidi" w:hAnsiTheme="majorBidi" w:cstheme="majorBidi"/>
          <w:sz w:val="20"/>
        </w:rPr>
        <w:t>[4]</w:t>
      </w:r>
      <w:r w:rsidR="00025C6A" w:rsidRPr="000E1337">
        <w:rPr>
          <w:rFonts w:asciiTheme="majorBidi" w:hAnsiTheme="majorBidi" w:cstheme="majorBidi"/>
          <w:sz w:val="20"/>
        </w:rPr>
        <w:fldChar w:fldCharType="end"/>
      </w:r>
    </w:p>
    <w:tbl>
      <w:tblPr>
        <w:tblStyle w:val="21"/>
        <w:tblW w:w="3348" w:type="dxa"/>
        <w:tblInd w:w="1707" w:type="dxa"/>
        <w:tblBorders>
          <w:top w:val="none" w:sz="0" w:space="0" w:color="auto"/>
          <w:bottom w:val="none" w:sz="0" w:space="0" w:color="auto"/>
        </w:tblBorders>
        <w:tblLook w:val="04A0" w:firstRow="1" w:lastRow="0" w:firstColumn="1" w:lastColumn="0" w:noHBand="0" w:noVBand="1"/>
      </w:tblPr>
      <w:tblGrid>
        <w:gridCol w:w="2133"/>
        <w:gridCol w:w="1215"/>
      </w:tblGrid>
      <w:tr w:rsidR="00A47C20" w:rsidRPr="000E1337" w14:paraId="338ADE47" w14:textId="77777777" w:rsidTr="002343D9">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bottom w:val="none" w:sz="0" w:space="0" w:color="auto"/>
            </w:tcBorders>
            <w:noWrap/>
            <w:hideMark/>
          </w:tcPr>
          <w:bookmarkEnd w:id="6"/>
          <w:p w14:paraId="40F421F5"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Adipose</w:t>
            </w:r>
          </w:p>
        </w:tc>
        <w:tc>
          <w:tcPr>
            <w:tcW w:w="0" w:type="dxa"/>
            <w:tcBorders>
              <w:top w:val="single" w:sz="12" w:space="0" w:color="auto"/>
              <w:bottom w:val="none" w:sz="0" w:space="0" w:color="auto"/>
            </w:tcBorders>
            <w:noWrap/>
            <w:hideMark/>
          </w:tcPr>
          <w:p w14:paraId="70C79422" w14:textId="2C48C3FF" w:rsidR="00A47C20" w:rsidRPr="000E1337" w:rsidRDefault="00A47C20" w:rsidP="006830AE">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b w:val="0"/>
                <w:bCs w:val="0"/>
                <w:color w:val="000000"/>
                <w:sz w:val="20"/>
                <w:szCs w:val="20"/>
              </w:rPr>
              <w:t>26.7</w:t>
            </w:r>
          </w:p>
        </w:tc>
      </w:tr>
      <w:tr w:rsidR="00A47C20" w:rsidRPr="000E1337" w14:paraId="6BA41B9F" w14:textId="77777777" w:rsidTr="002343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noWrap/>
            <w:hideMark/>
          </w:tcPr>
          <w:p w14:paraId="5B413A43"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Bone</w:t>
            </w:r>
          </w:p>
        </w:tc>
        <w:tc>
          <w:tcPr>
            <w:tcW w:w="0" w:type="dxa"/>
            <w:tcBorders>
              <w:top w:val="none" w:sz="0" w:space="0" w:color="auto"/>
              <w:bottom w:val="none" w:sz="0" w:space="0" w:color="auto"/>
            </w:tcBorders>
            <w:noWrap/>
            <w:hideMark/>
          </w:tcPr>
          <w:p w14:paraId="7064F1FB" w14:textId="09B1287F" w:rsidR="00A47C20" w:rsidRPr="000E1337" w:rsidRDefault="00A47C20" w:rsidP="006830AE">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1.00</w:t>
            </w:r>
          </w:p>
        </w:tc>
      </w:tr>
      <w:tr w:rsidR="00A47C20" w:rsidRPr="000E1337" w14:paraId="5B301AAB" w14:textId="77777777" w:rsidTr="002343D9">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2F620D21"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Brain</w:t>
            </w:r>
          </w:p>
        </w:tc>
        <w:tc>
          <w:tcPr>
            <w:tcW w:w="0" w:type="dxa"/>
            <w:noWrap/>
            <w:hideMark/>
          </w:tcPr>
          <w:p w14:paraId="5F9E6907" w14:textId="6C6B5106" w:rsidR="00A47C20" w:rsidRPr="000E1337" w:rsidRDefault="00A47C20" w:rsidP="006830AE">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3.50</w:t>
            </w:r>
          </w:p>
        </w:tc>
      </w:tr>
      <w:tr w:rsidR="00A47C20" w:rsidRPr="000E1337" w14:paraId="3336E47A" w14:textId="77777777" w:rsidTr="002343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noWrap/>
            <w:hideMark/>
          </w:tcPr>
          <w:p w14:paraId="7C8DA6FA"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Gut</w:t>
            </w:r>
          </w:p>
        </w:tc>
        <w:tc>
          <w:tcPr>
            <w:tcW w:w="0" w:type="dxa"/>
            <w:tcBorders>
              <w:top w:val="none" w:sz="0" w:space="0" w:color="auto"/>
              <w:bottom w:val="none" w:sz="0" w:space="0" w:color="auto"/>
            </w:tcBorders>
            <w:noWrap/>
            <w:hideMark/>
          </w:tcPr>
          <w:p w14:paraId="614BC7A5" w14:textId="6C10388E" w:rsidR="00A47C20" w:rsidRPr="000E1337" w:rsidRDefault="00A47C20" w:rsidP="006830AE">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8.40</w:t>
            </w:r>
          </w:p>
        </w:tc>
      </w:tr>
      <w:tr w:rsidR="00A47C20" w:rsidRPr="000E1337" w14:paraId="694255AA" w14:textId="77777777" w:rsidTr="002343D9">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78829805"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Heart</w:t>
            </w:r>
          </w:p>
        </w:tc>
        <w:tc>
          <w:tcPr>
            <w:tcW w:w="0" w:type="dxa"/>
            <w:noWrap/>
            <w:hideMark/>
          </w:tcPr>
          <w:p w14:paraId="450EF10D" w14:textId="455696A6" w:rsidR="00A47C20" w:rsidRPr="000E1337" w:rsidRDefault="00A47C20" w:rsidP="006830AE">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4.50</w:t>
            </w:r>
          </w:p>
        </w:tc>
      </w:tr>
      <w:tr w:rsidR="00A47C20" w:rsidRPr="000E1337" w14:paraId="23ABBF47" w14:textId="77777777" w:rsidTr="002343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noWrap/>
            <w:hideMark/>
          </w:tcPr>
          <w:p w14:paraId="62DC9E12"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Kidney</w:t>
            </w:r>
          </w:p>
        </w:tc>
        <w:tc>
          <w:tcPr>
            <w:tcW w:w="0" w:type="dxa"/>
            <w:tcBorders>
              <w:top w:val="none" w:sz="0" w:space="0" w:color="auto"/>
              <w:bottom w:val="none" w:sz="0" w:space="0" w:color="auto"/>
            </w:tcBorders>
            <w:noWrap/>
            <w:hideMark/>
          </w:tcPr>
          <w:p w14:paraId="44A9082F" w14:textId="7E93D890" w:rsidR="00A47C20" w:rsidRPr="000E1337" w:rsidRDefault="00A47C20" w:rsidP="006830AE">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12.1</w:t>
            </w:r>
          </w:p>
        </w:tc>
      </w:tr>
      <w:tr w:rsidR="00A47C20" w:rsidRPr="000E1337" w14:paraId="2AE98EFD" w14:textId="77777777" w:rsidTr="002343D9">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2AEFA295"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Liver</w:t>
            </w:r>
          </w:p>
        </w:tc>
        <w:tc>
          <w:tcPr>
            <w:tcW w:w="0" w:type="dxa"/>
            <w:noWrap/>
            <w:hideMark/>
          </w:tcPr>
          <w:p w14:paraId="463CF0AA" w14:textId="56FA8DAF" w:rsidR="00A47C20" w:rsidRPr="000E1337" w:rsidRDefault="00A47C20" w:rsidP="006830AE">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3.80</w:t>
            </w:r>
          </w:p>
        </w:tc>
      </w:tr>
      <w:tr w:rsidR="00A47C20" w:rsidRPr="000E1337" w14:paraId="765C49A9" w14:textId="77777777" w:rsidTr="002343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noWrap/>
            <w:hideMark/>
          </w:tcPr>
          <w:p w14:paraId="240B2DB3"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Lung</w:t>
            </w:r>
          </w:p>
        </w:tc>
        <w:tc>
          <w:tcPr>
            <w:tcW w:w="0" w:type="dxa"/>
            <w:tcBorders>
              <w:top w:val="none" w:sz="0" w:space="0" w:color="auto"/>
              <w:bottom w:val="none" w:sz="0" w:space="0" w:color="auto"/>
            </w:tcBorders>
            <w:noWrap/>
            <w:hideMark/>
          </w:tcPr>
          <w:p w14:paraId="5BE4DF6D" w14:textId="08E7FEBB" w:rsidR="00A47C20" w:rsidRPr="000E1337" w:rsidRDefault="00A47C20" w:rsidP="006830AE">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13.5</w:t>
            </w:r>
          </w:p>
        </w:tc>
      </w:tr>
      <w:tr w:rsidR="00A47C20" w:rsidRPr="000E1337" w14:paraId="232284F0" w14:textId="77777777" w:rsidTr="002343D9">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66A95886"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Muscle</w:t>
            </w:r>
          </w:p>
        </w:tc>
        <w:tc>
          <w:tcPr>
            <w:tcW w:w="0" w:type="dxa"/>
            <w:noWrap/>
            <w:hideMark/>
          </w:tcPr>
          <w:p w14:paraId="09B5EBC4" w14:textId="3F3CB5CC" w:rsidR="00A47C20" w:rsidRPr="000E1337" w:rsidRDefault="00A47C20" w:rsidP="006830AE">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3.10</w:t>
            </w:r>
          </w:p>
        </w:tc>
      </w:tr>
      <w:tr w:rsidR="00A47C20" w:rsidRPr="000E1337" w14:paraId="64610A56" w14:textId="77777777" w:rsidTr="002343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tcBorders>
            <w:noWrap/>
            <w:hideMark/>
          </w:tcPr>
          <w:p w14:paraId="2F6E1554"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Skin</w:t>
            </w:r>
          </w:p>
        </w:tc>
        <w:tc>
          <w:tcPr>
            <w:tcW w:w="0" w:type="dxa"/>
            <w:tcBorders>
              <w:top w:val="none" w:sz="0" w:space="0" w:color="auto"/>
              <w:bottom w:val="none" w:sz="0" w:space="0" w:color="auto"/>
            </w:tcBorders>
            <w:noWrap/>
            <w:hideMark/>
          </w:tcPr>
          <w:p w14:paraId="2D34F9D4" w14:textId="17172FCC" w:rsidR="00A47C20" w:rsidRPr="000E1337" w:rsidRDefault="00A47C20" w:rsidP="006830AE">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2.10</w:t>
            </w:r>
          </w:p>
        </w:tc>
      </w:tr>
      <w:tr w:rsidR="00A47C20" w:rsidRPr="000E1337" w14:paraId="2584356C" w14:textId="77777777" w:rsidTr="002343D9">
        <w:trPr>
          <w:trHeight w:val="288"/>
        </w:trPr>
        <w:tc>
          <w:tcPr>
            <w:cnfStyle w:val="001000000000" w:firstRow="0" w:lastRow="0" w:firstColumn="1" w:lastColumn="0" w:oddVBand="0" w:evenVBand="0" w:oddHBand="0" w:evenHBand="0" w:firstRowFirstColumn="0" w:firstRowLastColumn="0" w:lastRowFirstColumn="0" w:lastRowLastColumn="0"/>
            <w:tcW w:w="0" w:type="dxa"/>
            <w:noWrap/>
            <w:hideMark/>
          </w:tcPr>
          <w:p w14:paraId="49AD895F"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Spleen</w:t>
            </w:r>
          </w:p>
        </w:tc>
        <w:tc>
          <w:tcPr>
            <w:tcW w:w="0" w:type="dxa"/>
            <w:noWrap/>
            <w:hideMark/>
          </w:tcPr>
          <w:p w14:paraId="217BCD6B" w14:textId="47240D7F" w:rsidR="00A47C20" w:rsidRPr="000E1337" w:rsidRDefault="00A47C20" w:rsidP="006830AE">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27.6</w:t>
            </w:r>
          </w:p>
        </w:tc>
      </w:tr>
      <w:tr w:rsidR="00A47C20" w:rsidRPr="000E1337" w14:paraId="5F666518" w14:textId="77777777" w:rsidTr="002343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single" w:sz="12" w:space="0" w:color="auto"/>
            </w:tcBorders>
            <w:noWrap/>
            <w:hideMark/>
          </w:tcPr>
          <w:p w14:paraId="28FB82BB" w14:textId="77777777" w:rsidR="00A47C20" w:rsidRPr="000E1337" w:rsidRDefault="00A47C20" w:rsidP="006830AE">
            <w:pPr>
              <w:rPr>
                <w:rFonts w:asciiTheme="majorBidi" w:eastAsia="Times New Roman" w:hAnsiTheme="majorBidi" w:cstheme="majorBidi"/>
                <w:b w:val="0"/>
                <w:bCs w:val="0"/>
                <w:color w:val="000000"/>
                <w:sz w:val="20"/>
                <w:szCs w:val="20"/>
              </w:rPr>
            </w:pPr>
            <w:r w:rsidRPr="000E1337">
              <w:rPr>
                <w:rFonts w:asciiTheme="majorBidi" w:eastAsia="Times New Roman" w:hAnsiTheme="majorBidi" w:cstheme="majorBidi"/>
                <w:color w:val="000000"/>
                <w:sz w:val="20"/>
                <w:szCs w:val="20"/>
              </w:rPr>
              <w:t>Pancreas</w:t>
            </w:r>
          </w:p>
        </w:tc>
        <w:tc>
          <w:tcPr>
            <w:tcW w:w="0" w:type="dxa"/>
            <w:tcBorders>
              <w:top w:val="none" w:sz="0" w:space="0" w:color="auto"/>
              <w:bottom w:val="single" w:sz="12" w:space="0" w:color="auto"/>
            </w:tcBorders>
            <w:noWrap/>
            <w:hideMark/>
          </w:tcPr>
          <w:p w14:paraId="53D2F74F" w14:textId="4D269881" w:rsidR="00A47C20" w:rsidRPr="000E1337" w:rsidRDefault="00A47C20" w:rsidP="006830AE">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0"/>
                <w:szCs w:val="20"/>
              </w:rPr>
            </w:pPr>
            <w:r w:rsidRPr="000E1337">
              <w:rPr>
                <w:rFonts w:asciiTheme="majorBidi" w:eastAsia="Times New Roman" w:hAnsiTheme="majorBidi" w:cstheme="majorBidi"/>
                <w:color w:val="000000"/>
                <w:sz w:val="20"/>
                <w:szCs w:val="20"/>
              </w:rPr>
              <w:t>21.3</w:t>
            </w:r>
          </w:p>
        </w:tc>
      </w:tr>
    </w:tbl>
    <w:p w14:paraId="2A0A40C7" w14:textId="4745B222" w:rsidR="005637BF" w:rsidRPr="000E1337" w:rsidRDefault="005637BF" w:rsidP="002406BD">
      <w:pPr>
        <w:spacing w:after="0" w:line="240" w:lineRule="auto"/>
        <w:jc w:val="center"/>
        <w:rPr>
          <w:rFonts w:asciiTheme="majorBidi" w:hAnsiTheme="majorBidi" w:cstheme="majorBidi"/>
          <w:sz w:val="20"/>
          <w:szCs w:val="20"/>
        </w:rPr>
      </w:pPr>
    </w:p>
    <w:p w14:paraId="57CF8C28" w14:textId="77777777" w:rsidR="005637BF" w:rsidRPr="000E1337" w:rsidRDefault="005637BF">
      <w:pPr>
        <w:rPr>
          <w:rFonts w:asciiTheme="majorBidi" w:hAnsiTheme="majorBidi" w:cstheme="majorBidi"/>
          <w:sz w:val="20"/>
          <w:szCs w:val="20"/>
        </w:rPr>
      </w:pPr>
      <w:r w:rsidRPr="000E1337">
        <w:rPr>
          <w:rFonts w:asciiTheme="majorBidi" w:hAnsiTheme="majorBidi" w:cstheme="majorBidi"/>
          <w:sz w:val="20"/>
          <w:szCs w:val="20"/>
        </w:rPr>
        <w:br w:type="page"/>
      </w:r>
    </w:p>
    <w:p w14:paraId="4A03F0C9" w14:textId="0904AF7A" w:rsidR="00705B78" w:rsidRPr="000E1337" w:rsidRDefault="00502B41" w:rsidP="00D77762">
      <w:pPr>
        <w:spacing w:after="0" w:line="240" w:lineRule="auto"/>
        <w:rPr>
          <w:rFonts w:asciiTheme="majorBidi" w:hAnsiTheme="majorBidi" w:cstheme="majorBidi"/>
          <w:b/>
          <w:bCs/>
        </w:rPr>
      </w:pPr>
      <w:r w:rsidRPr="000E1337">
        <w:rPr>
          <w:rFonts w:asciiTheme="majorBidi" w:hAnsiTheme="majorBidi" w:cstheme="majorBidi"/>
          <w:b/>
          <w:bCs/>
        </w:rPr>
        <w:lastRenderedPageBreak/>
        <w:t>Table S3.</w:t>
      </w:r>
      <w:r w:rsidRPr="000E1337">
        <w:rPr>
          <w:rFonts w:asciiTheme="majorBidi" w:eastAsia="Times New Roman" w:hAnsiTheme="majorBidi" w:cstheme="majorBidi"/>
          <w:b/>
          <w:bCs/>
          <w:i/>
          <w:iCs/>
          <w:color w:val="E8E8E6"/>
          <w:sz w:val="36"/>
          <w:szCs w:val="36"/>
        </w:rPr>
        <w:t xml:space="preserve"> </w:t>
      </w:r>
      <w:r w:rsidRPr="000E1337">
        <w:rPr>
          <w:rFonts w:asciiTheme="majorBidi" w:hAnsiTheme="majorBidi" w:cstheme="majorBidi"/>
          <w:b/>
          <w:bCs/>
        </w:rPr>
        <w:t xml:space="preserve">Ontogeny </w:t>
      </w:r>
      <w:r w:rsidR="00C20041" w:rsidRPr="000E1337">
        <w:rPr>
          <w:rFonts w:asciiTheme="majorBidi" w:hAnsiTheme="majorBidi" w:cstheme="majorBidi"/>
          <w:b/>
          <w:bCs/>
        </w:rPr>
        <w:t>p</w:t>
      </w:r>
      <w:r w:rsidRPr="000E1337">
        <w:rPr>
          <w:rFonts w:asciiTheme="majorBidi" w:hAnsiTheme="majorBidi" w:cstheme="majorBidi"/>
          <w:b/>
          <w:bCs/>
        </w:rPr>
        <w:t xml:space="preserve">arameters for CYP3A </w:t>
      </w:r>
      <w:r w:rsidR="00C20041" w:rsidRPr="000E1337">
        <w:rPr>
          <w:rFonts w:asciiTheme="majorBidi" w:hAnsiTheme="majorBidi" w:cstheme="majorBidi"/>
          <w:b/>
          <w:bCs/>
        </w:rPr>
        <w:t>e</w:t>
      </w:r>
      <w:r w:rsidRPr="000E1337">
        <w:rPr>
          <w:rFonts w:asciiTheme="majorBidi" w:hAnsiTheme="majorBidi" w:cstheme="majorBidi"/>
          <w:b/>
          <w:bCs/>
        </w:rPr>
        <w:t xml:space="preserve">nzymes in </w:t>
      </w:r>
      <w:r w:rsidR="00C20041" w:rsidRPr="000E1337">
        <w:rPr>
          <w:rFonts w:asciiTheme="majorBidi" w:hAnsiTheme="majorBidi" w:cstheme="majorBidi"/>
          <w:b/>
          <w:bCs/>
        </w:rPr>
        <w:t>p</w:t>
      </w:r>
      <w:r w:rsidRPr="000E1337">
        <w:rPr>
          <w:rFonts w:asciiTheme="majorBidi" w:hAnsiTheme="majorBidi" w:cstheme="majorBidi"/>
          <w:b/>
          <w:bCs/>
        </w:rPr>
        <w:t xml:space="preserve">ediatric and </w:t>
      </w:r>
      <w:r w:rsidR="00C20041" w:rsidRPr="000E1337">
        <w:rPr>
          <w:rFonts w:asciiTheme="majorBidi" w:hAnsiTheme="majorBidi" w:cstheme="majorBidi"/>
          <w:b/>
          <w:bCs/>
        </w:rPr>
        <w:t>p</w:t>
      </w:r>
      <w:r w:rsidRPr="000E1337">
        <w:rPr>
          <w:rFonts w:asciiTheme="majorBidi" w:hAnsiTheme="majorBidi" w:cstheme="majorBidi"/>
          <w:b/>
          <w:bCs/>
        </w:rPr>
        <w:t xml:space="preserve">reterm </w:t>
      </w:r>
      <w:r w:rsidR="00C20041" w:rsidRPr="000E1337">
        <w:rPr>
          <w:rFonts w:asciiTheme="majorBidi" w:hAnsiTheme="majorBidi" w:cstheme="majorBidi"/>
          <w:b/>
          <w:bCs/>
        </w:rPr>
        <w:t>p</w:t>
      </w:r>
      <w:r w:rsidRPr="000E1337">
        <w:rPr>
          <w:rFonts w:asciiTheme="majorBidi" w:hAnsiTheme="majorBidi" w:cstheme="majorBidi"/>
          <w:b/>
          <w:bCs/>
        </w:rPr>
        <w:t>opulations</w:t>
      </w:r>
      <w:r w:rsidR="00025C6A" w:rsidRPr="000E1337">
        <w:rPr>
          <w:rFonts w:asciiTheme="majorBidi" w:hAnsiTheme="majorBidi" w:cstheme="majorBidi"/>
          <w:b/>
          <w:bCs/>
        </w:rPr>
        <w:t xml:space="preserve"> </w:t>
      </w:r>
      <w:r w:rsidR="00025C6A" w:rsidRPr="000E1337">
        <w:rPr>
          <w:rFonts w:asciiTheme="majorBidi" w:hAnsiTheme="majorBidi" w:cstheme="majorBidi"/>
        </w:rPr>
        <w:fldChar w:fldCharType="begin"/>
      </w:r>
      <w:r w:rsidR="00D77762" w:rsidRPr="000E1337">
        <w:rPr>
          <w:rFonts w:asciiTheme="majorBidi" w:hAnsiTheme="majorBidi" w:cstheme="majorBidi"/>
        </w:rPr>
        <w:instrText xml:space="preserve"> ADDIN ZOTERO_ITEM CSL_CITATION {"citationID":"am880bts69","properties":{"formattedCitation":"[11,12]","plainCitation":"[11,12]","noteIndex":0},"citationItems":[{"id":50,"uris":["http://zotero.org/users/local/J5Cy8xXX/items/QNE3GE2E"],"itemData":{"id":50,"type":"article-journal","abstract":"The magnitude of any metabolic drug-drug interactions (DDIs) depends on fractional importance of inhibited pathway which may not necessarily be the same in young children when compared to adults. The ontogeny pattern of cytochrome P450 (CYP) enzymes (CYPs 1A2, 2B6, 2C8, 2C9, 2C18/19, 2D6, 2E1, 3A4) and renal function were analyzed systematically. Bootstrap methodology was used to account for variability, and to define the age range over which statistical differences existed between each pair of specific pathways. A number of DDIs were simulated (Simcyp Pediatric v12) for virtual compounds to highlight effects of age on fractional elimination and consequent magnitude of DDI. For a theoretical drug metabolized 50% by each of CYP2D6 and CYP3A4 pathways at birth, co-administration of ketoconazole (3 mg/kg) resulted in a 1.65-fold difference between inhibited versus uninhibited AUC compared to 2.4-fold in 1 year olds and 3.2-fold in adults. Conversely, neonates could be more sensitive to DDI than adults in certain scenarios. Thus, extrapolation from adult data may not be applicable across all pediatric age groups. The use of pediatric physiologically based pharmacokinetic (p-PBPK) models may offer an interim solution to uncovering potential periods of vulnerability to DDI where there are no existing clinical data derived from children.","container-title":"Journal of Clinical Pharmacology","DOI":"10.1002/jcph.100","ISSN":"1552-4604","issue":"8","journalAbbreviation":"J Clin Pharmacol","language":"eng","note":"PMID: 23720017","page":"857-865","source":"PubMed","title":"Age related changes in fractional elimination pathways for drugs: assessing the impact of variable ontogeny on metabolic drug-drug interactions","title-short":"Age related changes in fractional elimination pathways for drugs","volume":"53","author":[{"family":"Salem","given":"Farzaneh"},{"family":"Johnson","given":"Trevor N."},{"family":"Barter","given":"Zoe E."},{"family":"Leeder","given":"J. Steven"},{"family":"Rostami-Hodjegan","given":"Amin"}],"issued":{"date-parts":[["2013",8]]}}},{"id":"NzKo45Wf/NqRNxD4k","uris":["http://zotero.org/users/6482121/items/BZTQ6QEN"],"itemData":{"id":2593,"type":"article-journal","abstract":"The human cytochromes P450 (P450) CYP3A contribute to the biotransformation of 50% of oxidatively metabolized drugs. The predominant hepatic form is CYP3A4, but recent evidence indicates that CYP3A5 contributes more significantly to the total liver CYP3A than was originally thought. CYP3A7 is the major fetal form and is rarely expressed in adults. To compare the metabolic capabilities of CYP3A forms for 10 substrates, incubations were performed using a consistent molar ratio (1:7:9) of recombinant CYP3A, P450 reductase, and cytochrome b5. A wide range of substrate concentrations was examined to determine the best fit to kinetic models for metabolite formation. In general, K(m) or S(50) values for the substrates were 3 to 4 times lower for CYP3A4 than for CYP3A5 or CYP3A7. For a more direct comparison of these P450 forms, clearance to the metabolites was determined as a linear relationship of rate of metabolite formation for the lowest substrate concentrations examined. The clearance for 1'-hydroxy midazolam formation at low substrate concentrations was similar for CYP3A4 and CYP3A5. For CYP3A5 versus CYP3A4, clearance values at low substrate concentrations were 2 to 20 times lower for the other biotransformations. The clearance values for CYP3A7-catalyzed metabolite formation at low substrate concentrations were substantially lower than for CYP3A4 or CYP3A5, except for clarithromycin, 4-OH triazolam, and N-desmethyl diltiazem (CYP3A5 - CYP3A7). The CYP3A forms demonstrated regioselective differences in some of the biotransformations. These results demonstrate an equal or reduced metabolic capability for CYP3A5 compared with CYP3A4 and a significantly lower capability for CYP3A7.","container-title":"Drug Metabolism and Disposition: The Biological Fate of Chemicals","DOI":"10.1124/dmd.30.8.883","ISSN":"0090-9556","issue":"8","journalAbbreviation":"Drug Metab Dispos","language":"eng","note":"PMID: 12124305","page":"883-891","source":"PubMed","title":"Comparative metabolic capabilities of CYP3A4, CYP3A5, and CYP3A7","volume":"30","author":[{"family":"Williams","given":"J. Andrew"},{"family":"Ring","given":"Barbara J."},{"family":"Cantrell","given":"Varon E."},{"family":"Jones","given":"David R."},{"family":"Eckstein","given":"James"},{"family":"Ruterbories","given":"Kenneth"},{"family":"Hamman","given":"Mitchell A."},{"family":"Hall","given":"Stephen D."},{"family":"Wrighton","given":"Steven A."}],"issued":{"date-parts":[["2002",8]]}}}],"schema":"https://github.com/citation-style-language/schema/raw/master/csl-citation.json"} </w:instrText>
      </w:r>
      <w:r w:rsidR="00025C6A" w:rsidRPr="000E1337">
        <w:rPr>
          <w:rFonts w:asciiTheme="majorBidi" w:hAnsiTheme="majorBidi" w:cstheme="majorBidi"/>
        </w:rPr>
        <w:fldChar w:fldCharType="separate"/>
      </w:r>
      <w:r w:rsidR="00D77762" w:rsidRPr="008A707E">
        <w:rPr>
          <w:rFonts w:asciiTheme="majorBidi" w:hAnsiTheme="majorBidi" w:cstheme="majorBidi"/>
        </w:rPr>
        <w:t>[11,12]</w:t>
      </w:r>
      <w:r w:rsidR="00025C6A" w:rsidRPr="000E1337">
        <w:rPr>
          <w:rFonts w:asciiTheme="majorBidi" w:hAnsiTheme="majorBidi" w:cstheme="majorBidi"/>
        </w:rPr>
        <w:fldChar w:fldCharType="end"/>
      </w:r>
      <w:r w:rsidR="00025C6A" w:rsidRPr="000E1337">
        <w:rPr>
          <w:rFonts w:asciiTheme="majorBidi" w:hAnsiTheme="majorBidi" w:cstheme="majorBidi"/>
          <w:b/>
          <w:bCs/>
        </w:rPr>
        <w:t xml:space="preserve"> </w:t>
      </w:r>
    </w:p>
    <w:p w14:paraId="587A321C" w14:textId="77777777" w:rsidR="00502B41" w:rsidRPr="000E1337" w:rsidRDefault="00502B41" w:rsidP="00502B41">
      <w:pPr>
        <w:spacing w:after="0" w:line="240" w:lineRule="auto"/>
        <w:rPr>
          <w:rFonts w:asciiTheme="majorBidi" w:hAnsiTheme="majorBidi" w:cstheme="majorBidi"/>
          <w:sz w:val="20"/>
          <w:szCs w:val="20"/>
        </w:rPr>
      </w:pPr>
    </w:p>
    <w:tbl>
      <w:tblPr>
        <w:tblStyle w:val="21"/>
        <w:tblW w:w="8931" w:type="dxa"/>
        <w:tblLayout w:type="fixed"/>
        <w:tblLook w:val="0600" w:firstRow="0" w:lastRow="0" w:firstColumn="0" w:lastColumn="0" w:noHBand="1" w:noVBand="1"/>
      </w:tblPr>
      <w:tblGrid>
        <w:gridCol w:w="993"/>
        <w:gridCol w:w="1275"/>
        <w:gridCol w:w="709"/>
        <w:gridCol w:w="709"/>
        <w:gridCol w:w="992"/>
        <w:gridCol w:w="1134"/>
        <w:gridCol w:w="1276"/>
        <w:gridCol w:w="992"/>
        <w:gridCol w:w="851"/>
      </w:tblGrid>
      <w:tr w:rsidR="00C92DE1" w:rsidRPr="000E1337" w14:paraId="3B303964" w14:textId="77777777" w:rsidTr="00C92DE1">
        <w:trPr>
          <w:trHeight w:val="58"/>
        </w:trPr>
        <w:tc>
          <w:tcPr>
            <w:tcW w:w="993" w:type="dxa"/>
            <w:tcBorders>
              <w:top w:val="single" w:sz="12" w:space="0" w:color="auto"/>
              <w:bottom w:val="single" w:sz="12" w:space="0" w:color="auto"/>
            </w:tcBorders>
            <w:vAlign w:val="center"/>
            <w:hideMark/>
          </w:tcPr>
          <w:p w14:paraId="065DC042" w14:textId="77777777" w:rsidR="00C92DE1" w:rsidRPr="000E1337" w:rsidRDefault="00C92DE1" w:rsidP="009306D9">
            <w:pPr>
              <w:jc w:val="center"/>
              <w:rPr>
                <w:rFonts w:asciiTheme="majorBidi" w:hAnsiTheme="majorBidi" w:cstheme="majorBidi"/>
                <w:b/>
                <w:bCs/>
                <w:sz w:val="20"/>
                <w:szCs w:val="20"/>
              </w:rPr>
            </w:pPr>
            <w:r w:rsidRPr="000E1337">
              <w:rPr>
                <w:rFonts w:asciiTheme="majorBidi" w:hAnsiTheme="majorBidi" w:cstheme="majorBidi"/>
                <w:b/>
                <w:bCs/>
                <w:sz w:val="20"/>
                <w:szCs w:val="20"/>
              </w:rPr>
              <w:t>Enzyme</w:t>
            </w:r>
          </w:p>
        </w:tc>
        <w:tc>
          <w:tcPr>
            <w:tcW w:w="1275" w:type="dxa"/>
            <w:tcBorders>
              <w:top w:val="single" w:sz="12" w:space="0" w:color="auto"/>
              <w:bottom w:val="single" w:sz="12" w:space="0" w:color="auto"/>
            </w:tcBorders>
            <w:vAlign w:val="center"/>
            <w:hideMark/>
          </w:tcPr>
          <w:p w14:paraId="55A56AA2" w14:textId="77777777" w:rsidR="00C92DE1" w:rsidRPr="000E1337" w:rsidRDefault="00C92DE1" w:rsidP="009306D9">
            <w:pPr>
              <w:jc w:val="center"/>
              <w:rPr>
                <w:rFonts w:asciiTheme="majorBidi" w:hAnsiTheme="majorBidi" w:cstheme="majorBidi"/>
                <w:b/>
                <w:bCs/>
                <w:sz w:val="20"/>
                <w:szCs w:val="20"/>
              </w:rPr>
            </w:pPr>
            <w:r w:rsidRPr="000E1337">
              <w:rPr>
                <w:rFonts w:asciiTheme="majorBidi" w:hAnsiTheme="majorBidi" w:cstheme="majorBidi"/>
                <w:b/>
                <w:bCs/>
                <w:sz w:val="20"/>
                <w:szCs w:val="20"/>
              </w:rPr>
              <w:t>Population</w:t>
            </w:r>
          </w:p>
        </w:tc>
        <w:tc>
          <w:tcPr>
            <w:tcW w:w="709" w:type="dxa"/>
            <w:tcBorders>
              <w:top w:val="single" w:sz="12" w:space="0" w:color="auto"/>
              <w:bottom w:val="single" w:sz="12" w:space="0" w:color="auto"/>
            </w:tcBorders>
            <w:vAlign w:val="center"/>
            <w:hideMark/>
          </w:tcPr>
          <w:p w14:paraId="45F8ADB4" w14:textId="77777777" w:rsidR="00C92DE1" w:rsidRPr="000E1337" w:rsidRDefault="00C92DE1" w:rsidP="009306D9">
            <w:pPr>
              <w:jc w:val="center"/>
              <w:rPr>
                <w:rFonts w:asciiTheme="majorBidi" w:hAnsiTheme="majorBidi" w:cstheme="majorBidi"/>
                <w:b/>
                <w:bCs/>
                <w:sz w:val="20"/>
                <w:szCs w:val="20"/>
              </w:rPr>
            </w:pPr>
            <w:r w:rsidRPr="000E1337">
              <w:rPr>
                <w:rFonts w:asciiTheme="majorBidi" w:hAnsiTheme="majorBidi" w:cstheme="majorBidi"/>
                <w:b/>
                <w:bCs/>
                <w:sz w:val="20"/>
                <w:szCs w:val="20"/>
              </w:rPr>
              <w:t>F</w:t>
            </w:r>
            <w:r w:rsidRPr="000E1337">
              <w:rPr>
                <w:rFonts w:asciiTheme="majorBidi" w:hAnsiTheme="majorBidi" w:cstheme="majorBidi"/>
                <w:b/>
                <w:bCs/>
                <w:sz w:val="20"/>
                <w:szCs w:val="20"/>
                <w:vertAlign w:val="subscript"/>
              </w:rPr>
              <w:t>max</w:t>
            </w:r>
          </w:p>
        </w:tc>
        <w:tc>
          <w:tcPr>
            <w:tcW w:w="709" w:type="dxa"/>
            <w:tcBorders>
              <w:top w:val="single" w:sz="12" w:space="0" w:color="auto"/>
              <w:bottom w:val="single" w:sz="12" w:space="0" w:color="auto"/>
            </w:tcBorders>
            <w:vAlign w:val="center"/>
            <w:hideMark/>
          </w:tcPr>
          <w:p w14:paraId="702CBEF6" w14:textId="77777777" w:rsidR="00C92DE1" w:rsidRPr="000E1337" w:rsidRDefault="00C92DE1" w:rsidP="009306D9">
            <w:pPr>
              <w:jc w:val="center"/>
              <w:rPr>
                <w:rFonts w:asciiTheme="majorBidi" w:hAnsiTheme="majorBidi" w:cstheme="majorBidi"/>
                <w:b/>
                <w:bCs/>
                <w:sz w:val="20"/>
                <w:szCs w:val="20"/>
              </w:rPr>
            </w:pPr>
            <w:proofErr w:type="spellStart"/>
            <w:r w:rsidRPr="000E1337">
              <w:rPr>
                <w:rFonts w:asciiTheme="majorBidi" w:hAnsiTheme="majorBidi" w:cstheme="majorBidi"/>
                <w:b/>
                <w:bCs/>
                <w:sz w:val="20"/>
                <w:szCs w:val="20"/>
              </w:rPr>
              <w:t>F</w:t>
            </w:r>
            <w:r w:rsidRPr="000E1337">
              <w:rPr>
                <w:rFonts w:asciiTheme="majorBidi" w:hAnsiTheme="majorBidi" w:cstheme="majorBidi"/>
                <w:b/>
                <w:bCs/>
                <w:sz w:val="20"/>
                <w:szCs w:val="20"/>
                <w:vertAlign w:val="subscript"/>
              </w:rPr>
              <w:t>birth</w:t>
            </w:r>
            <w:proofErr w:type="spellEnd"/>
          </w:p>
        </w:tc>
        <w:tc>
          <w:tcPr>
            <w:tcW w:w="992" w:type="dxa"/>
            <w:tcBorders>
              <w:top w:val="single" w:sz="12" w:space="0" w:color="auto"/>
              <w:bottom w:val="single" w:sz="12" w:space="0" w:color="auto"/>
            </w:tcBorders>
            <w:vAlign w:val="center"/>
            <w:hideMark/>
          </w:tcPr>
          <w:p w14:paraId="7FA6C4C5" w14:textId="79078B37" w:rsidR="00C92DE1" w:rsidRPr="000E1337" w:rsidRDefault="00C92DE1" w:rsidP="009306D9">
            <w:pPr>
              <w:jc w:val="center"/>
              <w:rPr>
                <w:rFonts w:asciiTheme="majorBidi" w:hAnsiTheme="majorBidi" w:cstheme="majorBidi"/>
                <w:b/>
                <w:bCs/>
                <w:sz w:val="20"/>
                <w:szCs w:val="20"/>
              </w:rPr>
            </w:pPr>
            <w:r w:rsidRPr="000E1337">
              <w:rPr>
                <w:rFonts w:asciiTheme="majorBidi" w:hAnsiTheme="majorBidi" w:cstheme="majorBidi"/>
                <w:b/>
                <w:bCs/>
                <w:sz w:val="20"/>
                <w:szCs w:val="20"/>
              </w:rPr>
              <w:t>Age</w:t>
            </w:r>
            <w:r w:rsidRPr="000E1337">
              <w:rPr>
                <w:rFonts w:asciiTheme="majorBidi" w:hAnsiTheme="majorBidi" w:cstheme="majorBidi"/>
                <w:b/>
                <w:bCs/>
                <w:sz w:val="20"/>
                <w:szCs w:val="20"/>
                <w:vertAlign w:val="subscript"/>
              </w:rPr>
              <w:t>50</w:t>
            </w:r>
          </w:p>
        </w:tc>
        <w:tc>
          <w:tcPr>
            <w:tcW w:w="1134" w:type="dxa"/>
            <w:tcBorders>
              <w:top w:val="single" w:sz="12" w:space="0" w:color="auto"/>
              <w:bottom w:val="single" w:sz="12" w:space="0" w:color="auto"/>
            </w:tcBorders>
            <w:vAlign w:val="center"/>
            <w:hideMark/>
          </w:tcPr>
          <w:p w14:paraId="3BD7BEDD" w14:textId="538C5C53" w:rsidR="00C92DE1" w:rsidRPr="000E1337" w:rsidRDefault="00C92DE1" w:rsidP="009306D9">
            <w:pPr>
              <w:jc w:val="center"/>
              <w:rPr>
                <w:rFonts w:asciiTheme="majorBidi" w:hAnsiTheme="majorBidi" w:cstheme="majorBidi"/>
                <w:b/>
                <w:bCs/>
                <w:sz w:val="20"/>
                <w:szCs w:val="20"/>
              </w:rPr>
            </w:pPr>
            <w:r w:rsidRPr="000E1337">
              <w:rPr>
                <w:rFonts w:asciiTheme="majorBidi" w:hAnsiTheme="majorBidi" w:cstheme="majorBidi"/>
                <w:b/>
                <w:bCs/>
                <w:sz w:val="20"/>
                <w:szCs w:val="20"/>
              </w:rPr>
              <w:t>n</w:t>
            </w:r>
          </w:p>
        </w:tc>
        <w:tc>
          <w:tcPr>
            <w:tcW w:w="1276" w:type="dxa"/>
            <w:tcBorders>
              <w:top w:val="single" w:sz="12" w:space="0" w:color="auto"/>
              <w:bottom w:val="single" w:sz="12" w:space="0" w:color="auto"/>
            </w:tcBorders>
            <w:vAlign w:val="center"/>
            <w:hideMark/>
          </w:tcPr>
          <w:p w14:paraId="5EC20384" w14:textId="118A89A5" w:rsidR="00C92DE1" w:rsidRPr="000E1337" w:rsidRDefault="00C92DE1" w:rsidP="009306D9">
            <w:pPr>
              <w:jc w:val="center"/>
              <w:rPr>
                <w:rFonts w:asciiTheme="majorBidi" w:hAnsiTheme="majorBidi" w:cstheme="majorBidi"/>
                <w:b/>
                <w:bCs/>
                <w:sz w:val="20"/>
                <w:szCs w:val="20"/>
              </w:rPr>
            </w:pPr>
            <w:r w:rsidRPr="000E1337">
              <w:rPr>
                <w:rFonts w:asciiTheme="majorBidi" w:hAnsiTheme="majorBidi" w:cstheme="majorBidi"/>
                <w:b/>
                <w:bCs/>
                <w:sz w:val="20"/>
                <w:szCs w:val="20"/>
              </w:rPr>
              <w:t>Age or PMA Cap</w:t>
            </w:r>
          </w:p>
        </w:tc>
        <w:tc>
          <w:tcPr>
            <w:tcW w:w="992" w:type="dxa"/>
            <w:tcBorders>
              <w:top w:val="single" w:sz="12" w:space="0" w:color="auto"/>
              <w:bottom w:val="single" w:sz="12" w:space="0" w:color="auto"/>
            </w:tcBorders>
            <w:vAlign w:val="center"/>
            <w:hideMark/>
          </w:tcPr>
          <w:p w14:paraId="540DD9FC" w14:textId="77777777" w:rsidR="00C92DE1" w:rsidRPr="000E1337" w:rsidRDefault="00C92DE1" w:rsidP="009306D9">
            <w:pPr>
              <w:jc w:val="center"/>
              <w:rPr>
                <w:rFonts w:asciiTheme="majorBidi" w:hAnsiTheme="majorBidi" w:cstheme="majorBidi"/>
                <w:b/>
                <w:bCs/>
                <w:sz w:val="20"/>
                <w:szCs w:val="20"/>
              </w:rPr>
            </w:pPr>
            <w:r w:rsidRPr="000E1337">
              <w:rPr>
                <w:rFonts w:asciiTheme="majorBidi" w:hAnsiTheme="majorBidi" w:cstheme="majorBidi"/>
                <w:b/>
                <w:bCs/>
                <w:sz w:val="20"/>
                <w:szCs w:val="20"/>
              </w:rPr>
              <w:t>C</w:t>
            </w:r>
            <w:r w:rsidRPr="000E1337">
              <w:rPr>
                <w:rFonts w:asciiTheme="majorBidi" w:hAnsiTheme="majorBidi" w:cstheme="majorBidi"/>
                <w:b/>
                <w:bCs/>
                <w:sz w:val="20"/>
                <w:szCs w:val="20"/>
                <w:vertAlign w:val="subscript"/>
              </w:rPr>
              <w:t>0</w:t>
            </w:r>
          </w:p>
        </w:tc>
        <w:tc>
          <w:tcPr>
            <w:tcW w:w="851" w:type="dxa"/>
            <w:tcBorders>
              <w:top w:val="single" w:sz="12" w:space="0" w:color="auto"/>
              <w:bottom w:val="single" w:sz="12" w:space="0" w:color="auto"/>
            </w:tcBorders>
            <w:vAlign w:val="center"/>
            <w:hideMark/>
          </w:tcPr>
          <w:p w14:paraId="32707C21" w14:textId="77777777" w:rsidR="00C92DE1" w:rsidRPr="000E1337" w:rsidRDefault="00C92DE1" w:rsidP="009306D9">
            <w:pPr>
              <w:jc w:val="center"/>
              <w:rPr>
                <w:rFonts w:asciiTheme="majorBidi" w:hAnsiTheme="majorBidi" w:cstheme="majorBidi"/>
                <w:b/>
                <w:bCs/>
                <w:sz w:val="20"/>
                <w:szCs w:val="20"/>
              </w:rPr>
            </w:pPr>
            <w:r w:rsidRPr="000E1337">
              <w:rPr>
                <w:rFonts w:asciiTheme="majorBidi" w:hAnsiTheme="majorBidi" w:cstheme="majorBidi"/>
                <w:b/>
                <w:bCs/>
                <w:sz w:val="20"/>
                <w:szCs w:val="20"/>
              </w:rPr>
              <w:t>C</w:t>
            </w:r>
            <w:r w:rsidRPr="000E1337">
              <w:rPr>
                <w:rFonts w:asciiTheme="majorBidi" w:hAnsiTheme="majorBidi" w:cstheme="majorBidi"/>
                <w:b/>
                <w:bCs/>
                <w:sz w:val="20"/>
                <w:szCs w:val="20"/>
                <w:vertAlign w:val="subscript"/>
              </w:rPr>
              <w:t>1</w:t>
            </w:r>
          </w:p>
        </w:tc>
      </w:tr>
      <w:tr w:rsidR="00C92DE1" w:rsidRPr="000E1337" w14:paraId="741B475E" w14:textId="77777777" w:rsidTr="00C92DE1">
        <w:trPr>
          <w:trHeight w:val="68"/>
        </w:trPr>
        <w:tc>
          <w:tcPr>
            <w:tcW w:w="993" w:type="dxa"/>
            <w:tcBorders>
              <w:top w:val="single" w:sz="12" w:space="0" w:color="auto"/>
            </w:tcBorders>
            <w:vAlign w:val="center"/>
            <w:hideMark/>
          </w:tcPr>
          <w:p w14:paraId="441689E5"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CYP3A4</w:t>
            </w:r>
          </w:p>
        </w:tc>
        <w:tc>
          <w:tcPr>
            <w:tcW w:w="1275" w:type="dxa"/>
            <w:tcBorders>
              <w:top w:val="single" w:sz="12" w:space="0" w:color="auto"/>
            </w:tcBorders>
            <w:vAlign w:val="center"/>
            <w:hideMark/>
          </w:tcPr>
          <w:p w14:paraId="2FB4E47E"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Pediatric</w:t>
            </w:r>
          </w:p>
        </w:tc>
        <w:tc>
          <w:tcPr>
            <w:tcW w:w="709" w:type="dxa"/>
            <w:tcBorders>
              <w:top w:val="single" w:sz="12" w:space="0" w:color="auto"/>
            </w:tcBorders>
            <w:vAlign w:val="center"/>
            <w:hideMark/>
          </w:tcPr>
          <w:p w14:paraId="49AE887E" w14:textId="0CE79365"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1.06</w:t>
            </w:r>
          </w:p>
        </w:tc>
        <w:tc>
          <w:tcPr>
            <w:tcW w:w="709" w:type="dxa"/>
            <w:tcBorders>
              <w:top w:val="single" w:sz="12" w:space="0" w:color="auto"/>
            </w:tcBorders>
            <w:vAlign w:val="center"/>
            <w:hideMark/>
          </w:tcPr>
          <w:p w14:paraId="47B737FE" w14:textId="7D6ADF45"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0.11</w:t>
            </w:r>
          </w:p>
        </w:tc>
        <w:tc>
          <w:tcPr>
            <w:tcW w:w="992" w:type="dxa"/>
            <w:tcBorders>
              <w:top w:val="single" w:sz="12" w:space="0" w:color="auto"/>
            </w:tcBorders>
            <w:vAlign w:val="center"/>
            <w:hideMark/>
          </w:tcPr>
          <w:p w14:paraId="5AEBEC87" w14:textId="4D64C769"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0.64</w:t>
            </w:r>
          </w:p>
        </w:tc>
        <w:tc>
          <w:tcPr>
            <w:tcW w:w="1134" w:type="dxa"/>
            <w:tcBorders>
              <w:top w:val="single" w:sz="12" w:space="0" w:color="auto"/>
            </w:tcBorders>
            <w:vAlign w:val="center"/>
            <w:hideMark/>
          </w:tcPr>
          <w:p w14:paraId="27DDEE68" w14:textId="6C877471"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1.91</w:t>
            </w:r>
          </w:p>
        </w:tc>
        <w:tc>
          <w:tcPr>
            <w:tcW w:w="1276" w:type="dxa"/>
            <w:tcBorders>
              <w:top w:val="single" w:sz="12" w:space="0" w:color="auto"/>
            </w:tcBorders>
            <w:vAlign w:val="center"/>
            <w:hideMark/>
          </w:tcPr>
          <w:p w14:paraId="080FCCD3"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25</w:t>
            </w:r>
          </w:p>
        </w:tc>
        <w:tc>
          <w:tcPr>
            <w:tcW w:w="992" w:type="dxa"/>
            <w:tcBorders>
              <w:top w:val="single" w:sz="12" w:space="0" w:color="auto"/>
            </w:tcBorders>
            <w:vAlign w:val="center"/>
            <w:hideMark/>
          </w:tcPr>
          <w:p w14:paraId="6131613D"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851" w:type="dxa"/>
            <w:tcBorders>
              <w:top w:val="single" w:sz="12" w:space="0" w:color="auto"/>
            </w:tcBorders>
            <w:vAlign w:val="center"/>
            <w:hideMark/>
          </w:tcPr>
          <w:p w14:paraId="3E6C4FE8"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r>
      <w:tr w:rsidR="00C92DE1" w:rsidRPr="000E1337" w14:paraId="14AA0969" w14:textId="77777777" w:rsidTr="00C92DE1">
        <w:trPr>
          <w:trHeight w:val="68"/>
        </w:trPr>
        <w:tc>
          <w:tcPr>
            <w:tcW w:w="993" w:type="dxa"/>
            <w:vAlign w:val="center"/>
            <w:hideMark/>
          </w:tcPr>
          <w:p w14:paraId="558DCB2C"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CYP3A5</w:t>
            </w:r>
          </w:p>
        </w:tc>
        <w:tc>
          <w:tcPr>
            <w:tcW w:w="1275" w:type="dxa"/>
            <w:vAlign w:val="center"/>
            <w:hideMark/>
          </w:tcPr>
          <w:p w14:paraId="3BB831B9"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Pediatric</w:t>
            </w:r>
          </w:p>
        </w:tc>
        <w:tc>
          <w:tcPr>
            <w:tcW w:w="709" w:type="dxa"/>
            <w:vAlign w:val="center"/>
            <w:hideMark/>
          </w:tcPr>
          <w:p w14:paraId="24585EC6" w14:textId="2B0E3022"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1.00</w:t>
            </w:r>
          </w:p>
        </w:tc>
        <w:tc>
          <w:tcPr>
            <w:tcW w:w="709" w:type="dxa"/>
            <w:vAlign w:val="center"/>
            <w:hideMark/>
          </w:tcPr>
          <w:p w14:paraId="6D38A03A" w14:textId="0804449E"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1.00</w:t>
            </w:r>
          </w:p>
        </w:tc>
        <w:tc>
          <w:tcPr>
            <w:tcW w:w="992" w:type="dxa"/>
            <w:vAlign w:val="center"/>
            <w:hideMark/>
          </w:tcPr>
          <w:p w14:paraId="3067CA28" w14:textId="2E42EE52"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0.00</w:t>
            </w:r>
          </w:p>
        </w:tc>
        <w:tc>
          <w:tcPr>
            <w:tcW w:w="1134" w:type="dxa"/>
            <w:vAlign w:val="center"/>
            <w:hideMark/>
          </w:tcPr>
          <w:p w14:paraId="18C32864" w14:textId="238AF98E"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1.00</w:t>
            </w:r>
          </w:p>
        </w:tc>
        <w:tc>
          <w:tcPr>
            <w:tcW w:w="1276" w:type="dxa"/>
            <w:vAlign w:val="center"/>
            <w:hideMark/>
          </w:tcPr>
          <w:p w14:paraId="11F13F3A"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25</w:t>
            </w:r>
          </w:p>
        </w:tc>
        <w:tc>
          <w:tcPr>
            <w:tcW w:w="992" w:type="dxa"/>
            <w:vAlign w:val="center"/>
            <w:hideMark/>
          </w:tcPr>
          <w:p w14:paraId="6F133EB4"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851" w:type="dxa"/>
            <w:vAlign w:val="center"/>
            <w:hideMark/>
          </w:tcPr>
          <w:p w14:paraId="505966CA"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r>
      <w:tr w:rsidR="00C92DE1" w:rsidRPr="000E1337" w14:paraId="09F652CC" w14:textId="77777777" w:rsidTr="00C92DE1">
        <w:trPr>
          <w:trHeight w:val="68"/>
        </w:trPr>
        <w:tc>
          <w:tcPr>
            <w:tcW w:w="993" w:type="dxa"/>
            <w:vAlign w:val="center"/>
            <w:hideMark/>
          </w:tcPr>
          <w:p w14:paraId="5A37C674"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CYP3A7</w:t>
            </w:r>
          </w:p>
        </w:tc>
        <w:tc>
          <w:tcPr>
            <w:tcW w:w="1275" w:type="dxa"/>
            <w:vAlign w:val="center"/>
            <w:hideMark/>
          </w:tcPr>
          <w:p w14:paraId="28C52AA8"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Pediatric</w:t>
            </w:r>
          </w:p>
        </w:tc>
        <w:tc>
          <w:tcPr>
            <w:tcW w:w="709" w:type="dxa"/>
            <w:vAlign w:val="center"/>
            <w:hideMark/>
          </w:tcPr>
          <w:p w14:paraId="2F0232B1" w14:textId="5A5942CB"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0.00</w:t>
            </w:r>
          </w:p>
        </w:tc>
        <w:tc>
          <w:tcPr>
            <w:tcW w:w="709" w:type="dxa"/>
            <w:vAlign w:val="center"/>
            <w:hideMark/>
          </w:tcPr>
          <w:p w14:paraId="025F8AF8" w14:textId="26C92044"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20.17</w:t>
            </w:r>
          </w:p>
        </w:tc>
        <w:tc>
          <w:tcPr>
            <w:tcW w:w="992" w:type="dxa"/>
            <w:vAlign w:val="center"/>
            <w:hideMark/>
          </w:tcPr>
          <w:p w14:paraId="2662F754" w14:textId="58BD9E33"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0.14</w:t>
            </w:r>
          </w:p>
        </w:tc>
        <w:tc>
          <w:tcPr>
            <w:tcW w:w="1134" w:type="dxa"/>
            <w:vAlign w:val="center"/>
            <w:hideMark/>
          </w:tcPr>
          <w:p w14:paraId="3DB723F1" w14:textId="259482A5"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2.76</w:t>
            </w:r>
          </w:p>
        </w:tc>
        <w:tc>
          <w:tcPr>
            <w:tcW w:w="1276" w:type="dxa"/>
            <w:vAlign w:val="center"/>
            <w:hideMark/>
          </w:tcPr>
          <w:p w14:paraId="35EA978A"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25</w:t>
            </w:r>
          </w:p>
        </w:tc>
        <w:tc>
          <w:tcPr>
            <w:tcW w:w="992" w:type="dxa"/>
            <w:vAlign w:val="center"/>
            <w:hideMark/>
          </w:tcPr>
          <w:p w14:paraId="03C44B73"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851" w:type="dxa"/>
            <w:vAlign w:val="center"/>
            <w:hideMark/>
          </w:tcPr>
          <w:p w14:paraId="1C8F24BD"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r>
      <w:tr w:rsidR="00C92DE1" w:rsidRPr="000E1337" w14:paraId="422BCCFA" w14:textId="77777777" w:rsidTr="00C92DE1">
        <w:trPr>
          <w:trHeight w:val="68"/>
        </w:trPr>
        <w:tc>
          <w:tcPr>
            <w:tcW w:w="993" w:type="dxa"/>
            <w:vAlign w:val="center"/>
            <w:hideMark/>
          </w:tcPr>
          <w:p w14:paraId="49D3211E"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CYP3A4</w:t>
            </w:r>
          </w:p>
        </w:tc>
        <w:tc>
          <w:tcPr>
            <w:tcW w:w="1275" w:type="dxa"/>
            <w:vAlign w:val="center"/>
            <w:hideMark/>
          </w:tcPr>
          <w:p w14:paraId="43AA60E7"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Preterm</w:t>
            </w:r>
          </w:p>
        </w:tc>
        <w:tc>
          <w:tcPr>
            <w:tcW w:w="709" w:type="dxa"/>
            <w:vAlign w:val="center"/>
            <w:hideMark/>
          </w:tcPr>
          <w:p w14:paraId="7A54520F"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709" w:type="dxa"/>
            <w:vAlign w:val="center"/>
            <w:hideMark/>
          </w:tcPr>
          <w:p w14:paraId="0FDD08FB"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992" w:type="dxa"/>
            <w:vAlign w:val="center"/>
            <w:hideMark/>
          </w:tcPr>
          <w:p w14:paraId="2DAE3EA8"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vAlign w:val="center"/>
            <w:hideMark/>
          </w:tcPr>
          <w:p w14:paraId="10A672B9"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276" w:type="dxa"/>
            <w:vAlign w:val="center"/>
            <w:hideMark/>
          </w:tcPr>
          <w:p w14:paraId="5C8BE5D1" w14:textId="496EFBE4"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0.85</w:t>
            </w:r>
          </w:p>
        </w:tc>
        <w:tc>
          <w:tcPr>
            <w:tcW w:w="992" w:type="dxa"/>
            <w:vAlign w:val="center"/>
            <w:hideMark/>
          </w:tcPr>
          <w:p w14:paraId="7DFC6F1E"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0.003</w:t>
            </w:r>
          </w:p>
        </w:tc>
        <w:tc>
          <w:tcPr>
            <w:tcW w:w="851" w:type="dxa"/>
            <w:vAlign w:val="center"/>
            <w:hideMark/>
          </w:tcPr>
          <w:p w14:paraId="583FDD30"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0.133</w:t>
            </w:r>
          </w:p>
        </w:tc>
      </w:tr>
      <w:tr w:rsidR="00C92DE1" w:rsidRPr="000E1337" w14:paraId="035FBC01" w14:textId="77777777" w:rsidTr="00C92DE1">
        <w:trPr>
          <w:trHeight w:val="68"/>
        </w:trPr>
        <w:tc>
          <w:tcPr>
            <w:tcW w:w="993" w:type="dxa"/>
            <w:tcBorders>
              <w:bottom w:val="nil"/>
            </w:tcBorders>
            <w:vAlign w:val="center"/>
            <w:hideMark/>
          </w:tcPr>
          <w:p w14:paraId="25636E03"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CYP3A5</w:t>
            </w:r>
          </w:p>
        </w:tc>
        <w:tc>
          <w:tcPr>
            <w:tcW w:w="1275" w:type="dxa"/>
            <w:tcBorders>
              <w:bottom w:val="nil"/>
            </w:tcBorders>
            <w:vAlign w:val="center"/>
            <w:hideMark/>
          </w:tcPr>
          <w:p w14:paraId="72801EBC"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Preterm</w:t>
            </w:r>
          </w:p>
        </w:tc>
        <w:tc>
          <w:tcPr>
            <w:tcW w:w="709" w:type="dxa"/>
            <w:tcBorders>
              <w:bottom w:val="nil"/>
            </w:tcBorders>
            <w:vAlign w:val="center"/>
            <w:hideMark/>
          </w:tcPr>
          <w:p w14:paraId="38281499"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709" w:type="dxa"/>
            <w:tcBorders>
              <w:bottom w:val="nil"/>
            </w:tcBorders>
            <w:vAlign w:val="center"/>
            <w:hideMark/>
          </w:tcPr>
          <w:p w14:paraId="74AB069F"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992" w:type="dxa"/>
            <w:tcBorders>
              <w:bottom w:val="nil"/>
            </w:tcBorders>
            <w:vAlign w:val="center"/>
            <w:hideMark/>
          </w:tcPr>
          <w:p w14:paraId="602A082E"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tcBorders>
              <w:bottom w:val="nil"/>
            </w:tcBorders>
            <w:vAlign w:val="center"/>
            <w:hideMark/>
          </w:tcPr>
          <w:p w14:paraId="4788C7D1"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276" w:type="dxa"/>
            <w:tcBorders>
              <w:bottom w:val="nil"/>
            </w:tcBorders>
            <w:vAlign w:val="center"/>
            <w:hideMark/>
          </w:tcPr>
          <w:p w14:paraId="65668779" w14:textId="41C2292D"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0.85</w:t>
            </w:r>
          </w:p>
        </w:tc>
        <w:tc>
          <w:tcPr>
            <w:tcW w:w="992" w:type="dxa"/>
            <w:tcBorders>
              <w:bottom w:val="nil"/>
            </w:tcBorders>
            <w:vAlign w:val="center"/>
            <w:hideMark/>
          </w:tcPr>
          <w:p w14:paraId="29681209"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0.003</w:t>
            </w:r>
          </w:p>
        </w:tc>
        <w:tc>
          <w:tcPr>
            <w:tcW w:w="851" w:type="dxa"/>
            <w:tcBorders>
              <w:bottom w:val="nil"/>
            </w:tcBorders>
            <w:vAlign w:val="center"/>
            <w:hideMark/>
          </w:tcPr>
          <w:p w14:paraId="1888BE63"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0.133</w:t>
            </w:r>
          </w:p>
        </w:tc>
      </w:tr>
      <w:tr w:rsidR="00C92DE1" w:rsidRPr="000E1337" w14:paraId="15C84BE0" w14:textId="77777777" w:rsidTr="00C92DE1">
        <w:trPr>
          <w:trHeight w:val="68"/>
        </w:trPr>
        <w:tc>
          <w:tcPr>
            <w:tcW w:w="993" w:type="dxa"/>
            <w:tcBorders>
              <w:top w:val="nil"/>
              <w:bottom w:val="single" w:sz="12" w:space="0" w:color="auto"/>
            </w:tcBorders>
            <w:vAlign w:val="center"/>
            <w:hideMark/>
          </w:tcPr>
          <w:p w14:paraId="0ABC2099"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CYP3A7</w:t>
            </w:r>
          </w:p>
        </w:tc>
        <w:tc>
          <w:tcPr>
            <w:tcW w:w="1275" w:type="dxa"/>
            <w:tcBorders>
              <w:top w:val="nil"/>
              <w:bottom w:val="single" w:sz="12" w:space="0" w:color="auto"/>
            </w:tcBorders>
            <w:vAlign w:val="center"/>
            <w:hideMark/>
          </w:tcPr>
          <w:p w14:paraId="6E3B43D4"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Preterm</w:t>
            </w:r>
          </w:p>
        </w:tc>
        <w:tc>
          <w:tcPr>
            <w:tcW w:w="709" w:type="dxa"/>
            <w:tcBorders>
              <w:top w:val="nil"/>
              <w:bottom w:val="single" w:sz="12" w:space="0" w:color="auto"/>
            </w:tcBorders>
            <w:vAlign w:val="center"/>
            <w:hideMark/>
          </w:tcPr>
          <w:p w14:paraId="72A60955"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709" w:type="dxa"/>
            <w:tcBorders>
              <w:top w:val="nil"/>
              <w:bottom w:val="single" w:sz="12" w:space="0" w:color="auto"/>
            </w:tcBorders>
            <w:vAlign w:val="center"/>
            <w:hideMark/>
          </w:tcPr>
          <w:p w14:paraId="66C102AE"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992" w:type="dxa"/>
            <w:tcBorders>
              <w:top w:val="nil"/>
              <w:bottom w:val="single" w:sz="12" w:space="0" w:color="auto"/>
            </w:tcBorders>
            <w:vAlign w:val="center"/>
            <w:hideMark/>
          </w:tcPr>
          <w:p w14:paraId="1590B058"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tcBorders>
              <w:top w:val="nil"/>
              <w:bottom w:val="single" w:sz="12" w:space="0" w:color="auto"/>
            </w:tcBorders>
            <w:vAlign w:val="center"/>
            <w:hideMark/>
          </w:tcPr>
          <w:p w14:paraId="6AC9DF5B" w14:textId="77777777"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276" w:type="dxa"/>
            <w:tcBorders>
              <w:top w:val="nil"/>
              <w:bottom w:val="single" w:sz="12" w:space="0" w:color="auto"/>
            </w:tcBorders>
            <w:vAlign w:val="center"/>
            <w:hideMark/>
          </w:tcPr>
          <w:p w14:paraId="5D8A9986" w14:textId="50B28AE6"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0.85</w:t>
            </w:r>
          </w:p>
        </w:tc>
        <w:tc>
          <w:tcPr>
            <w:tcW w:w="992" w:type="dxa"/>
            <w:tcBorders>
              <w:top w:val="nil"/>
              <w:bottom w:val="single" w:sz="12" w:space="0" w:color="auto"/>
            </w:tcBorders>
            <w:vAlign w:val="center"/>
            <w:hideMark/>
          </w:tcPr>
          <w:p w14:paraId="29308013" w14:textId="7DA8A280"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50.76</w:t>
            </w:r>
          </w:p>
        </w:tc>
        <w:tc>
          <w:tcPr>
            <w:tcW w:w="851" w:type="dxa"/>
            <w:tcBorders>
              <w:top w:val="nil"/>
              <w:bottom w:val="single" w:sz="12" w:space="0" w:color="auto"/>
            </w:tcBorders>
            <w:vAlign w:val="center"/>
            <w:hideMark/>
          </w:tcPr>
          <w:p w14:paraId="44AE1CF0" w14:textId="1A117204" w:rsidR="00C92DE1" w:rsidRPr="000E1337" w:rsidRDefault="00C92DE1" w:rsidP="009306D9">
            <w:pPr>
              <w:jc w:val="center"/>
              <w:rPr>
                <w:rFonts w:asciiTheme="majorBidi" w:hAnsiTheme="majorBidi" w:cstheme="majorBidi"/>
                <w:sz w:val="20"/>
                <w:szCs w:val="20"/>
              </w:rPr>
            </w:pPr>
            <w:r w:rsidRPr="000E1337">
              <w:rPr>
                <w:rFonts w:asciiTheme="majorBidi" w:hAnsiTheme="majorBidi" w:cstheme="majorBidi"/>
                <w:sz w:val="20"/>
                <w:szCs w:val="20"/>
              </w:rPr>
              <w:t>-39.77</w:t>
            </w:r>
          </w:p>
        </w:tc>
      </w:tr>
    </w:tbl>
    <w:p w14:paraId="72EC4E8B" w14:textId="77777777" w:rsidR="00705B78" w:rsidRPr="000E1337" w:rsidRDefault="00705B78" w:rsidP="00ED462E">
      <w:pPr>
        <w:spacing w:after="0" w:line="240" w:lineRule="auto"/>
        <w:jc w:val="center"/>
        <w:rPr>
          <w:rFonts w:asciiTheme="majorBidi" w:hAnsiTheme="majorBidi" w:cstheme="majorBidi"/>
          <w:sz w:val="20"/>
          <w:szCs w:val="20"/>
        </w:rPr>
      </w:pPr>
    </w:p>
    <w:p w14:paraId="6E9AD7C9" w14:textId="0A1F7A44" w:rsidR="00ED2AA3" w:rsidRPr="000E1337" w:rsidRDefault="009A6116" w:rsidP="00ED2AA3">
      <w:pPr>
        <w:spacing w:after="0" w:line="240" w:lineRule="auto"/>
        <w:rPr>
          <w:rFonts w:asciiTheme="majorBidi" w:hAnsiTheme="majorBidi" w:cstheme="majorBidi"/>
          <w:i/>
          <w:iCs/>
          <w:sz w:val="20"/>
          <w:szCs w:val="20"/>
        </w:rPr>
      </w:pPr>
      <w:r w:rsidRPr="000E1337">
        <w:rPr>
          <w:rFonts w:asciiTheme="majorBidi" w:hAnsiTheme="majorBidi" w:cstheme="majorBidi"/>
          <w:i/>
          <w:iCs/>
          <w:sz w:val="20"/>
          <w:szCs w:val="20"/>
        </w:rPr>
        <w:t>F</w:t>
      </w:r>
      <w:r w:rsidRPr="000E1337">
        <w:rPr>
          <w:rFonts w:asciiTheme="majorBidi" w:hAnsiTheme="majorBidi" w:cstheme="majorBidi"/>
          <w:i/>
          <w:iCs/>
          <w:sz w:val="20"/>
          <w:szCs w:val="20"/>
          <w:vertAlign w:val="subscript"/>
        </w:rPr>
        <w:t>max</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the maximum enzyme activity observed in adults</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proofErr w:type="spellStart"/>
      <w:r w:rsidR="00ED462E" w:rsidRPr="000E1337">
        <w:rPr>
          <w:rFonts w:asciiTheme="majorBidi" w:hAnsiTheme="majorBidi" w:cstheme="majorBidi"/>
          <w:i/>
          <w:iCs/>
          <w:sz w:val="20"/>
          <w:szCs w:val="20"/>
        </w:rPr>
        <w:t>F</w:t>
      </w:r>
      <w:r w:rsidR="00ED462E" w:rsidRPr="000E1337">
        <w:rPr>
          <w:rFonts w:asciiTheme="majorBidi" w:hAnsiTheme="majorBidi" w:cstheme="majorBidi"/>
          <w:i/>
          <w:iCs/>
          <w:sz w:val="20"/>
          <w:szCs w:val="20"/>
          <w:vertAlign w:val="subscript"/>
        </w:rPr>
        <w:t>birth</w:t>
      </w:r>
      <w:proofErr w:type="spellEnd"/>
      <w:r w:rsidR="0098044B" w:rsidRPr="000E1337">
        <w:rPr>
          <w:rFonts w:asciiTheme="majorBidi" w:hAnsiTheme="majorBidi" w:cstheme="majorBidi"/>
          <w:i/>
          <w:iCs/>
          <w:sz w:val="20"/>
          <w:szCs w:val="20"/>
        </w:rPr>
        <w:t>:</w:t>
      </w:r>
      <w:r w:rsidR="00ED462E" w:rsidRPr="000E1337">
        <w:rPr>
          <w:rFonts w:asciiTheme="majorBidi" w:hAnsiTheme="majorBidi" w:cstheme="majorBidi"/>
          <w:i/>
          <w:iCs/>
          <w:sz w:val="20"/>
          <w:szCs w:val="20"/>
        </w:rPr>
        <w:t> the enzyme activity at birth</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Age</w:t>
      </w:r>
      <w:r w:rsidRPr="000E1337">
        <w:rPr>
          <w:rFonts w:asciiTheme="majorBidi" w:hAnsiTheme="majorBidi" w:cstheme="majorBidi"/>
          <w:i/>
          <w:iCs/>
          <w:sz w:val="20"/>
          <w:szCs w:val="20"/>
          <w:vertAlign w:val="subscript"/>
        </w:rPr>
        <w:t>50</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the age at which 50% of the maximum enzyme activity is reached</w:t>
      </w:r>
      <w:r w:rsidR="0098044B" w:rsidRPr="000E1337">
        <w:rPr>
          <w:rFonts w:asciiTheme="majorBidi" w:hAnsiTheme="majorBidi" w:cstheme="majorBidi"/>
          <w:i/>
          <w:iCs/>
          <w:sz w:val="20"/>
          <w:szCs w:val="20"/>
        </w:rPr>
        <w:t>,</w:t>
      </w:r>
      <w:r w:rsidR="00ED462E" w:rsidRPr="000E1337">
        <w:rPr>
          <w:rFonts w:asciiTheme="majorBidi" w:hAnsiTheme="majorBidi" w:cstheme="majorBidi"/>
          <w:i/>
          <w:iCs/>
          <w:sz w:val="20"/>
          <w:szCs w:val="20"/>
        </w:rPr>
        <w:t xml:space="preserve"> n</w:t>
      </w:r>
      <w:r w:rsidR="009776DA" w:rsidRPr="000E1337">
        <w:rPr>
          <w:rFonts w:asciiTheme="majorBidi" w:hAnsiTheme="majorBidi" w:cstheme="majorBidi"/>
          <w:i/>
          <w:iCs/>
          <w:sz w:val="20"/>
          <w:szCs w:val="20"/>
        </w:rPr>
        <w:t>: the</w:t>
      </w:r>
      <w:r w:rsidR="00ED462E" w:rsidRPr="000E1337">
        <w:rPr>
          <w:rFonts w:asciiTheme="majorBidi" w:hAnsiTheme="majorBidi" w:cstheme="majorBidi"/>
          <w:i/>
          <w:iCs/>
          <w:sz w:val="20"/>
          <w:szCs w:val="20"/>
        </w:rPr>
        <w:t xml:space="preserve"> parameter that describes the steepness of the age-related increase in enzyme activity</w:t>
      </w:r>
      <w:r w:rsidRPr="000E1337">
        <w:rPr>
          <w:rFonts w:asciiTheme="majorBidi" w:hAnsiTheme="majorBidi" w:cstheme="majorBidi"/>
          <w:i/>
          <w:iCs/>
          <w:sz w:val="20"/>
          <w:szCs w:val="20"/>
        </w:rPr>
        <w:t>; Age</w:t>
      </w:r>
      <w:r w:rsidR="009776DA"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the age of the individual; PMA</w:t>
      </w:r>
      <w:r w:rsidR="009776DA"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the postmenstrual age of the individual</w:t>
      </w:r>
      <w:r w:rsidR="00ED462E" w:rsidRPr="000E1337">
        <w:rPr>
          <w:rFonts w:asciiTheme="majorBidi" w:hAnsiTheme="majorBidi" w:cstheme="majorBidi"/>
          <w:i/>
          <w:iCs/>
          <w:sz w:val="20"/>
          <w:szCs w:val="20"/>
        </w:rPr>
        <w:t>.</w:t>
      </w:r>
      <w:r w:rsidR="00ED2AA3" w:rsidRPr="008A707E">
        <w:rPr>
          <w:rFonts w:asciiTheme="majorBidi" w:eastAsia="ＭＳ Ｐゴシック" w:hAnsiTheme="majorBidi" w:cstheme="majorBidi" w:hint="eastAsia"/>
          <w:color w:val="0E0E0E"/>
          <w:sz w:val="21"/>
          <w:szCs w:val="21"/>
        </w:rPr>
        <w:t xml:space="preserve"> </w:t>
      </w:r>
      <w:r w:rsidR="00ED2AA3" w:rsidRPr="000E1337">
        <w:rPr>
          <w:rFonts w:asciiTheme="majorBidi" w:hAnsiTheme="majorBidi" w:cstheme="majorBidi"/>
          <w:i/>
          <w:iCs/>
          <w:sz w:val="20"/>
          <w:szCs w:val="20"/>
        </w:rPr>
        <w:t>Cap</w:t>
      </w:r>
      <w:r w:rsidR="009776DA" w:rsidRPr="000E1337">
        <w:rPr>
          <w:rFonts w:asciiTheme="majorBidi" w:hAnsiTheme="majorBidi" w:cstheme="majorBidi"/>
          <w:i/>
          <w:iCs/>
          <w:sz w:val="20"/>
          <w:szCs w:val="20"/>
        </w:rPr>
        <w:t xml:space="preserve">: </w:t>
      </w:r>
      <w:r w:rsidR="00ED2AA3" w:rsidRPr="000E1337">
        <w:rPr>
          <w:rFonts w:asciiTheme="majorBidi" w:hAnsiTheme="majorBidi" w:cstheme="majorBidi"/>
          <w:i/>
          <w:iCs/>
          <w:sz w:val="20"/>
          <w:szCs w:val="20"/>
        </w:rPr>
        <w:t>the upper limit specified when inserting Age or PMA into the below equation.</w:t>
      </w:r>
    </w:p>
    <w:p w14:paraId="7EACFD0B" w14:textId="45551C40" w:rsidR="00ED462E" w:rsidRPr="000E1337" w:rsidRDefault="00ED462E" w:rsidP="00ED462E">
      <w:pPr>
        <w:spacing w:after="0" w:line="240" w:lineRule="auto"/>
        <w:rPr>
          <w:rFonts w:asciiTheme="majorBidi" w:hAnsiTheme="majorBidi" w:cstheme="majorBidi"/>
          <w:i/>
          <w:iCs/>
          <w:sz w:val="20"/>
          <w:szCs w:val="20"/>
        </w:rPr>
      </w:pPr>
    </w:p>
    <w:p w14:paraId="7D78CB65" w14:textId="75815DE2" w:rsidR="008C2067" w:rsidRPr="000E1337" w:rsidRDefault="008C2067" w:rsidP="008C2067">
      <w:pPr>
        <w:spacing w:after="0" w:line="480" w:lineRule="auto"/>
        <w:ind w:firstLine="432"/>
        <w:jc w:val="both"/>
        <w:rPr>
          <w:rFonts w:asciiTheme="majorBidi" w:hAnsiTheme="majorBidi" w:cstheme="majorBidi"/>
          <w:i/>
          <w:color w:val="242021"/>
        </w:rPr>
      </w:pPr>
      <m:oMathPara>
        <m:oMath>
          <m:r>
            <w:rPr>
              <w:rFonts w:ascii="Cambria Math" w:hAnsi="Cambria Math" w:cstheme="majorBidi"/>
            </w:rPr>
            <m:t>In pediatric population</m:t>
          </m:r>
          <m:r>
            <m:rPr>
              <m:sty m:val="p"/>
            </m:rPr>
            <w:rPr>
              <w:rFonts w:ascii="Cambria Math" w:hAnsi="Cambria Math" w:cstheme="majorBidi"/>
            </w:rPr>
            <m:t>:</m:t>
          </m:r>
          <m:r>
            <w:rPr>
              <w:rFonts w:ascii="Cambria Math" w:hAnsi="Cambria Math" w:cstheme="majorBidi"/>
            </w:rPr>
            <m:t xml:space="preserve"> Fraction=</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birth</m:t>
              </m:r>
            </m:sub>
          </m:sSub>
          <m:r>
            <w:rPr>
              <w:rFonts w:ascii="Cambria Math" w:hAnsi="Cambria Math" w:cstheme="majorBidi"/>
            </w:rPr>
            <m:t>+</m:t>
          </m:r>
          <m:d>
            <m:dPr>
              <m:ctrlPr>
                <w:rPr>
                  <w:rFonts w:ascii="Cambria Math" w:hAnsi="Cambria Math" w:cstheme="majorBidi"/>
                  <w:color w:val="242021"/>
                </w:rPr>
              </m:ctrlPr>
            </m:dPr>
            <m:e>
              <m:f>
                <m:fPr>
                  <m:ctrlPr>
                    <w:rPr>
                      <w:rFonts w:ascii="Cambria Math" w:hAnsi="Cambria Math" w:cstheme="majorBidi"/>
                      <w:color w:val="242021"/>
                    </w:rPr>
                  </m:ctrlPr>
                </m:fPr>
                <m:num>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max</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birth</m:t>
                          </m:r>
                        </m:sub>
                      </m:sSub>
                    </m:e>
                  </m:d>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Age</m:t>
                      </m:r>
                    </m:e>
                    <m:sup>
                      <m:r>
                        <w:rPr>
                          <w:rFonts w:ascii="Cambria Math" w:hAnsi="Cambria Math" w:cstheme="majorBidi"/>
                        </w:rPr>
                        <m:t>n</m:t>
                      </m:r>
                    </m:sup>
                  </m:sSup>
                </m:num>
                <m:den>
                  <m:sSubSup>
                    <m:sSubSupPr>
                      <m:ctrlPr>
                        <w:rPr>
                          <w:rFonts w:ascii="Cambria Math" w:hAnsi="Cambria Math" w:cstheme="majorBidi"/>
                          <w:i/>
                          <w:color w:val="242021"/>
                        </w:rPr>
                      </m:ctrlPr>
                    </m:sSubSupPr>
                    <m:e>
                      <m:r>
                        <w:rPr>
                          <w:rFonts w:ascii="Cambria Math" w:hAnsi="Cambria Math" w:cstheme="majorBidi"/>
                          <w:color w:val="242021"/>
                        </w:rPr>
                        <m:t>Age</m:t>
                      </m:r>
                    </m:e>
                    <m:sub>
                      <m:r>
                        <w:rPr>
                          <w:rFonts w:ascii="Cambria Math" w:hAnsi="Cambria Math" w:cstheme="majorBidi"/>
                          <w:color w:val="242021"/>
                        </w:rPr>
                        <m:t>50</m:t>
                      </m:r>
                    </m:sub>
                    <m:sup>
                      <m:r>
                        <w:rPr>
                          <w:rFonts w:ascii="Cambria Math" w:hAnsi="Cambria Math" w:cstheme="majorBidi"/>
                          <w:color w:val="242021"/>
                        </w:rPr>
                        <m:t>n</m:t>
                      </m:r>
                    </m:sup>
                  </m:sSubSup>
                  <m:r>
                    <w:rPr>
                      <w:rFonts w:ascii="Cambria Math" w:hAnsi="Cambria Math" w:cstheme="majorBidi"/>
                      <w:color w:val="242021"/>
                    </w:rPr>
                    <m:t xml:space="preserve">+ </m:t>
                  </m:r>
                  <m:sSup>
                    <m:sSupPr>
                      <m:ctrlPr>
                        <w:rPr>
                          <w:rFonts w:ascii="Cambria Math" w:hAnsi="Cambria Math" w:cstheme="majorBidi"/>
                          <w:i/>
                        </w:rPr>
                      </m:ctrlPr>
                    </m:sSupPr>
                    <m:e>
                      <m:r>
                        <w:rPr>
                          <w:rFonts w:ascii="Cambria Math" w:hAnsi="Cambria Math" w:cstheme="majorBidi"/>
                        </w:rPr>
                        <m:t>Age</m:t>
                      </m:r>
                    </m:e>
                    <m:sup>
                      <m:r>
                        <w:rPr>
                          <w:rFonts w:ascii="Cambria Math" w:hAnsi="Cambria Math" w:cstheme="majorBidi"/>
                        </w:rPr>
                        <m:t>n</m:t>
                      </m:r>
                    </m:sup>
                  </m:sSup>
                </m:den>
              </m:f>
            </m:e>
          </m:d>
        </m:oMath>
      </m:oMathPara>
    </w:p>
    <w:p w14:paraId="4691E952" w14:textId="27C5B064" w:rsidR="008C2067" w:rsidRPr="000E1337" w:rsidRDefault="008C2067" w:rsidP="008C2067">
      <w:pPr>
        <w:spacing w:after="0" w:line="480" w:lineRule="auto"/>
        <w:ind w:firstLine="432"/>
        <w:jc w:val="both"/>
        <w:rPr>
          <w:rFonts w:asciiTheme="majorBidi" w:hAnsiTheme="majorBidi" w:cstheme="majorBidi"/>
          <w:i/>
          <w:iCs/>
          <w:color w:val="242021"/>
        </w:rPr>
      </w:pPr>
      <w:r w:rsidRPr="000E1337">
        <w:rPr>
          <w:rFonts w:asciiTheme="majorBidi" w:hAnsiTheme="majorBidi" w:cstheme="majorBidi"/>
          <w:i/>
          <w:iCs/>
        </w:rPr>
        <w:t xml:space="preserve">                                        In preterm population: Fraction = C</w:t>
      </w:r>
      <w:r w:rsidRPr="000E1337">
        <w:rPr>
          <w:rFonts w:asciiTheme="majorBidi" w:hAnsiTheme="majorBidi" w:cstheme="majorBidi"/>
          <w:i/>
          <w:iCs/>
          <w:vertAlign w:val="subscript"/>
        </w:rPr>
        <w:t>0</w:t>
      </w:r>
      <w:r w:rsidRPr="000E1337">
        <w:rPr>
          <w:rFonts w:asciiTheme="majorBidi" w:hAnsiTheme="majorBidi" w:cstheme="majorBidi"/>
          <w:i/>
          <w:iCs/>
        </w:rPr>
        <w:t>+C</w:t>
      </w:r>
      <w:r w:rsidRPr="000E1337">
        <w:rPr>
          <w:rFonts w:asciiTheme="majorBidi" w:hAnsiTheme="majorBidi" w:cstheme="majorBidi"/>
          <w:i/>
          <w:iCs/>
          <w:vertAlign w:val="subscript"/>
        </w:rPr>
        <w:t>1</w:t>
      </w:r>
      <w:r w:rsidRPr="000E1337">
        <w:rPr>
          <w:rFonts w:asciiTheme="majorBidi" w:hAnsiTheme="majorBidi" w:cstheme="majorBidi"/>
          <w:i/>
          <w:iCs/>
        </w:rPr>
        <w:t>×PMA</w:t>
      </w:r>
    </w:p>
    <w:p w14:paraId="7C351446" w14:textId="77777777" w:rsidR="009A6116" w:rsidRPr="000E1337" w:rsidRDefault="009A6116" w:rsidP="00ED462E">
      <w:pPr>
        <w:spacing w:after="0" w:line="240" w:lineRule="auto"/>
        <w:rPr>
          <w:rFonts w:asciiTheme="majorBidi" w:hAnsiTheme="majorBidi" w:cstheme="majorBidi"/>
          <w:i/>
          <w:iCs/>
          <w:sz w:val="20"/>
          <w:szCs w:val="20"/>
        </w:rPr>
      </w:pPr>
    </w:p>
    <w:p w14:paraId="5E53CED8" w14:textId="77777777" w:rsidR="00705B78" w:rsidRPr="000E1337" w:rsidRDefault="00705B78" w:rsidP="00ED462E">
      <w:pPr>
        <w:spacing w:after="0" w:line="240" w:lineRule="auto"/>
        <w:rPr>
          <w:rFonts w:asciiTheme="majorBidi" w:hAnsiTheme="majorBidi" w:cstheme="majorBidi"/>
          <w:sz w:val="20"/>
          <w:szCs w:val="20"/>
        </w:rPr>
      </w:pPr>
    </w:p>
    <w:p w14:paraId="34159C64" w14:textId="77777777" w:rsidR="005637BF" w:rsidRPr="000E1337" w:rsidRDefault="005637BF">
      <w:pPr>
        <w:rPr>
          <w:rFonts w:asciiTheme="majorBidi" w:hAnsiTheme="majorBidi" w:cstheme="majorBidi"/>
          <w:sz w:val="20"/>
          <w:szCs w:val="20"/>
        </w:rPr>
      </w:pPr>
      <w:bookmarkStart w:id="7" w:name="_Hlk162569829"/>
      <w:r w:rsidRPr="000E1337">
        <w:rPr>
          <w:rFonts w:asciiTheme="majorBidi" w:hAnsiTheme="majorBidi" w:cstheme="majorBidi"/>
          <w:sz w:val="20"/>
          <w:szCs w:val="20"/>
        </w:rPr>
        <w:br w:type="page"/>
      </w:r>
    </w:p>
    <w:p w14:paraId="1F59BF70" w14:textId="517B68DF" w:rsidR="00F71FFE" w:rsidRPr="000E1337" w:rsidRDefault="001C732C" w:rsidP="00191A31">
      <w:pPr>
        <w:spacing w:after="0" w:line="360" w:lineRule="auto"/>
        <w:rPr>
          <w:rFonts w:asciiTheme="majorBidi" w:hAnsiTheme="majorBidi" w:cstheme="majorBidi"/>
          <w:b/>
          <w:bCs/>
        </w:rPr>
      </w:pPr>
      <w:r w:rsidRPr="000E1337">
        <w:rPr>
          <w:rFonts w:asciiTheme="majorBidi" w:hAnsiTheme="majorBidi" w:cstheme="majorBidi"/>
          <w:b/>
          <w:bCs/>
        </w:rPr>
        <w:lastRenderedPageBreak/>
        <w:t>Table S</w:t>
      </w:r>
      <w:r w:rsidR="00AA4A54" w:rsidRPr="000E1337">
        <w:rPr>
          <w:rFonts w:asciiTheme="majorBidi" w:hAnsiTheme="majorBidi" w:cstheme="majorBidi"/>
          <w:b/>
          <w:bCs/>
        </w:rPr>
        <w:t>4</w:t>
      </w:r>
      <w:r w:rsidRPr="000E1337">
        <w:rPr>
          <w:rFonts w:asciiTheme="majorBidi" w:hAnsiTheme="majorBidi" w:cstheme="majorBidi"/>
          <w:b/>
          <w:bCs/>
        </w:rPr>
        <w:t xml:space="preserve">. A summary of the clinical studies used to develop and </w:t>
      </w:r>
      <w:r w:rsidR="00982863" w:rsidRPr="000E1337">
        <w:rPr>
          <w:rFonts w:asciiTheme="majorBidi" w:hAnsiTheme="majorBidi" w:cstheme="majorBidi"/>
          <w:b/>
          <w:bCs/>
        </w:rPr>
        <w:t xml:space="preserve">verify </w:t>
      </w:r>
      <w:r w:rsidRPr="000E1337">
        <w:rPr>
          <w:rFonts w:asciiTheme="majorBidi" w:hAnsiTheme="majorBidi" w:cstheme="majorBidi"/>
          <w:b/>
          <w:bCs/>
        </w:rPr>
        <w:t>the PBPK models</w:t>
      </w:r>
      <w:r w:rsidR="00082E62" w:rsidRPr="000E1337">
        <w:rPr>
          <w:rFonts w:asciiTheme="majorBidi" w:hAnsiTheme="majorBidi" w:cstheme="majorBidi"/>
          <w:b/>
          <w:bCs/>
        </w:rPr>
        <w:t xml:space="preserve"> in adult</w:t>
      </w:r>
    </w:p>
    <w:tbl>
      <w:tblPr>
        <w:tblW w:w="9946" w:type="dxa"/>
        <w:tblInd w:w="-165" w:type="dxa"/>
        <w:tblCellMar>
          <w:left w:w="0" w:type="dxa"/>
          <w:right w:w="0" w:type="dxa"/>
        </w:tblCellMar>
        <w:tblLook w:val="0600" w:firstRow="0" w:lastRow="0" w:firstColumn="0" w:lastColumn="0" w:noHBand="1" w:noVBand="1"/>
      </w:tblPr>
      <w:tblGrid>
        <w:gridCol w:w="2430"/>
        <w:gridCol w:w="3547"/>
        <w:gridCol w:w="425"/>
        <w:gridCol w:w="1276"/>
        <w:gridCol w:w="1134"/>
        <w:gridCol w:w="1134"/>
      </w:tblGrid>
      <w:tr w:rsidR="004227D6" w:rsidRPr="000E1337" w14:paraId="2FBEFAF8" w14:textId="77777777" w:rsidTr="00B56022">
        <w:trPr>
          <w:trHeight w:val="88"/>
        </w:trPr>
        <w:tc>
          <w:tcPr>
            <w:tcW w:w="2430" w:type="dxa"/>
            <w:tcBorders>
              <w:top w:val="single" w:sz="12" w:space="0" w:color="auto"/>
              <w:bottom w:val="single" w:sz="12" w:space="0" w:color="auto"/>
            </w:tcBorders>
            <w:tcMar>
              <w:top w:w="15" w:type="dxa"/>
              <w:left w:w="15" w:type="dxa"/>
              <w:bottom w:w="0" w:type="dxa"/>
              <w:right w:w="15" w:type="dxa"/>
            </w:tcMar>
            <w:vAlign w:val="center"/>
            <w:hideMark/>
          </w:tcPr>
          <w:bookmarkEnd w:id="7"/>
          <w:p w14:paraId="29C6DEC7" w14:textId="57E49B6E" w:rsidR="004227D6" w:rsidRPr="000E1337" w:rsidRDefault="004227D6" w:rsidP="00DA00C4">
            <w:pPr>
              <w:spacing w:after="0"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Clinical Study</w:t>
            </w:r>
          </w:p>
        </w:tc>
        <w:tc>
          <w:tcPr>
            <w:tcW w:w="3547" w:type="dxa"/>
            <w:tcBorders>
              <w:top w:val="single" w:sz="12" w:space="0" w:color="auto"/>
              <w:bottom w:val="single" w:sz="12" w:space="0" w:color="auto"/>
            </w:tcBorders>
            <w:tcMar>
              <w:top w:w="15" w:type="dxa"/>
              <w:left w:w="15" w:type="dxa"/>
              <w:bottom w:w="0" w:type="dxa"/>
              <w:right w:w="15" w:type="dxa"/>
            </w:tcMar>
            <w:vAlign w:val="center"/>
            <w:hideMark/>
          </w:tcPr>
          <w:p w14:paraId="10838FC2" w14:textId="62FD3F48" w:rsidR="004227D6" w:rsidRPr="000E1337" w:rsidRDefault="004227D6" w:rsidP="00DA00C4">
            <w:pPr>
              <w:spacing w:after="0"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 xml:space="preserve">Dose </w:t>
            </w:r>
          </w:p>
        </w:tc>
        <w:tc>
          <w:tcPr>
            <w:tcW w:w="425" w:type="dxa"/>
            <w:tcBorders>
              <w:top w:val="single" w:sz="12" w:space="0" w:color="auto"/>
              <w:bottom w:val="single" w:sz="12" w:space="0" w:color="auto"/>
            </w:tcBorders>
            <w:tcMar>
              <w:top w:w="15" w:type="dxa"/>
              <w:left w:w="15" w:type="dxa"/>
              <w:bottom w:w="0" w:type="dxa"/>
              <w:right w:w="15" w:type="dxa"/>
            </w:tcMar>
            <w:vAlign w:val="center"/>
            <w:hideMark/>
          </w:tcPr>
          <w:p w14:paraId="7806BCF4" w14:textId="77777777" w:rsidR="004227D6" w:rsidRPr="000E1337" w:rsidRDefault="004227D6" w:rsidP="00DA00C4">
            <w:pPr>
              <w:spacing w:after="0"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N</w:t>
            </w:r>
          </w:p>
        </w:tc>
        <w:tc>
          <w:tcPr>
            <w:tcW w:w="1276" w:type="dxa"/>
            <w:tcBorders>
              <w:top w:val="single" w:sz="12" w:space="0" w:color="auto"/>
              <w:bottom w:val="single" w:sz="12" w:space="0" w:color="auto"/>
            </w:tcBorders>
            <w:tcMar>
              <w:top w:w="15" w:type="dxa"/>
              <w:left w:w="15" w:type="dxa"/>
              <w:bottom w:w="0" w:type="dxa"/>
              <w:right w:w="15" w:type="dxa"/>
            </w:tcMar>
            <w:vAlign w:val="center"/>
            <w:hideMark/>
          </w:tcPr>
          <w:p w14:paraId="458A205F" w14:textId="4988D278" w:rsidR="004227D6" w:rsidRPr="000E1337" w:rsidRDefault="004227D6" w:rsidP="00DA00C4">
            <w:pPr>
              <w:spacing w:after="0"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 xml:space="preserve">Age </w:t>
            </w:r>
            <w:r w:rsidR="00A80370" w:rsidRPr="000E1337">
              <w:rPr>
                <w:rFonts w:asciiTheme="majorBidi" w:hAnsiTheme="majorBidi" w:cstheme="majorBidi"/>
                <w:b/>
                <w:bCs/>
                <w:sz w:val="20"/>
                <w:szCs w:val="20"/>
              </w:rPr>
              <w:t>(year</w:t>
            </w:r>
            <w:r w:rsidR="00B56022" w:rsidRPr="000E1337">
              <w:rPr>
                <w:rFonts w:asciiTheme="majorBidi" w:hAnsiTheme="majorBidi" w:cstheme="majorBidi"/>
                <w:b/>
                <w:bCs/>
                <w:sz w:val="20"/>
                <w:szCs w:val="20"/>
              </w:rPr>
              <w:t>;</w:t>
            </w:r>
          </w:p>
          <w:p w14:paraId="4F5C9665" w14:textId="4BE4C258" w:rsidR="00B56022" w:rsidRPr="000E1337" w:rsidRDefault="00B56022" w:rsidP="00DA00C4">
            <w:pPr>
              <w:spacing w:after="0"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min-max or mean ± SD)</w:t>
            </w:r>
          </w:p>
        </w:tc>
        <w:tc>
          <w:tcPr>
            <w:tcW w:w="1134" w:type="dxa"/>
            <w:tcBorders>
              <w:top w:val="single" w:sz="12" w:space="0" w:color="auto"/>
              <w:bottom w:val="single" w:sz="12" w:space="0" w:color="auto"/>
            </w:tcBorders>
            <w:tcMar>
              <w:top w:w="15" w:type="dxa"/>
              <w:left w:w="15" w:type="dxa"/>
              <w:bottom w:w="0" w:type="dxa"/>
              <w:right w:w="15" w:type="dxa"/>
            </w:tcMar>
            <w:vAlign w:val="center"/>
            <w:hideMark/>
          </w:tcPr>
          <w:p w14:paraId="2E0272AA" w14:textId="01F8CAC1" w:rsidR="004227D6" w:rsidRPr="000E1337" w:rsidRDefault="004227D6" w:rsidP="00DA00C4">
            <w:pPr>
              <w:spacing w:after="0"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 xml:space="preserve">BW </w:t>
            </w:r>
            <w:r w:rsidR="00A80370" w:rsidRPr="000E1337">
              <w:rPr>
                <w:rFonts w:asciiTheme="majorBidi" w:hAnsiTheme="majorBidi" w:cstheme="majorBidi"/>
                <w:b/>
                <w:bCs/>
                <w:sz w:val="20"/>
                <w:szCs w:val="20"/>
              </w:rPr>
              <w:t>(</w:t>
            </w:r>
            <w:r w:rsidRPr="000E1337">
              <w:rPr>
                <w:rFonts w:asciiTheme="majorBidi" w:hAnsiTheme="majorBidi" w:cstheme="majorBidi"/>
                <w:b/>
                <w:bCs/>
                <w:sz w:val="20"/>
                <w:szCs w:val="20"/>
              </w:rPr>
              <w:t>kg</w:t>
            </w:r>
            <w:r w:rsidR="00B56022" w:rsidRPr="000E1337">
              <w:rPr>
                <w:rFonts w:asciiTheme="majorBidi" w:hAnsiTheme="majorBidi" w:cstheme="majorBidi"/>
                <w:b/>
                <w:bCs/>
                <w:sz w:val="20"/>
                <w:szCs w:val="20"/>
              </w:rPr>
              <w:t>; min-max or mean ± SD</w:t>
            </w:r>
            <w:r w:rsidR="00A80370" w:rsidRPr="000E1337">
              <w:rPr>
                <w:rFonts w:asciiTheme="majorBidi" w:hAnsiTheme="majorBidi" w:cstheme="majorBidi"/>
                <w:b/>
                <w:bCs/>
                <w:sz w:val="20"/>
                <w:szCs w:val="20"/>
              </w:rPr>
              <w:t>)</w:t>
            </w:r>
          </w:p>
        </w:tc>
        <w:tc>
          <w:tcPr>
            <w:tcW w:w="1134" w:type="dxa"/>
            <w:tcBorders>
              <w:top w:val="single" w:sz="12" w:space="0" w:color="auto"/>
              <w:bottom w:val="single" w:sz="12" w:space="0" w:color="auto"/>
            </w:tcBorders>
            <w:tcMar>
              <w:top w:w="15" w:type="dxa"/>
              <w:left w:w="15" w:type="dxa"/>
              <w:bottom w:w="0" w:type="dxa"/>
              <w:right w:w="15" w:type="dxa"/>
            </w:tcMar>
            <w:vAlign w:val="center"/>
            <w:hideMark/>
          </w:tcPr>
          <w:p w14:paraId="2EF5B2A9" w14:textId="0A02F732" w:rsidR="004227D6" w:rsidRPr="000E1337" w:rsidRDefault="004227D6" w:rsidP="00DA00C4">
            <w:pPr>
              <w:spacing w:after="0" w:line="276" w:lineRule="auto"/>
              <w:jc w:val="center"/>
              <w:rPr>
                <w:rFonts w:asciiTheme="majorBidi" w:hAnsiTheme="majorBidi" w:cstheme="majorBidi"/>
                <w:b/>
                <w:bCs/>
                <w:sz w:val="20"/>
                <w:szCs w:val="20"/>
              </w:rPr>
            </w:pPr>
            <w:proofErr w:type="spellStart"/>
            <w:r w:rsidRPr="000E1337">
              <w:rPr>
                <w:rFonts w:asciiTheme="majorBidi" w:hAnsiTheme="majorBidi" w:cstheme="majorBidi"/>
                <w:b/>
                <w:bCs/>
                <w:sz w:val="20"/>
                <w:szCs w:val="20"/>
              </w:rPr>
              <w:t>Ht</w:t>
            </w:r>
            <w:proofErr w:type="spellEnd"/>
            <w:r w:rsidRPr="000E1337">
              <w:rPr>
                <w:rFonts w:asciiTheme="majorBidi" w:hAnsiTheme="majorBidi" w:cstheme="majorBidi"/>
                <w:b/>
                <w:bCs/>
                <w:sz w:val="20"/>
                <w:szCs w:val="20"/>
              </w:rPr>
              <w:t xml:space="preserve"> </w:t>
            </w:r>
            <w:r w:rsidR="00A80370" w:rsidRPr="000E1337">
              <w:rPr>
                <w:rFonts w:asciiTheme="majorBidi" w:hAnsiTheme="majorBidi" w:cstheme="majorBidi"/>
                <w:b/>
                <w:bCs/>
                <w:sz w:val="20"/>
                <w:szCs w:val="20"/>
              </w:rPr>
              <w:t>(</w:t>
            </w:r>
            <w:r w:rsidRPr="000E1337">
              <w:rPr>
                <w:rFonts w:asciiTheme="majorBidi" w:hAnsiTheme="majorBidi" w:cstheme="majorBidi"/>
                <w:b/>
                <w:bCs/>
                <w:sz w:val="20"/>
                <w:szCs w:val="20"/>
              </w:rPr>
              <w:t>cm</w:t>
            </w:r>
            <w:r w:rsidR="00B56022" w:rsidRPr="000E1337">
              <w:rPr>
                <w:rFonts w:asciiTheme="majorBidi" w:hAnsiTheme="majorBidi" w:cstheme="majorBidi"/>
                <w:b/>
                <w:bCs/>
                <w:sz w:val="20"/>
                <w:szCs w:val="20"/>
              </w:rPr>
              <w:t>; min-max or mean ± SD)</w:t>
            </w:r>
            <w:r w:rsidR="00A80370" w:rsidRPr="000E1337">
              <w:rPr>
                <w:rFonts w:asciiTheme="majorBidi" w:hAnsiTheme="majorBidi" w:cstheme="majorBidi"/>
                <w:b/>
                <w:bCs/>
                <w:sz w:val="20"/>
                <w:szCs w:val="20"/>
              </w:rPr>
              <w:t>)</w:t>
            </w:r>
          </w:p>
        </w:tc>
      </w:tr>
      <w:tr w:rsidR="00C5489C" w:rsidRPr="000E1337" w14:paraId="2240E40F" w14:textId="77777777" w:rsidTr="00D3668C">
        <w:trPr>
          <w:trHeight w:val="176"/>
        </w:trPr>
        <w:tc>
          <w:tcPr>
            <w:tcW w:w="9946" w:type="dxa"/>
            <w:gridSpan w:val="6"/>
            <w:tcMar>
              <w:top w:w="15" w:type="dxa"/>
              <w:left w:w="15" w:type="dxa"/>
              <w:bottom w:w="0" w:type="dxa"/>
              <w:right w:w="15" w:type="dxa"/>
            </w:tcMar>
            <w:vAlign w:val="center"/>
          </w:tcPr>
          <w:p w14:paraId="4D85D4C8" w14:textId="1216D5DA" w:rsidR="00C5489C" w:rsidRPr="000E1337" w:rsidRDefault="00E64550" w:rsidP="00BA173B">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Model Development</w:t>
            </w:r>
          </w:p>
        </w:tc>
      </w:tr>
      <w:tr w:rsidR="00C5489C" w:rsidRPr="000E1337" w14:paraId="5C3305A3" w14:textId="77777777" w:rsidTr="00BA173B">
        <w:trPr>
          <w:trHeight w:val="176"/>
        </w:trPr>
        <w:tc>
          <w:tcPr>
            <w:tcW w:w="2430" w:type="dxa"/>
            <w:tcMar>
              <w:top w:w="15" w:type="dxa"/>
              <w:left w:w="15" w:type="dxa"/>
              <w:bottom w:w="0" w:type="dxa"/>
              <w:right w:w="15" w:type="dxa"/>
            </w:tcMar>
            <w:vAlign w:val="center"/>
          </w:tcPr>
          <w:p w14:paraId="55E41069" w14:textId="31595CF8" w:rsidR="00C5489C" w:rsidRPr="000E1337" w:rsidRDefault="00C5489C" w:rsidP="00D77762">
            <w:pPr>
              <w:spacing w:after="0" w:line="240" w:lineRule="auto"/>
              <w:jc w:val="center"/>
              <w:rPr>
                <w:rFonts w:asciiTheme="majorBidi" w:hAnsiTheme="majorBidi" w:cstheme="majorBidi"/>
                <w:sz w:val="20"/>
                <w:szCs w:val="20"/>
              </w:rPr>
            </w:pPr>
            <w:proofErr w:type="spellStart"/>
            <w:r w:rsidRPr="000E1337">
              <w:rPr>
                <w:rFonts w:asciiTheme="majorBidi" w:hAnsiTheme="majorBidi" w:cstheme="majorBidi"/>
                <w:sz w:val="20"/>
                <w:szCs w:val="20"/>
              </w:rPr>
              <w:t>Olkkola</w:t>
            </w:r>
            <w:proofErr w:type="spellEnd"/>
            <w:r w:rsidRPr="000E1337">
              <w:rPr>
                <w:rFonts w:asciiTheme="majorBidi" w:hAnsiTheme="majorBidi" w:cstheme="majorBidi"/>
                <w:sz w:val="20"/>
                <w:szCs w:val="20"/>
              </w:rPr>
              <w:t xml:space="preserve"> et al.,1991 </w:t>
            </w:r>
            <w:r w:rsidRPr="000E1337">
              <w:rPr>
                <w:rFonts w:asciiTheme="majorBidi" w:hAnsiTheme="majorBidi" w:cstheme="majorBidi"/>
                <w:sz w:val="20"/>
                <w:szCs w:val="20"/>
              </w:rPr>
              <w:fldChar w:fldCharType="begin"/>
            </w:r>
            <w:r w:rsidR="00D77762" w:rsidRPr="000E1337">
              <w:rPr>
                <w:rFonts w:asciiTheme="majorBidi" w:hAnsiTheme="majorBidi" w:cstheme="majorBidi"/>
                <w:sz w:val="20"/>
                <w:szCs w:val="20"/>
              </w:rPr>
              <w:instrText xml:space="preserve"> ADDIN ZOTERO_ITEM CSL_CITATION {"citationID":"a29km2vdh9l","properties":{"formattedCitation":"[13]","plainCitation":"[13]","noteIndex":0},"citationItems":[{"id":52,"uris":["http://zotero.org/users/local/J5Cy8xXX/items/VA4F6WKK"],"itemData":{"id":52,"type":"article-journal","abstract":"BACKGROUND: The human immunodeficiency virus protease inhibitor ritonavir is a potent inhibitor of the cytochrome P450 3A4 enzyme, and ritonavir's concomitant administration with the substrates of this enzyme may lead to dangerous drug interactions.\nMETHODS: The authors investigated possible interactions between ritonavir and intravenously administered fentanyl in a double-blind, placebo-controlled, cross-over study in two phases. Twelve healthy volunteers received orally ritonavir or placebo for 3 days; the dose of ritonavir was 200 mg three times on the first day and 300 mg three times on the second. The last dose of ritonavir 300 mg or placebo was given on the morning of the third day. On the second day, 2 h after the afternoon pretreatment dose, fentanyl 5 microg/kg was injected intravenously in 2 min with naloxone to moderate its effects, and 15 timed venous blood samples were collected for 18 h.\nRESULTS: Ritonavir reduced the clearance of fentanyl by 67% from 15.6+/-8.2 to 5.2+/-2.0 ml x min(-1) x kg(-1) (P&lt;0.01). The area under the fentanyl plasma concentration-time curve from 0 to 18 h was increased from 4.8+/-2.7 to 8.8+/-2.3 ng x ml(-1) x h(-1) by ritonavir (P&lt;0.01). Ritonavir did not affect the initial concentrations and the steady-state volume of distribution of fentanyl. One subject discontinued participation before fentanyl administration because of severe side effects, and during the study 8 of the remaining 11 subjects reported nausea.\nCONCLUSIONS: Ritonavir can inhibit the metabolism of fentanyl significantly, so caution should be exercised if fentanyl is given to patients receiving ritonavir medication.","container-title":"Anesthesiology","DOI":"10.1097/00000542-199909000-00020","ISSN":"0003-3022","issue":"3","journalAbbreviation":"Anesthesiology","language":"eng","note":"PMID: 10485779","page":"681-685","source":"PubMed","title":"Ritonavir's role in reducing fentanyl clearance and prolonging its half-life","volume":"91","author":[{"family":"Olkkola","given":"K. T."},{"family":"Palkama","given":"V. J."},{"family":"Neuvonen","given":"P. J."}],"issued":{"date-parts":[["1999",9]]}}}],"schema":"https://github.com/citation-style-language/schema/raw/master/csl-citation.json"} </w:instrText>
            </w:r>
            <w:r w:rsidRPr="000E1337">
              <w:rPr>
                <w:rFonts w:asciiTheme="majorBidi" w:hAnsiTheme="majorBidi" w:cstheme="majorBidi"/>
                <w:sz w:val="20"/>
                <w:szCs w:val="20"/>
              </w:rPr>
              <w:fldChar w:fldCharType="separate"/>
            </w:r>
            <w:r w:rsidR="00D77762" w:rsidRPr="008A707E">
              <w:rPr>
                <w:rFonts w:asciiTheme="majorBidi" w:hAnsiTheme="majorBidi" w:cstheme="majorBidi"/>
                <w:sz w:val="20"/>
              </w:rPr>
              <w:t>[13]</w:t>
            </w:r>
            <w:r w:rsidRPr="000E1337">
              <w:rPr>
                <w:rFonts w:asciiTheme="majorBidi" w:hAnsiTheme="majorBidi" w:cstheme="majorBidi"/>
                <w:sz w:val="20"/>
                <w:szCs w:val="20"/>
              </w:rPr>
              <w:fldChar w:fldCharType="end"/>
            </w:r>
          </w:p>
        </w:tc>
        <w:tc>
          <w:tcPr>
            <w:tcW w:w="3547" w:type="dxa"/>
            <w:vAlign w:val="center"/>
          </w:tcPr>
          <w:p w14:paraId="29566FF3" w14:textId="7503B497"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lang w:val="pt-BR"/>
              </w:rPr>
              <w:t>5 µg/kg</w:t>
            </w:r>
          </w:p>
        </w:tc>
        <w:tc>
          <w:tcPr>
            <w:tcW w:w="425" w:type="dxa"/>
            <w:tcMar>
              <w:top w:w="15" w:type="dxa"/>
              <w:left w:w="15" w:type="dxa"/>
              <w:bottom w:w="0" w:type="dxa"/>
              <w:right w:w="15" w:type="dxa"/>
            </w:tcMar>
            <w:vAlign w:val="center"/>
          </w:tcPr>
          <w:p w14:paraId="74119504" w14:textId="2A33EB9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276" w:type="dxa"/>
            <w:tcMar>
              <w:top w:w="15" w:type="dxa"/>
              <w:left w:w="15" w:type="dxa"/>
              <w:bottom w:w="0" w:type="dxa"/>
              <w:right w:w="15" w:type="dxa"/>
            </w:tcMar>
            <w:vAlign w:val="center"/>
          </w:tcPr>
          <w:p w14:paraId="618EAF31" w14:textId="24E18E2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20–33</w:t>
            </w:r>
          </w:p>
        </w:tc>
        <w:tc>
          <w:tcPr>
            <w:tcW w:w="1134" w:type="dxa"/>
            <w:tcMar>
              <w:top w:w="15" w:type="dxa"/>
              <w:left w:w="15" w:type="dxa"/>
              <w:bottom w:w="0" w:type="dxa"/>
              <w:right w:w="15" w:type="dxa"/>
            </w:tcMar>
            <w:vAlign w:val="center"/>
          </w:tcPr>
          <w:p w14:paraId="39E3C4A4" w14:textId="7C17D5B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61 ± 13</w:t>
            </w:r>
          </w:p>
        </w:tc>
        <w:tc>
          <w:tcPr>
            <w:tcW w:w="1134" w:type="dxa"/>
            <w:tcMar>
              <w:top w:w="15" w:type="dxa"/>
              <w:left w:w="15" w:type="dxa"/>
              <w:bottom w:w="0" w:type="dxa"/>
              <w:right w:w="15" w:type="dxa"/>
            </w:tcMar>
            <w:vAlign w:val="center"/>
          </w:tcPr>
          <w:p w14:paraId="71FB993F" w14:textId="396DF1D8"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5933CCF7" w14:textId="77777777" w:rsidTr="00BA173B">
        <w:trPr>
          <w:trHeight w:val="176"/>
        </w:trPr>
        <w:tc>
          <w:tcPr>
            <w:tcW w:w="2430" w:type="dxa"/>
            <w:tcMar>
              <w:top w:w="15" w:type="dxa"/>
              <w:left w:w="15" w:type="dxa"/>
              <w:bottom w:w="0" w:type="dxa"/>
              <w:right w:w="15" w:type="dxa"/>
            </w:tcMar>
            <w:vAlign w:val="center"/>
          </w:tcPr>
          <w:p w14:paraId="540839E8" w14:textId="46F1CEAF" w:rsidR="00C5489C" w:rsidRPr="000E1337" w:rsidRDefault="00C5489C" w:rsidP="00D77762">
            <w:pPr>
              <w:spacing w:after="0" w:line="240" w:lineRule="auto"/>
              <w:jc w:val="center"/>
              <w:rPr>
                <w:rFonts w:asciiTheme="majorBidi" w:hAnsiTheme="majorBidi" w:cstheme="majorBidi"/>
                <w:sz w:val="20"/>
                <w:szCs w:val="20"/>
              </w:rPr>
            </w:pPr>
            <w:proofErr w:type="spellStart"/>
            <w:r w:rsidRPr="000E1337">
              <w:rPr>
                <w:rFonts w:asciiTheme="majorBidi" w:hAnsiTheme="majorBidi" w:cstheme="majorBidi"/>
                <w:sz w:val="20"/>
                <w:szCs w:val="20"/>
              </w:rPr>
              <w:t>Ziesenitz</w:t>
            </w:r>
            <w:proofErr w:type="spellEnd"/>
            <w:r w:rsidRPr="000E1337">
              <w:rPr>
                <w:rFonts w:asciiTheme="majorBidi" w:hAnsiTheme="majorBidi" w:cstheme="majorBidi"/>
                <w:sz w:val="20"/>
                <w:szCs w:val="20"/>
              </w:rPr>
              <w:t xml:space="preserve"> et al., 2015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{"citationID":"a1esldcgr2s","properties":{"formattedCitation":"[14]","plainCitation":"[14]","noteIndex":0},"citationItems":[{"id":63,"uris":["http://zotero.org/users/local/J5Cy8xXX/items/5WUIR2UC"],"itemData":{"id":63,"type":"article-journal","abstract":"Fentanyl is primarily metabolized by CYP3A, but has also been suggested to act as a weak inhibitor of CYP3A. We investigated the influence of CYP3A inhibition by ketoconazole on the pharmacokinetics of intravenously administered fentanyl and the effect of fentanyl on CYP3A activity. A prospective, open-label, randomized, monocentre, crossover study was conducted in 16 healthy volunteers. They received fentanyl alone (5 microgram per kilogram) or fentanyl plus ketoconazole (200 milligram orally B.I.D. over 2 days). Naloxone (2 × 0.2 milligram i.v.) was given simultaneously with fentanyl to mitigate any opioid effect. Midazolam was administered as a CYP3A probe drug. Fentanyl and its metabolites were quantified by LC/MS/MS in blood and urine samples obtained over 24 hour. Exposure of fentanyl (AUC0- </w:instrText>
            </w:r>
            <w:r w:rsidR="00EE60C4" w:rsidRPr="000E1337">
              <w:rPr>
                <w:rFonts w:asciiTheme="majorBidi" w:hAnsiTheme="majorBidi" w:cstheme="majorBidi" w:hint="eastAsia"/>
                <w:sz w:val="20"/>
                <w:szCs w:val="20"/>
              </w:rPr>
              <w:instrText>∞</w:instrText>
            </w:r>
            <w:r w:rsidR="00EE60C4" w:rsidRPr="000E1337">
              <w:rPr>
                <w:rFonts w:asciiTheme="majorBidi" w:hAnsiTheme="majorBidi" w:cstheme="majorBidi"/>
                <w:sz w:val="20"/>
                <w:szCs w:val="20"/>
              </w:rPr>
              <w:instrText xml:space="preserve"> ) was significantly increased to 133% and systemic clearance was reduced to 78% by ketoconazole, norfentanyl formation was significantly delayed and partial metabolic clearance decreased to 18%. Fentanyl had no influence on midazolam exposure and CYP3A activity whereas ketoconazole decreased CYP3A activity to 13%. Although fentanyl N-dealkylation is substantially inhibited by ketoconazole, exposure of fentanyl itself increased by one third only. Clinically fentanyl dosage adjustments may become necessary when ketoconazole or other strong CYP3A inhibitors are given simultaneously. Fentanyl itself does not influence CYP3A activity.","container-title":"Journal of Clinical Pharmacology","DOI":"10.1002/jcph.469","ISSN":"1552-4604","issue":"6","journalAbbreviation":"J Clin Pharmacol","language":"eng","note":"PMID: 25651378","page":"708-717","source":"PubMed","title":"Pharmacokinetic interaction of intravenous fentanyl with ketoconazole","volume":"55","author":[{"family":"Ziesenitz","given":"Victoria C."},{"family":"König","given":"Sonja K."},{"family":"Mahlke","given":"Nina S."},{"family":"Skopp","given":"Gisela"},{"family":"Haefeli","given":"Walter E."},{"family":"Mikus","given":"Gerd"}],"issued":{"date-parts":[["2015",6]]}}}],"schema":"https://github.com/citation-style-language/schema/raw/master/csl-citation.json"}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[14]</w:t>
            </w:r>
            <w:r w:rsidRPr="000E1337">
              <w:rPr>
                <w:rFonts w:asciiTheme="majorBidi" w:hAnsiTheme="majorBidi" w:cstheme="majorBidi"/>
                <w:sz w:val="20"/>
                <w:szCs w:val="20"/>
              </w:rPr>
              <w:fldChar w:fldCharType="end"/>
            </w:r>
          </w:p>
        </w:tc>
        <w:tc>
          <w:tcPr>
            <w:tcW w:w="3547" w:type="dxa"/>
            <w:vAlign w:val="center"/>
          </w:tcPr>
          <w:p w14:paraId="5AA24BB3" w14:textId="0A3FC77A" w:rsidR="00C5489C" w:rsidRPr="000E1337" w:rsidRDefault="00C5489C" w:rsidP="00C5489C">
            <w:pPr>
              <w:spacing w:after="0" w:line="240" w:lineRule="auto"/>
              <w:jc w:val="center"/>
              <w:rPr>
                <w:rFonts w:asciiTheme="majorBidi" w:hAnsiTheme="majorBidi" w:cstheme="majorBidi"/>
                <w:sz w:val="20"/>
                <w:szCs w:val="20"/>
                <w:highlight w:val="yellow"/>
              </w:rPr>
            </w:pPr>
            <w:r w:rsidRPr="000E1337">
              <w:rPr>
                <w:rFonts w:asciiTheme="majorBidi" w:hAnsiTheme="majorBidi" w:cstheme="majorBidi"/>
                <w:sz w:val="20"/>
                <w:szCs w:val="20"/>
                <w:lang w:val="pt-BR"/>
              </w:rPr>
              <w:t>5 µg/kg</w:t>
            </w:r>
          </w:p>
        </w:tc>
        <w:tc>
          <w:tcPr>
            <w:tcW w:w="425" w:type="dxa"/>
            <w:tcMar>
              <w:top w:w="15" w:type="dxa"/>
              <w:left w:w="15" w:type="dxa"/>
              <w:bottom w:w="0" w:type="dxa"/>
              <w:right w:w="15" w:type="dxa"/>
            </w:tcMar>
            <w:vAlign w:val="center"/>
          </w:tcPr>
          <w:p w14:paraId="1F3F0ABD" w14:textId="4BD44E3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w:t>
            </w:r>
          </w:p>
        </w:tc>
        <w:tc>
          <w:tcPr>
            <w:tcW w:w="1276" w:type="dxa"/>
            <w:tcMar>
              <w:top w:w="15" w:type="dxa"/>
              <w:left w:w="15" w:type="dxa"/>
              <w:bottom w:w="0" w:type="dxa"/>
              <w:right w:w="15" w:type="dxa"/>
            </w:tcMar>
            <w:vAlign w:val="center"/>
          </w:tcPr>
          <w:p w14:paraId="508BC00A" w14:textId="2AC964F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22–49</w:t>
            </w:r>
          </w:p>
        </w:tc>
        <w:tc>
          <w:tcPr>
            <w:tcW w:w="1134" w:type="dxa"/>
            <w:tcMar>
              <w:top w:w="15" w:type="dxa"/>
              <w:left w:w="15" w:type="dxa"/>
              <w:bottom w:w="0" w:type="dxa"/>
              <w:right w:w="15" w:type="dxa"/>
            </w:tcMar>
            <w:vAlign w:val="center"/>
          </w:tcPr>
          <w:p w14:paraId="1C530F22" w14:textId="0B33B23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73.4 ± 9</w:t>
            </w:r>
          </w:p>
        </w:tc>
        <w:tc>
          <w:tcPr>
            <w:tcW w:w="1134" w:type="dxa"/>
            <w:tcMar>
              <w:top w:w="15" w:type="dxa"/>
              <w:left w:w="15" w:type="dxa"/>
              <w:bottom w:w="0" w:type="dxa"/>
              <w:right w:w="15" w:type="dxa"/>
            </w:tcMar>
            <w:vAlign w:val="center"/>
          </w:tcPr>
          <w:p w14:paraId="39785A7A" w14:textId="594901A8"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178 ± 7</w:t>
            </w:r>
          </w:p>
        </w:tc>
      </w:tr>
      <w:tr w:rsidR="00C5489C" w:rsidRPr="000E1337" w14:paraId="6D9EEA3B" w14:textId="77777777" w:rsidTr="00BA173B">
        <w:trPr>
          <w:trHeight w:val="176"/>
        </w:trPr>
        <w:tc>
          <w:tcPr>
            <w:tcW w:w="2430" w:type="dxa"/>
            <w:tcMar>
              <w:top w:w="15" w:type="dxa"/>
              <w:left w:w="15" w:type="dxa"/>
              <w:bottom w:w="0" w:type="dxa"/>
              <w:right w:w="15" w:type="dxa"/>
            </w:tcMar>
            <w:vAlign w:val="center"/>
          </w:tcPr>
          <w:p w14:paraId="2948633A" w14:textId="1A8B9EF6" w:rsidR="00C5489C" w:rsidRPr="000E1337" w:rsidRDefault="00C5489C" w:rsidP="00D77762">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Ibrahim et al., 2003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{"citationID":"a2aopgpbpbq","properties":{"formattedCitation":"[15]","plainCitation":"[15]","noteIndex":0},"citationItems":[{"id":61,"uris":["http://zotero.org/users/local/J5Cy8xXX/items/DDRM3JAP"],"itemData":{"id":61,"type":"article-journal","abstract":"BACKGROUND: Parecoxib is a parenteral cyclooxygenase-2 (COX-2) inhibitor intended for perioperative analgesia. It is an inactive prodrug hydrolyzed in vivo to the active inhibitor valdecoxib, a substrate for hepatic cytochrome P450 3A4 (CYP3A4); hence, a potential exists for metabolic interactions with other CYP3A substrates. This study determined the effects of parecoxib on the pharmacokinetics and pharmacodynamics of the CYP3A substrates fentanyl and alfentanil compared with the CYP3A inhibitor troleandomycin. Alfentanil is a low-extraction drug with a clearance that is highly susceptible to drug interactions; fentanyl is a high-extraction drug and, thus, is theoretically less vulnerable. We therefore also tested the hypothesis that the extraction ratio influences the consequence of altered hepatic metabolism of these opioids.\nMETHODS: After Institutional Review Board-approved, written, informed consent was obtained, 12 22- to 40-yr-old healthy volunteers were enrolled in the study. The protocol was a randomized, double-blinded, balanced, placebo-controlled, three-session (placebo, parecoxib, or troleandomycin pretreatment) crossover. Subjects received both alfentanil (15 microg/kg) and fentanyl (5 microg/kg; 15-min intravenous infusion) 1 h after placebo, parecoxib (40 mg intravenously every 12 h), or troleandomycin (every 6 h). Study sessions were separated by 7 or more days. Opioid concentrations in venous blood were determined by liquid chromatography-mass spectrometry. Pharmacokinetic parameters were determined by noncompartmental analysis. Opioid effects were determined by pupillometry, respiratory rate, and Visual Analog Scale scores.\nRESULTS: There were no significant differences between the placebo and parecoxib treatments in alfentanil or fentanyl plasma concentration, maximum observed plasma concentration, area under the plasma time-concentration time curve, clearance, elimination half-life, or volume of distribution. However, disposition of alfentanil, and to a lesser extent fentanyl, was significantly altered by troleandomycin. Clearances were reduced to 12% (0.64 +/- 0.25 ml. kg-1. min-1) and 61% (9.35 +/- 3.07) of control (5.53 +/- 2.16 and 15.3 +/- 5.0) for alfentanil and fentanyl (P &lt; 0.001). Pupil diameter versus time curves were similar between placebo and parecoxib treatments but were significantly different after troleandomycin.\nCONCLUSIONS: Single-dose parecoxib does not alter fentanyl or alfentanil disposition or clinical effects and does not appear to cause significant CYP3A drug interactions. CYP3A inhibition decreases alfentanil clearance more than fentanyl clearance, confirming that the extraction ratio influences the consequence of altered hepatic drug metabolism. Modified cassette, or \"cocktail,\" dosing is useful for assessing drug interactions in humans.","container-title":"Anesthesiology","DOI":"10.1097/00000542-200304000-00011","ISSN":"0003-3022","issue":"4","journalAbbreviation":"Anesthesiology","language":"eng","note":"PMID: 12657846","page":"853-861","source":"PubMed","title":"Simultaneous assessment of drug interactions with low- and high-extraction opioids: application to parecoxib effects on the pharmacokinetics and pharmacodynamics of fentanyl and alfentanil","title-short":"Simultaneous assessment of drug interactions with low- and high-extraction opioids","volume":"98","author":[{"family":"Ibrahim","given":"Andra E."},{"family":"Feldman","given":"Jennifer"},{"family":"Karim","given":"Aziz"},{"family":"Kharasch","given":"Evan D."}],"issued":{"date-parts":[["2003",4]]}}}],"schema":"https://github.com/citation-style-language/schema/raw/master/csl-citation.json"}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[15]</w:t>
            </w:r>
            <w:r w:rsidRPr="000E1337">
              <w:rPr>
                <w:rFonts w:asciiTheme="majorBidi" w:hAnsiTheme="majorBidi" w:cstheme="majorBidi"/>
                <w:sz w:val="20"/>
                <w:szCs w:val="20"/>
              </w:rPr>
              <w:fldChar w:fldCharType="end"/>
            </w:r>
          </w:p>
        </w:tc>
        <w:tc>
          <w:tcPr>
            <w:tcW w:w="3547" w:type="dxa"/>
            <w:vAlign w:val="center"/>
          </w:tcPr>
          <w:p w14:paraId="59137D7D" w14:textId="5F132F9A" w:rsidR="00C5489C" w:rsidRPr="000E1337" w:rsidRDefault="00C5489C" w:rsidP="00C5489C">
            <w:pPr>
              <w:spacing w:after="0" w:line="240" w:lineRule="auto"/>
              <w:jc w:val="center"/>
              <w:rPr>
                <w:rFonts w:asciiTheme="majorBidi" w:hAnsiTheme="majorBidi" w:cstheme="majorBidi"/>
                <w:sz w:val="20"/>
                <w:szCs w:val="20"/>
                <w:highlight w:val="yellow"/>
              </w:rPr>
            </w:pPr>
            <w:r w:rsidRPr="000E1337">
              <w:rPr>
                <w:rFonts w:asciiTheme="majorBidi" w:hAnsiTheme="majorBidi" w:cstheme="majorBidi"/>
                <w:sz w:val="20"/>
                <w:szCs w:val="20"/>
                <w:lang w:val="pt-BR"/>
              </w:rPr>
              <w:t>5 µg/kg</w:t>
            </w:r>
          </w:p>
        </w:tc>
        <w:tc>
          <w:tcPr>
            <w:tcW w:w="425" w:type="dxa"/>
            <w:tcMar>
              <w:top w:w="15" w:type="dxa"/>
              <w:left w:w="15" w:type="dxa"/>
              <w:bottom w:w="0" w:type="dxa"/>
              <w:right w:w="15" w:type="dxa"/>
            </w:tcMar>
            <w:vAlign w:val="center"/>
          </w:tcPr>
          <w:p w14:paraId="5BC200F2" w14:textId="7E16017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276" w:type="dxa"/>
            <w:tcMar>
              <w:top w:w="15" w:type="dxa"/>
              <w:left w:w="15" w:type="dxa"/>
              <w:bottom w:w="0" w:type="dxa"/>
              <w:right w:w="15" w:type="dxa"/>
            </w:tcMar>
            <w:vAlign w:val="center"/>
          </w:tcPr>
          <w:p w14:paraId="3CAB2A44" w14:textId="46FB3A1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25</w:t>
            </w:r>
            <w:r w:rsidR="004229FA" w:rsidRPr="000E1337">
              <w:rPr>
                <w:rFonts w:asciiTheme="majorBidi" w:hAnsiTheme="majorBidi" w:cstheme="majorBidi"/>
                <w:sz w:val="20"/>
                <w:szCs w:val="20"/>
              </w:rPr>
              <w:t>–</w:t>
            </w:r>
            <w:r w:rsidRPr="000E1337">
              <w:rPr>
                <w:rFonts w:asciiTheme="majorBidi" w:hAnsiTheme="majorBidi" w:cstheme="majorBidi"/>
                <w:sz w:val="20"/>
                <w:szCs w:val="20"/>
              </w:rPr>
              <w:t>35</w:t>
            </w:r>
          </w:p>
        </w:tc>
        <w:tc>
          <w:tcPr>
            <w:tcW w:w="1134" w:type="dxa"/>
            <w:tcMar>
              <w:top w:w="15" w:type="dxa"/>
              <w:left w:w="15" w:type="dxa"/>
              <w:bottom w:w="0" w:type="dxa"/>
              <w:right w:w="15" w:type="dxa"/>
            </w:tcMar>
            <w:vAlign w:val="center"/>
          </w:tcPr>
          <w:p w14:paraId="0D815131" w14:textId="772048C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74 ± 15</w:t>
            </w:r>
          </w:p>
        </w:tc>
        <w:tc>
          <w:tcPr>
            <w:tcW w:w="1134" w:type="dxa"/>
            <w:tcMar>
              <w:top w:w="15" w:type="dxa"/>
              <w:left w:w="15" w:type="dxa"/>
              <w:bottom w:w="0" w:type="dxa"/>
              <w:right w:w="15" w:type="dxa"/>
            </w:tcMar>
            <w:vAlign w:val="center"/>
          </w:tcPr>
          <w:p w14:paraId="35147A27" w14:textId="2C94F939"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4CD8AF1C" w14:textId="77777777" w:rsidTr="00E64550">
        <w:trPr>
          <w:trHeight w:val="176"/>
        </w:trPr>
        <w:tc>
          <w:tcPr>
            <w:tcW w:w="2430" w:type="dxa"/>
            <w:tcMar>
              <w:top w:w="15" w:type="dxa"/>
              <w:left w:w="15" w:type="dxa"/>
              <w:bottom w:w="0" w:type="dxa"/>
              <w:right w:w="15" w:type="dxa"/>
            </w:tcMar>
            <w:vAlign w:val="center"/>
          </w:tcPr>
          <w:p w14:paraId="70F447D5" w14:textId="6AD99DA5" w:rsidR="00C5489C" w:rsidRPr="000E1337" w:rsidRDefault="00C5489C" w:rsidP="00D77762">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Saari et al., 2008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{"citationID":"a2adu2da15h","properties":{"formattedCitation":"[7]","plainCitation":"[7]","noteIndex":0},"citationItems":[{"id":36,"uris":["http://zotero.org/users/local/J5Cy8xXX/items/4S2WIJGV"],"itemData":{"id":36,"type":"article-journal","abstract":"OBJECTIVE: Fentanyl is a widely used opioid analgesic, which is extensively metabolized by hepatic cytochrome P450 (CYP) 3A. Recent reports suggest that concomitant administration of CYP3A inhibitors with fentanyl may lead to dangerous drug interactions.\nMETHODS: The potential interactions of fentanyl with triazole antifungal agents voriconazole and fluconazole were studied in a randomized crossover study in three phases. Twelve healthy volunteers were given 5 microg/kg of intravenous fentanyl without pretreatment (control), after oral voriconazole (400 mg twice on the first day and 200 mg twice on the second day), or after oral fluconazole (400 mg once on the first day and 200 mg once on the second day). Plasma concentrations of fentanyl, norfentanyl, voriconazole, and fluconazole were determined up to 24 h. Pharmacokinetic parameters were calculated using compartmental methods.\nRESULTS: The mean plasma clearance of intravenous fentanyl was decreased by 23% (range -22 to 48%; p &lt; 0.05) and 16% (-34 to 53%; p &lt; 0.05) after voriconazole and fluconazole administration, respectively. Voriconazole increased the area under the fentanyl plasma concentration-time curve by 1.4-fold (p &lt; 0.05). The initial plasma concentrations and volume of distribution of fentanyl did not differ significantly between phases.\nCONCLUSION: Both voriconazole and fluconazole delay the elimination of fentanyl significantly. Caution should be exercised, especially in patients who are given voriconazole or fluconazole during long-lasting fentanyl treatment, because insidiously elevated fentanyl concentration may lead to respiratory depression.","container-title":"European Journal of Clinical Pharmacology","DOI":"10.1007/s00228-007-0398-x","ISSN":"1432-1041","issue":"1","journalAbbreviation":"Eur J Clin Pharmacol","language":"eng","note":"PMID: 17987285","page":"25-30","source":"PubMed","title":"Effect of voriconazole and fluconazole on the pharmacokinetics of intravenous fentanyl","volume":"64","author":[{"family":"Saari","given":"Teijo I."},{"family":"Laine","given":"Kari"},{"family":"Neuvonen","given":"Mikko"},{"family":"Neuvonen","given":"Pertti J."},{"family":"Olkkola","given":"Klaus T."}],"issued":{"date-parts":[["2008",1]]}}}],"schema":"https://github.com/citation-style-language/schema/raw/master/csl-citation.json"}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[7]</w:t>
            </w:r>
            <w:r w:rsidRPr="000E1337">
              <w:rPr>
                <w:rFonts w:asciiTheme="majorBidi" w:hAnsiTheme="majorBidi" w:cstheme="majorBidi"/>
                <w:sz w:val="20"/>
                <w:szCs w:val="20"/>
              </w:rPr>
              <w:fldChar w:fldCharType="end"/>
            </w:r>
          </w:p>
        </w:tc>
        <w:tc>
          <w:tcPr>
            <w:tcW w:w="3547" w:type="dxa"/>
            <w:vAlign w:val="center"/>
          </w:tcPr>
          <w:p w14:paraId="6674AF89" w14:textId="0C2919FC" w:rsidR="00C5489C" w:rsidRPr="000E1337" w:rsidRDefault="00C5489C" w:rsidP="00C5489C">
            <w:pPr>
              <w:spacing w:after="0" w:line="240" w:lineRule="auto"/>
              <w:jc w:val="center"/>
              <w:rPr>
                <w:rFonts w:asciiTheme="majorBidi" w:hAnsiTheme="majorBidi" w:cstheme="majorBidi"/>
                <w:sz w:val="20"/>
                <w:szCs w:val="20"/>
                <w:highlight w:val="yellow"/>
              </w:rPr>
            </w:pPr>
            <w:r w:rsidRPr="000E1337">
              <w:rPr>
                <w:rFonts w:asciiTheme="majorBidi" w:hAnsiTheme="majorBidi" w:cstheme="majorBidi"/>
                <w:sz w:val="20"/>
                <w:szCs w:val="20"/>
                <w:lang w:val="pt-BR"/>
              </w:rPr>
              <w:t>5 µg/kg</w:t>
            </w:r>
          </w:p>
        </w:tc>
        <w:tc>
          <w:tcPr>
            <w:tcW w:w="425" w:type="dxa"/>
            <w:tcMar>
              <w:top w:w="15" w:type="dxa"/>
              <w:left w:w="15" w:type="dxa"/>
              <w:bottom w:w="0" w:type="dxa"/>
              <w:right w:w="15" w:type="dxa"/>
            </w:tcMar>
            <w:vAlign w:val="center"/>
          </w:tcPr>
          <w:p w14:paraId="257F1009" w14:textId="1FD6856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276" w:type="dxa"/>
            <w:tcMar>
              <w:top w:w="15" w:type="dxa"/>
              <w:left w:w="15" w:type="dxa"/>
              <w:bottom w:w="0" w:type="dxa"/>
              <w:right w:w="15" w:type="dxa"/>
            </w:tcMar>
            <w:vAlign w:val="center"/>
          </w:tcPr>
          <w:p w14:paraId="1696E703" w14:textId="03C99F3C"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tcMar>
              <w:top w:w="15" w:type="dxa"/>
              <w:left w:w="15" w:type="dxa"/>
              <w:bottom w:w="0" w:type="dxa"/>
              <w:right w:w="15" w:type="dxa"/>
            </w:tcMar>
            <w:vAlign w:val="center"/>
          </w:tcPr>
          <w:p w14:paraId="36292B58" w14:textId="68EE8534"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74 ± 15</w:t>
            </w:r>
          </w:p>
        </w:tc>
        <w:tc>
          <w:tcPr>
            <w:tcW w:w="1134" w:type="dxa"/>
            <w:tcMar>
              <w:top w:w="15" w:type="dxa"/>
              <w:left w:w="15" w:type="dxa"/>
              <w:bottom w:w="0" w:type="dxa"/>
              <w:right w:w="15" w:type="dxa"/>
            </w:tcMar>
            <w:vAlign w:val="center"/>
          </w:tcPr>
          <w:p w14:paraId="64708CDC" w14:textId="217915E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77ACE972" w14:textId="77777777" w:rsidTr="00E64550">
        <w:trPr>
          <w:trHeight w:val="176"/>
        </w:trPr>
        <w:tc>
          <w:tcPr>
            <w:tcW w:w="2430" w:type="dxa"/>
            <w:tcBorders>
              <w:bottom w:val="single" w:sz="2" w:space="0" w:color="auto"/>
            </w:tcBorders>
            <w:tcMar>
              <w:top w:w="15" w:type="dxa"/>
              <w:left w:w="15" w:type="dxa"/>
              <w:bottom w:w="0" w:type="dxa"/>
              <w:right w:w="15" w:type="dxa"/>
            </w:tcMar>
            <w:vAlign w:val="center"/>
          </w:tcPr>
          <w:p w14:paraId="0675D2C3" w14:textId="1679C912" w:rsidR="00C5489C" w:rsidRPr="000E1337" w:rsidRDefault="00C5489C" w:rsidP="00EE60C4">
            <w:pPr>
              <w:spacing w:after="0" w:line="240" w:lineRule="auto"/>
              <w:jc w:val="center"/>
              <w:rPr>
                <w:rFonts w:asciiTheme="majorBidi" w:hAnsiTheme="majorBidi" w:cstheme="majorBidi"/>
                <w:sz w:val="20"/>
                <w:szCs w:val="20"/>
              </w:rPr>
            </w:pPr>
            <w:proofErr w:type="spellStart"/>
            <w:r w:rsidRPr="000E1337">
              <w:rPr>
                <w:rFonts w:asciiTheme="majorBidi" w:hAnsiTheme="majorBidi" w:cstheme="majorBidi"/>
                <w:sz w:val="20"/>
                <w:szCs w:val="20"/>
              </w:rPr>
              <w:t>Palkama</w:t>
            </w:r>
            <w:proofErr w:type="spellEnd"/>
            <w:r w:rsidRPr="000E1337">
              <w:rPr>
                <w:rFonts w:asciiTheme="majorBidi" w:hAnsiTheme="majorBidi" w:cstheme="majorBidi"/>
                <w:sz w:val="20"/>
                <w:szCs w:val="20"/>
              </w:rPr>
              <w:t xml:space="preserve"> et al., 1998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{"citationID":"xshSe46X","properties":{"formattedCitation":"[16]","plainCitation":"[16]","noteIndex":0},"citationItems":[{"id":21,"uris":["http://zotero.org/users/local/J5Cy8xXX/items/AYQ5JXHJ"],"itemData":{"id":21,"type":"article-journal","abstract":"We studied 10 healthy volunteers given itraconazole 200 mg orally, once daily or placebo for 4 days in a crossover study. i.v. fentanyl 3 micrograms kg-1 was given on day 4. Plasma concentrations of fentanyl were measured by radioimmunoassay and ventilatory frequency and peripheral arteriolar oxygen saturation were also measured. Fentanyl-induced subjective effects (drowsiness, itching, nausea, performance, feeling of drug effect) were measured by visual analogue scales. The pharmacokinetics and pharmacodynamics of fentanyl were similar after both itraconazole and placebo. Thus although itraconazole is a strong inhibitor of the cytochrome 3A enzymes responsible for metabolism of fentanyl in vitro, it did not affect the i.v. pharmacokinetics of fentanyl in humans.","container-title":"British Journal of Anaesthesia","DOI":"10.1093/bja/81.4.598","ISSN":"0007-0912","issue":"4","journalAbbreviation":"Br J Anaesth","language":"eng","note":"PMID: 9924238","page":"598-600","source":"PubMed","title":"The CYP 3A4 inhibitor itraconazole has no effect on the pharmacokinetics of i.v. fentanyl","volume":"81","author":[{"family":"Palkama","given":"V. J."},{"family":"Neuvonen","given":"P. J."},{"family":"Olkkola","given":"K. T."}],"issued":{"date-parts":[["1998",10]]}}}],"schema":"https://github.com/citation-style-language/schema/raw/master/csl-citation.json"}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[16]</w:t>
            </w:r>
            <w:r w:rsidRPr="000E1337">
              <w:rPr>
                <w:rFonts w:asciiTheme="majorBidi" w:hAnsiTheme="majorBidi" w:cstheme="majorBidi"/>
                <w:sz w:val="20"/>
                <w:szCs w:val="20"/>
              </w:rPr>
              <w:fldChar w:fldCharType="end"/>
            </w:r>
          </w:p>
        </w:tc>
        <w:tc>
          <w:tcPr>
            <w:tcW w:w="3547" w:type="dxa"/>
            <w:tcBorders>
              <w:bottom w:val="single" w:sz="2" w:space="0" w:color="auto"/>
            </w:tcBorders>
            <w:vAlign w:val="center"/>
          </w:tcPr>
          <w:p w14:paraId="7123454C" w14:textId="0F847A39"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lang w:val="pt-BR"/>
              </w:rPr>
              <w:t xml:space="preserve">3 </w:t>
            </w:r>
            <w:r w:rsidRPr="000E1337">
              <w:rPr>
                <w:rFonts w:asciiTheme="majorBidi" w:hAnsiTheme="majorBidi" w:cstheme="majorBidi"/>
                <w:sz w:val="20"/>
                <w:szCs w:val="20"/>
              </w:rPr>
              <w:t>µg/</w:t>
            </w:r>
            <w:r w:rsidRPr="000E1337">
              <w:rPr>
                <w:rFonts w:asciiTheme="majorBidi" w:hAnsiTheme="majorBidi" w:cstheme="majorBidi"/>
                <w:sz w:val="20"/>
                <w:szCs w:val="20"/>
                <w:lang w:val="pt-BR"/>
              </w:rPr>
              <w:t>kg (IV)</w:t>
            </w:r>
          </w:p>
        </w:tc>
        <w:tc>
          <w:tcPr>
            <w:tcW w:w="425" w:type="dxa"/>
            <w:tcBorders>
              <w:bottom w:val="single" w:sz="2" w:space="0" w:color="auto"/>
            </w:tcBorders>
            <w:tcMar>
              <w:top w:w="15" w:type="dxa"/>
              <w:left w:w="15" w:type="dxa"/>
              <w:bottom w:w="0" w:type="dxa"/>
              <w:right w:w="15" w:type="dxa"/>
            </w:tcMar>
            <w:vAlign w:val="center"/>
          </w:tcPr>
          <w:p w14:paraId="7126793B" w14:textId="1AC4DBE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Borders>
              <w:bottom w:val="single" w:sz="2" w:space="0" w:color="auto"/>
            </w:tcBorders>
            <w:tcMar>
              <w:top w:w="15" w:type="dxa"/>
              <w:left w:w="15" w:type="dxa"/>
              <w:bottom w:w="0" w:type="dxa"/>
              <w:right w:w="15" w:type="dxa"/>
            </w:tcMar>
            <w:vAlign w:val="center"/>
          </w:tcPr>
          <w:p w14:paraId="6C05B9C0" w14:textId="70086E1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19</w:t>
            </w:r>
            <w:r w:rsidR="004229FA" w:rsidRPr="000E1337">
              <w:rPr>
                <w:rFonts w:asciiTheme="majorBidi" w:hAnsiTheme="majorBidi" w:cstheme="majorBidi"/>
                <w:sz w:val="20"/>
                <w:szCs w:val="20"/>
              </w:rPr>
              <w:t>–</w:t>
            </w:r>
            <w:r w:rsidRPr="000E1337">
              <w:rPr>
                <w:rFonts w:asciiTheme="majorBidi" w:hAnsiTheme="majorBidi" w:cstheme="majorBidi"/>
                <w:sz w:val="20"/>
                <w:szCs w:val="20"/>
              </w:rPr>
              <w:t>24</w:t>
            </w:r>
          </w:p>
        </w:tc>
        <w:tc>
          <w:tcPr>
            <w:tcW w:w="1134" w:type="dxa"/>
            <w:tcBorders>
              <w:bottom w:val="single" w:sz="2" w:space="0" w:color="auto"/>
            </w:tcBorders>
            <w:tcMar>
              <w:top w:w="15" w:type="dxa"/>
              <w:left w:w="15" w:type="dxa"/>
              <w:bottom w:w="0" w:type="dxa"/>
              <w:right w:w="15" w:type="dxa"/>
            </w:tcMar>
            <w:vAlign w:val="center"/>
          </w:tcPr>
          <w:p w14:paraId="32B3FB8E" w14:textId="68C0E1C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53–75</w:t>
            </w:r>
          </w:p>
        </w:tc>
        <w:tc>
          <w:tcPr>
            <w:tcW w:w="1134" w:type="dxa"/>
            <w:tcBorders>
              <w:bottom w:val="single" w:sz="2" w:space="0" w:color="auto"/>
            </w:tcBorders>
            <w:tcMar>
              <w:top w:w="15" w:type="dxa"/>
              <w:left w:w="15" w:type="dxa"/>
              <w:bottom w:w="0" w:type="dxa"/>
              <w:right w:w="15" w:type="dxa"/>
            </w:tcMar>
            <w:vAlign w:val="center"/>
          </w:tcPr>
          <w:p w14:paraId="3DC6335A" w14:textId="4AA39CB6"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E64550" w:rsidRPr="000E1337" w14:paraId="23055B46" w14:textId="77777777" w:rsidTr="00E64550">
        <w:trPr>
          <w:trHeight w:val="176"/>
        </w:trPr>
        <w:tc>
          <w:tcPr>
            <w:tcW w:w="9946" w:type="dxa"/>
            <w:gridSpan w:val="6"/>
            <w:tcBorders>
              <w:top w:val="single" w:sz="2" w:space="0" w:color="auto"/>
            </w:tcBorders>
            <w:tcMar>
              <w:top w:w="15" w:type="dxa"/>
              <w:left w:w="15" w:type="dxa"/>
              <w:bottom w:w="0" w:type="dxa"/>
              <w:right w:w="15" w:type="dxa"/>
            </w:tcMar>
            <w:vAlign w:val="center"/>
          </w:tcPr>
          <w:p w14:paraId="6F156660" w14:textId="4B39CD25" w:rsidR="00E64550" w:rsidRPr="000E1337" w:rsidRDefault="00E64550"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Model Verification</w:t>
            </w:r>
          </w:p>
        </w:tc>
      </w:tr>
      <w:tr w:rsidR="00C5489C" w:rsidRPr="000E1337" w14:paraId="0444D81D" w14:textId="77777777" w:rsidTr="00C5489C">
        <w:trPr>
          <w:trHeight w:val="176"/>
        </w:trPr>
        <w:tc>
          <w:tcPr>
            <w:tcW w:w="2430" w:type="dxa"/>
            <w:vMerge w:val="restart"/>
            <w:tcMar>
              <w:top w:w="15" w:type="dxa"/>
              <w:left w:w="15" w:type="dxa"/>
              <w:bottom w:w="0" w:type="dxa"/>
              <w:right w:w="15" w:type="dxa"/>
            </w:tcMar>
            <w:vAlign w:val="center"/>
          </w:tcPr>
          <w:p w14:paraId="0722C700" w14:textId="159E8F03" w:rsidR="00C5489C" w:rsidRPr="000E1337" w:rsidRDefault="00C5489C" w:rsidP="00D77762">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Duthie et al., 1986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{"citationID":"a2a5bcg5qn4","properties":{"formattedCitation":"[17]","plainCitation":"[17]","noteIndex":0},"citationItems":[{"id":59,"uris":["http://zotero.org/users/local/J5Cy8xXX/items/L7GAWX46"],"itemData":{"id":59,"type":"article-journal","abstract":"Forty-five patients in four groups undergoing orthopaedic, upper abdominal, prolonged or cardiac surgery received a constant rate i.v. infusion of fentanyl 100 micrograms h-1, for 24 h starting 2 h before surgery. A single bolus dose was given i.v. at the induction of anaesthesia. Plasma fentanyl concentrations, measured by radioimmunoassay were between 1 and 3 ng ml-1 until the infusions were discontinued. Clearance of fentanyl was decreased in the cardiac surgery group only. The elimination half-life was 7.3-9.7 h. This simple regimen produced effective analgesia.","container-title":"British Journal of Anaesthesia","DOI":"10.1093/bja/58.9.950","ISSN":"0007-0912","issue":"9","journalAbbreviation":"Br J Anaesth","language":"eng","note":"PMID: 3756054","page":"950-956","source":"PubMed","title":"Pharmacokinetics of fentanyl during constant rate i.v. infusion for the relief of pain after surgery","volume":"58","author":[{"family":"Duthie","given":"D. J."},{"family":"McLaren","given":"A. D."},{"family":"Nimmo","given":"W. S."}],"issued":{"date-parts":[["1986",9]]}}}],"schema":"https://github.com/citation-style-language/schema/raw/master/csl-citation.json"}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[17]</w:t>
            </w:r>
            <w:r w:rsidRPr="000E1337">
              <w:rPr>
                <w:rFonts w:asciiTheme="majorBidi" w:hAnsiTheme="majorBidi" w:cstheme="majorBidi"/>
                <w:sz w:val="20"/>
                <w:szCs w:val="20"/>
              </w:rPr>
              <w:fldChar w:fldCharType="end"/>
            </w:r>
          </w:p>
        </w:tc>
        <w:tc>
          <w:tcPr>
            <w:tcW w:w="3547" w:type="dxa"/>
            <w:vAlign w:val="center"/>
          </w:tcPr>
          <w:p w14:paraId="5C39066B" w14:textId="2664BFEF"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rPr>
              <w:t xml:space="preserve">100 </w:t>
            </w:r>
            <w:r w:rsidRPr="000E1337">
              <w:rPr>
                <w:rFonts w:asciiTheme="majorBidi" w:hAnsiTheme="majorBidi" w:cstheme="majorBidi"/>
                <w:sz w:val="20"/>
                <w:szCs w:val="20"/>
                <w:lang w:val="pt-BR"/>
              </w:rPr>
              <w:t>µg</w:t>
            </w:r>
            <w:r w:rsidRPr="000E1337">
              <w:rPr>
                <w:rFonts w:asciiTheme="majorBidi" w:hAnsiTheme="majorBidi" w:cstheme="majorBidi"/>
                <w:sz w:val="20"/>
                <w:szCs w:val="20"/>
              </w:rPr>
              <w:t xml:space="preserve"> loading then 100 </w:t>
            </w:r>
            <w:r w:rsidRPr="000E1337">
              <w:rPr>
                <w:rFonts w:asciiTheme="majorBidi" w:hAnsiTheme="majorBidi" w:cstheme="majorBidi"/>
                <w:sz w:val="20"/>
                <w:szCs w:val="20"/>
                <w:lang w:val="pt-BR"/>
              </w:rPr>
              <w:t>µg/h</w:t>
            </w:r>
          </w:p>
        </w:tc>
        <w:tc>
          <w:tcPr>
            <w:tcW w:w="425" w:type="dxa"/>
            <w:tcMar>
              <w:top w:w="15" w:type="dxa"/>
              <w:left w:w="15" w:type="dxa"/>
              <w:bottom w:w="0" w:type="dxa"/>
              <w:right w:w="15" w:type="dxa"/>
            </w:tcMar>
            <w:vAlign w:val="center"/>
          </w:tcPr>
          <w:p w14:paraId="12B81249" w14:textId="022403C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3AA24513" w14:textId="7C6CA24D"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53</w:t>
            </w:r>
            <w:r w:rsidR="004229FA" w:rsidRPr="000E1337">
              <w:rPr>
                <w:rFonts w:asciiTheme="majorBidi" w:hAnsiTheme="majorBidi" w:cstheme="majorBidi"/>
                <w:sz w:val="20"/>
                <w:szCs w:val="20"/>
              </w:rPr>
              <w:t>–</w:t>
            </w:r>
            <w:r w:rsidRPr="000E1337">
              <w:rPr>
                <w:rFonts w:asciiTheme="majorBidi" w:hAnsiTheme="majorBidi" w:cstheme="majorBidi"/>
                <w:sz w:val="20"/>
                <w:szCs w:val="20"/>
              </w:rPr>
              <w:t>69</w:t>
            </w:r>
          </w:p>
        </w:tc>
        <w:tc>
          <w:tcPr>
            <w:tcW w:w="1134" w:type="dxa"/>
            <w:tcMar>
              <w:top w:w="15" w:type="dxa"/>
              <w:left w:w="15" w:type="dxa"/>
              <w:bottom w:w="0" w:type="dxa"/>
              <w:right w:w="15" w:type="dxa"/>
            </w:tcMar>
            <w:vAlign w:val="center"/>
          </w:tcPr>
          <w:p w14:paraId="7E40B979" w14:textId="1682449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57</w:t>
            </w:r>
            <w:r w:rsidR="004229FA" w:rsidRPr="000E1337">
              <w:rPr>
                <w:rFonts w:asciiTheme="majorBidi" w:hAnsiTheme="majorBidi" w:cstheme="majorBidi"/>
                <w:sz w:val="20"/>
                <w:szCs w:val="20"/>
              </w:rPr>
              <w:t>–</w:t>
            </w:r>
            <w:r w:rsidRPr="000E1337">
              <w:rPr>
                <w:rFonts w:asciiTheme="majorBidi" w:hAnsiTheme="majorBidi" w:cstheme="majorBidi"/>
                <w:sz w:val="20"/>
                <w:szCs w:val="20"/>
              </w:rPr>
              <w:t xml:space="preserve">81 </w:t>
            </w:r>
          </w:p>
        </w:tc>
        <w:tc>
          <w:tcPr>
            <w:tcW w:w="1134" w:type="dxa"/>
            <w:tcMar>
              <w:top w:w="15" w:type="dxa"/>
              <w:left w:w="15" w:type="dxa"/>
              <w:bottom w:w="0" w:type="dxa"/>
              <w:right w:w="15" w:type="dxa"/>
            </w:tcMar>
            <w:vAlign w:val="center"/>
          </w:tcPr>
          <w:p w14:paraId="1418536A" w14:textId="3394B54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160</w:t>
            </w:r>
            <w:r w:rsidR="004229FA" w:rsidRPr="000E1337">
              <w:rPr>
                <w:rFonts w:asciiTheme="majorBidi" w:hAnsiTheme="majorBidi" w:cstheme="majorBidi"/>
                <w:sz w:val="20"/>
                <w:szCs w:val="20"/>
              </w:rPr>
              <w:t>–</w:t>
            </w:r>
            <w:r w:rsidRPr="000E1337">
              <w:rPr>
                <w:rFonts w:asciiTheme="majorBidi" w:hAnsiTheme="majorBidi" w:cstheme="majorBidi"/>
                <w:sz w:val="20"/>
                <w:szCs w:val="20"/>
              </w:rPr>
              <w:t>180</w:t>
            </w:r>
          </w:p>
        </w:tc>
      </w:tr>
      <w:tr w:rsidR="00C5489C" w:rsidRPr="000E1337" w14:paraId="680FF83D" w14:textId="77777777" w:rsidTr="00C5489C">
        <w:trPr>
          <w:trHeight w:val="176"/>
        </w:trPr>
        <w:tc>
          <w:tcPr>
            <w:tcW w:w="2430" w:type="dxa"/>
            <w:vMerge/>
            <w:tcMar>
              <w:top w:w="15" w:type="dxa"/>
              <w:left w:w="15" w:type="dxa"/>
              <w:bottom w:w="0" w:type="dxa"/>
              <w:right w:w="15" w:type="dxa"/>
            </w:tcMar>
            <w:vAlign w:val="center"/>
          </w:tcPr>
          <w:p w14:paraId="60237267"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4AE8B727" w14:textId="74064813"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rPr>
              <w:t xml:space="preserve">100 </w:t>
            </w:r>
            <w:r w:rsidRPr="000E1337">
              <w:rPr>
                <w:rFonts w:asciiTheme="majorBidi" w:hAnsiTheme="majorBidi" w:cstheme="majorBidi"/>
                <w:sz w:val="20"/>
                <w:szCs w:val="20"/>
                <w:lang w:val="pt-BR"/>
              </w:rPr>
              <w:t>µg</w:t>
            </w:r>
            <w:r w:rsidRPr="000E1337">
              <w:rPr>
                <w:rFonts w:asciiTheme="majorBidi" w:hAnsiTheme="majorBidi" w:cstheme="majorBidi"/>
                <w:sz w:val="20"/>
                <w:szCs w:val="20"/>
              </w:rPr>
              <w:t xml:space="preserve"> loading then 100 </w:t>
            </w:r>
            <w:r w:rsidRPr="000E1337">
              <w:rPr>
                <w:rFonts w:asciiTheme="majorBidi" w:hAnsiTheme="majorBidi" w:cstheme="majorBidi"/>
                <w:sz w:val="20"/>
                <w:szCs w:val="20"/>
                <w:lang w:val="pt-BR"/>
              </w:rPr>
              <w:t>µg/h</w:t>
            </w:r>
          </w:p>
        </w:tc>
        <w:tc>
          <w:tcPr>
            <w:tcW w:w="425" w:type="dxa"/>
            <w:tcMar>
              <w:top w:w="15" w:type="dxa"/>
              <w:left w:w="15" w:type="dxa"/>
              <w:bottom w:w="0" w:type="dxa"/>
              <w:right w:w="15" w:type="dxa"/>
            </w:tcMar>
            <w:vAlign w:val="center"/>
          </w:tcPr>
          <w:p w14:paraId="5CC735EC" w14:textId="3007F02C"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13</w:t>
            </w:r>
          </w:p>
        </w:tc>
        <w:tc>
          <w:tcPr>
            <w:tcW w:w="1276" w:type="dxa"/>
            <w:tcMar>
              <w:top w:w="15" w:type="dxa"/>
              <w:left w:w="15" w:type="dxa"/>
              <w:bottom w:w="0" w:type="dxa"/>
              <w:right w:w="15" w:type="dxa"/>
            </w:tcMar>
            <w:vAlign w:val="center"/>
          </w:tcPr>
          <w:p w14:paraId="616C8802" w14:textId="589B985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35</w:t>
            </w:r>
            <w:r w:rsidR="004229FA" w:rsidRPr="000E1337">
              <w:rPr>
                <w:rFonts w:asciiTheme="majorBidi" w:hAnsiTheme="majorBidi" w:cstheme="majorBidi"/>
                <w:sz w:val="20"/>
                <w:szCs w:val="20"/>
              </w:rPr>
              <w:t>–</w:t>
            </w:r>
            <w:r w:rsidRPr="000E1337">
              <w:rPr>
                <w:rFonts w:asciiTheme="majorBidi" w:hAnsiTheme="majorBidi" w:cstheme="majorBidi"/>
                <w:sz w:val="20"/>
                <w:szCs w:val="20"/>
              </w:rPr>
              <w:t>63</w:t>
            </w:r>
          </w:p>
        </w:tc>
        <w:tc>
          <w:tcPr>
            <w:tcW w:w="1134" w:type="dxa"/>
            <w:tcMar>
              <w:top w:w="15" w:type="dxa"/>
              <w:left w:w="15" w:type="dxa"/>
              <w:bottom w:w="0" w:type="dxa"/>
              <w:right w:w="15" w:type="dxa"/>
            </w:tcMar>
            <w:vAlign w:val="center"/>
          </w:tcPr>
          <w:p w14:paraId="1BAA9670" w14:textId="30BB983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51</w:t>
            </w:r>
            <w:r w:rsidR="004229FA" w:rsidRPr="000E1337">
              <w:rPr>
                <w:rFonts w:asciiTheme="majorBidi" w:hAnsiTheme="majorBidi" w:cstheme="majorBidi"/>
                <w:sz w:val="20"/>
                <w:szCs w:val="20"/>
              </w:rPr>
              <w:t>–</w:t>
            </w:r>
            <w:r w:rsidRPr="000E1337">
              <w:rPr>
                <w:rFonts w:asciiTheme="majorBidi" w:hAnsiTheme="majorBidi" w:cstheme="majorBidi"/>
                <w:sz w:val="20"/>
                <w:szCs w:val="20"/>
              </w:rPr>
              <w:t xml:space="preserve">79 </w:t>
            </w:r>
          </w:p>
        </w:tc>
        <w:tc>
          <w:tcPr>
            <w:tcW w:w="1134" w:type="dxa"/>
            <w:tcMar>
              <w:top w:w="15" w:type="dxa"/>
              <w:left w:w="15" w:type="dxa"/>
              <w:bottom w:w="0" w:type="dxa"/>
              <w:right w:w="15" w:type="dxa"/>
            </w:tcMar>
            <w:vAlign w:val="center"/>
          </w:tcPr>
          <w:p w14:paraId="7A59F4C4" w14:textId="2A7D8D98"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150</w:t>
            </w:r>
            <w:r w:rsidR="004229FA" w:rsidRPr="000E1337">
              <w:rPr>
                <w:rFonts w:asciiTheme="majorBidi" w:hAnsiTheme="majorBidi" w:cstheme="majorBidi"/>
                <w:sz w:val="20"/>
                <w:szCs w:val="20"/>
              </w:rPr>
              <w:t>–</w:t>
            </w:r>
            <w:r w:rsidRPr="000E1337">
              <w:rPr>
                <w:rFonts w:asciiTheme="majorBidi" w:hAnsiTheme="majorBidi" w:cstheme="majorBidi"/>
                <w:sz w:val="20"/>
                <w:szCs w:val="20"/>
              </w:rPr>
              <w:t>170</w:t>
            </w:r>
          </w:p>
        </w:tc>
      </w:tr>
      <w:tr w:rsidR="00C5489C" w:rsidRPr="000E1337" w14:paraId="7810A3D9" w14:textId="77777777" w:rsidTr="00C5489C">
        <w:trPr>
          <w:trHeight w:val="176"/>
        </w:trPr>
        <w:tc>
          <w:tcPr>
            <w:tcW w:w="2430" w:type="dxa"/>
            <w:vMerge/>
            <w:tcMar>
              <w:top w:w="15" w:type="dxa"/>
              <w:left w:w="15" w:type="dxa"/>
              <w:bottom w:w="0" w:type="dxa"/>
              <w:right w:w="15" w:type="dxa"/>
            </w:tcMar>
            <w:vAlign w:val="center"/>
          </w:tcPr>
          <w:p w14:paraId="47B331DF"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408D1F90" w14:textId="717D419F"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rPr>
              <w:t xml:space="preserve">100 </w:t>
            </w:r>
            <w:r w:rsidRPr="000E1337">
              <w:rPr>
                <w:rFonts w:asciiTheme="majorBidi" w:hAnsiTheme="majorBidi" w:cstheme="majorBidi"/>
                <w:sz w:val="20"/>
                <w:szCs w:val="20"/>
                <w:lang w:val="pt-BR"/>
              </w:rPr>
              <w:t>µg</w:t>
            </w:r>
            <w:r w:rsidRPr="000E1337">
              <w:rPr>
                <w:rFonts w:asciiTheme="majorBidi" w:hAnsiTheme="majorBidi" w:cstheme="majorBidi"/>
                <w:sz w:val="20"/>
                <w:szCs w:val="20"/>
              </w:rPr>
              <w:t xml:space="preserve"> loading then 100 </w:t>
            </w:r>
            <w:r w:rsidRPr="000E1337">
              <w:rPr>
                <w:rFonts w:asciiTheme="majorBidi" w:hAnsiTheme="majorBidi" w:cstheme="majorBidi"/>
                <w:sz w:val="20"/>
                <w:szCs w:val="20"/>
                <w:lang w:val="pt-BR"/>
              </w:rPr>
              <w:t>µg/h</w:t>
            </w:r>
          </w:p>
        </w:tc>
        <w:tc>
          <w:tcPr>
            <w:tcW w:w="425" w:type="dxa"/>
            <w:tcMar>
              <w:top w:w="15" w:type="dxa"/>
              <w:left w:w="15" w:type="dxa"/>
              <w:bottom w:w="0" w:type="dxa"/>
              <w:right w:w="15" w:type="dxa"/>
            </w:tcMar>
            <w:vAlign w:val="center"/>
          </w:tcPr>
          <w:p w14:paraId="0100B234" w14:textId="6D4B756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12C13508" w14:textId="0CC6088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47</w:t>
            </w:r>
            <w:r w:rsidR="004229FA" w:rsidRPr="000E1337">
              <w:rPr>
                <w:rFonts w:asciiTheme="majorBidi" w:hAnsiTheme="majorBidi" w:cstheme="majorBidi"/>
                <w:sz w:val="20"/>
                <w:szCs w:val="20"/>
              </w:rPr>
              <w:t>–</w:t>
            </w:r>
            <w:r w:rsidRPr="000E1337">
              <w:rPr>
                <w:rFonts w:asciiTheme="majorBidi" w:hAnsiTheme="majorBidi" w:cstheme="majorBidi"/>
                <w:sz w:val="20"/>
                <w:szCs w:val="20"/>
              </w:rPr>
              <w:t>69</w:t>
            </w:r>
          </w:p>
        </w:tc>
        <w:tc>
          <w:tcPr>
            <w:tcW w:w="1134" w:type="dxa"/>
            <w:tcMar>
              <w:top w:w="15" w:type="dxa"/>
              <w:left w:w="15" w:type="dxa"/>
              <w:bottom w:w="0" w:type="dxa"/>
              <w:right w:w="15" w:type="dxa"/>
            </w:tcMar>
            <w:vAlign w:val="center"/>
          </w:tcPr>
          <w:p w14:paraId="191C39F8" w14:textId="63C7071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58</w:t>
            </w:r>
            <w:r w:rsidR="004229FA" w:rsidRPr="000E1337">
              <w:rPr>
                <w:rFonts w:asciiTheme="majorBidi" w:hAnsiTheme="majorBidi" w:cstheme="majorBidi"/>
                <w:sz w:val="20"/>
                <w:szCs w:val="20"/>
              </w:rPr>
              <w:t>–</w:t>
            </w:r>
            <w:r w:rsidRPr="000E1337">
              <w:rPr>
                <w:rFonts w:asciiTheme="majorBidi" w:hAnsiTheme="majorBidi" w:cstheme="majorBidi"/>
                <w:sz w:val="20"/>
                <w:szCs w:val="20"/>
              </w:rPr>
              <w:t xml:space="preserve">80 </w:t>
            </w:r>
          </w:p>
        </w:tc>
        <w:tc>
          <w:tcPr>
            <w:tcW w:w="1134" w:type="dxa"/>
            <w:tcMar>
              <w:top w:w="15" w:type="dxa"/>
              <w:left w:w="15" w:type="dxa"/>
              <w:bottom w:w="0" w:type="dxa"/>
              <w:right w:w="15" w:type="dxa"/>
            </w:tcMar>
            <w:vAlign w:val="center"/>
          </w:tcPr>
          <w:p w14:paraId="6AE897B3" w14:textId="7E74271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160</w:t>
            </w:r>
            <w:r w:rsidR="004229FA" w:rsidRPr="000E1337">
              <w:rPr>
                <w:rFonts w:asciiTheme="majorBidi" w:hAnsiTheme="majorBidi" w:cstheme="majorBidi"/>
                <w:sz w:val="20"/>
                <w:szCs w:val="20"/>
              </w:rPr>
              <w:t>–</w:t>
            </w:r>
            <w:r w:rsidRPr="000E1337">
              <w:rPr>
                <w:rFonts w:asciiTheme="majorBidi" w:hAnsiTheme="majorBidi" w:cstheme="majorBidi"/>
                <w:sz w:val="20"/>
                <w:szCs w:val="20"/>
              </w:rPr>
              <w:t>180</w:t>
            </w:r>
          </w:p>
        </w:tc>
      </w:tr>
      <w:tr w:rsidR="00C5489C" w:rsidRPr="000E1337" w14:paraId="4FA14821" w14:textId="77777777" w:rsidTr="00C5489C">
        <w:trPr>
          <w:trHeight w:val="176"/>
        </w:trPr>
        <w:tc>
          <w:tcPr>
            <w:tcW w:w="2430" w:type="dxa"/>
            <w:vMerge/>
            <w:tcMar>
              <w:top w:w="15" w:type="dxa"/>
              <w:left w:w="15" w:type="dxa"/>
              <w:bottom w:w="0" w:type="dxa"/>
              <w:right w:w="15" w:type="dxa"/>
            </w:tcMar>
            <w:vAlign w:val="center"/>
          </w:tcPr>
          <w:p w14:paraId="2B98434B"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0B5A58A9" w14:textId="73AFAD6B"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rPr>
              <w:t xml:space="preserve">100 </w:t>
            </w:r>
            <w:r w:rsidRPr="000E1337">
              <w:rPr>
                <w:rFonts w:asciiTheme="majorBidi" w:hAnsiTheme="majorBidi" w:cstheme="majorBidi"/>
                <w:sz w:val="20"/>
                <w:szCs w:val="20"/>
                <w:lang w:val="pt-BR"/>
              </w:rPr>
              <w:t>µg</w:t>
            </w:r>
            <w:r w:rsidRPr="000E1337">
              <w:rPr>
                <w:rFonts w:asciiTheme="majorBidi" w:hAnsiTheme="majorBidi" w:cstheme="majorBidi"/>
                <w:sz w:val="20"/>
                <w:szCs w:val="20"/>
              </w:rPr>
              <w:t xml:space="preserve"> loading then 100 </w:t>
            </w:r>
            <w:r w:rsidRPr="000E1337">
              <w:rPr>
                <w:rFonts w:asciiTheme="majorBidi" w:hAnsiTheme="majorBidi" w:cstheme="majorBidi"/>
                <w:sz w:val="20"/>
                <w:szCs w:val="20"/>
                <w:lang w:val="pt-BR"/>
              </w:rPr>
              <w:t>µg/h</w:t>
            </w:r>
          </w:p>
        </w:tc>
        <w:tc>
          <w:tcPr>
            <w:tcW w:w="425" w:type="dxa"/>
            <w:tcMar>
              <w:top w:w="15" w:type="dxa"/>
              <w:left w:w="15" w:type="dxa"/>
              <w:bottom w:w="0" w:type="dxa"/>
              <w:right w:w="15" w:type="dxa"/>
            </w:tcMar>
            <w:vAlign w:val="center"/>
          </w:tcPr>
          <w:p w14:paraId="2407F8A7" w14:textId="359CD064"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276" w:type="dxa"/>
            <w:tcMar>
              <w:top w:w="15" w:type="dxa"/>
              <w:left w:w="15" w:type="dxa"/>
              <w:bottom w:w="0" w:type="dxa"/>
              <w:right w:w="15" w:type="dxa"/>
            </w:tcMar>
            <w:vAlign w:val="center"/>
          </w:tcPr>
          <w:p w14:paraId="60DAED6A" w14:textId="00F4068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43</w:t>
            </w:r>
            <w:r w:rsidR="004229FA" w:rsidRPr="000E1337">
              <w:rPr>
                <w:rFonts w:asciiTheme="majorBidi" w:hAnsiTheme="majorBidi" w:cstheme="majorBidi"/>
                <w:sz w:val="20"/>
                <w:szCs w:val="20"/>
              </w:rPr>
              <w:t>–</w:t>
            </w:r>
            <w:r w:rsidRPr="000E1337">
              <w:rPr>
                <w:rFonts w:asciiTheme="majorBidi" w:hAnsiTheme="majorBidi" w:cstheme="majorBidi"/>
                <w:sz w:val="20"/>
                <w:szCs w:val="20"/>
              </w:rPr>
              <w:t>67</w:t>
            </w:r>
          </w:p>
        </w:tc>
        <w:tc>
          <w:tcPr>
            <w:tcW w:w="1134" w:type="dxa"/>
            <w:tcMar>
              <w:top w:w="15" w:type="dxa"/>
              <w:left w:w="15" w:type="dxa"/>
              <w:bottom w:w="0" w:type="dxa"/>
              <w:right w:w="15" w:type="dxa"/>
            </w:tcMar>
            <w:vAlign w:val="center"/>
          </w:tcPr>
          <w:p w14:paraId="49D2F80A" w14:textId="34F4A94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60</w:t>
            </w:r>
            <w:r w:rsidR="004229FA" w:rsidRPr="000E1337">
              <w:rPr>
                <w:rFonts w:asciiTheme="majorBidi" w:hAnsiTheme="majorBidi" w:cstheme="majorBidi"/>
                <w:sz w:val="20"/>
                <w:szCs w:val="20"/>
              </w:rPr>
              <w:t>–</w:t>
            </w:r>
            <w:r w:rsidRPr="000E1337">
              <w:rPr>
                <w:rFonts w:asciiTheme="majorBidi" w:hAnsiTheme="majorBidi" w:cstheme="majorBidi"/>
                <w:sz w:val="20"/>
                <w:szCs w:val="20"/>
              </w:rPr>
              <w:t xml:space="preserve">78 </w:t>
            </w:r>
          </w:p>
        </w:tc>
        <w:tc>
          <w:tcPr>
            <w:tcW w:w="1134" w:type="dxa"/>
            <w:tcMar>
              <w:top w:w="15" w:type="dxa"/>
              <w:left w:w="15" w:type="dxa"/>
              <w:bottom w:w="0" w:type="dxa"/>
              <w:right w:w="15" w:type="dxa"/>
            </w:tcMar>
            <w:vAlign w:val="center"/>
          </w:tcPr>
          <w:p w14:paraId="3D826D20" w14:textId="666C1D99"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160</w:t>
            </w:r>
            <w:r w:rsidR="004229FA" w:rsidRPr="000E1337">
              <w:rPr>
                <w:rFonts w:asciiTheme="majorBidi" w:hAnsiTheme="majorBidi" w:cstheme="majorBidi"/>
                <w:sz w:val="20"/>
                <w:szCs w:val="20"/>
              </w:rPr>
              <w:t>–</w:t>
            </w:r>
            <w:r w:rsidRPr="000E1337">
              <w:rPr>
                <w:rFonts w:asciiTheme="majorBidi" w:hAnsiTheme="majorBidi" w:cstheme="majorBidi"/>
                <w:sz w:val="20"/>
                <w:szCs w:val="20"/>
              </w:rPr>
              <w:t>180</w:t>
            </w:r>
          </w:p>
        </w:tc>
      </w:tr>
      <w:tr w:rsidR="00C5489C" w:rsidRPr="000E1337" w14:paraId="0FACA637" w14:textId="77777777" w:rsidTr="00C5489C">
        <w:trPr>
          <w:trHeight w:val="176"/>
        </w:trPr>
        <w:tc>
          <w:tcPr>
            <w:tcW w:w="2430" w:type="dxa"/>
            <w:tcMar>
              <w:top w:w="15" w:type="dxa"/>
              <w:left w:w="15" w:type="dxa"/>
              <w:bottom w:w="0" w:type="dxa"/>
              <w:right w:w="15" w:type="dxa"/>
            </w:tcMar>
            <w:vAlign w:val="center"/>
          </w:tcPr>
          <w:p w14:paraId="1373E2B2" w14:textId="0E8064BE"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Loper et al.,1989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{"citationID":"qf70mm6g","properties":{"formattedCitation":"[18]","plainCitation":"[18]","noteIndex":0},"citationItems":[{"id":"NzKo45Wf/Y1yoYd3K","uris":["http://zotero.org/users/6482121/items/WSVG9SYU"],"itemData":{"id":664,"type":"article-journal","abstract":"The management of postoperative pain with continuous epidural fentanyl infusion was compared with continuous intravenous fentanyl infusion. In a randomized, doubleblind protocol we prospectively studied 20 patients undergoing repair of the anterior cruciate ligament of the knee. The quality of analgesia and the incidence of side effects were documented. Compared with patients receiving continuous intravenous fentanyl infusion, at 18 h postoperatively patients given continuous epidural fentanyl infusion reported similar pain scores both at rest (22 +/- 25 vs 27 +/- 21, P = 0.52) and with ambulation (59 +/- 18 vs 56 +/- 22, P = 0.82). Plasma fentanyl levels were 1.8 +/- 0.4 and 1.7 +/- 0.4 ng/mL (P = 0.91) for the intravenous and epidural groups, respectively. There were no significant differences in the incidence of nausea, pruritus, or urinary retention. There was no respiratory depression in either group. We conclude that when compared with continuous intravenous fentanyl infusion, continuous epidural fentanyl infusion offers no clinical advantages for the management of postoperative pain after knee surgery.","container-title":"Anesthesia and Analgesia","DOI":"10.1213/00000539-199001000-00012","ISSN":"0003-2999","issue":"1","journalAbbreviation":"Anesth Analg","language":"eng","note":"PMID: 2297107","page":"72-75","source":"PubMed","title":"Epidural and intravenous fentanyl infusions are clinically equivalent after knee surgery","volume":"70","author":[{"family":"Loper","given":"K. A."},{"family":"Ready","given":"L. B."},{"family":"Downey","given":"M."},{"family":"Sandler","given":"A. N."},{"family":"Nessly","given":"M."},{"family":"Rapp","given":"S."},{"family":"Badner","given":"N."}],"issued":{"date-parts":[["1990",1]]}}}],"schema":"https://github.com/citation-style-language/schema/raw/master/csl-citation.json"}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[18]</w:t>
            </w:r>
            <w:r w:rsidRPr="000E1337">
              <w:rPr>
                <w:rFonts w:asciiTheme="majorBidi" w:hAnsiTheme="majorBidi" w:cstheme="majorBidi"/>
                <w:sz w:val="20"/>
                <w:szCs w:val="20"/>
              </w:rPr>
              <w:fldChar w:fldCharType="end"/>
            </w:r>
          </w:p>
        </w:tc>
        <w:tc>
          <w:tcPr>
            <w:tcW w:w="3547" w:type="dxa"/>
            <w:vAlign w:val="center"/>
          </w:tcPr>
          <w:p w14:paraId="5FCC8F1E" w14:textId="79E45E0A"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rPr>
              <w:t>100 µg loading then 100 µg/h</w:t>
            </w:r>
          </w:p>
        </w:tc>
        <w:tc>
          <w:tcPr>
            <w:tcW w:w="425" w:type="dxa"/>
            <w:tcMar>
              <w:top w:w="15" w:type="dxa"/>
              <w:left w:w="15" w:type="dxa"/>
              <w:bottom w:w="0" w:type="dxa"/>
              <w:right w:w="15" w:type="dxa"/>
            </w:tcMar>
            <w:vAlign w:val="center"/>
          </w:tcPr>
          <w:p w14:paraId="459B648A" w14:textId="48F8AAA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20</w:t>
            </w:r>
          </w:p>
        </w:tc>
        <w:tc>
          <w:tcPr>
            <w:tcW w:w="1276" w:type="dxa"/>
            <w:tcMar>
              <w:top w:w="15" w:type="dxa"/>
              <w:left w:w="15" w:type="dxa"/>
              <w:bottom w:w="0" w:type="dxa"/>
              <w:right w:w="15" w:type="dxa"/>
            </w:tcMar>
            <w:vAlign w:val="center"/>
          </w:tcPr>
          <w:p w14:paraId="756CD886" w14:textId="6BE27E1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w:t>
            </w:r>
            <w:r w:rsidR="004229FA" w:rsidRPr="000E1337">
              <w:rPr>
                <w:rFonts w:asciiTheme="majorBidi" w:hAnsiTheme="majorBidi" w:cstheme="majorBidi"/>
                <w:sz w:val="20"/>
                <w:szCs w:val="20"/>
              </w:rPr>
              <w:t>–</w:t>
            </w:r>
            <w:r w:rsidRPr="000E1337">
              <w:rPr>
                <w:rFonts w:asciiTheme="majorBidi" w:hAnsiTheme="majorBidi" w:cstheme="majorBidi"/>
                <w:sz w:val="20"/>
                <w:szCs w:val="20"/>
              </w:rPr>
              <w:t>44</w:t>
            </w:r>
          </w:p>
        </w:tc>
        <w:tc>
          <w:tcPr>
            <w:tcW w:w="1134" w:type="dxa"/>
            <w:tcMar>
              <w:top w:w="15" w:type="dxa"/>
              <w:left w:w="15" w:type="dxa"/>
              <w:bottom w:w="0" w:type="dxa"/>
              <w:right w:w="15" w:type="dxa"/>
            </w:tcMar>
            <w:vAlign w:val="center"/>
          </w:tcPr>
          <w:p w14:paraId="6BBB7713" w14:textId="2DC518C6"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tcMar>
              <w:top w:w="15" w:type="dxa"/>
              <w:left w:w="15" w:type="dxa"/>
              <w:bottom w:w="0" w:type="dxa"/>
              <w:right w:w="15" w:type="dxa"/>
            </w:tcMar>
            <w:vAlign w:val="center"/>
          </w:tcPr>
          <w:p w14:paraId="11D41169" w14:textId="7D541FA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3C6844D9" w14:textId="77777777" w:rsidTr="00C5489C">
        <w:trPr>
          <w:trHeight w:val="176"/>
        </w:trPr>
        <w:tc>
          <w:tcPr>
            <w:tcW w:w="2430" w:type="dxa"/>
            <w:tcMar>
              <w:top w:w="15" w:type="dxa"/>
              <w:left w:w="15" w:type="dxa"/>
              <w:bottom w:w="0" w:type="dxa"/>
              <w:right w:w="15" w:type="dxa"/>
            </w:tcMar>
            <w:vAlign w:val="center"/>
          </w:tcPr>
          <w:p w14:paraId="6D7140E1" w14:textId="1F99941A"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Salomäki et al., 1991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{"citationID":"cpzVODbC","properties":{"formattedCitation":"[19]","plainCitation":"[19]","noteIndex":0},"citationItems":[{"id":"NzKo45Wf/L2fgBEUs","uris":["http://zotero.org/users/6482121/items/4JFGHS6L"],"itemData":{"id":666,"type":"article-journal","abstract":"This study compared epidural and intravenous fentanyl infusions for pain relief for the first 20 h after thoracotomy, in order to examine whether an thoracic epidural fentanyl infusion offers clinical advantage over an intravenous infusion. Forty patients were assigned randomly to receive either fentanyl epidurally and saline intravenously or fentanyl intravenously and saline epidurally in a double-blind fashion. For each patient the fentanyl infusion was titrated to a rate required for pain relief (pain score less than 3, maximum 10). Patients reported similar median pain scores, but in the epidural group the required mean fentanyl infusion rate was less (0.95 +/- 0.23 vs. 1.67 +/- 0.46 micrograms.kg-1.h-1, P = 0.0001) and plasma fentanyl concentrations were less at 4 and 18 h (4 h: 0.81 +/- 0.27 vs. 1.38 +/- 0.36 ng.ml-1, P = 0.0001; 18 h: 0.94 +/- 0.32 vs. 1.54 +/- 0.65 ng.ml-1, P = 0.0007) than those in the intravenous group. Respiratory function was better preserved and the incidence of nausea and sedation was less in the epidural group than in the intravenous group. In conclusion there appears to be a clinical advantage to the epidural infusion over the intravenous infusion of fentanyl for analgesia after thoracotomy.","container-title":"Anesthesiology","DOI":"10.1097/00000542-199111000-00010","ISSN":"0003-3022","issue":"5","journalAbbreviation":"Anesthesiology","language":"eng","note":"PMID: 1952204","page":"790-795","source":"PubMed","title":"A randomized double-blind comparison of epidural versus intravenous fentanyl infusion for analgesia after thoracotomy","volume":"75","author":[{"family":"Salomäki","given":"T. E."},{"family":"Laitinen","given":"J. O."},{"family":"Nuutinen","given":"L. S."}],"issued":{"date-parts":[["1991",11]]}}}],"schema":"https://github.com/citation-style-language/schema/raw/master/csl-citation.json"}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[19]</w:t>
            </w:r>
            <w:r w:rsidRPr="000E1337">
              <w:rPr>
                <w:rFonts w:asciiTheme="majorBidi" w:hAnsiTheme="majorBidi" w:cstheme="majorBidi"/>
                <w:sz w:val="20"/>
                <w:szCs w:val="20"/>
              </w:rPr>
              <w:fldChar w:fldCharType="end"/>
            </w:r>
          </w:p>
        </w:tc>
        <w:tc>
          <w:tcPr>
            <w:tcW w:w="3547" w:type="dxa"/>
            <w:vAlign w:val="center"/>
          </w:tcPr>
          <w:p w14:paraId="2CD2DAB8" w14:textId="32FC3581"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lang w:val="pt-BR"/>
              </w:rPr>
              <w:t xml:space="preserve">2.41 </w:t>
            </w:r>
            <w:r w:rsidRPr="000E1337">
              <w:rPr>
                <w:rFonts w:asciiTheme="majorBidi" w:hAnsiTheme="majorBidi" w:cstheme="majorBidi"/>
                <w:sz w:val="20"/>
                <w:szCs w:val="20"/>
              </w:rPr>
              <w:t>µ</w:t>
            </w:r>
            <w:r w:rsidRPr="000E1337">
              <w:rPr>
                <w:rFonts w:asciiTheme="majorBidi" w:hAnsiTheme="majorBidi" w:cstheme="majorBidi"/>
                <w:sz w:val="20"/>
                <w:szCs w:val="20"/>
                <w:lang w:val="pt-BR"/>
              </w:rPr>
              <w:t xml:space="preserve">g/kg/h </w:t>
            </w:r>
          </w:p>
        </w:tc>
        <w:tc>
          <w:tcPr>
            <w:tcW w:w="425" w:type="dxa"/>
            <w:tcMar>
              <w:top w:w="15" w:type="dxa"/>
              <w:left w:w="15" w:type="dxa"/>
              <w:bottom w:w="0" w:type="dxa"/>
              <w:right w:w="15" w:type="dxa"/>
            </w:tcMar>
            <w:vAlign w:val="center"/>
          </w:tcPr>
          <w:p w14:paraId="301D9CBC" w14:textId="109D66F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27</w:t>
            </w:r>
          </w:p>
        </w:tc>
        <w:tc>
          <w:tcPr>
            <w:tcW w:w="1276" w:type="dxa"/>
            <w:tcMar>
              <w:top w:w="15" w:type="dxa"/>
              <w:left w:w="15" w:type="dxa"/>
              <w:bottom w:w="0" w:type="dxa"/>
              <w:right w:w="15" w:type="dxa"/>
            </w:tcMar>
            <w:vAlign w:val="center"/>
          </w:tcPr>
          <w:p w14:paraId="7B12B49B" w14:textId="3724790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46</w:t>
            </w:r>
            <w:r w:rsidR="004229FA" w:rsidRPr="000E1337">
              <w:rPr>
                <w:rFonts w:asciiTheme="majorBidi" w:hAnsiTheme="majorBidi" w:cstheme="majorBidi"/>
                <w:sz w:val="20"/>
                <w:szCs w:val="20"/>
              </w:rPr>
              <w:t>–</w:t>
            </w:r>
            <w:r w:rsidRPr="000E1337">
              <w:rPr>
                <w:rFonts w:asciiTheme="majorBidi" w:hAnsiTheme="majorBidi" w:cstheme="majorBidi"/>
                <w:sz w:val="20"/>
                <w:szCs w:val="20"/>
              </w:rPr>
              <w:t>68</w:t>
            </w:r>
          </w:p>
        </w:tc>
        <w:tc>
          <w:tcPr>
            <w:tcW w:w="1134" w:type="dxa"/>
            <w:tcMar>
              <w:top w:w="15" w:type="dxa"/>
              <w:left w:w="15" w:type="dxa"/>
              <w:bottom w:w="0" w:type="dxa"/>
              <w:right w:w="15" w:type="dxa"/>
            </w:tcMar>
            <w:vAlign w:val="center"/>
          </w:tcPr>
          <w:p w14:paraId="17A7961F" w14:textId="2E8003A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59</w:t>
            </w:r>
            <w:r w:rsidR="004229FA" w:rsidRPr="000E1337">
              <w:rPr>
                <w:rFonts w:asciiTheme="majorBidi" w:hAnsiTheme="majorBidi" w:cstheme="majorBidi"/>
                <w:sz w:val="20"/>
                <w:szCs w:val="20"/>
              </w:rPr>
              <w:t>–</w:t>
            </w:r>
            <w:r w:rsidRPr="000E1337">
              <w:rPr>
                <w:rFonts w:asciiTheme="majorBidi" w:hAnsiTheme="majorBidi" w:cstheme="majorBidi"/>
                <w:sz w:val="20"/>
                <w:szCs w:val="20"/>
              </w:rPr>
              <w:t>83</w:t>
            </w:r>
          </w:p>
        </w:tc>
        <w:tc>
          <w:tcPr>
            <w:tcW w:w="1134" w:type="dxa"/>
            <w:tcMar>
              <w:top w:w="15" w:type="dxa"/>
              <w:left w:w="15" w:type="dxa"/>
              <w:bottom w:w="0" w:type="dxa"/>
              <w:right w:w="15" w:type="dxa"/>
            </w:tcMar>
            <w:vAlign w:val="center"/>
          </w:tcPr>
          <w:p w14:paraId="1336E7D3" w14:textId="27DD9AC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159</w:t>
            </w:r>
            <w:r w:rsidR="004229FA" w:rsidRPr="000E1337">
              <w:rPr>
                <w:rFonts w:asciiTheme="majorBidi" w:hAnsiTheme="majorBidi" w:cstheme="majorBidi"/>
                <w:sz w:val="20"/>
                <w:szCs w:val="20"/>
              </w:rPr>
              <w:t>–</w:t>
            </w:r>
            <w:r w:rsidRPr="000E1337">
              <w:rPr>
                <w:rFonts w:asciiTheme="majorBidi" w:hAnsiTheme="majorBidi" w:cstheme="majorBidi"/>
                <w:sz w:val="20"/>
                <w:szCs w:val="20"/>
              </w:rPr>
              <w:t>173</w:t>
            </w:r>
          </w:p>
        </w:tc>
      </w:tr>
      <w:tr w:rsidR="00C5489C" w:rsidRPr="000E1337" w14:paraId="0628F332" w14:textId="77777777" w:rsidTr="00C5489C">
        <w:trPr>
          <w:trHeight w:val="176"/>
        </w:trPr>
        <w:tc>
          <w:tcPr>
            <w:tcW w:w="2430" w:type="dxa"/>
            <w:tcMar>
              <w:top w:w="15" w:type="dxa"/>
              <w:left w:w="15" w:type="dxa"/>
              <w:bottom w:w="0" w:type="dxa"/>
              <w:right w:w="15" w:type="dxa"/>
            </w:tcMar>
            <w:vAlign w:val="center"/>
          </w:tcPr>
          <w:p w14:paraId="0725FF58"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57C18385" w14:textId="31CB89FB"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lang w:val="pt-BR"/>
              </w:rPr>
              <w:t xml:space="preserve">1.42 </w:t>
            </w:r>
            <w:r w:rsidRPr="000E1337">
              <w:rPr>
                <w:rFonts w:asciiTheme="majorBidi" w:hAnsiTheme="majorBidi" w:cstheme="majorBidi"/>
                <w:sz w:val="20"/>
                <w:szCs w:val="20"/>
              </w:rPr>
              <w:t>µ</w:t>
            </w:r>
            <w:r w:rsidRPr="000E1337">
              <w:rPr>
                <w:rFonts w:asciiTheme="majorBidi" w:hAnsiTheme="majorBidi" w:cstheme="majorBidi"/>
                <w:sz w:val="20"/>
                <w:szCs w:val="20"/>
                <w:lang w:val="pt-BR"/>
              </w:rPr>
              <w:t>g/kg/h</w:t>
            </w:r>
          </w:p>
        </w:tc>
        <w:tc>
          <w:tcPr>
            <w:tcW w:w="425" w:type="dxa"/>
            <w:tcMar>
              <w:top w:w="15" w:type="dxa"/>
              <w:left w:w="15" w:type="dxa"/>
              <w:bottom w:w="0" w:type="dxa"/>
              <w:right w:w="15" w:type="dxa"/>
            </w:tcMar>
            <w:vAlign w:val="center"/>
          </w:tcPr>
          <w:p w14:paraId="35DF7A21" w14:textId="77777777" w:rsidR="00C5489C" w:rsidRPr="000E1337" w:rsidRDefault="00C5489C" w:rsidP="00C5489C">
            <w:pPr>
              <w:spacing w:after="0" w:line="240" w:lineRule="auto"/>
              <w:jc w:val="center"/>
              <w:rPr>
                <w:rFonts w:asciiTheme="majorBidi" w:hAnsiTheme="majorBidi" w:cstheme="majorBidi"/>
                <w:sz w:val="20"/>
                <w:szCs w:val="20"/>
              </w:rPr>
            </w:pPr>
          </w:p>
        </w:tc>
        <w:tc>
          <w:tcPr>
            <w:tcW w:w="1276" w:type="dxa"/>
            <w:tcMar>
              <w:top w:w="15" w:type="dxa"/>
              <w:left w:w="15" w:type="dxa"/>
              <w:bottom w:w="0" w:type="dxa"/>
              <w:right w:w="15" w:type="dxa"/>
            </w:tcMar>
            <w:vAlign w:val="center"/>
          </w:tcPr>
          <w:p w14:paraId="595D24A5" w14:textId="77777777" w:rsidR="00C5489C" w:rsidRPr="000E1337" w:rsidRDefault="00C5489C" w:rsidP="00C5489C">
            <w:pPr>
              <w:spacing w:after="0" w:line="240" w:lineRule="auto"/>
              <w:jc w:val="center"/>
              <w:rPr>
                <w:rFonts w:asciiTheme="majorBidi" w:hAnsiTheme="majorBidi" w:cstheme="majorBidi"/>
                <w:sz w:val="20"/>
                <w:szCs w:val="20"/>
              </w:rPr>
            </w:pPr>
          </w:p>
        </w:tc>
        <w:tc>
          <w:tcPr>
            <w:tcW w:w="1134" w:type="dxa"/>
            <w:tcMar>
              <w:top w:w="15" w:type="dxa"/>
              <w:left w:w="15" w:type="dxa"/>
              <w:bottom w:w="0" w:type="dxa"/>
              <w:right w:w="15" w:type="dxa"/>
            </w:tcMar>
            <w:vAlign w:val="center"/>
          </w:tcPr>
          <w:p w14:paraId="6553B3EB" w14:textId="77777777" w:rsidR="00C5489C" w:rsidRPr="000E1337" w:rsidRDefault="00C5489C" w:rsidP="00C5489C">
            <w:pPr>
              <w:spacing w:after="0" w:line="240" w:lineRule="auto"/>
              <w:jc w:val="center"/>
              <w:rPr>
                <w:rFonts w:asciiTheme="majorBidi" w:hAnsiTheme="majorBidi" w:cstheme="majorBidi"/>
                <w:sz w:val="20"/>
                <w:szCs w:val="20"/>
              </w:rPr>
            </w:pPr>
          </w:p>
        </w:tc>
        <w:tc>
          <w:tcPr>
            <w:tcW w:w="1134" w:type="dxa"/>
            <w:tcMar>
              <w:top w:w="15" w:type="dxa"/>
              <w:left w:w="15" w:type="dxa"/>
              <w:bottom w:w="0" w:type="dxa"/>
              <w:right w:w="15" w:type="dxa"/>
            </w:tcMar>
            <w:vAlign w:val="center"/>
          </w:tcPr>
          <w:p w14:paraId="572A2060" w14:textId="77777777" w:rsidR="00C5489C" w:rsidRPr="000E1337" w:rsidRDefault="00C5489C" w:rsidP="00C5489C">
            <w:pPr>
              <w:spacing w:after="0" w:line="240" w:lineRule="auto"/>
              <w:jc w:val="center"/>
              <w:rPr>
                <w:rFonts w:asciiTheme="majorBidi" w:hAnsiTheme="majorBidi" w:cstheme="majorBidi"/>
                <w:sz w:val="20"/>
                <w:szCs w:val="20"/>
              </w:rPr>
            </w:pPr>
          </w:p>
        </w:tc>
      </w:tr>
      <w:tr w:rsidR="00C5489C" w:rsidRPr="000E1337" w14:paraId="1EE91D97" w14:textId="77777777" w:rsidTr="00C5489C">
        <w:trPr>
          <w:trHeight w:val="176"/>
        </w:trPr>
        <w:tc>
          <w:tcPr>
            <w:tcW w:w="2430" w:type="dxa"/>
            <w:tcMar>
              <w:top w:w="15" w:type="dxa"/>
              <w:left w:w="15" w:type="dxa"/>
              <w:bottom w:w="0" w:type="dxa"/>
              <w:right w:w="15" w:type="dxa"/>
            </w:tcMar>
            <w:vAlign w:val="center"/>
          </w:tcPr>
          <w:p w14:paraId="6C06835A" w14:textId="2F5F8ED9"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Sandler et al., 1990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{"citationID":"eHGcPMfs","properties":{"formattedCitation":"[20]","plainCitation":"[20]","noteIndex":0},"citationItems":[{"id":"NzKo45Wf/abTrk1Eh","uris":["http://zotero.org/users/6482121/items/K3DCABDB"],"itemData":{"id":668,"type":"article-journal","abstract":"Although epidural opioids frequently are used to provide postoperative analgesia, several articles have suggested that the analgesia after epidural fentanyl is similar to that after an equal dose of fentanyl given intravenously. To address this issue further, 29 postthoracotomy patients were studied in a randomized, double-blinded trial comparing a lumbar epidural fentanyl infusion with an intravenous fentanyl infusion for analgesia, plasma fentanyl pharmacokinetics, and respiratory effects for 20 h postoperatively. In all patients in both groups, good analgesia was achieved (pain score less than 3, maximum 10) over a similar time course, although the patients receiving epidural infusion required a significantly larger fentanyl infusion dose than did the patients receiving intravenous infusion (group receiving epidural fentanyl infusion: 1.95 +/- 0.45 micrograms.kg-1.h-1; group receiving intravenous fentanyl infusion: 1.56 +/- 0.36 micrograms.kg-1.h-1; P = 0.0002). The time course for the plasma fentanyl concentrations was similar in the two groups, and plasma fentanyl concentrations were not significantly different at any sampling period (T7-T20; group receiving epidural fentanyl infusion: 1.8 +/- 0.5 ng/ml; group receiving intravenous fentanyl infusion: 1.6 +/- 0.6 ng/ml; P = 0.06). Similarly, calculated clearance values for the two groups were not significantly different (group receiving epidural fentanyl infusion: 0.95 +/- 0.26 l.kg-1.h-1; group receiving intravenous fentanyl infusion: 0.87 +/- 0.25 l.kg-1.h-1; P = 0.3). Both groups demonstrated a similar degree of mild to moderate respiratory depression postoperatively, which was assessed with continuous respiratory inductance plethysmography and sequential arterial blood gas analysis. Side effects (nausea, vomiting, pruritus) were mild and did not differ between groups.(ABSTRACT TRUNCATED AT 250 WORDS)","container-title":"Anesthesiology","DOI":"10.1097/00000542-199210000-00003","ISSN":"0003-3022","issue":"4","journalAbbreviation":"Anesthesiology","language":"eng","note":"PMID: 1416159","page":"626-634","source":"PubMed","title":"A randomized, double-blind comparison of lumbar epidural and intravenous fentanyl infusions for postthoracotomy pain relief. Analgesic, pharmacokinetic, and respiratory effects","volume":"77","author":[{"family":"Sandler","given":"A. N."},{"family":"Stringer","given":"D."},{"family":"Panos","given":"L."},{"family":"Badner","given":"N."},{"family":"Friedlander","given":"M."},{"family":"Koren","given":"G."},{"family":"Katz","given":"J."},{"family":"Klein","given":"J."}],"issued":{"date-parts":[["1992",10]]}}}],"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[20]</w:t>
            </w:r>
            <w:r w:rsidRPr="000E1337">
              <w:rPr>
                <w:rFonts w:asciiTheme="majorBidi" w:hAnsiTheme="majorBidi" w:cstheme="majorBidi"/>
                <w:sz w:val="20"/>
                <w:szCs w:val="20"/>
              </w:rPr>
              <w:fldChar w:fldCharType="end"/>
            </w:r>
          </w:p>
        </w:tc>
        <w:tc>
          <w:tcPr>
            <w:tcW w:w="3547" w:type="dxa"/>
            <w:vAlign w:val="center"/>
          </w:tcPr>
          <w:p w14:paraId="50EA0AC1" w14:textId="0D35DCF9" w:rsidR="00C5489C" w:rsidRPr="000E1337" w:rsidRDefault="00C5489C" w:rsidP="00C5489C">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rPr>
              <w:t xml:space="preserve">1.5 µg/kg loading then </w:t>
            </w:r>
            <w:r w:rsidRPr="000E1337">
              <w:rPr>
                <w:rFonts w:asciiTheme="majorBidi" w:hAnsiTheme="majorBidi" w:cstheme="majorBidi"/>
                <w:sz w:val="20"/>
                <w:szCs w:val="20"/>
                <w:lang w:val="pt-BR"/>
              </w:rPr>
              <w:t>1.56 ± 0.36 µg/kg/h</w:t>
            </w:r>
          </w:p>
        </w:tc>
        <w:tc>
          <w:tcPr>
            <w:tcW w:w="425" w:type="dxa"/>
            <w:tcMar>
              <w:top w:w="15" w:type="dxa"/>
              <w:left w:w="15" w:type="dxa"/>
              <w:bottom w:w="0" w:type="dxa"/>
              <w:right w:w="15" w:type="dxa"/>
            </w:tcMar>
            <w:vAlign w:val="center"/>
          </w:tcPr>
          <w:p w14:paraId="3DAB8014" w14:textId="666AF24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w:t>
            </w:r>
          </w:p>
        </w:tc>
        <w:tc>
          <w:tcPr>
            <w:tcW w:w="1276" w:type="dxa"/>
            <w:tcMar>
              <w:top w:w="15" w:type="dxa"/>
              <w:left w:w="15" w:type="dxa"/>
              <w:bottom w:w="0" w:type="dxa"/>
              <w:right w:w="15" w:type="dxa"/>
            </w:tcMar>
            <w:vAlign w:val="center"/>
          </w:tcPr>
          <w:p w14:paraId="775D63AB" w14:textId="3F661E4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48</w:t>
            </w:r>
            <w:r w:rsidR="004229FA" w:rsidRPr="000E1337">
              <w:rPr>
                <w:rFonts w:asciiTheme="majorBidi" w:hAnsiTheme="majorBidi" w:cstheme="majorBidi"/>
                <w:sz w:val="20"/>
                <w:szCs w:val="20"/>
              </w:rPr>
              <w:t>–</w:t>
            </w:r>
            <w:r w:rsidRPr="000E1337">
              <w:rPr>
                <w:rFonts w:asciiTheme="majorBidi" w:hAnsiTheme="majorBidi" w:cstheme="majorBidi"/>
                <w:sz w:val="20"/>
                <w:szCs w:val="20"/>
              </w:rPr>
              <w:t>74</w:t>
            </w:r>
          </w:p>
        </w:tc>
        <w:tc>
          <w:tcPr>
            <w:tcW w:w="1134" w:type="dxa"/>
            <w:tcMar>
              <w:top w:w="15" w:type="dxa"/>
              <w:left w:w="15" w:type="dxa"/>
              <w:bottom w:w="0" w:type="dxa"/>
              <w:right w:w="15" w:type="dxa"/>
            </w:tcMar>
            <w:vAlign w:val="center"/>
          </w:tcPr>
          <w:p w14:paraId="54C5803F" w14:textId="7EA4EC5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56</w:t>
            </w:r>
            <w:r w:rsidR="004229FA" w:rsidRPr="000E1337">
              <w:rPr>
                <w:rFonts w:asciiTheme="majorBidi" w:hAnsiTheme="majorBidi" w:cstheme="majorBidi"/>
                <w:sz w:val="20"/>
                <w:szCs w:val="20"/>
              </w:rPr>
              <w:t>–</w:t>
            </w:r>
            <w:r w:rsidRPr="000E1337">
              <w:rPr>
                <w:rFonts w:asciiTheme="majorBidi" w:hAnsiTheme="majorBidi" w:cstheme="majorBidi"/>
                <w:sz w:val="20"/>
                <w:szCs w:val="20"/>
              </w:rPr>
              <w:t>82</w:t>
            </w:r>
          </w:p>
        </w:tc>
        <w:tc>
          <w:tcPr>
            <w:tcW w:w="1134" w:type="dxa"/>
            <w:tcMar>
              <w:top w:w="15" w:type="dxa"/>
              <w:left w:w="15" w:type="dxa"/>
              <w:bottom w:w="0" w:type="dxa"/>
              <w:right w:w="15" w:type="dxa"/>
            </w:tcMar>
            <w:vAlign w:val="center"/>
          </w:tcPr>
          <w:p w14:paraId="37D5C4BB" w14:textId="3198C06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153</w:t>
            </w:r>
            <w:r w:rsidR="004229FA" w:rsidRPr="000E1337">
              <w:rPr>
                <w:rFonts w:asciiTheme="majorBidi" w:hAnsiTheme="majorBidi" w:cstheme="majorBidi"/>
                <w:sz w:val="20"/>
                <w:szCs w:val="20"/>
              </w:rPr>
              <w:t>–</w:t>
            </w:r>
            <w:r w:rsidRPr="000E1337">
              <w:rPr>
                <w:rFonts w:asciiTheme="majorBidi" w:hAnsiTheme="majorBidi" w:cstheme="majorBidi"/>
                <w:sz w:val="20"/>
                <w:szCs w:val="20"/>
              </w:rPr>
              <w:t>173</w:t>
            </w:r>
          </w:p>
        </w:tc>
      </w:tr>
      <w:tr w:rsidR="00C5489C" w:rsidRPr="000E1337" w14:paraId="6E6AD4D5" w14:textId="77777777" w:rsidTr="00C5489C">
        <w:trPr>
          <w:trHeight w:val="176"/>
        </w:trPr>
        <w:tc>
          <w:tcPr>
            <w:tcW w:w="2430" w:type="dxa"/>
            <w:tcMar>
              <w:top w:w="15" w:type="dxa"/>
              <w:left w:w="15" w:type="dxa"/>
              <w:bottom w:w="0" w:type="dxa"/>
              <w:right w:w="15" w:type="dxa"/>
            </w:tcMar>
            <w:vAlign w:val="center"/>
          </w:tcPr>
          <w:p w14:paraId="0E9D028A" w14:textId="68A97CF2"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Glass et al.,1991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{"citationID":"a7so03phn7","properties":{"formattedCitation":"[21]","plainCitation":"[21]","noteIndex":0},"citationItems":[{"id":65,"uris":["http://zotero.org/users/local/J5Cy8xXX/items/5VIQHHVF"],"itemData":{"id":65,"type":"article-journal","abstract":"Fentanyl, unlike morphine, is highly lipophilic and rapidly diffuses out of the epidural space. Respiratory depression is, therefore, unlikely when fentanyl is given epidurally. However, much of fentanyl's analgesic effect is mediated by systemic rather than spinal receptor binding. To test this hypothesis, we performed a prospective, double-blind, cross-over study comparing epidural and intravenous (IV) administration of fentanyl in 16 patients for the first 12 h after lower abdominal or lower extremity surgery. To allow direct comparison of these two routes of administration, patient-controlled analgesia was used so patients could self-titrate their analgesia. Patients were randomized to receive fentanyl initially by an epidural (group A, n = 8) or IV (group B, n = 8) catheter for 6 h, after which they were crossed-over to the alternate route by means of a hidden three-way stopcock. The degree of analgesia was subjectively evaluated by a visual analogue scale, and by an observer rating patient's comfort and sedation. Cumulative dosage of fentanyl was recorded, and plasma fentanyl concentrations were measured. The onset of analgesia and increase in plasma fentanyl concentrations were more rapid with intravenous fentanyl. However, after 60 min, analgesia (visual analogue scale 2-4 cm) or plasma fentanyl concentrations (0.3-0.7 ng/mL) did not differ between the two routes of administration. There were also no significant differences in the cumulative dosage of fentanyl within each group (epidural vs IV) or between the groups. Thus, the analgesic effects of epidural fentanyl appear largely mediated by systemic absorption. Intravenous fentanyl achieves a similar degree of analgesia and a more rapid onset of effect without the need for epidural catheterization.","container-title":"Anesthesia and Analgesia","DOI":"10.1213/00000539-199203000-00005","ISSN":"0003-2999","issue":"3","journalAbbreviation":"Anesth Analg","language":"eng","note":"PMID: 1539812","page":"345-351","source":"PubMed","title":"Use of patient-controlled analgesia to compare the efficacy of epidural to intravenous fentanyl administration","volume":"74","author":[{"family":"Glass","given":"P. S."},{"family":"Estok","given":"P."},{"family":"Ginsberg","given":"B."},{"family":"Goldberg","given":"J. S."},{"family":"Sladen","given":"R. N."}],"issued":{"date-parts":[["1992",3]]}}}],"schema":"https://github.com/citation-style-language/schema/raw/master/csl-citation.json"}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[21]</w:t>
            </w:r>
            <w:r w:rsidRPr="000E1337">
              <w:rPr>
                <w:rFonts w:asciiTheme="majorBidi" w:hAnsiTheme="majorBidi" w:cstheme="majorBidi"/>
                <w:sz w:val="20"/>
                <w:szCs w:val="20"/>
              </w:rPr>
              <w:fldChar w:fldCharType="end"/>
            </w:r>
          </w:p>
        </w:tc>
        <w:tc>
          <w:tcPr>
            <w:tcW w:w="3547" w:type="dxa"/>
            <w:vAlign w:val="center"/>
          </w:tcPr>
          <w:p w14:paraId="38771012" w14:textId="646C149E" w:rsidR="00C5489C" w:rsidRPr="004229FA" w:rsidRDefault="003C711A"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pt-BR"/>
              </w:rPr>
              <w:t>23.82</w:t>
            </w:r>
            <w:r w:rsidR="00C5489C" w:rsidRPr="004229FA">
              <w:rPr>
                <w:rFonts w:asciiTheme="majorBidi" w:hAnsiTheme="majorBidi" w:cstheme="majorBidi"/>
                <w:sz w:val="20"/>
                <w:szCs w:val="20"/>
                <w:lang w:val="pt-BR"/>
              </w:rPr>
              <w:t xml:space="preserve"> ±</w:t>
            </w:r>
            <w:r w:rsidRPr="004229FA">
              <w:rPr>
                <w:rFonts w:asciiTheme="majorBidi" w:hAnsiTheme="majorBidi" w:cstheme="majorBidi"/>
                <w:sz w:val="20"/>
                <w:szCs w:val="20"/>
                <w:lang w:val="pt-BR"/>
              </w:rPr>
              <w:t>12.38</w:t>
            </w:r>
            <w:r w:rsidR="00C5489C" w:rsidRPr="004229FA">
              <w:rPr>
                <w:rFonts w:asciiTheme="majorBidi" w:hAnsiTheme="majorBidi" w:cstheme="majorBidi"/>
                <w:sz w:val="20"/>
                <w:szCs w:val="20"/>
              </w:rPr>
              <w:t xml:space="preserve"> µ</w:t>
            </w:r>
            <w:r w:rsidR="00C5489C" w:rsidRPr="004229FA">
              <w:rPr>
                <w:rFonts w:asciiTheme="majorBidi" w:hAnsiTheme="majorBidi" w:cstheme="majorBidi"/>
                <w:sz w:val="20"/>
                <w:szCs w:val="20"/>
                <w:lang w:val="pt-BR"/>
              </w:rPr>
              <w:t>g/h</w:t>
            </w:r>
          </w:p>
        </w:tc>
        <w:tc>
          <w:tcPr>
            <w:tcW w:w="425" w:type="dxa"/>
            <w:tcMar>
              <w:top w:w="15" w:type="dxa"/>
              <w:left w:w="15" w:type="dxa"/>
              <w:bottom w:w="0" w:type="dxa"/>
              <w:right w:w="15" w:type="dxa"/>
            </w:tcMar>
            <w:vAlign w:val="center"/>
          </w:tcPr>
          <w:p w14:paraId="4AB05542" w14:textId="033A775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8</w:t>
            </w:r>
          </w:p>
        </w:tc>
        <w:tc>
          <w:tcPr>
            <w:tcW w:w="1276" w:type="dxa"/>
            <w:tcMar>
              <w:top w:w="15" w:type="dxa"/>
              <w:left w:w="15" w:type="dxa"/>
              <w:bottom w:w="0" w:type="dxa"/>
              <w:right w:w="15" w:type="dxa"/>
            </w:tcMar>
            <w:vAlign w:val="center"/>
          </w:tcPr>
          <w:p w14:paraId="69C3B332" w14:textId="5858D099"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58</w:t>
            </w:r>
            <w:r w:rsidR="004229FA" w:rsidRPr="000E1337">
              <w:rPr>
                <w:rFonts w:asciiTheme="majorBidi" w:hAnsiTheme="majorBidi" w:cstheme="majorBidi"/>
                <w:sz w:val="20"/>
                <w:szCs w:val="20"/>
              </w:rPr>
              <w:t>–</w:t>
            </w:r>
            <w:r w:rsidRPr="000E1337">
              <w:rPr>
                <w:rFonts w:asciiTheme="majorBidi" w:hAnsiTheme="majorBidi" w:cstheme="majorBidi"/>
                <w:sz w:val="20"/>
                <w:szCs w:val="20"/>
              </w:rPr>
              <w:t>62</w:t>
            </w:r>
          </w:p>
        </w:tc>
        <w:tc>
          <w:tcPr>
            <w:tcW w:w="1134" w:type="dxa"/>
            <w:tcMar>
              <w:top w:w="15" w:type="dxa"/>
              <w:left w:w="15" w:type="dxa"/>
              <w:bottom w:w="0" w:type="dxa"/>
              <w:right w:w="15" w:type="dxa"/>
            </w:tcMar>
            <w:vAlign w:val="center"/>
          </w:tcPr>
          <w:p w14:paraId="13BE666D" w14:textId="73743DC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70</w:t>
            </w:r>
            <w:r w:rsidR="004229FA" w:rsidRPr="000E1337">
              <w:rPr>
                <w:rFonts w:asciiTheme="majorBidi" w:hAnsiTheme="majorBidi" w:cstheme="majorBidi"/>
                <w:sz w:val="20"/>
                <w:szCs w:val="20"/>
              </w:rPr>
              <w:t>–</w:t>
            </w:r>
            <w:r w:rsidRPr="000E1337">
              <w:rPr>
                <w:rFonts w:asciiTheme="majorBidi" w:hAnsiTheme="majorBidi" w:cstheme="majorBidi"/>
                <w:sz w:val="20"/>
                <w:szCs w:val="20"/>
              </w:rPr>
              <w:t>78</w:t>
            </w:r>
          </w:p>
        </w:tc>
        <w:tc>
          <w:tcPr>
            <w:tcW w:w="1134" w:type="dxa"/>
            <w:tcMar>
              <w:top w:w="15" w:type="dxa"/>
              <w:left w:w="15" w:type="dxa"/>
              <w:bottom w:w="0" w:type="dxa"/>
              <w:right w:w="15" w:type="dxa"/>
            </w:tcMar>
            <w:vAlign w:val="center"/>
          </w:tcPr>
          <w:p w14:paraId="0A6C0E3C" w14:textId="00C749DD"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166</w:t>
            </w:r>
            <w:r w:rsidR="004229FA" w:rsidRPr="000E1337">
              <w:rPr>
                <w:rFonts w:asciiTheme="majorBidi" w:hAnsiTheme="majorBidi" w:cstheme="majorBidi"/>
                <w:sz w:val="20"/>
                <w:szCs w:val="20"/>
              </w:rPr>
              <w:t>–</w:t>
            </w:r>
            <w:r w:rsidRPr="000E1337">
              <w:rPr>
                <w:rFonts w:asciiTheme="majorBidi" w:hAnsiTheme="majorBidi" w:cstheme="majorBidi"/>
                <w:sz w:val="20"/>
                <w:szCs w:val="20"/>
              </w:rPr>
              <w:t>170</w:t>
            </w:r>
          </w:p>
        </w:tc>
      </w:tr>
      <w:tr w:rsidR="00C5489C" w:rsidRPr="000E1337" w14:paraId="73D44F00" w14:textId="77777777" w:rsidTr="00C5489C">
        <w:trPr>
          <w:trHeight w:val="176"/>
        </w:trPr>
        <w:tc>
          <w:tcPr>
            <w:tcW w:w="2430" w:type="dxa"/>
            <w:tcMar>
              <w:top w:w="15" w:type="dxa"/>
              <w:left w:w="15" w:type="dxa"/>
              <w:bottom w:w="0" w:type="dxa"/>
              <w:right w:w="15" w:type="dxa"/>
            </w:tcMar>
            <w:vAlign w:val="center"/>
          </w:tcPr>
          <w:p w14:paraId="69A7B2E3" w14:textId="04CB1DFD"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Baxter et al., 1993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{"citationID":"a3sgc7d1rk","properties":{"formattedCitation":"[22]","plainCitation":"[22]","noteIndex":0},"citationItems":[{"id":67,"uris":["http://zotero.org/users/local/J5Cy8xXX/items/VKGJM8KB"],"itemData":{"id":67,"type":"article-journal","abstract":"This double-blind randomised study compared the analgesic efficacy, respiratory effects, side effects, and pharmacokinetic disposition of 24 hr lumbar epidural and intravenous infusions of the same dosage regimen of fentanyl (1.5 micrograms.kg-1 bolus then 1 microgram.kg-1.hr-1 infusion) in 50 patients after thoracotomy. Patients received either epidural fentanyl and intravenous normal saline, or epidural normal saline and intravenous fentanyl, for postoperative analgesia, after a standard low-dose alfentanil and isoflurane general anaesthetic. Visual analogue pain scores were lower in the epidural group (P &lt; 0.05) only at two hours postoperatively, and there was no difference in the amount of supplementary morphine self-administered by patient-controlled analgesic pump. A mainly spinal analgesic effect probably occurred in the first few hours since fentanyl was not detectable in the plasma of patients in the epidural group until two hours after bolus injection; its concentration was less at that time than after intravenous injection (P &lt; 0.05). Thereafter there was no difference in the plasma concentration profiles between the two groups. Seven patients in the epidural group and ten patients in the intravenous group received naloxone for PaCO2 &gt; 50 mmHg, and one patient in the intravenous group had the infusions stopped because of PaCO2 elevation and somnolence. In patients who did not receive naloxone, the epidural route produced better analgesia throughout the study period (P &lt; 0.01).(ABSTRACT TRUNCATED AT 250 WORDS)","container-title":"Canadian Journal of Anaesthesia = Journal Canadien D'anesthesie","DOI":"10.1007/BF03009829","ISSN":"0832-610X","issue":"3","journalAbbreviation":"Can J Anaesth","language":"eng","note":"PMID: 8187254","page":"184-191","source":"PubMed","title":"A comparison of lumbar epidural and intravenous fentanyl infusions for post-thoracotomy analgesia","volume":"41","author":[{"family":"Baxter","given":"A. D."},{"family":"Laganière","given":"S."},{"family":"Samson","given":"B."},{"family":"Stewart","given":"J."},{"family":"Hull","given":"K."},{"family":"Goernert","given":"L."}],"issued":{"date-parts":[["1994",3]]}}}],"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[22]</w:t>
            </w:r>
            <w:r w:rsidRPr="000E1337">
              <w:rPr>
                <w:rFonts w:asciiTheme="majorBidi" w:hAnsiTheme="majorBidi" w:cstheme="majorBidi"/>
                <w:sz w:val="20"/>
                <w:szCs w:val="20"/>
              </w:rPr>
              <w:fldChar w:fldCharType="end"/>
            </w:r>
          </w:p>
        </w:tc>
        <w:tc>
          <w:tcPr>
            <w:tcW w:w="3547" w:type="dxa"/>
            <w:vAlign w:val="center"/>
          </w:tcPr>
          <w:p w14:paraId="6186A466" w14:textId="6539BAFF"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pt-BR"/>
              </w:rPr>
              <w:t>1.5 µg</w:t>
            </w:r>
            <w:r w:rsidRPr="004229FA">
              <w:rPr>
                <w:rFonts w:asciiTheme="majorBidi" w:hAnsiTheme="majorBidi" w:cstheme="majorBidi"/>
                <w:sz w:val="20"/>
                <w:szCs w:val="20"/>
              </w:rPr>
              <w:t xml:space="preserve"> loading then </w:t>
            </w:r>
            <w:r w:rsidRPr="004229FA">
              <w:rPr>
                <w:rFonts w:asciiTheme="majorBidi" w:hAnsiTheme="majorBidi" w:cstheme="majorBidi"/>
                <w:sz w:val="20"/>
                <w:szCs w:val="20"/>
                <w:lang w:val="pt-BR"/>
              </w:rPr>
              <w:t xml:space="preserve">1 µg/kg /h </w:t>
            </w:r>
          </w:p>
        </w:tc>
        <w:tc>
          <w:tcPr>
            <w:tcW w:w="425" w:type="dxa"/>
            <w:tcMar>
              <w:top w:w="15" w:type="dxa"/>
              <w:left w:w="15" w:type="dxa"/>
              <w:bottom w:w="0" w:type="dxa"/>
              <w:right w:w="15" w:type="dxa"/>
            </w:tcMar>
            <w:vAlign w:val="center"/>
          </w:tcPr>
          <w:p w14:paraId="055DD984" w14:textId="72C7A37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25</w:t>
            </w:r>
          </w:p>
        </w:tc>
        <w:tc>
          <w:tcPr>
            <w:tcW w:w="1276" w:type="dxa"/>
            <w:tcMar>
              <w:top w:w="15" w:type="dxa"/>
              <w:left w:w="15" w:type="dxa"/>
              <w:bottom w:w="0" w:type="dxa"/>
              <w:right w:w="15" w:type="dxa"/>
            </w:tcMar>
            <w:vAlign w:val="center"/>
          </w:tcPr>
          <w:p w14:paraId="7C6E451D" w14:textId="68615FD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42</w:t>
            </w:r>
            <w:r w:rsidR="004229FA" w:rsidRPr="000E1337">
              <w:rPr>
                <w:rFonts w:asciiTheme="majorBidi" w:hAnsiTheme="majorBidi" w:cstheme="majorBidi"/>
                <w:sz w:val="20"/>
                <w:szCs w:val="20"/>
              </w:rPr>
              <w:t>–</w:t>
            </w:r>
            <w:r w:rsidRPr="000E1337">
              <w:rPr>
                <w:rFonts w:asciiTheme="majorBidi" w:hAnsiTheme="majorBidi" w:cstheme="majorBidi"/>
                <w:sz w:val="20"/>
                <w:szCs w:val="20"/>
              </w:rPr>
              <w:t>68</w:t>
            </w:r>
          </w:p>
        </w:tc>
        <w:tc>
          <w:tcPr>
            <w:tcW w:w="1134" w:type="dxa"/>
            <w:tcMar>
              <w:top w:w="15" w:type="dxa"/>
              <w:left w:w="15" w:type="dxa"/>
              <w:bottom w:w="0" w:type="dxa"/>
              <w:right w:w="15" w:type="dxa"/>
            </w:tcMar>
            <w:vAlign w:val="center"/>
          </w:tcPr>
          <w:p w14:paraId="2D5E512A" w14:textId="0C20915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70 ± 10</w:t>
            </w:r>
          </w:p>
        </w:tc>
        <w:tc>
          <w:tcPr>
            <w:tcW w:w="1134" w:type="dxa"/>
            <w:tcMar>
              <w:top w:w="15" w:type="dxa"/>
              <w:left w:w="15" w:type="dxa"/>
              <w:bottom w:w="0" w:type="dxa"/>
              <w:right w:w="15" w:type="dxa"/>
            </w:tcMar>
            <w:vAlign w:val="center"/>
          </w:tcPr>
          <w:p w14:paraId="165C73D4" w14:textId="5873AA9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41045ABB" w14:textId="77777777" w:rsidTr="00C5489C">
        <w:trPr>
          <w:trHeight w:val="176"/>
        </w:trPr>
        <w:tc>
          <w:tcPr>
            <w:tcW w:w="2430" w:type="dxa"/>
            <w:tcMar>
              <w:top w:w="15" w:type="dxa"/>
              <w:left w:w="15" w:type="dxa"/>
              <w:bottom w:w="0" w:type="dxa"/>
              <w:right w:w="15" w:type="dxa"/>
            </w:tcMar>
            <w:vAlign w:val="center"/>
          </w:tcPr>
          <w:p w14:paraId="32E79BAD" w14:textId="13A5D434"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Bernard et al., 1994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{"citationID":"PNz6nU2y","properties":{"formattedCitation":"[23]","plainCitation":"[23]","noteIndex":0},"citationItems":[{"id":"NzKo45Wf/9KI78ETq","uris":["http://zotero.org/users/6482121/items/JS7WW8AG"],"itemData":{"id":489,"type":"article-journal","container-title":"ANESTH ANALG","language":"en","page":"7","source":"Zotero","title":"Balanced Postoperative Analgesia: Effect of Intravenous Clonidine on Blood Gases and Pharmacokinetics of Intravenous Fentanyl","author":[{"family":"Bernard","given":"Jean-Marc"},{"family":"Lagarde","given":"Didier"},{"family":"Souron","given":"Remy"}]}}],"schema":"https://github.com/citation-style-language/schema/raw/master/csl-citation.json"}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[23]</w:t>
            </w:r>
            <w:r w:rsidRPr="000E1337">
              <w:rPr>
                <w:rFonts w:asciiTheme="majorBidi" w:hAnsiTheme="majorBidi" w:cstheme="majorBidi"/>
                <w:sz w:val="20"/>
                <w:szCs w:val="20"/>
              </w:rPr>
              <w:fldChar w:fldCharType="end"/>
            </w:r>
          </w:p>
        </w:tc>
        <w:tc>
          <w:tcPr>
            <w:tcW w:w="3547" w:type="dxa"/>
            <w:vAlign w:val="center"/>
          </w:tcPr>
          <w:p w14:paraId="7A4C0C3E" w14:textId="432F17D4"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3 </w:t>
            </w:r>
            <w:r w:rsidRPr="004229FA">
              <w:rPr>
                <w:rFonts w:asciiTheme="majorBidi" w:hAnsiTheme="majorBidi" w:cstheme="majorBidi"/>
                <w:sz w:val="20"/>
                <w:szCs w:val="20"/>
                <w:lang w:val="pt-BR"/>
              </w:rPr>
              <w:t>µg/kg</w:t>
            </w:r>
            <w:r w:rsidRPr="004229FA">
              <w:rPr>
                <w:rFonts w:asciiTheme="majorBidi" w:hAnsiTheme="majorBidi" w:cstheme="majorBidi"/>
                <w:sz w:val="20"/>
                <w:szCs w:val="20"/>
              </w:rPr>
              <w:t xml:space="preserve"> loading then 75 </w:t>
            </w:r>
            <w:r w:rsidRPr="004229FA">
              <w:rPr>
                <w:rFonts w:asciiTheme="majorBidi" w:hAnsiTheme="majorBidi" w:cstheme="majorBidi"/>
                <w:sz w:val="20"/>
                <w:szCs w:val="20"/>
                <w:lang w:val="pt-BR"/>
              </w:rPr>
              <w:t>µg/kg/h</w:t>
            </w:r>
          </w:p>
        </w:tc>
        <w:tc>
          <w:tcPr>
            <w:tcW w:w="425" w:type="dxa"/>
            <w:tcMar>
              <w:top w:w="15" w:type="dxa"/>
              <w:left w:w="15" w:type="dxa"/>
              <w:bottom w:w="0" w:type="dxa"/>
              <w:right w:w="15" w:type="dxa"/>
            </w:tcMar>
            <w:vAlign w:val="center"/>
          </w:tcPr>
          <w:p w14:paraId="527EA2E7" w14:textId="00B1EFB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w:t>
            </w:r>
          </w:p>
        </w:tc>
        <w:tc>
          <w:tcPr>
            <w:tcW w:w="1276" w:type="dxa"/>
            <w:tcMar>
              <w:top w:w="15" w:type="dxa"/>
              <w:left w:w="15" w:type="dxa"/>
              <w:bottom w:w="0" w:type="dxa"/>
              <w:right w:w="15" w:type="dxa"/>
            </w:tcMar>
            <w:vAlign w:val="center"/>
          </w:tcPr>
          <w:p w14:paraId="5F3C65D6" w14:textId="67924CB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19</w:t>
            </w:r>
            <w:r w:rsidR="004229FA" w:rsidRPr="000E1337">
              <w:rPr>
                <w:rFonts w:asciiTheme="majorBidi" w:hAnsiTheme="majorBidi" w:cstheme="majorBidi"/>
                <w:sz w:val="20"/>
                <w:szCs w:val="20"/>
              </w:rPr>
              <w:t>–</w:t>
            </w:r>
            <w:r w:rsidRPr="000E1337">
              <w:rPr>
                <w:rFonts w:asciiTheme="majorBidi" w:hAnsiTheme="majorBidi" w:cstheme="majorBidi"/>
                <w:sz w:val="20"/>
                <w:szCs w:val="20"/>
              </w:rPr>
              <w:t>25</w:t>
            </w:r>
          </w:p>
        </w:tc>
        <w:tc>
          <w:tcPr>
            <w:tcW w:w="1134" w:type="dxa"/>
            <w:tcMar>
              <w:top w:w="15" w:type="dxa"/>
              <w:left w:w="15" w:type="dxa"/>
              <w:bottom w:w="0" w:type="dxa"/>
              <w:right w:w="15" w:type="dxa"/>
            </w:tcMar>
            <w:vAlign w:val="center"/>
          </w:tcPr>
          <w:p w14:paraId="2B1BAE7E" w14:textId="135A91DC"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56</w:t>
            </w:r>
            <w:r w:rsidR="004229FA" w:rsidRPr="000E1337">
              <w:rPr>
                <w:rFonts w:asciiTheme="majorBidi" w:hAnsiTheme="majorBidi" w:cstheme="majorBidi"/>
                <w:sz w:val="20"/>
                <w:szCs w:val="20"/>
              </w:rPr>
              <w:t>–</w:t>
            </w:r>
            <w:r w:rsidRPr="000E1337">
              <w:rPr>
                <w:rFonts w:asciiTheme="majorBidi" w:hAnsiTheme="majorBidi" w:cstheme="majorBidi"/>
                <w:sz w:val="20"/>
                <w:szCs w:val="20"/>
              </w:rPr>
              <w:t>62</w:t>
            </w:r>
          </w:p>
        </w:tc>
        <w:tc>
          <w:tcPr>
            <w:tcW w:w="1134" w:type="dxa"/>
            <w:tcMar>
              <w:top w:w="15" w:type="dxa"/>
              <w:left w:w="15" w:type="dxa"/>
              <w:bottom w:w="0" w:type="dxa"/>
              <w:right w:w="15" w:type="dxa"/>
            </w:tcMar>
            <w:vAlign w:val="center"/>
          </w:tcPr>
          <w:p w14:paraId="6001D2E4" w14:textId="5B1CF4F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74397741" w14:textId="77777777" w:rsidTr="00C5489C">
        <w:trPr>
          <w:trHeight w:val="176"/>
        </w:trPr>
        <w:tc>
          <w:tcPr>
            <w:tcW w:w="2430" w:type="dxa"/>
            <w:tcMar>
              <w:top w:w="15" w:type="dxa"/>
              <w:left w:w="15" w:type="dxa"/>
              <w:bottom w:w="0" w:type="dxa"/>
              <w:right w:w="15" w:type="dxa"/>
            </w:tcMar>
            <w:vAlign w:val="center"/>
          </w:tcPr>
          <w:p w14:paraId="5F1992F8" w14:textId="15EE8A6E"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Privado et al., 2010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{"citationID":"au1ue6bc9k","properties":{"formattedCitation":"[24]","plainCitation":"[24]","noteIndex":0},"citationItems":[{"id":77,"uris":["http://zotero.org/users/local/J5Cy8xXX/items/HBTFKPFT"],"itemData":{"id":77,"type":"article-journal","abstract":"CONTEXT AND OBJECTIVE: Controversy exists regarding the site of action of fentanyl after epidural injection. The objective of this investigation was to compare the efficacy of epidural and intravenous fentanyl for orthopedic surgery. DESIGN AND SETTING: A randomized double-blind study was performed in Hospital São Paulo. METHODS: During the postoperative period, in the presence of pain, 29 patients were divided into two groups: group 1 (n = 14) received 100 µg of fentanyl epidurally and 2 ml of saline intravenously; group 2 (n = 15) received 5 ml of saline epidurally and 100 µg of fentanyl intravenously. The analgesic supplementation consisted of 40 mg of tenoxicam intravenously and, if necessary, 5 ml of 0.25% bupivacaine epidurally. Pain intensity was evaluated on a numerical scale and plasma concentrations of fentanyl were measured simultaneously. RESULTS: The percentage of patients who required supplementary analgesia with tenoxicam was lower in group 1 (71.4%) than in group 2 (100%): 95% confidence interval (CI) = 0.001-0.4360 (P = 0.001, Fisher's exact test; relative risk, RR = 0.07). Epidural bupivacaine supplementation was also lower in group 1 (14.3%) than in group 2 (53.3%): 95% CI = 0.06-1.05 (P = 0.03, Fisher's exact test; RR = 0.26). There was no difference in pain intensity on the numerical scale. Mean fentanyl plasma concentrations were similar in the two groups. CONCLUSION: Intravenous and epidural fentanyl appear to have similar efficacy for reducing pain according to the numerical scale, but supplementary analgesia was needed less frequently when epidural fentanyl was used. CLINICAL TRIAL REGISTRATION NUMBER: NCT00635986","container-title":"Sao Paulo Medical Journal","DOI":"https://doi.org/10.1590/S1516-31802010000100002","ISSN":"1516-3180, 1806-9460","journalAbbreviation":"Sao Paulo Med. J.","language":"en","note":"publisher: Associação Paulista de Medicina - APM","page":"5-9","source":"SciELO","title":"Epidural versus intravenous fentanyl for postoperative analgesia following orthopedic surgery: randomized controlled trial","title-short":"Epidural versus intravenous fentanyl for postoperative analgesia following orthopedic surgery","volume":"128","author":[{"family":"Privado","given":"Marcelo Soares"},{"family":"Issy","given":"Adriana Machado"},{"family":"Lanchote","given":"Vera Lucia"},{"family":"Garcia","given":"João Batista Santos"},{"family":"Sakata","given":"Rioko Kimiko"}],"issued":{"date-parts":[["2010",1]]}}}],"schema":"https://github.com/citation-style-language/schema/raw/master/csl-citation.json"}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[24]</w:t>
            </w:r>
            <w:r w:rsidRPr="000E1337">
              <w:rPr>
                <w:rFonts w:asciiTheme="majorBidi" w:hAnsiTheme="majorBidi" w:cstheme="majorBidi"/>
                <w:sz w:val="20"/>
                <w:szCs w:val="20"/>
              </w:rPr>
              <w:fldChar w:fldCharType="end"/>
            </w:r>
          </w:p>
        </w:tc>
        <w:tc>
          <w:tcPr>
            <w:tcW w:w="3547" w:type="dxa"/>
            <w:vAlign w:val="center"/>
          </w:tcPr>
          <w:p w14:paraId="73282888" w14:textId="5D9F19A7"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100 </w:t>
            </w:r>
            <w:r w:rsidRPr="004229FA">
              <w:rPr>
                <w:rFonts w:asciiTheme="majorBidi" w:hAnsiTheme="majorBidi" w:cstheme="majorBidi"/>
                <w:sz w:val="20"/>
                <w:szCs w:val="20"/>
                <w:lang w:val="pt-BR"/>
              </w:rPr>
              <w:t>µg/kg</w:t>
            </w:r>
          </w:p>
        </w:tc>
        <w:tc>
          <w:tcPr>
            <w:tcW w:w="425" w:type="dxa"/>
            <w:tcMar>
              <w:top w:w="15" w:type="dxa"/>
              <w:left w:w="15" w:type="dxa"/>
              <w:bottom w:w="0" w:type="dxa"/>
              <w:right w:w="15" w:type="dxa"/>
            </w:tcMar>
            <w:vAlign w:val="center"/>
          </w:tcPr>
          <w:p w14:paraId="66A7CD95" w14:textId="3BA7F8C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w:t>
            </w:r>
          </w:p>
        </w:tc>
        <w:tc>
          <w:tcPr>
            <w:tcW w:w="1276" w:type="dxa"/>
            <w:tcMar>
              <w:top w:w="15" w:type="dxa"/>
              <w:left w:w="15" w:type="dxa"/>
              <w:bottom w:w="0" w:type="dxa"/>
              <w:right w:w="15" w:type="dxa"/>
            </w:tcMar>
            <w:vAlign w:val="center"/>
          </w:tcPr>
          <w:p w14:paraId="4E86C7C9" w14:textId="73B4CA8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28</w:t>
            </w:r>
            <w:r w:rsidR="004229FA" w:rsidRPr="000E1337">
              <w:rPr>
                <w:rFonts w:asciiTheme="majorBidi" w:hAnsiTheme="majorBidi" w:cstheme="majorBidi"/>
                <w:sz w:val="20"/>
                <w:szCs w:val="20"/>
              </w:rPr>
              <w:t>–</w:t>
            </w:r>
            <w:r w:rsidRPr="000E1337">
              <w:rPr>
                <w:rFonts w:asciiTheme="majorBidi" w:hAnsiTheme="majorBidi" w:cstheme="majorBidi"/>
                <w:sz w:val="20"/>
                <w:szCs w:val="20"/>
              </w:rPr>
              <w:t>54</w:t>
            </w:r>
          </w:p>
        </w:tc>
        <w:tc>
          <w:tcPr>
            <w:tcW w:w="1134" w:type="dxa"/>
            <w:tcMar>
              <w:top w:w="15" w:type="dxa"/>
              <w:left w:w="15" w:type="dxa"/>
              <w:bottom w:w="0" w:type="dxa"/>
              <w:right w:w="15" w:type="dxa"/>
            </w:tcMar>
            <w:vAlign w:val="center"/>
          </w:tcPr>
          <w:p w14:paraId="23AB511F" w14:textId="0180043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65</w:t>
            </w:r>
            <w:r w:rsidR="004229FA" w:rsidRPr="000E1337">
              <w:rPr>
                <w:rFonts w:asciiTheme="majorBidi" w:hAnsiTheme="majorBidi" w:cstheme="majorBidi"/>
                <w:sz w:val="20"/>
                <w:szCs w:val="20"/>
              </w:rPr>
              <w:t>–</w:t>
            </w:r>
            <w:r w:rsidRPr="000E1337">
              <w:rPr>
                <w:rFonts w:asciiTheme="majorBidi" w:hAnsiTheme="majorBidi" w:cstheme="majorBidi"/>
                <w:sz w:val="20"/>
                <w:szCs w:val="20"/>
              </w:rPr>
              <w:t>84</w:t>
            </w:r>
          </w:p>
        </w:tc>
        <w:tc>
          <w:tcPr>
            <w:tcW w:w="1134" w:type="dxa"/>
            <w:tcMar>
              <w:top w:w="15" w:type="dxa"/>
              <w:left w:w="15" w:type="dxa"/>
              <w:bottom w:w="0" w:type="dxa"/>
              <w:right w:w="15" w:type="dxa"/>
            </w:tcMar>
            <w:vAlign w:val="center"/>
          </w:tcPr>
          <w:p w14:paraId="7E53E9B3" w14:textId="67B5BC4D"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159</w:t>
            </w:r>
            <w:r w:rsidR="004229FA" w:rsidRPr="000E1337">
              <w:rPr>
                <w:rFonts w:asciiTheme="majorBidi" w:hAnsiTheme="majorBidi" w:cstheme="majorBidi"/>
                <w:sz w:val="20"/>
                <w:szCs w:val="20"/>
              </w:rPr>
              <w:t>–</w:t>
            </w:r>
            <w:r w:rsidRPr="000E1337">
              <w:rPr>
                <w:rFonts w:asciiTheme="majorBidi" w:hAnsiTheme="majorBidi" w:cstheme="majorBidi"/>
                <w:sz w:val="20"/>
                <w:szCs w:val="20"/>
              </w:rPr>
              <w:t>176</w:t>
            </w:r>
          </w:p>
        </w:tc>
      </w:tr>
      <w:tr w:rsidR="00C5489C" w:rsidRPr="000E1337" w14:paraId="1E053A77" w14:textId="77777777" w:rsidTr="00C5489C">
        <w:trPr>
          <w:trHeight w:val="176"/>
        </w:trPr>
        <w:tc>
          <w:tcPr>
            <w:tcW w:w="2430" w:type="dxa"/>
            <w:tcMar>
              <w:top w:w="15" w:type="dxa"/>
              <w:left w:w="15" w:type="dxa"/>
              <w:bottom w:w="0" w:type="dxa"/>
              <w:right w:w="15" w:type="dxa"/>
            </w:tcMar>
            <w:vAlign w:val="center"/>
          </w:tcPr>
          <w:p w14:paraId="5BA0E2EF" w14:textId="55C25ED4" w:rsidR="00C5489C" w:rsidRPr="000E1337" w:rsidRDefault="00C5489C" w:rsidP="00EE60C4">
            <w:pPr>
              <w:spacing w:after="0" w:line="240" w:lineRule="auto"/>
              <w:jc w:val="center"/>
              <w:rPr>
                <w:rFonts w:asciiTheme="majorBidi" w:hAnsiTheme="majorBidi" w:cstheme="majorBidi"/>
                <w:sz w:val="20"/>
                <w:szCs w:val="20"/>
              </w:rPr>
            </w:pPr>
            <w:proofErr w:type="spellStart"/>
            <w:r w:rsidRPr="000E1337">
              <w:rPr>
                <w:rFonts w:asciiTheme="majorBidi" w:hAnsiTheme="majorBidi" w:cstheme="majorBidi"/>
                <w:sz w:val="20"/>
                <w:szCs w:val="20"/>
              </w:rPr>
              <w:t>Nozari</w:t>
            </w:r>
            <w:proofErr w:type="spellEnd"/>
            <w:r w:rsidRPr="000E1337">
              <w:rPr>
                <w:rFonts w:asciiTheme="majorBidi" w:hAnsiTheme="majorBidi" w:cstheme="majorBidi"/>
                <w:sz w:val="20"/>
                <w:szCs w:val="20"/>
              </w:rPr>
              <w:t xml:space="preserve"> et al., 2019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{"citationID":"a1a4chgu23v","properties":{"formattedCitation":"[25]","plainCitation":"[25]","noteIndex":0},"citationItems":[{"id":70,"uris":["http://zotero.org/users/local/J5Cy8xXX/items/NV2E7EUY"],"itemData":{"id":70,"type":"article-journal","abstract":"OBJECTIVES: Fentanyl is a potent analgesic that accounts for an increasing number of overdose deaths in the United States. This study tested whether altered pharmacokinetics plays a pivotal role in the increased fentanyl dose requirements in patients receiving the enzyme-inducing anticonvulsant, carbamazepine.\nMETHODS: Neurosurgical patients receiving carbamazepine for &gt;6 weeks (N = 11) or no carbamazepine (N = 6, controls) received a single bolus dose of fentanyl (200 μg) intravenously. Plasma was collected before and for up to 9 h after the bolus. Fentanyl concentrations were measured using liquid chromatography-mass spectrometry. Pharmacokinetic variables were derived from plasma concentration-time curves best fitted to a two-compartment model.\nKEY FINDINGS: Fentanyl clearance was significantly higher in the carbamazepine group compared to controls (mean ± SD: 20.1 ± 6.8 vs 13.2 ± 4.8 ml/min per kg, P &lt; 0.05), and area under the plasma concentration curve (AUC) was significantly lower (150 ± 65 vs 233 ± 70 ng/ml × min, P &lt; 0.02). Volume of distribution was larger in the carbamazepine group, but the difference was not statistically significant (5.4 ± 3.1 vs 3.6 ± 1.2 l/kg, P &gt; 0.15). The terminal elimination half-life did not differ between the two groups.\nCONCLUSIONS: Chronic carbamazepine therapy leads to increased fentanyl clearance and decreased AUC, which may result in decreased duration of therapeutic plasma concentrations of fentanyl and an increased dose requirement. Assuming that carbamazepine does not change fentanyl pharmacodynamics, patients on chronic carbamazepine therapy may require more frequent or higher fentanyl doses to maintain therapeutic plasma concentrations.","container-title":"The Journal of Pharmacy and Pharmacology","DOI":"10.1111/jphp.13079","ISSN":"2042-7158","issue":"6","journalAbbreviation":"J Pharm Pharmacol","language":"eng","note":"PMID: 30793320\nPMCID: PMC7938950","page":"982-987","source":"PubMed","title":"Prolonged therapy with the anticonvulsant carbamazepine leads to increased plasma clearance of fentanyl","volume":"71","author":[{"family":"Nozari","given":"Ala"},{"family":"Akeju","given":"Oluwaseun"},{"family":"Mirzakhani","given":"Hooman"},{"family":"Eskandar","given":"Emad"},{"family":"Ma","given":"Zhijun"},{"family":"Hossain","given":"Md Amin"},{"family":"Wang","given":"Qingping"},{"family":"Greenblatt","given":"David J."},{"family":"Martyn","given":"J. A. Jeevendra"}],"issued":{"date-parts":[["2019",6]]}}}],"schema":"https://github.com/citation-style-language/schema/raw/master/csl-citation.json"}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[25]</w:t>
            </w:r>
            <w:r w:rsidRPr="000E1337">
              <w:rPr>
                <w:rFonts w:asciiTheme="majorBidi" w:hAnsiTheme="majorBidi" w:cstheme="majorBidi"/>
                <w:sz w:val="20"/>
                <w:szCs w:val="20"/>
              </w:rPr>
              <w:fldChar w:fldCharType="end"/>
            </w:r>
          </w:p>
        </w:tc>
        <w:tc>
          <w:tcPr>
            <w:tcW w:w="3547" w:type="dxa"/>
            <w:vAlign w:val="center"/>
          </w:tcPr>
          <w:p w14:paraId="462EE170" w14:textId="3835EDB2"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200 </w:t>
            </w:r>
            <w:r w:rsidRPr="004229FA">
              <w:rPr>
                <w:rFonts w:asciiTheme="majorBidi" w:hAnsiTheme="majorBidi" w:cstheme="majorBidi"/>
                <w:sz w:val="20"/>
                <w:szCs w:val="20"/>
                <w:lang w:val="pt-BR"/>
              </w:rPr>
              <w:t>µg</w:t>
            </w:r>
          </w:p>
        </w:tc>
        <w:tc>
          <w:tcPr>
            <w:tcW w:w="425" w:type="dxa"/>
            <w:tcMar>
              <w:top w:w="15" w:type="dxa"/>
              <w:left w:w="15" w:type="dxa"/>
              <w:bottom w:w="0" w:type="dxa"/>
              <w:right w:w="15" w:type="dxa"/>
            </w:tcMar>
            <w:vAlign w:val="center"/>
          </w:tcPr>
          <w:p w14:paraId="0F8B4DC6" w14:textId="07ECA56D"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w:t>
            </w:r>
          </w:p>
        </w:tc>
        <w:tc>
          <w:tcPr>
            <w:tcW w:w="1276" w:type="dxa"/>
            <w:tcMar>
              <w:top w:w="15" w:type="dxa"/>
              <w:left w:w="15" w:type="dxa"/>
              <w:bottom w:w="0" w:type="dxa"/>
              <w:right w:w="15" w:type="dxa"/>
            </w:tcMar>
            <w:vAlign w:val="center"/>
          </w:tcPr>
          <w:p w14:paraId="6E334E5D" w14:textId="1C92FF5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53 ± 17</w:t>
            </w:r>
          </w:p>
        </w:tc>
        <w:tc>
          <w:tcPr>
            <w:tcW w:w="1134" w:type="dxa"/>
            <w:tcMar>
              <w:top w:w="15" w:type="dxa"/>
              <w:left w:w="15" w:type="dxa"/>
              <w:bottom w:w="0" w:type="dxa"/>
              <w:right w:w="15" w:type="dxa"/>
            </w:tcMar>
            <w:vAlign w:val="center"/>
          </w:tcPr>
          <w:p w14:paraId="415230C8" w14:textId="4E59B38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80 ± 4</w:t>
            </w:r>
          </w:p>
        </w:tc>
        <w:tc>
          <w:tcPr>
            <w:tcW w:w="1134" w:type="dxa"/>
            <w:tcMar>
              <w:top w:w="15" w:type="dxa"/>
              <w:left w:w="15" w:type="dxa"/>
              <w:bottom w:w="0" w:type="dxa"/>
              <w:right w:w="15" w:type="dxa"/>
            </w:tcMar>
            <w:vAlign w:val="center"/>
          </w:tcPr>
          <w:p w14:paraId="0926512F" w14:textId="6248E12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172 ± 12</w:t>
            </w:r>
          </w:p>
        </w:tc>
      </w:tr>
      <w:tr w:rsidR="00C5489C" w:rsidRPr="000E1337" w14:paraId="0A68984F" w14:textId="77777777" w:rsidTr="00C5489C">
        <w:trPr>
          <w:trHeight w:val="176"/>
        </w:trPr>
        <w:tc>
          <w:tcPr>
            <w:tcW w:w="2430" w:type="dxa"/>
            <w:tcMar>
              <w:top w:w="15" w:type="dxa"/>
              <w:left w:w="15" w:type="dxa"/>
              <w:bottom w:w="0" w:type="dxa"/>
              <w:right w:w="15" w:type="dxa"/>
            </w:tcMar>
            <w:vAlign w:val="center"/>
          </w:tcPr>
          <w:p w14:paraId="52314372" w14:textId="6EAB8F8A"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Varvel et al., 1989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{"citationID":"9SjdPbcu","properties":{"formattedCitation":"[26]","plainCitation":"[26]","noteIndex":0},"citationItems":[{"id":"NzKo45Wf/DpcbZcKz","uris":["http://zotero.org/users/6482121/items/8469QX46"],"itemData":{"id":3758,"type":"article-journal","abstract":"Fentanyl was administered intravenously and transdermally to eight surgical patients to determine the systemic bioavailability and rate of absorption of the transdermally administered drug. Serum fentanyl concentrations reached a plateau approximately 14 h after placement of the transdermal fentanyl delivery system. This plateau was maintained until removal of the system at 24 h. The decline in serum fentanyl concentrations after removal of the transdermal system had a terminal half-life of 17.0 +/- 2.3 h (mean +/- SD), considerably longer than the terminal elimination half-life seen after intravenous administration of fentanyl in the same patients (6.1 +/- 2.0 h). The rate of fentanyl absorption, predicted to be 100 micrograms/h from in vitro data, appeared to be relatively constant during a period starting 4-8 h after placement of the transdermal system until removal of the system at 24 h. The rate of absorption during this period was 91.7 +/- 25.7 micrograms/h. After removal of the transdermal fentanyl delivery system, absorption continued at a declining rate. This indicates that the long terminal half-life of serum fentanyl concentrations after transdermal system removal is due to continued slow absorption of fentanyl, probably from a cutaneous depot of drug at the site of prior transdermal system placement. At the time of removal of the transdermal fentanyl system, 1.07 +/- 0.43 mg of drug remained in this depot. Systemic fentanyl bioavailability was found to be 0.92 +/- 0.33, with no evidence of significant cutaneous metabolism or degradation by the skin's bacterial flora. The transdermal administration of fentanyl produces relatively constant serum fentanyl concentrations for significant periods of time in the postsurgical patient requiring analgesic therapy.","container-title":"Anesthesiology","DOI":"10.1097/00000542-198906000-00008","ISSN":"0003-3022","issue":"6","journalAbbreviation":"Anesthesiology","language":"eng","note":"PMID: 2729633","page":"928-934","source":"PubMed","title":"Absorption characteristics of transdermally administered fentanyl","volume":"70","author":[{"family":"Varvel","given":"J. R."},{"family":"Shafer","given":"S. L."},{"family":"Hwang","given":"S. S."},{"family":"Coen","given":"P. A."},{"family":"Stanski","given":"D. R."}],"issued":{"date-parts":[["1989",6]]}}}],"schema":"https://github.com/citation-style-language/schema/raw/master/csl-citation.json"}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[26]</w:t>
            </w:r>
            <w:r w:rsidRPr="000E1337">
              <w:rPr>
                <w:rFonts w:asciiTheme="majorBidi" w:hAnsiTheme="majorBidi" w:cstheme="majorBidi"/>
                <w:sz w:val="20"/>
                <w:szCs w:val="20"/>
              </w:rPr>
              <w:fldChar w:fldCharType="end"/>
            </w:r>
          </w:p>
        </w:tc>
        <w:tc>
          <w:tcPr>
            <w:tcW w:w="3547" w:type="dxa"/>
            <w:vAlign w:val="center"/>
          </w:tcPr>
          <w:p w14:paraId="46F5455B" w14:textId="18E43B8B"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150</w:t>
            </w:r>
            <w:r w:rsidR="003C711A" w:rsidRPr="004229FA">
              <w:rPr>
                <w:rFonts w:asciiTheme="majorBidi" w:hAnsiTheme="majorBidi" w:cstheme="majorBidi"/>
                <w:sz w:val="20"/>
                <w:szCs w:val="20"/>
              </w:rPr>
              <w:t xml:space="preserve"> </w:t>
            </w:r>
            <w:r w:rsidRPr="004229FA">
              <w:rPr>
                <w:rFonts w:asciiTheme="majorBidi" w:hAnsiTheme="majorBidi" w:cstheme="majorBidi"/>
                <w:sz w:val="20"/>
                <w:szCs w:val="20"/>
                <w:lang w:val="pt-BR"/>
              </w:rPr>
              <w:t>µg/min</w:t>
            </w:r>
          </w:p>
        </w:tc>
        <w:tc>
          <w:tcPr>
            <w:tcW w:w="425" w:type="dxa"/>
            <w:tcMar>
              <w:top w:w="15" w:type="dxa"/>
              <w:left w:w="15" w:type="dxa"/>
              <w:bottom w:w="0" w:type="dxa"/>
              <w:right w:w="15" w:type="dxa"/>
            </w:tcMar>
            <w:vAlign w:val="center"/>
          </w:tcPr>
          <w:p w14:paraId="4A727ED6" w14:textId="58F3B80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w:t>
            </w:r>
          </w:p>
        </w:tc>
        <w:tc>
          <w:tcPr>
            <w:tcW w:w="1276" w:type="dxa"/>
            <w:tcMar>
              <w:top w:w="15" w:type="dxa"/>
              <w:left w:w="15" w:type="dxa"/>
              <w:bottom w:w="0" w:type="dxa"/>
              <w:right w:w="15" w:type="dxa"/>
            </w:tcMar>
            <w:vAlign w:val="center"/>
          </w:tcPr>
          <w:p w14:paraId="2578BC39" w14:textId="72F53524"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33</w:t>
            </w:r>
            <w:r w:rsidR="004229FA" w:rsidRPr="000E1337">
              <w:rPr>
                <w:rFonts w:asciiTheme="majorBidi" w:hAnsiTheme="majorBidi" w:cstheme="majorBidi"/>
                <w:sz w:val="20"/>
                <w:szCs w:val="20"/>
              </w:rPr>
              <w:t>–</w:t>
            </w:r>
            <w:r w:rsidRPr="000E1337">
              <w:rPr>
                <w:rFonts w:asciiTheme="majorBidi" w:hAnsiTheme="majorBidi" w:cstheme="majorBidi"/>
                <w:sz w:val="20"/>
                <w:szCs w:val="20"/>
              </w:rPr>
              <w:t>57</w:t>
            </w:r>
          </w:p>
        </w:tc>
        <w:tc>
          <w:tcPr>
            <w:tcW w:w="1134" w:type="dxa"/>
            <w:tcMar>
              <w:top w:w="15" w:type="dxa"/>
              <w:left w:w="15" w:type="dxa"/>
              <w:bottom w:w="0" w:type="dxa"/>
              <w:right w:w="15" w:type="dxa"/>
            </w:tcMar>
            <w:vAlign w:val="center"/>
          </w:tcPr>
          <w:p w14:paraId="23D9A070" w14:textId="27F3D69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tcMar>
              <w:top w:w="15" w:type="dxa"/>
              <w:left w:w="15" w:type="dxa"/>
              <w:bottom w:w="0" w:type="dxa"/>
              <w:right w:w="15" w:type="dxa"/>
            </w:tcMar>
            <w:vAlign w:val="center"/>
          </w:tcPr>
          <w:p w14:paraId="6EECB855" w14:textId="507BE839"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23FAF2E0" w14:textId="77777777" w:rsidTr="00C5489C">
        <w:trPr>
          <w:trHeight w:val="176"/>
        </w:trPr>
        <w:tc>
          <w:tcPr>
            <w:tcW w:w="2430" w:type="dxa"/>
            <w:tcMar>
              <w:top w:w="15" w:type="dxa"/>
              <w:left w:w="15" w:type="dxa"/>
              <w:bottom w:w="0" w:type="dxa"/>
              <w:right w:w="15" w:type="dxa"/>
            </w:tcMar>
            <w:vAlign w:val="center"/>
          </w:tcPr>
          <w:p w14:paraId="42DB3C57" w14:textId="429442E0"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MacLeod et al., 2012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{"citationID":"DHSOjLMJ","properties":{"formattedCitation":"[27]","plainCitation":"[27]","noteIndex":0},"citationItems":[{"id":"NzKo45Wf/lHfdesAc","uris":["http://zotero.org/users/6482121/items/86RDCM9V"],"itemData":{"id":648,"type":"article-journal","abstract":"BACKGROUND: Rapid delivery of potent opioid to the systemic circulation is an important feature for the effective treatment of acute and acute-on-chronic breakthrough pain. The delivery of different opioids by the pulmonary route has been inconsistent, usually resulting in low bioavailability of the drug. Staccato® Fentanyl for Inhalation is a handheld inhaler producing a single metered dose of aerosolized fentanyl during a single inspiration. The aerosol is of high purity (≥98%) at a particle size (1 to 3.5 microns) shown to be best for pulmonary absorption.\nMETHODS: We conducted the study in healthy volunteers in 2 stages. In the crossover stage, 10 subjects received IV fentanyl 25 µg and inhaled fentanyl 25 µg on separate occasions. The dose escalation stage was a multidose, randomized, double-blind, placebo-controlled, single-period dose escalation study of inhaled fentanyl (50 to 300 µg). Serial blood sampling was performed over an 8-hour period after drug administration to determine the pharmacokinetic profile, and serial pupillometry was performed as a measure of pharmacodynamic effect.\nRESULTS: In the crossover stage the pharmacokinetic profiles of the inhaled and IV fentanyl showed similar peak arterial concentrations and areas under the curve. The time to maximum concentration was slightly shorter for the inhaled than IV fentanyl, 20.5 and 31.5 seconds, respectively. In the dose escalation stage the administration of repeated doses resulted in predictable, dose-dependent serum concentrations.\nCONCLUSIONS: This study has demonstrated that the pharmacokinetic profile of single doses of inhaled fentanyl is comparable to IV administration.","container-title":"Anesthesia and Analgesia","DOI":"10.1213/ANE.0b013e3182691898","ISSN":"1526-7598","issue":"5","journalAbbreviation":"Anesth Analg","language":"eng","note":"PMID: 22984155","page":"1071-1077","source":"PubMed","title":"Inhaled fentanyl aerosol in healthy volunteers: pharmacokinetics and pharmacodynamics","title-short":"Inhaled fentanyl aerosol in healthy volunteers","volume":"115","author":[{"family":"Macleod","given":"David B."},{"family":"Habib","given":"Ashraf S."},{"family":"Ikeda","given":"Keita"},{"family":"Spyker","given":"Daniel A."},{"family":"Cassella","given":"James V."},{"family":"Ho","given":"Kok Yuen"},{"family":"Gan","given":"Tong J."}],"issued":{"date-parts":[["2012",11]]}}}],"schema":"https://github.com/citation-style-language/schema/raw/master/csl-citation.json"}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[27]</w:t>
            </w:r>
            <w:r w:rsidRPr="000E1337">
              <w:rPr>
                <w:rFonts w:asciiTheme="majorBidi" w:hAnsiTheme="majorBidi" w:cstheme="majorBidi"/>
                <w:sz w:val="20"/>
                <w:szCs w:val="20"/>
              </w:rPr>
              <w:fldChar w:fldCharType="end"/>
            </w:r>
          </w:p>
        </w:tc>
        <w:tc>
          <w:tcPr>
            <w:tcW w:w="3547" w:type="dxa"/>
            <w:vAlign w:val="center"/>
          </w:tcPr>
          <w:p w14:paraId="6FA6A421" w14:textId="609E3C0F"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25 </w:t>
            </w:r>
            <w:r w:rsidRPr="004229FA">
              <w:rPr>
                <w:rFonts w:asciiTheme="majorBidi" w:hAnsiTheme="majorBidi" w:cstheme="majorBidi"/>
                <w:sz w:val="20"/>
                <w:szCs w:val="20"/>
                <w:lang w:val="pt-BR"/>
              </w:rPr>
              <w:t>µg</w:t>
            </w:r>
          </w:p>
        </w:tc>
        <w:tc>
          <w:tcPr>
            <w:tcW w:w="425" w:type="dxa"/>
            <w:tcMar>
              <w:top w:w="15" w:type="dxa"/>
              <w:left w:w="15" w:type="dxa"/>
              <w:bottom w:w="0" w:type="dxa"/>
              <w:right w:w="15" w:type="dxa"/>
            </w:tcMar>
            <w:vAlign w:val="center"/>
          </w:tcPr>
          <w:p w14:paraId="66F36D9D" w14:textId="3172ED4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23C101F8" w14:textId="7D21DB4D"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18</w:t>
            </w:r>
            <w:r w:rsidR="004229FA" w:rsidRPr="000E1337">
              <w:rPr>
                <w:rFonts w:asciiTheme="majorBidi" w:hAnsiTheme="majorBidi" w:cstheme="majorBidi"/>
                <w:sz w:val="20"/>
                <w:szCs w:val="20"/>
              </w:rPr>
              <w:t>–</w:t>
            </w:r>
            <w:r w:rsidRPr="000E1337">
              <w:rPr>
                <w:rFonts w:asciiTheme="majorBidi" w:hAnsiTheme="majorBidi" w:cstheme="majorBidi"/>
                <w:sz w:val="20"/>
                <w:szCs w:val="20"/>
              </w:rPr>
              <w:t>33</w:t>
            </w:r>
          </w:p>
        </w:tc>
        <w:tc>
          <w:tcPr>
            <w:tcW w:w="1134" w:type="dxa"/>
            <w:tcMar>
              <w:top w:w="15" w:type="dxa"/>
              <w:left w:w="15" w:type="dxa"/>
              <w:bottom w:w="0" w:type="dxa"/>
              <w:right w:w="15" w:type="dxa"/>
            </w:tcMar>
            <w:vAlign w:val="center"/>
          </w:tcPr>
          <w:p w14:paraId="3E754A14" w14:textId="3BEB777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60</w:t>
            </w:r>
            <w:r w:rsidR="004229FA" w:rsidRPr="000E1337">
              <w:rPr>
                <w:rFonts w:asciiTheme="majorBidi" w:hAnsiTheme="majorBidi" w:cstheme="majorBidi"/>
                <w:sz w:val="20"/>
                <w:szCs w:val="20"/>
              </w:rPr>
              <w:t>–</w:t>
            </w:r>
            <w:r w:rsidRPr="000E1337">
              <w:rPr>
                <w:rFonts w:asciiTheme="majorBidi" w:hAnsiTheme="majorBidi" w:cstheme="majorBidi"/>
                <w:sz w:val="20"/>
                <w:szCs w:val="20"/>
              </w:rPr>
              <w:t>86</w:t>
            </w:r>
          </w:p>
        </w:tc>
        <w:tc>
          <w:tcPr>
            <w:tcW w:w="1134" w:type="dxa"/>
            <w:tcMar>
              <w:top w:w="15" w:type="dxa"/>
              <w:left w:w="15" w:type="dxa"/>
              <w:bottom w:w="0" w:type="dxa"/>
              <w:right w:w="15" w:type="dxa"/>
            </w:tcMar>
            <w:vAlign w:val="center"/>
          </w:tcPr>
          <w:p w14:paraId="34A7C9F1" w14:textId="0ABFC6C6"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163</w:t>
            </w:r>
            <w:r w:rsidR="004229FA" w:rsidRPr="000E1337">
              <w:rPr>
                <w:rFonts w:asciiTheme="majorBidi" w:hAnsiTheme="majorBidi" w:cstheme="majorBidi"/>
                <w:sz w:val="20"/>
                <w:szCs w:val="20"/>
              </w:rPr>
              <w:t>–</w:t>
            </w:r>
            <w:r w:rsidRPr="000E1337">
              <w:rPr>
                <w:rFonts w:asciiTheme="majorBidi" w:hAnsiTheme="majorBidi" w:cstheme="majorBidi"/>
                <w:sz w:val="20"/>
                <w:szCs w:val="20"/>
              </w:rPr>
              <w:t>182</w:t>
            </w:r>
          </w:p>
        </w:tc>
      </w:tr>
      <w:tr w:rsidR="00C5489C" w:rsidRPr="000E1337" w14:paraId="4B30F351" w14:textId="77777777" w:rsidTr="00C5489C">
        <w:trPr>
          <w:trHeight w:val="176"/>
        </w:trPr>
        <w:tc>
          <w:tcPr>
            <w:tcW w:w="2430" w:type="dxa"/>
            <w:tcMar>
              <w:top w:w="15" w:type="dxa"/>
              <w:left w:w="15" w:type="dxa"/>
              <w:bottom w:w="0" w:type="dxa"/>
              <w:right w:w="15" w:type="dxa"/>
            </w:tcMar>
            <w:vAlign w:val="center"/>
          </w:tcPr>
          <w:p w14:paraId="6D444A6C" w14:textId="4B582129"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Streisand et al., 1991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{"citationID":"auHumJZ6","properties":{"formattedCitation":"[28]","plainCitation":"[28]","noteIndex":0},"citationItems":[{"id":"NzKo45Wf/UWSMNLYm","uris":["http://zotero.org/users/6482121/items/NNCTRNIB"],"itemData":{"id":652,"type":"article-journal","abstract":"Oral transmucosal fentanyl citrate (OTFC) is a novel, noninvasive dosage form of fentanyl used to provide children and adults with sedation, anxiolysis, and analgesia. In order to determine the bioavailability and absorption of fentanyl from OTFC, 12 volunteers were given intravenous fentanyl citrate or OTFC 15 micrograms/kg on each of two occasions. On a third occasion, the authors assessed oral administration (gastrointestinal absorption) by giving eight of the same volunteers the same dose of a solution of fentanyl citrate to swallow. In each study, arterial blood samples were taken over 24 h for analysis of plasma fentanyl. After intravenous (iv) administration of fentanyl, clearance (mean +/- standard deviation) was 0.67 +/- 0.15 l/min; volume of distribution at steady state was 287 +/- 79 l; and the terminal elimination half-life was 425 +/- 102 min. Peak plasma concentrations of fentanyl were higher (3.0 +/- 1.0 vs. 1.6 +/- 0.6 ng/ml, P = 0.01) and occurred sooner (22 +/- 2.5 vs. 101 +/- 48.8 min, P = 0.003) after OTFC than after oral solution administration. Plasma concentrations of fentanyl after OTFC decreased rapidly, to less than 1.0 ng/ml within 75-135 min after the beginning of administration. Peak absorption rate was greater (11.1 +/- 4.3 vs. 3.6 +/- 2.1 micrograms/min, P = 0.004) and occurred much sooner after OTFC than after oral solution administration (19 +/- 2.6 vs. 87.5 +/- 38.1 min, P = 0.001). Systemic bioavailability was greater after OTFC administration than after the oral solution (0.52 +/- 0.1 vs. 0.32 +/- 0.1, P = 0.01).(ABSTRACT TRUNCATED AT 250 WORDS)","container-title":"Anesthesiology","DOI":"10.1097/00000542-199108000-00009","ISSN":"0003-3022","issue":"2","journalAbbreviation":"Anesthesiology","language":"eng","note":"PMID: 1859010","page":"223-229","source":"PubMed","title":"Absorption and bioavailability of oral transmucosal fentanyl citrate","volume":"75","author":[{"family":"Streisand","given":"J. B."},{"family":"Varvel","given":"J. R."},{"family":"Stanski","given":"D. R."},{"family":"Le Maire","given":"L."},{"family":"Ashburn","given":"M. A."},{"family":"Hague","given":"B. I."},{"family":"Tarver","given":"S. D."},{"family":"Stanley","given":"T. H."}],"issued":{"date-parts":[["1991",8]]}}}],"schema":"https://github.com/citation-style-language/schema/raw/master/csl-citation.json"}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[28]</w:t>
            </w:r>
            <w:r w:rsidRPr="000E1337">
              <w:rPr>
                <w:rFonts w:asciiTheme="majorBidi" w:hAnsiTheme="majorBidi" w:cstheme="majorBidi"/>
                <w:sz w:val="20"/>
                <w:szCs w:val="20"/>
              </w:rPr>
              <w:fldChar w:fldCharType="end"/>
            </w:r>
          </w:p>
        </w:tc>
        <w:tc>
          <w:tcPr>
            <w:tcW w:w="3547" w:type="dxa"/>
            <w:vAlign w:val="center"/>
          </w:tcPr>
          <w:p w14:paraId="6FE80346" w14:textId="6A268980"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pt-BR"/>
              </w:rPr>
              <w:t>15 µg/kg</w:t>
            </w:r>
          </w:p>
        </w:tc>
        <w:tc>
          <w:tcPr>
            <w:tcW w:w="425" w:type="dxa"/>
            <w:tcMar>
              <w:top w:w="15" w:type="dxa"/>
              <w:left w:w="15" w:type="dxa"/>
              <w:bottom w:w="0" w:type="dxa"/>
              <w:right w:w="15" w:type="dxa"/>
            </w:tcMar>
            <w:vAlign w:val="center"/>
          </w:tcPr>
          <w:p w14:paraId="32D27FF4" w14:textId="6375DCF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276" w:type="dxa"/>
            <w:tcMar>
              <w:top w:w="15" w:type="dxa"/>
              <w:left w:w="15" w:type="dxa"/>
              <w:bottom w:w="0" w:type="dxa"/>
              <w:right w:w="15" w:type="dxa"/>
            </w:tcMar>
            <w:vAlign w:val="center"/>
          </w:tcPr>
          <w:p w14:paraId="5083804B" w14:textId="3BAC194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23–31</w:t>
            </w:r>
          </w:p>
        </w:tc>
        <w:tc>
          <w:tcPr>
            <w:tcW w:w="1134" w:type="dxa"/>
            <w:tcMar>
              <w:top w:w="15" w:type="dxa"/>
              <w:left w:w="15" w:type="dxa"/>
              <w:bottom w:w="0" w:type="dxa"/>
              <w:right w:w="15" w:type="dxa"/>
            </w:tcMar>
            <w:vAlign w:val="center"/>
          </w:tcPr>
          <w:p w14:paraId="5FDD901D" w14:textId="5451745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76 ± 9</w:t>
            </w:r>
          </w:p>
        </w:tc>
        <w:tc>
          <w:tcPr>
            <w:tcW w:w="1134" w:type="dxa"/>
            <w:tcMar>
              <w:top w:w="15" w:type="dxa"/>
              <w:left w:w="15" w:type="dxa"/>
              <w:bottom w:w="0" w:type="dxa"/>
              <w:right w:w="15" w:type="dxa"/>
            </w:tcMar>
            <w:vAlign w:val="center"/>
          </w:tcPr>
          <w:p w14:paraId="51EEA4B1" w14:textId="53E8B0AD"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3C9EE235" w14:textId="77777777" w:rsidTr="00C5489C">
        <w:trPr>
          <w:trHeight w:val="176"/>
        </w:trPr>
        <w:tc>
          <w:tcPr>
            <w:tcW w:w="2430" w:type="dxa"/>
            <w:tcMar>
              <w:top w:w="15" w:type="dxa"/>
              <w:left w:w="15" w:type="dxa"/>
              <w:bottom w:w="0" w:type="dxa"/>
              <w:right w:w="15" w:type="dxa"/>
            </w:tcMar>
            <w:vAlign w:val="center"/>
          </w:tcPr>
          <w:p w14:paraId="2FF33C2D" w14:textId="3D664263"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Gourlay et al., 1989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{"citationID":"ghUi3KcM","properties":{"formattedCitation":"[29]","plainCitation":"[29]","noteIndex":0},"citationItems":[{"id":"NzKo45Wf/EGiFShi5","uris":["http://zotero.org/users/6482121/items/Z3IHDNNC"],"itemData":{"id":654,"type":"article-journal","abstract":"Fentanyl (1 microgram/kg body weight) was administered intravenously and via a lumbar epidural catheter (in random order) on 2 separate occasions to 6 patients with chronic pain associated with non-terminal disease states. Frequent blood samples were collected from an indwelling intravenous catheter and CSF samples were collected via spinal needles inserted in the cervical (C7-T1 interspace) and lumbar (L3.4 interspace) regions at 0, 5, 10, 20, 30 and 45 min after fentanyl administration. The concentration of fentanyl in blood and CSF samples were quantified by a sensitive and selective gas-liquid chromatography assay. Visual analogue pain scores (VAPS) were recorded every 5 min for the first hour. Coded syringes (one containing the appropriate fentanyl dose while the other contained an equivalent volume of saline) allowed the investigator administering the fentanyl and assessing VAPS to remain blinded as to which route of administration actually contained the fentanyl. There was minimal vascular uptake of fentanyl following epidural administration. Similarly, the permeation of fentanyl into cervical and lumbar CSF following intravenous administration was minimal and erratic such that only 4 of the 60 CSF samples had detectable fentanyl concentrations. In contrast, there was a rapid penetration of fentanyl across the dura mater following lumbar epidural administration. There was significantly fentanyl in lumbar CSF samples by 10 min in 5 patients, and by 20 min in all 6 patients. The mean maximum lumbar CSF concentration was 19.1 ng/ml, while the time associated with these maximum concentrations was 22.5 min. The mean maximum cervical CSF fentanyl concentrations were 10% of the lumbar CSF concentrations.(ABSTRACT TRUNCATED AT 250 WORDS)","container-title":"Pain","DOI":"10.1016/0304-3959(89)90210-8","ISSN":"0304-3959","issue":"3","journalAbbreviation":"Pain","language":"eng","note":"PMID: 2812836","page":"253-259","source":"PubMed","title":"Pharmacokinetics of fentanyl in lumbar and cervical CSF following lumbar epidural and intravenous administration","volume":"38","author":[{"family":"Gourlay","given":"Geoffrey K."},{"family":"Murphy","given":"Terence M."},{"family":"Plummer","given":"John L."},{"family":"Kowalski","given":"Stefan R."},{"family":"Cherry","given":"David A."},{"family":"Cousins","given":"Michael J."}],"issued":{"date-parts":[["1989",9]]}}}],"schema":"https://github.com/citation-style-language/schema/raw/master/csl-citation.json"}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[29]</w:t>
            </w:r>
            <w:r w:rsidRPr="000E1337">
              <w:rPr>
                <w:rFonts w:asciiTheme="majorBidi" w:hAnsiTheme="majorBidi" w:cstheme="majorBidi"/>
                <w:sz w:val="20"/>
                <w:szCs w:val="20"/>
              </w:rPr>
              <w:fldChar w:fldCharType="end"/>
            </w:r>
          </w:p>
        </w:tc>
        <w:tc>
          <w:tcPr>
            <w:tcW w:w="3547" w:type="dxa"/>
            <w:vAlign w:val="center"/>
          </w:tcPr>
          <w:p w14:paraId="21584458" w14:textId="37D591FF"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pt-BR"/>
              </w:rPr>
              <w:t>1 µg/kg</w:t>
            </w:r>
          </w:p>
        </w:tc>
        <w:tc>
          <w:tcPr>
            <w:tcW w:w="425" w:type="dxa"/>
            <w:tcMar>
              <w:top w:w="15" w:type="dxa"/>
              <w:left w:w="15" w:type="dxa"/>
              <w:bottom w:w="0" w:type="dxa"/>
              <w:right w:w="15" w:type="dxa"/>
            </w:tcMar>
            <w:vAlign w:val="center"/>
          </w:tcPr>
          <w:p w14:paraId="5242AE12" w14:textId="174EA60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w:t>
            </w:r>
          </w:p>
        </w:tc>
        <w:tc>
          <w:tcPr>
            <w:tcW w:w="1276" w:type="dxa"/>
            <w:tcMar>
              <w:top w:w="15" w:type="dxa"/>
              <w:left w:w="15" w:type="dxa"/>
              <w:bottom w:w="0" w:type="dxa"/>
              <w:right w:w="15" w:type="dxa"/>
            </w:tcMar>
            <w:vAlign w:val="center"/>
          </w:tcPr>
          <w:p w14:paraId="631CDB07" w14:textId="3F440B79"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tcMar>
              <w:top w:w="15" w:type="dxa"/>
              <w:left w:w="15" w:type="dxa"/>
              <w:bottom w:w="0" w:type="dxa"/>
              <w:right w:w="15" w:type="dxa"/>
            </w:tcMar>
            <w:vAlign w:val="center"/>
          </w:tcPr>
          <w:p w14:paraId="650B8A5C" w14:textId="3078EBE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74 ± 15</w:t>
            </w:r>
          </w:p>
        </w:tc>
        <w:tc>
          <w:tcPr>
            <w:tcW w:w="1134" w:type="dxa"/>
            <w:tcMar>
              <w:top w:w="15" w:type="dxa"/>
              <w:left w:w="15" w:type="dxa"/>
              <w:bottom w:w="0" w:type="dxa"/>
              <w:right w:w="15" w:type="dxa"/>
            </w:tcMar>
            <w:vAlign w:val="center"/>
          </w:tcPr>
          <w:p w14:paraId="06C7DE11" w14:textId="29FE2F8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71867AA4" w14:textId="77777777" w:rsidTr="00C5489C">
        <w:trPr>
          <w:trHeight w:val="176"/>
        </w:trPr>
        <w:tc>
          <w:tcPr>
            <w:tcW w:w="2430" w:type="dxa"/>
            <w:tcMar>
              <w:top w:w="15" w:type="dxa"/>
              <w:left w:w="15" w:type="dxa"/>
              <w:bottom w:w="0" w:type="dxa"/>
              <w:right w:w="15" w:type="dxa"/>
            </w:tcMar>
            <w:vAlign w:val="center"/>
          </w:tcPr>
          <w:p w14:paraId="3658CF4A" w14:textId="22FEE4D2"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Gupta et al., 1995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{"citationID":"aitvggtje7","properties":{"formattedCitation":"[30]","plainCitation":"[30]","noteIndex":0},"citationItems":[{"id":73,"uris":["http://zotero.org/users/local/J5Cy8xXX/items/YTFL4P55"],"itemData":{"id":73,"type":"article-journal","abstract":"Drug disposition kinetics are commonly assumed to be time-invariant as a first approximation. In a preliminary study, 6 healthy volunteers received a constant intravenous infusion of 50 micrograms/h for 48 hours; the serum fentanyl concentration at 36 hours was lower than that at 24 hours for all 6 subjects. This suggested possible diurnal variations in fentanyl clearance. In 2 subsequent studies, with healthy volunteers receiving short infusions of fentanyl (n = 9, 150 micrograms/h for 0.33 hours every 4 hours; n = 12, 150 micrograms/h for 0.33 hours every hour, respectively), the area under the serum fentanyl concentration curve appeared to be independent of the time of infusion. Thus, there was no evidence to support a large diurnal change in fentanyl clearance. The serum fentanyl concentration-time profiles, corrected for carryover from previous doses, within each study were superimposable. This suggests that there are no diurnal changes in the distribution kinetics of fentanyl.","container-title":"Journal of Clinical Pharmacology","DOI":"10.1002/j.1552-4604.1995.tb05005.x","ISSN":"0091-2700","issue":"2","journalAbbreviation":"J Clin Pharmacol","language":"eng","note":"PMID: 7751426","page":"159-162","source":"PubMed","title":"Evaluation of diurnal variation in fentanyl clearance","volume":"35","author":[{"family":"Gupta","given":"S. K."},{"family":"Southam","given":"M. A."},{"family":"Hwang","given":"S. S."}],"issued":{"date-parts":[["1995",2]]}}}],"schema":"https://github.com/citation-style-language/schema/raw/master/csl-citation.json"}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[30]</w:t>
            </w:r>
            <w:r w:rsidRPr="000E1337">
              <w:rPr>
                <w:rFonts w:asciiTheme="majorBidi" w:hAnsiTheme="majorBidi" w:cstheme="majorBidi"/>
                <w:sz w:val="20"/>
                <w:szCs w:val="20"/>
              </w:rPr>
              <w:fldChar w:fldCharType="end"/>
            </w:r>
          </w:p>
        </w:tc>
        <w:tc>
          <w:tcPr>
            <w:tcW w:w="3547" w:type="dxa"/>
            <w:vAlign w:val="center"/>
          </w:tcPr>
          <w:p w14:paraId="08152107" w14:textId="26FC23B6"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50 </w:t>
            </w:r>
            <w:r w:rsidRPr="004229FA">
              <w:rPr>
                <w:rFonts w:asciiTheme="majorBidi" w:hAnsiTheme="majorBidi" w:cstheme="majorBidi"/>
                <w:sz w:val="20"/>
                <w:szCs w:val="20"/>
                <w:lang w:val="pt-BR"/>
              </w:rPr>
              <w:t>µg/h</w:t>
            </w:r>
          </w:p>
        </w:tc>
        <w:tc>
          <w:tcPr>
            <w:tcW w:w="425" w:type="dxa"/>
            <w:tcMar>
              <w:top w:w="15" w:type="dxa"/>
              <w:left w:w="15" w:type="dxa"/>
              <w:bottom w:w="0" w:type="dxa"/>
              <w:right w:w="15" w:type="dxa"/>
            </w:tcMar>
            <w:vAlign w:val="center"/>
          </w:tcPr>
          <w:p w14:paraId="2DA0C689" w14:textId="31F2B3D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w:t>
            </w:r>
          </w:p>
        </w:tc>
        <w:tc>
          <w:tcPr>
            <w:tcW w:w="1276" w:type="dxa"/>
            <w:tcMar>
              <w:top w:w="15" w:type="dxa"/>
              <w:left w:w="15" w:type="dxa"/>
              <w:bottom w:w="0" w:type="dxa"/>
              <w:right w:w="15" w:type="dxa"/>
            </w:tcMar>
            <w:vAlign w:val="center"/>
          </w:tcPr>
          <w:p w14:paraId="0BED4A11" w14:textId="46E92354"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tcMar>
              <w:top w:w="15" w:type="dxa"/>
              <w:left w:w="15" w:type="dxa"/>
              <w:bottom w:w="0" w:type="dxa"/>
              <w:right w:w="15" w:type="dxa"/>
            </w:tcMar>
            <w:vAlign w:val="center"/>
          </w:tcPr>
          <w:p w14:paraId="293F2EEA" w14:textId="78FD358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74 ± 15</w:t>
            </w:r>
          </w:p>
        </w:tc>
        <w:tc>
          <w:tcPr>
            <w:tcW w:w="1134" w:type="dxa"/>
            <w:tcMar>
              <w:top w:w="15" w:type="dxa"/>
              <w:left w:w="15" w:type="dxa"/>
              <w:bottom w:w="0" w:type="dxa"/>
              <w:right w:w="15" w:type="dxa"/>
            </w:tcMar>
            <w:vAlign w:val="center"/>
          </w:tcPr>
          <w:p w14:paraId="77F79E72" w14:textId="24FAE74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112B3D4C" w14:textId="77777777" w:rsidTr="00C5489C">
        <w:trPr>
          <w:trHeight w:val="176"/>
        </w:trPr>
        <w:tc>
          <w:tcPr>
            <w:tcW w:w="2430" w:type="dxa"/>
            <w:tcMar>
              <w:top w:w="15" w:type="dxa"/>
              <w:left w:w="15" w:type="dxa"/>
              <w:bottom w:w="0" w:type="dxa"/>
              <w:right w:w="15" w:type="dxa"/>
            </w:tcMar>
            <w:vAlign w:val="center"/>
          </w:tcPr>
          <w:p w14:paraId="1D7CAEAC"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5345C1F1" w14:textId="4887CFBC"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2.5 </w:t>
            </w:r>
            <w:r w:rsidRPr="004229FA">
              <w:rPr>
                <w:rFonts w:asciiTheme="majorBidi" w:hAnsiTheme="majorBidi" w:cstheme="majorBidi"/>
                <w:sz w:val="20"/>
                <w:szCs w:val="20"/>
                <w:lang w:val="pt-BR"/>
              </w:rPr>
              <w:t>µg/min</w:t>
            </w:r>
            <w:r w:rsidRPr="004229FA">
              <w:rPr>
                <w:rFonts w:asciiTheme="majorBidi" w:hAnsiTheme="majorBidi" w:cstheme="majorBidi"/>
                <w:sz w:val="20"/>
                <w:szCs w:val="20"/>
              </w:rPr>
              <w:t xml:space="preserve"> every 4 h</w:t>
            </w:r>
          </w:p>
        </w:tc>
        <w:tc>
          <w:tcPr>
            <w:tcW w:w="425" w:type="dxa"/>
            <w:tcMar>
              <w:top w:w="15" w:type="dxa"/>
              <w:left w:w="15" w:type="dxa"/>
              <w:bottom w:w="0" w:type="dxa"/>
              <w:right w:w="15" w:type="dxa"/>
            </w:tcMar>
            <w:vAlign w:val="center"/>
          </w:tcPr>
          <w:p w14:paraId="362E2300" w14:textId="1D392E9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9</w:t>
            </w:r>
          </w:p>
        </w:tc>
        <w:tc>
          <w:tcPr>
            <w:tcW w:w="1276" w:type="dxa"/>
            <w:tcMar>
              <w:top w:w="15" w:type="dxa"/>
              <w:left w:w="15" w:type="dxa"/>
              <w:bottom w:w="0" w:type="dxa"/>
              <w:right w:w="15" w:type="dxa"/>
            </w:tcMar>
            <w:vAlign w:val="center"/>
          </w:tcPr>
          <w:p w14:paraId="230198C9" w14:textId="77777777" w:rsidR="00C5489C" w:rsidRPr="000E1337" w:rsidRDefault="00C5489C" w:rsidP="00C5489C">
            <w:pPr>
              <w:spacing w:after="0" w:line="240" w:lineRule="auto"/>
              <w:jc w:val="center"/>
              <w:rPr>
                <w:rFonts w:asciiTheme="majorBidi" w:hAnsiTheme="majorBidi" w:cstheme="majorBidi"/>
                <w:sz w:val="20"/>
                <w:szCs w:val="20"/>
              </w:rPr>
            </w:pPr>
          </w:p>
        </w:tc>
        <w:tc>
          <w:tcPr>
            <w:tcW w:w="1134" w:type="dxa"/>
            <w:tcMar>
              <w:top w:w="15" w:type="dxa"/>
              <w:left w:w="15" w:type="dxa"/>
              <w:bottom w:w="0" w:type="dxa"/>
              <w:right w:w="15" w:type="dxa"/>
            </w:tcMar>
            <w:vAlign w:val="center"/>
          </w:tcPr>
          <w:p w14:paraId="0F4F0C12" w14:textId="77777777" w:rsidR="00C5489C" w:rsidRPr="000E1337" w:rsidRDefault="00C5489C" w:rsidP="00C5489C">
            <w:pPr>
              <w:spacing w:after="0" w:line="240" w:lineRule="auto"/>
              <w:jc w:val="center"/>
              <w:rPr>
                <w:rFonts w:asciiTheme="majorBidi" w:hAnsiTheme="majorBidi" w:cstheme="majorBidi"/>
                <w:sz w:val="20"/>
                <w:szCs w:val="20"/>
              </w:rPr>
            </w:pPr>
          </w:p>
        </w:tc>
        <w:tc>
          <w:tcPr>
            <w:tcW w:w="1134" w:type="dxa"/>
            <w:tcMar>
              <w:top w:w="15" w:type="dxa"/>
              <w:left w:w="15" w:type="dxa"/>
              <w:bottom w:w="0" w:type="dxa"/>
              <w:right w:w="15" w:type="dxa"/>
            </w:tcMar>
            <w:vAlign w:val="center"/>
          </w:tcPr>
          <w:p w14:paraId="668ED917" w14:textId="77777777" w:rsidR="00C5489C" w:rsidRPr="000E1337" w:rsidRDefault="00C5489C" w:rsidP="00C5489C">
            <w:pPr>
              <w:spacing w:after="0" w:line="240" w:lineRule="auto"/>
              <w:jc w:val="center"/>
              <w:rPr>
                <w:rFonts w:asciiTheme="majorBidi" w:hAnsiTheme="majorBidi" w:cstheme="majorBidi"/>
                <w:sz w:val="20"/>
                <w:szCs w:val="20"/>
              </w:rPr>
            </w:pPr>
          </w:p>
        </w:tc>
      </w:tr>
      <w:tr w:rsidR="00C5489C" w:rsidRPr="000E1337" w14:paraId="31BF4055" w14:textId="77777777" w:rsidTr="00C5489C">
        <w:trPr>
          <w:trHeight w:val="176"/>
        </w:trPr>
        <w:tc>
          <w:tcPr>
            <w:tcW w:w="2430" w:type="dxa"/>
            <w:tcMar>
              <w:top w:w="15" w:type="dxa"/>
              <w:left w:w="15" w:type="dxa"/>
              <w:bottom w:w="0" w:type="dxa"/>
              <w:right w:w="15" w:type="dxa"/>
            </w:tcMar>
            <w:vAlign w:val="center"/>
          </w:tcPr>
          <w:p w14:paraId="0CF6583A"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61A373FF" w14:textId="35BC779F"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2.5 </w:t>
            </w:r>
            <w:r w:rsidRPr="004229FA">
              <w:rPr>
                <w:rFonts w:asciiTheme="majorBidi" w:hAnsiTheme="majorBidi" w:cstheme="majorBidi"/>
                <w:sz w:val="20"/>
                <w:szCs w:val="20"/>
                <w:lang w:val="pt-BR"/>
              </w:rPr>
              <w:t>µg/min</w:t>
            </w:r>
            <w:r w:rsidRPr="004229FA">
              <w:rPr>
                <w:rFonts w:asciiTheme="majorBidi" w:hAnsiTheme="majorBidi" w:cstheme="majorBidi"/>
                <w:sz w:val="20"/>
                <w:szCs w:val="20"/>
              </w:rPr>
              <w:t xml:space="preserve"> every h </w:t>
            </w:r>
          </w:p>
        </w:tc>
        <w:tc>
          <w:tcPr>
            <w:tcW w:w="425" w:type="dxa"/>
            <w:tcMar>
              <w:top w:w="15" w:type="dxa"/>
              <w:left w:w="15" w:type="dxa"/>
              <w:bottom w:w="0" w:type="dxa"/>
              <w:right w:w="15" w:type="dxa"/>
            </w:tcMar>
            <w:vAlign w:val="center"/>
          </w:tcPr>
          <w:p w14:paraId="56A5F00D" w14:textId="1A45EDC6"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276" w:type="dxa"/>
            <w:tcMar>
              <w:top w:w="15" w:type="dxa"/>
              <w:left w:w="15" w:type="dxa"/>
              <w:bottom w:w="0" w:type="dxa"/>
              <w:right w:w="15" w:type="dxa"/>
            </w:tcMar>
            <w:vAlign w:val="center"/>
          </w:tcPr>
          <w:p w14:paraId="36F70A93" w14:textId="77777777" w:rsidR="00C5489C" w:rsidRPr="000E1337" w:rsidRDefault="00C5489C" w:rsidP="00C5489C">
            <w:pPr>
              <w:spacing w:after="0" w:line="240" w:lineRule="auto"/>
              <w:jc w:val="center"/>
              <w:rPr>
                <w:rFonts w:asciiTheme="majorBidi" w:hAnsiTheme="majorBidi" w:cstheme="majorBidi"/>
                <w:sz w:val="20"/>
                <w:szCs w:val="20"/>
              </w:rPr>
            </w:pPr>
          </w:p>
        </w:tc>
        <w:tc>
          <w:tcPr>
            <w:tcW w:w="1134" w:type="dxa"/>
            <w:tcMar>
              <w:top w:w="15" w:type="dxa"/>
              <w:left w:w="15" w:type="dxa"/>
              <w:bottom w:w="0" w:type="dxa"/>
              <w:right w:w="15" w:type="dxa"/>
            </w:tcMar>
            <w:vAlign w:val="center"/>
          </w:tcPr>
          <w:p w14:paraId="3E5D79CD" w14:textId="77777777" w:rsidR="00C5489C" w:rsidRPr="000E1337" w:rsidRDefault="00C5489C" w:rsidP="00C5489C">
            <w:pPr>
              <w:spacing w:after="0" w:line="240" w:lineRule="auto"/>
              <w:jc w:val="center"/>
              <w:rPr>
                <w:rFonts w:asciiTheme="majorBidi" w:hAnsiTheme="majorBidi" w:cstheme="majorBidi"/>
                <w:sz w:val="20"/>
                <w:szCs w:val="20"/>
              </w:rPr>
            </w:pPr>
          </w:p>
        </w:tc>
        <w:tc>
          <w:tcPr>
            <w:tcW w:w="1134" w:type="dxa"/>
            <w:tcMar>
              <w:top w:w="15" w:type="dxa"/>
              <w:left w:w="15" w:type="dxa"/>
              <w:bottom w:w="0" w:type="dxa"/>
              <w:right w:w="15" w:type="dxa"/>
            </w:tcMar>
            <w:vAlign w:val="center"/>
          </w:tcPr>
          <w:p w14:paraId="2316837E" w14:textId="77777777" w:rsidR="00C5489C" w:rsidRPr="000E1337" w:rsidRDefault="00C5489C" w:rsidP="00C5489C">
            <w:pPr>
              <w:spacing w:after="0" w:line="240" w:lineRule="auto"/>
              <w:jc w:val="center"/>
              <w:rPr>
                <w:rFonts w:asciiTheme="majorBidi" w:hAnsiTheme="majorBidi" w:cstheme="majorBidi"/>
                <w:sz w:val="20"/>
                <w:szCs w:val="20"/>
              </w:rPr>
            </w:pPr>
          </w:p>
        </w:tc>
      </w:tr>
      <w:tr w:rsidR="00C5489C" w:rsidRPr="000E1337" w14:paraId="61AF961F" w14:textId="77777777" w:rsidTr="00C5489C">
        <w:trPr>
          <w:trHeight w:val="176"/>
        </w:trPr>
        <w:tc>
          <w:tcPr>
            <w:tcW w:w="2430" w:type="dxa"/>
            <w:tcMar>
              <w:top w:w="15" w:type="dxa"/>
              <w:left w:w="15" w:type="dxa"/>
              <w:bottom w:w="0" w:type="dxa"/>
              <w:right w:w="15" w:type="dxa"/>
            </w:tcMar>
            <w:vAlign w:val="center"/>
          </w:tcPr>
          <w:p w14:paraId="1113C244" w14:textId="0A851C2A"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Lim et al., 2012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{"citationID":"a15lt8elfs1","properties":{"formattedCitation":"[31]","plainCitation":"[31]","noteIndex":0},"citationItems":[{"id":75,"uris":["http://zotero.org/users/local/J5Cy8xXX/items/MUI7V7GB"],"itemData":{"id":75,"type":"article-journal","abstract":"BACKGROUND: The sublingual administration of opioids is a simple and noninvasive method that provides rapid analgesia. In this phase I study we investigated the pharmacokinetics and bioavailability of a fentanyl wafer in healthy volunteers. The principal study objective was to investigate the pharmacokinetic profile of a new sublingual fentanyl wafer and to establish its absolute bioavailability.\nMETHODS: Twenty-four healthy volunteers, mean age 23 years, were randomly assigned to receive the equivalent of fentanyl 100 μg by both the sublingual and IV routes. Blood samples were collected in sterile polypropylene tubes for 24 hours after each fentanyl administration. The pharmacokinetic parameters were determined by model-independent pharmacokinetic analyses of the plasma fentanyl concentration-time profiles.\nRESULTS: The mean absolute bioavailability of the sublingual fentanyl wafer was 78.9% (90% confidence interval [CI] 51.1% to 121.7%). The first detectable plasma fentanyl concentration time ranged from 2 to 10 minutes in all volunteers, and the mean (±SD) time to peak plasma concentration at 0.91 (±0.73) hours after administration.\nCONCLUSION: Sublingual administration of fentanyl as a wafer product resulted in rapidly detectable plasma fentanyl concentrations. The absolute bioavailability of 78.9% indicated a high systemic availability of fentanyl and suggests that further development of this wafer is justified.","container-title":"Anesthesia and Analgesia","DOI":"10.1213/ANE.0b013e3182575cbf","ISSN":"1526-7598","issue":"3","journalAbbreviation":"Anesth Analg","language":"eng","note":"PMID: 22584544","page":"554-559","source":"PubMed","title":"A phase I pharmacokinetic and bioavailability study of a sublingual fentanyl wafer in healthy volunteers","volume":"115","author":[{"family":"Lim","given":"Chin Beng Stephen"},{"family":"Schug","given":"Stephan A."},{"family":"Sunderland","given":"Vivian Bruce"},{"family":"Paech","given":"Michael James"},{"family":"Liu","given":"Yandi"}],"issued":{"date-parts":[["2012",9]]}}}],"schema":"https://github.com/citation-style-language/schema/raw/master/csl-citation.json"}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[31]</w:t>
            </w:r>
            <w:r w:rsidRPr="000E1337">
              <w:rPr>
                <w:rFonts w:asciiTheme="majorBidi" w:hAnsiTheme="majorBidi" w:cstheme="majorBidi"/>
                <w:sz w:val="20"/>
                <w:szCs w:val="20"/>
              </w:rPr>
              <w:fldChar w:fldCharType="end"/>
            </w:r>
          </w:p>
        </w:tc>
        <w:tc>
          <w:tcPr>
            <w:tcW w:w="3547" w:type="dxa"/>
            <w:vAlign w:val="center"/>
          </w:tcPr>
          <w:p w14:paraId="3E1065D2" w14:textId="59526A3E"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pt-BR"/>
              </w:rPr>
              <w:t>100 µg/kg</w:t>
            </w:r>
          </w:p>
        </w:tc>
        <w:tc>
          <w:tcPr>
            <w:tcW w:w="425" w:type="dxa"/>
            <w:tcMar>
              <w:top w:w="15" w:type="dxa"/>
              <w:left w:w="15" w:type="dxa"/>
              <w:bottom w:w="0" w:type="dxa"/>
              <w:right w:w="15" w:type="dxa"/>
            </w:tcMar>
            <w:vAlign w:val="center"/>
          </w:tcPr>
          <w:p w14:paraId="161F0F32" w14:textId="49C2B499"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22</w:t>
            </w:r>
          </w:p>
        </w:tc>
        <w:tc>
          <w:tcPr>
            <w:tcW w:w="1276" w:type="dxa"/>
            <w:tcMar>
              <w:top w:w="15" w:type="dxa"/>
              <w:left w:w="15" w:type="dxa"/>
              <w:bottom w:w="0" w:type="dxa"/>
              <w:right w:w="15" w:type="dxa"/>
            </w:tcMar>
            <w:vAlign w:val="center"/>
          </w:tcPr>
          <w:p w14:paraId="4096A5D7" w14:textId="4D9736E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19–32</w:t>
            </w:r>
          </w:p>
        </w:tc>
        <w:tc>
          <w:tcPr>
            <w:tcW w:w="1134" w:type="dxa"/>
            <w:tcMar>
              <w:top w:w="15" w:type="dxa"/>
              <w:left w:w="15" w:type="dxa"/>
              <w:bottom w:w="0" w:type="dxa"/>
              <w:right w:w="15" w:type="dxa"/>
            </w:tcMar>
            <w:vAlign w:val="center"/>
          </w:tcPr>
          <w:p w14:paraId="6E64F72E" w14:textId="3D216C1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76 ± 25</w:t>
            </w:r>
          </w:p>
        </w:tc>
        <w:tc>
          <w:tcPr>
            <w:tcW w:w="1134" w:type="dxa"/>
            <w:tcMar>
              <w:top w:w="15" w:type="dxa"/>
              <w:left w:w="15" w:type="dxa"/>
              <w:bottom w:w="0" w:type="dxa"/>
              <w:right w:w="15" w:type="dxa"/>
            </w:tcMar>
            <w:vAlign w:val="center"/>
          </w:tcPr>
          <w:p w14:paraId="326B83E4" w14:textId="463DA9F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1459BB20" w14:textId="77777777" w:rsidTr="00C5489C">
        <w:trPr>
          <w:trHeight w:val="176"/>
        </w:trPr>
        <w:tc>
          <w:tcPr>
            <w:tcW w:w="2430" w:type="dxa"/>
            <w:tcMar>
              <w:top w:w="15" w:type="dxa"/>
              <w:left w:w="15" w:type="dxa"/>
              <w:bottom w:w="0" w:type="dxa"/>
              <w:right w:w="15" w:type="dxa"/>
            </w:tcMar>
            <w:vAlign w:val="center"/>
          </w:tcPr>
          <w:p w14:paraId="281F0A5D" w14:textId="2C19EFAE"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Guinard et al.,1995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{"citationID":"9Dh5nJIL","properties":{"formattedCitation":"[32]","plainCitation":"[32]","noteIndex":0},"citationItems":[{"id":"NzKo45Wf/izTZn1yB","uris":["http://zotero.org/users/6482121/items/YWE5DWYH"],"itemData":{"id":662,"type":"article-journal","abstract":"BACKGROUND: The benefit of epidural versus intravenous fentanyl administration for postoperative analgesia is controversial. In the current study, the intraoperative effects of epidural versus intravenous fentanyl administration were compared during major surgery.\nMETHODS: Twenty elective patients scheduled for thoracoabdominal esophagectomy under general anesthesia with propofol infusion were randomly allocated to receive either intravenous or epidural boluses of 50-100 micrograms fentanyl in a double-blind fashion to maintain hemodynamic stability. Plasma cortisol and fentanyl, as well as total urinary catecholamines, were obtained at the end of the operations.\nRESULTS: Hemodynamic variations were similar except that patients receiving epidural fentanyl had a lower incidence of heart rate reduction (&gt; 20% reduction from baseline, P &lt; 0.05). There were no differences in mean intraoperative fentanyl (1,115 +/- 430 and 1,010 +/- 377 micrograms, epidural and intravenous, respectively) or propofol (2,281 +/- 645 and 2,452 +/- 1,169 mg) doses, number of boluses of fentanyl (nine in both groups), plasma fentanyl concentration (1.13 +/- 0.4 and 1.02 +/- 0.46 ng/ml), or number of anesthesiologists correctly identifying the site of fentanyl administration. Similarly, there were no differences in plasma glucose (8.9 +/- 1.8 and 9.3 +/- 1.8 mM) and cortisol (696 +/- 446 and 846 +/- 257 mM), or urinary epinephrine (12 +/- 3.7 and 13.1 +/- 9.2, micrograms/sample) and norepinephrine (42.7 +/- 26.7 and 39.1 +/- 27.6, micrograms/sample).\nCONCLUSIONS: There appears to be no clinical advantage to epidural administration of fentanyl over intravenous administration during anesthesia for major surgery.","container-title":"Anesthesiology","DOI":"10.1097/00000542-199502000-00008","ISSN":"0003-3022","issue":"2","journalAbbreviation":"Anesthesiology","language":"eng","note":"PMID: 7856896","page":"377-382","source":"PubMed","title":"Epidural and intravenous fentanyl produce equivalent effects during major surgery","volume":"82","author":[{"family":"Guinard","given":"J. P."},{"family":"Carpenter","given":"R. L."},{"family":"Chassot","given":"P. G."}],"issued":{"date-parts":[["1995",2]]}}}],"schema":"https://github.com/citation-style-language/schema/raw/master/csl-citation.json"}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[32]</w:t>
            </w:r>
            <w:r w:rsidRPr="000E1337">
              <w:rPr>
                <w:rFonts w:asciiTheme="majorBidi" w:hAnsiTheme="majorBidi" w:cstheme="majorBidi"/>
                <w:sz w:val="20"/>
                <w:szCs w:val="20"/>
              </w:rPr>
              <w:fldChar w:fldCharType="end"/>
            </w:r>
          </w:p>
        </w:tc>
        <w:tc>
          <w:tcPr>
            <w:tcW w:w="3547" w:type="dxa"/>
            <w:vAlign w:val="center"/>
          </w:tcPr>
          <w:p w14:paraId="49DD693A" w14:textId="04D7ED54"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1,010 ± 377 </w:t>
            </w:r>
            <w:r w:rsidRPr="004229FA">
              <w:rPr>
                <w:rFonts w:asciiTheme="majorBidi" w:hAnsiTheme="majorBidi" w:cstheme="majorBidi"/>
                <w:sz w:val="20"/>
                <w:szCs w:val="20"/>
                <w:lang w:val="pt-BR"/>
              </w:rPr>
              <w:t>µg</w:t>
            </w:r>
          </w:p>
        </w:tc>
        <w:tc>
          <w:tcPr>
            <w:tcW w:w="425" w:type="dxa"/>
            <w:tcMar>
              <w:top w:w="15" w:type="dxa"/>
              <w:left w:w="15" w:type="dxa"/>
              <w:bottom w:w="0" w:type="dxa"/>
              <w:right w:w="15" w:type="dxa"/>
            </w:tcMar>
            <w:vAlign w:val="center"/>
          </w:tcPr>
          <w:p w14:paraId="4E1AAEEF" w14:textId="6AB874AC"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70B5F0FF" w14:textId="62850AD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54</w:t>
            </w:r>
            <w:r w:rsidR="00351EE1">
              <w:rPr>
                <w:rFonts w:asciiTheme="majorBidi" w:hAnsiTheme="majorBidi" w:cstheme="majorBidi"/>
                <w:sz w:val="20"/>
                <w:szCs w:val="20"/>
              </w:rPr>
              <w:t>–</w:t>
            </w:r>
            <w:r w:rsidRPr="000E1337">
              <w:rPr>
                <w:rFonts w:asciiTheme="majorBidi" w:hAnsiTheme="majorBidi" w:cstheme="majorBidi"/>
                <w:sz w:val="20"/>
                <w:szCs w:val="20"/>
              </w:rPr>
              <w:t>74</w:t>
            </w:r>
          </w:p>
        </w:tc>
        <w:tc>
          <w:tcPr>
            <w:tcW w:w="1134" w:type="dxa"/>
            <w:tcMar>
              <w:top w:w="15" w:type="dxa"/>
              <w:left w:w="15" w:type="dxa"/>
              <w:bottom w:w="0" w:type="dxa"/>
              <w:right w:w="15" w:type="dxa"/>
            </w:tcMar>
            <w:vAlign w:val="center"/>
          </w:tcPr>
          <w:p w14:paraId="0EEB4F3D" w14:textId="0352C0D8"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54</w:t>
            </w:r>
            <w:r w:rsidR="004229FA" w:rsidRPr="000E1337">
              <w:rPr>
                <w:rFonts w:asciiTheme="majorBidi" w:hAnsiTheme="majorBidi" w:cstheme="majorBidi"/>
                <w:sz w:val="20"/>
                <w:szCs w:val="20"/>
              </w:rPr>
              <w:t>–</w:t>
            </w:r>
            <w:r w:rsidRPr="000E1337">
              <w:rPr>
                <w:rFonts w:asciiTheme="majorBidi" w:hAnsiTheme="majorBidi" w:cstheme="majorBidi"/>
                <w:sz w:val="20"/>
                <w:szCs w:val="20"/>
              </w:rPr>
              <w:t>76</w:t>
            </w:r>
          </w:p>
        </w:tc>
        <w:tc>
          <w:tcPr>
            <w:tcW w:w="1134" w:type="dxa"/>
            <w:tcMar>
              <w:top w:w="15" w:type="dxa"/>
              <w:left w:w="15" w:type="dxa"/>
              <w:bottom w:w="0" w:type="dxa"/>
              <w:right w:w="15" w:type="dxa"/>
            </w:tcMar>
            <w:vAlign w:val="center"/>
          </w:tcPr>
          <w:p w14:paraId="744BA083" w14:textId="209AEDE6"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157</w:t>
            </w:r>
            <w:r w:rsidR="004229FA" w:rsidRPr="000E1337">
              <w:rPr>
                <w:rFonts w:asciiTheme="majorBidi" w:hAnsiTheme="majorBidi" w:cstheme="majorBidi"/>
                <w:sz w:val="20"/>
                <w:szCs w:val="20"/>
              </w:rPr>
              <w:t>–</w:t>
            </w:r>
            <w:r w:rsidRPr="000E1337">
              <w:rPr>
                <w:rFonts w:asciiTheme="majorBidi" w:hAnsiTheme="majorBidi" w:cstheme="majorBidi"/>
                <w:sz w:val="20"/>
                <w:szCs w:val="20"/>
              </w:rPr>
              <w:t>171</w:t>
            </w:r>
          </w:p>
        </w:tc>
      </w:tr>
      <w:tr w:rsidR="00C5489C" w:rsidRPr="000E1337" w14:paraId="7E511A35" w14:textId="77777777" w:rsidTr="00C5489C">
        <w:trPr>
          <w:trHeight w:val="176"/>
        </w:trPr>
        <w:tc>
          <w:tcPr>
            <w:tcW w:w="2430" w:type="dxa"/>
            <w:tcMar>
              <w:top w:w="15" w:type="dxa"/>
              <w:left w:w="15" w:type="dxa"/>
              <w:bottom w:w="0" w:type="dxa"/>
              <w:right w:w="15" w:type="dxa"/>
            </w:tcMar>
            <w:vAlign w:val="center"/>
          </w:tcPr>
          <w:p w14:paraId="516C8614" w14:textId="23B0D2D0"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Vasisht et al., 2010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{"citationID":"a6lhmr08fd","properties":{"formattedCitation":"[33]","plainCitation":"[33]","noteIndex":0},"citationItems":[{"id":79,"uris":["http://zotero.org/users/local/J5Cy8xXX/items/SU83YWAC"],"itemData":{"id":79,"type":"article-journal","abstract":"Objective\nThe objectives of the study were to determine the absolute bioavailability of fentanyl from fentanyl buccal soluble film, estimate the percentage of a fentanyl dose absorbed through the buccal mucosa, and compare the bioavailability of equivalent doses administered either as single or multiple dose units.\n\nDesign\nOpen-label, randomized, four-period, Latin-square crossover pharmacokinetic study.\n\nSetting\nInpatient phase 1 unit.\n\nPatients\nTwelve healthy volunteers.\n\nInterventions\nInjectable fentanyl citrate (200 µg) administered by intravenous infusion, injectable fentanyl citrate (800 µg/16 mL) administered orally, and fentanyl buccal soluble film (800 µg) administered as a single film and as four separate 200 µg films simultaneously.\n\nOutcome Measures\nPlasma concentrations after fentanyl dosing; pharmacokinetic parameters.\n\nResults\nThe two buccal film treatments were bioequivalent and both had an absolute bioavailability of 71%. The percentage of an administered dose absorbed through the buccal mucosa was calculated to be 51%.\n\nConclusions\nFentanyl buccal soluble film effectively delivers a high percentage of the administered fentanyl dose and nearly identical plasma profiles are obtained when equivalent doses are delivered by single or multiple dosage units.","container-title":"Pain Medicine (Malden, Mass.)","DOI":"10.1111/j.1526-4637.2010.00875.x","ISSN":"1526-2375","issue":"7","journalAbbreviation":"Pain Med","note":"PMID: 20492573\nPMCID: PMC2955962","page":"1017-1023","source":"PubMed Central","title":"Single-Dose Pharmacokinetics of Fentanyl Buccal Soluble Film","volume":"11","author":[{"family":"Vasisht","given":"Niraj"},{"family":"Gever","given":"Larry N"},{"family":"Tagarro","given":"Ignacio"},{"family":"Finn","given":"Andrew L"}],"issued":{"date-parts":[["2010",7]]}}}],"schema":"https://github.com/citation-style-language/schema/raw/master/csl-citation.json"}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[33]</w:t>
            </w:r>
            <w:r w:rsidRPr="000E1337">
              <w:rPr>
                <w:rFonts w:asciiTheme="majorBidi" w:hAnsiTheme="majorBidi" w:cstheme="majorBidi"/>
                <w:sz w:val="20"/>
                <w:szCs w:val="20"/>
              </w:rPr>
              <w:fldChar w:fldCharType="end"/>
            </w:r>
          </w:p>
        </w:tc>
        <w:tc>
          <w:tcPr>
            <w:tcW w:w="3547" w:type="dxa"/>
            <w:vAlign w:val="center"/>
          </w:tcPr>
          <w:p w14:paraId="4B6083BC" w14:textId="17ABD014"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pt-BR"/>
              </w:rPr>
              <w:t>200 µg</w:t>
            </w:r>
          </w:p>
        </w:tc>
        <w:tc>
          <w:tcPr>
            <w:tcW w:w="425" w:type="dxa"/>
            <w:tcMar>
              <w:top w:w="15" w:type="dxa"/>
              <w:left w:w="15" w:type="dxa"/>
              <w:bottom w:w="0" w:type="dxa"/>
              <w:right w:w="15" w:type="dxa"/>
            </w:tcMar>
            <w:vAlign w:val="center"/>
          </w:tcPr>
          <w:p w14:paraId="50AA8E4D" w14:textId="355A4E8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276" w:type="dxa"/>
            <w:tcMar>
              <w:top w:w="15" w:type="dxa"/>
              <w:left w:w="15" w:type="dxa"/>
              <w:bottom w:w="0" w:type="dxa"/>
              <w:right w:w="15" w:type="dxa"/>
            </w:tcMar>
            <w:vAlign w:val="center"/>
          </w:tcPr>
          <w:p w14:paraId="3A21F2FE" w14:textId="64829064"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19–37</w:t>
            </w:r>
          </w:p>
        </w:tc>
        <w:tc>
          <w:tcPr>
            <w:tcW w:w="1134" w:type="dxa"/>
            <w:tcMar>
              <w:top w:w="15" w:type="dxa"/>
              <w:left w:w="15" w:type="dxa"/>
              <w:bottom w:w="0" w:type="dxa"/>
              <w:right w:w="15" w:type="dxa"/>
            </w:tcMar>
            <w:vAlign w:val="center"/>
          </w:tcPr>
          <w:p w14:paraId="4373DE01" w14:textId="7FEA2AE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63–84</w:t>
            </w:r>
          </w:p>
        </w:tc>
        <w:tc>
          <w:tcPr>
            <w:tcW w:w="1134" w:type="dxa"/>
            <w:tcMar>
              <w:top w:w="15" w:type="dxa"/>
              <w:left w:w="15" w:type="dxa"/>
              <w:bottom w:w="0" w:type="dxa"/>
              <w:right w:w="15" w:type="dxa"/>
            </w:tcMar>
            <w:vAlign w:val="center"/>
          </w:tcPr>
          <w:p w14:paraId="4F189D23" w14:textId="557C292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154–180</w:t>
            </w:r>
          </w:p>
        </w:tc>
      </w:tr>
      <w:tr w:rsidR="00C5489C" w:rsidRPr="000E1337" w14:paraId="67D5B7BA" w14:textId="77777777" w:rsidTr="00C5489C">
        <w:trPr>
          <w:trHeight w:val="176"/>
        </w:trPr>
        <w:tc>
          <w:tcPr>
            <w:tcW w:w="2430" w:type="dxa"/>
            <w:tcMar>
              <w:top w:w="15" w:type="dxa"/>
              <w:left w:w="15" w:type="dxa"/>
              <w:bottom w:w="0" w:type="dxa"/>
              <w:right w:w="15" w:type="dxa"/>
            </w:tcMar>
            <w:vAlign w:val="center"/>
          </w:tcPr>
          <w:p w14:paraId="3C7AAEFD" w14:textId="2866ABDB"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Rauck et al., 2017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{"citationID":"afbhuc82qp","properties":{"formattedCitation":"[34]","plainCitation":"[34]","noteIndex":0},"citationItems":[{"id":82,"uris":["http://zotero.org/users/local/J5Cy8xXX/items/TFGT66HK"],"itemData":{"id":82,"type":"article-journal","abstract":"Background and Objectives\nFentanyl sublingual spray may be a viable alternative to intravenous (IV) opioids for the treatment of acute pain. As patients with acute pain may include those who have limited prior exposure to opioids, this phase 1, open-label, randomized, multiple ascending-dose study was conducted to assess the pharmacokinetics, pharmacodynamics, safety, and tolerability of multiple doses of fentanyl sublingual spray in opioid-naïve participants. This article primarily reports the pharmacokinetics results.\n\nMethods\nStudy drugs were administered in four dosing cohorts: every 0.5, 1, 2, or 4 h for a maximum of three doses per cohort. Eight fasted individuals per cohort were randomized to either fentanyl sublingual spray (100, 200, or 400 µg) or fentanyl citrate IV 50 µg (6:2 ratio). Blood samples were collected pre-dose through 24 h post first dose.\n\nResults\nA total of 98 healthy adults were enrolled and 96 completed the study. Mean plasma fentanyl concentrations increased with increasing doses of fentanyl sublingual spray administered every 0.5–4 h. With multiple doses, systemic exposure increased relative to the first dose; shorter dosing intervals resulted in higher concentrations. Analysis of dose proportionality suggested that systemic exposure increased in a linear but slightly greater than dose-proportional manner. Accumulation between the first and last doses of fentanyl sublingual spray was more pronounced with shorter dosing intervals.\n\nConclusion\nDose-dependent fentanyl pharmacokinetics following multiple doses of fentanyl sublingual spray were well characterized in an opioid-naïve population.\n\nClinicalTrials.gov identifier\nNCT02641340.\n\nElectronic supplementary material\nThe online version of this article (10.1007/s40261-018-0658-9) contains supplementary material, which is available to authorized users.","container-title":"Clinical Drug Investigation","DOI":"10.1007/s40261-018-0658-9","ISSN":"1173-2563","issue":"8","journalAbbreviation":"Clin Drug Investig","note":"PMID: 29909433\nPMCID: PMC6061414","page":"715-726","source":"PubMed Central","title":"Pharmacokinetics of Fentanyl Sublingual Spray in Opioid-Naïve Participants: Results of a Phase 1, Multiple Ascending Dose Study","title-short":"Pharmacokinetics of Fentanyl Sublingual Spray in Opioid-Naïve Participants","volume":"38","author":[{"family":"Rauck","given":"Richard L."},{"family":"Oh","given":"D. Alexander"},{"family":"Singla","given":"Neil"},{"family":"Koch","given":"Christian"},{"family":"Parikh","given":"Neha"},{"family":"Nalamachu","given":"Srinivas"},{"family":"Yu","given":"Jin"},{"family":"James","given":"Steven"}],"issued":{"date-parts":[["2018"]]}}}],"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[34]</w:t>
            </w:r>
            <w:r w:rsidRPr="000E1337">
              <w:rPr>
                <w:rFonts w:asciiTheme="majorBidi" w:hAnsiTheme="majorBidi" w:cstheme="majorBidi"/>
                <w:sz w:val="20"/>
                <w:szCs w:val="20"/>
              </w:rPr>
              <w:fldChar w:fldCharType="end"/>
            </w:r>
          </w:p>
        </w:tc>
        <w:tc>
          <w:tcPr>
            <w:tcW w:w="3547" w:type="dxa"/>
            <w:vAlign w:val="center"/>
          </w:tcPr>
          <w:p w14:paraId="4997F028" w14:textId="0CCD2F17"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nn-NO"/>
              </w:rPr>
              <w:t xml:space="preserve">50 </w:t>
            </w:r>
            <w:r w:rsidRPr="004229FA">
              <w:rPr>
                <w:rFonts w:asciiTheme="majorBidi" w:hAnsiTheme="majorBidi" w:cstheme="majorBidi"/>
                <w:sz w:val="20"/>
                <w:szCs w:val="20"/>
                <w:lang w:val="pt-BR"/>
              </w:rPr>
              <w:t>µ</w:t>
            </w:r>
            <w:r w:rsidRPr="004229FA">
              <w:rPr>
                <w:rFonts w:asciiTheme="majorBidi" w:hAnsiTheme="majorBidi" w:cstheme="majorBidi"/>
                <w:sz w:val="20"/>
                <w:szCs w:val="20"/>
                <w:lang w:val="nn-NO"/>
              </w:rPr>
              <w:t>g</w:t>
            </w:r>
          </w:p>
        </w:tc>
        <w:tc>
          <w:tcPr>
            <w:tcW w:w="425" w:type="dxa"/>
            <w:tcMar>
              <w:top w:w="15" w:type="dxa"/>
              <w:left w:w="15" w:type="dxa"/>
              <w:bottom w:w="0" w:type="dxa"/>
              <w:right w:w="15" w:type="dxa"/>
            </w:tcMar>
            <w:vAlign w:val="center"/>
          </w:tcPr>
          <w:p w14:paraId="64E51CF9" w14:textId="36942EF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w:t>
            </w:r>
          </w:p>
        </w:tc>
        <w:tc>
          <w:tcPr>
            <w:tcW w:w="1276" w:type="dxa"/>
            <w:tcMar>
              <w:top w:w="15" w:type="dxa"/>
              <w:left w:w="15" w:type="dxa"/>
              <w:bottom w:w="0" w:type="dxa"/>
              <w:right w:w="15" w:type="dxa"/>
            </w:tcMar>
            <w:vAlign w:val="center"/>
          </w:tcPr>
          <w:p w14:paraId="4495729E" w14:textId="6DD9A61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33 ± 8</w:t>
            </w:r>
          </w:p>
        </w:tc>
        <w:tc>
          <w:tcPr>
            <w:tcW w:w="1134" w:type="dxa"/>
            <w:tcMar>
              <w:top w:w="15" w:type="dxa"/>
              <w:left w:w="15" w:type="dxa"/>
              <w:bottom w:w="0" w:type="dxa"/>
              <w:right w:w="15" w:type="dxa"/>
            </w:tcMar>
            <w:vAlign w:val="center"/>
          </w:tcPr>
          <w:p w14:paraId="345B0266" w14:textId="51C6D38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76.9 ± 13</w:t>
            </w:r>
          </w:p>
        </w:tc>
        <w:tc>
          <w:tcPr>
            <w:tcW w:w="1134" w:type="dxa"/>
            <w:tcMar>
              <w:top w:w="15" w:type="dxa"/>
              <w:left w:w="15" w:type="dxa"/>
              <w:bottom w:w="0" w:type="dxa"/>
              <w:right w:w="15" w:type="dxa"/>
            </w:tcMar>
            <w:vAlign w:val="center"/>
          </w:tcPr>
          <w:p w14:paraId="2277C538" w14:textId="53AE651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54E9711E" w14:textId="77777777" w:rsidTr="00C5489C">
        <w:trPr>
          <w:trHeight w:val="176"/>
        </w:trPr>
        <w:tc>
          <w:tcPr>
            <w:tcW w:w="2430" w:type="dxa"/>
            <w:tcMar>
              <w:top w:w="15" w:type="dxa"/>
              <w:left w:w="15" w:type="dxa"/>
              <w:bottom w:w="0" w:type="dxa"/>
              <w:right w:w="15" w:type="dxa"/>
            </w:tcMar>
            <w:vAlign w:val="center"/>
          </w:tcPr>
          <w:p w14:paraId="1CB9D533" w14:textId="296E2C95"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Hung et al., 1995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{"citationID":"2kODW28N","properties":{"formattedCitation":"[35]","plainCitation":"[35]","noteIndex":0},"citationItems":[{"id":"NzKo45Wf/n24H29bH","uris":["http://zotero.org/users/6482121/items/MBBNBXDA"],"itemData":{"id":3763,"type":"article-journal","abstract":"BACKGROUND: Pulmonary administration of fentanyl solution can provide satisfactory but brief postoperative pain relief. Liposomes are microscopic phospholipid vesicles that can entrap drug molecules. Liposomal delivery of fentanyl has the potential to control the uptake of fentanyl by the lungs and thus provide sustained drug release. To demonstrate that inhalation of a mixture of free and liposome-encapsulated fentanyl can provide a rapid increase and sustained plasma fentanyl concentrations (CfenS), this study determined the pharmacokinetic profiles after the inhalation of free and liposome-encapsulated fentanyl in healthy volunteers.\nMETHODS: After obtaining institutional approval and informed consent, ten healthy volunteers (five men, five women) were studied. Each subject received 200 micrograms intravenous fentanyl and inhaled 2,000 micrograms of free (50%) and liposome-encapsulated fentanyl (50%) on separate occasions. Frequent venous blood samples were collected, and CfenS were determined by radioimmunoassay. The pharmacokinetics and absorption characteristics of the inhaled mixture of free and liposome-encapsulated fentanyl were determined using moment analysis and least-squares numeric deconvolution.\nRESULTS: The mean (+/- SD) volume of distribution at steady-state and clearance of fentanyl after the intravenous administration were comparable to previous studies: 435 +/- 1821 and 0.584 +/- 0.209 l.min-1, respectively. The mean (+/- SD) peak Cfen was significantly greater for the intravenous administration compared to the aerosol mixture of free and liposome-encapsulated fentanyl (4.67 +/- 1.87 vs. 1.15 +/- 0.36 ng.ml-1). However, CfenS at 8 and 24 h after aerosol administration were greater compared to intravenous (0.25 +/- 0.14 and 0.12 +/- 0.16 ng.ml-1 for aerosol versus 0.16 +/- 0.10 and 0.05 +/- 0.06 ng.ml-1 for intravenous). The peak absorption rate, time to peak absorption, and bioavailability after inhalation were 7.02 (+/- 2.34) micrograms.min, -1(16) (+/- 8.0) min, and 0.12 (+/- 0.11), respectively.\nCONCLUSIONS: The data suggest that this analgesic method offers a simple and noninvasive route of administration with a rapid increase of Cfen and a prolonged therapeutic fentanyl concentration. Future studies are required to determine the optimal liposome composition that would produce a sustained stable Cfen within analgesic therapeutic concentrations.","container-title":"Anesthesiology","DOI":"10.1097/00000542-199508000-00007","ISSN":"0003-3022","issue":"2","journalAbbreviation":"Anesthesiology","language":"eng","note":"PMID: 7631949","page":"277-284","source":"PubMed","title":"Pharmacokinetics of inhaled liposome-encapsulated fentanyl","volume":"83","author":[{"family":"Hung","given":"O. R."},{"family":"Whynot","given":"S. C."},{"family":"Varvel","given":"J. R."},{"family":"Shafer","given":"S. L."},{"family":"Mezei","given":"M."}],"issued":{"date-parts":[["1995",8]]}}}],"schema":"https://github.com/citation-style-language/schema/raw/master/csl-citation.json"}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[35]</w:t>
            </w:r>
            <w:r w:rsidRPr="000E1337">
              <w:rPr>
                <w:rFonts w:asciiTheme="majorBidi" w:hAnsiTheme="majorBidi" w:cstheme="majorBidi"/>
                <w:sz w:val="20"/>
                <w:szCs w:val="20"/>
              </w:rPr>
              <w:fldChar w:fldCharType="end"/>
            </w:r>
          </w:p>
        </w:tc>
        <w:tc>
          <w:tcPr>
            <w:tcW w:w="3547" w:type="dxa"/>
            <w:vAlign w:val="center"/>
          </w:tcPr>
          <w:p w14:paraId="2034B8DB" w14:textId="0DA2E871"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200 </w:t>
            </w:r>
            <w:r w:rsidRPr="004229FA">
              <w:rPr>
                <w:rFonts w:asciiTheme="majorBidi" w:hAnsiTheme="majorBidi" w:cstheme="majorBidi"/>
                <w:sz w:val="20"/>
                <w:szCs w:val="20"/>
                <w:lang w:val="pt-BR"/>
              </w:rPr>
              <w:t>µg</w:t>
            </w:r>
          </w:p>
        </w:tc>
        <w:tc>
          <w:tcPr>
            <w:tcW w:w="425" w:type="dxa"/>
            <w:tcMar>
              <w:top w:w="15" w:type="dxa"/>
              <w:left w:w="15" w:type="dxa"/>
              <w:bottom w:w="0" w:type="dxa"/>
              <w:right w:w="15" w:type="dxa"/>
            </w:tcMar>
            <w:vAlign w:val="center"/>
          </w:tcPr>
          <w:p w14:paraId="21A46D4C" w14:textId="3DBBE0DC"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3C01B7E1" w14:textId="6BAE3F6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31± 3</w:t>
            </w:r>
          </w:p>
        </w:tc>
        <w:tc>
          <w:tcPr>
            <w:tcW w:w="1134" w:type="dxa"/>
            <w:tcMar>
              <w:top w:w="15" w:type="dxa"/>
              <w:left w:w="15" w:type="dxa"/>
              <w:bottom w:w="0" w:type="dxa"/>
              <w:right w:w="15" w:type="dxa"/>
            </w:tcMar>
            <w:vAlign w:val="center"/>
          </w:tcPr>
          <w:p w14:paraId="28F80037" w14:textId="16C2FFF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70.3 ± 10</w:t>
            </w:r>
          </w:p>
        </w:tc>
        <w:tc>
          <w:tcPr>
            <w:tcW w:w="1134" w:type="dxa"/>
            <w:tcMar>
              <w:top w:w="15" w:type="dxa"/>
              <w:left w:w="15" w:type="dxa"/>
              <w:bottom w:w="0" w:type="dxa"/>
              <w:right w:w="15" w:type="dxa"/>
            </w:tcMar>
            <w:vAlign w:val="center"/>
          </w:tcPr>
          <w:p w14:paraId="4D2D10C7" w14:textId="51E2DE14"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169.8 7</w:t>
            </w:r>
          </w:p>
        </w:tc>
      </w:tr>
      <w:tr w:rsidR="00C5489C" w:rsidRPr="000E1337" w14:paraId="47658E80" w14:textId="77777777" w:rsidTr="00C5489C">
        <w:trPr>
          <w:trHeight w:val="176"/>
        </w:trPr>
        <w:tc>
          <w:tcPr>
            <w:tcW w:w="2430" w:type="dxa"/>
            <w:vMerge w:val="restart"/>
            <w:tcMar>
              <w:top w:w="15" w:type="dxa"/>
              <w:left w:w="15" w:type="dxa"/>
              <w:bottom w:w="0" w:type="dxa"/>
              <w:right w:w="15" w:type="dxa"/>
            </w:tcMar>
            <w:vAlign w:val="center"/>
          </w:tcPr>
          <w:p w14:paraId="1AA56909" w14:textId="2D7C6680"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Nimmo et al.,1985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{"citationID":"a1vbtntadsh","properties":{"formattedCitation":"[36]","plainCitation":"[36]","noteIndex":0},"citationItems":[{"id":85,"uris":["http://zotero.org/users/local/J5Cy8xXX/items/DJB2IISU"],"itemData":{"id":85,"type":"article-journal","abstract":"Fentanyl by continuous i.v. infusion (1.5 microgram kg-1 min-1 or 0.5 microgram kg-1 min-1) was compared with placebo infusion as an analgesic regimen for 24 h after hysterectomy. The drugs were infused using a new disposable device which required no external power source. All patients were allowed morphine i.m. if they experienced pain. Patients in the higher dose fentanyl group demanded less i.m. morphine and had better pain relief after operation, without important respiratory depression.","container-title":"British Journal of Anaesthesia","DOI":"10.1093/bja/57.3.250","ISSN":"0007-0912","issue":"3","journalAbbreviation":"Br J Anaesth","language":"eng","note":"PMID: 3978007","page":"250-254","source":"PubMed","title":"Fentanyl by constant rate i.v. infusion for postoperative analgesia","volume":"57","author":[{"family":"Nimmo","given":"W. S."},{"family":"Todd","given":"J. G."}],"issued":{"date-parts":[["1985",3]]}}}],"schema":"https://github.com/citation-style-language/schema/raw/master/csl-citation.json"}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[36]</w:t>
            </w:r>
            <w:r w:rsidRPr="000E1337">
              <w:rPr>
                <w:rFonts w:asciiTheme="majorBidi" w:hAnsiTheme="majorBidi" w:cstheme="majorBidi"/>
                <w:sz w:val="20"/>
                <w:szCs w:val="20"/>
              </w:rPr>
              <w:fldChar w:fldCharType="end"/>
            </w:r>
          </w:p>
        </w:tc>
        <w:tc>
          <w:tcPr>
            <w:tcW w:w="3547" w:type="dxa"/>
            <w:vAlign w:val="center"/>
          </w:tcPr>
          <w:p w14:paraId="56BB4FA4" w14:textId="37C9810E"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100 </w:t>
            </w:r>
            <w:r w:rsidRPr="004229FA">
              <w:rPr>
                <w:rFonts w:asciiTheme="majorBidi" w:hAnsiTheme="majorBidi" w:cstheme="majorBidi"/>
                <w:sz w:val="20"/>
                <w:szCs w:val="20"/>
                <w:lang w:val="pt-BR"/>
              </w:rPr>
              <w:t xml:space="preserve">µg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w:t>
            </w:r>
            <w:r w:rsidRPr="004229FA">
              <w:rPr>
                <w:rFonts w:asciiTheme="majorBidi" w:hAnsiTheme="majorBidi" w:cstheme="majorBidi"/>
                <w:sz w:val="20"/>
                <w:szCs w:val="20"/>
                <w:lang w:val="pt-BR"/>
              </w:rPr>
              <w:t xml:space="preserve">1.5 µg/kg/h </w:t>
            </w:r>
          </w:p>
        </w:tc>
        <w:tc>
          <w:tcPr>
            <w:tcW w:w="425" w:type="dxa"/>
            <w:tcMar>
              <w:top w:w="15" w:type="dxa"/>
              <w:left w:w="15" w:type="dxa"/>
              <w:bottom w:w="0" w:type="dxa"/>
              <w:right w:w="15" w:type="dxa"/>
            </w:tcMar>
            <w:vAlign w:val="center"/>
          </w:tcPr>
          <w:p w14:paraId="6AEB2A75" w14:textId="4868CB8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9</w:t>
            </w:r>
          </w:p>
        </w:tc>
        <w:tc>
          <w:tcPr>
            <w:tcW w:w="1276" w:type="dxa"/>
            <w:tcMar>
              <w:top w:w="15" w:type="dxa"/>
              <w:left w:w="15" w:type="dxa"/>
              <w:bottom w:w="0" w:type="dxa"/>
              <w:right w:w="15" w:type="dxa"/>
            </w:tcMar>
            <w:vAlign w:val="center"/>
          </w:tcPr>
          <w:p w14:paraId="5AC8A936" w14:textId="7FE35646"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29</w:t>
            </w:r>
            <w:r w:rsidR="004229FA" w:rsidRPr="000E1337">
              <w:rPr>
                <w:rFonts w:asciiTheme="majorBidi" w:hAnsiTheme="majorBidi" w:cstheme="majorBidi"/>
                <w:sz w:val="20"/>
                <w:szCs w:val="20"/>
              </w:rPr>
              <w:t>–</w:t>
            </w:r>
            <w:r w:rsidRPr="000E1337">
              <w:rPr>
                <w:rFonts w:asciiTheme="majorBidi" w:hAnsiTheme="majorBidi" w:cstheme="majorBidi"/>
                <w:sz w:val="20"/>
                <w:szCs w:val="20"/>
              </w:rPr>
              <w:t>43</w:t>
            </w:r>
          </w:p>
        </w:tc>
        <w:tc>
          <w:tcPr>
            <w:tcW w:w="1134" w:type="dxa"/>
            <w:tcMar>
              <w:top w:w="15" w:type="dxa"/>
              <w:left w:w="15" w:type="dxa"/>
              <w:bottom w:w="0" w:type="dxa"/>
              <w:right w:w="15" w:type="dxa"/>
            </w:tcMar>
            <w:vAlign w:val="center"/>
          </w:tcPr>
          <w:p w14:paraId="5F106D3C" w14:textId="4B7CFE1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52</w:t>
            </w:r>
            <w:r w:rsidR="004229FA" w:rsidRPr="000E1337">
              <w:rPr>
                <w:rFonts w:asciiTheme="majorBidi" w:hAnsiTheme="majorBidi" w:cstheme="majorBidi"/>
                <w:sz w:val="20"/>
                <w:szCs w:val="20"/>
              </w:rPr>
              <w:t>–</w:t>
            </w:r>
            <w:r w:rsidRPr="000E1337">
              <w:rPr>
                <w:rFonts w:asciiTheme="majorBidi" w:hAnsiTheme="majorBidi" w:cstheme="majorBidi"/>
                <w:sz w:val="20"/>
                <w:szCs w:val="20"/>
              </w:rPr>
              <w:t>63</w:t>
            </w:r>
          </w:p>
        </w:tc>
        <w:tc>
          <w:tcPr>
            <w:tcW w:w="1134" w:type="dxa"/>
            <w:tcMar>
              <w:top w:w="15" w:type="dxa"/>
              <w:left w:w="15" w:type="dxa"/>
              <w:bottom w:w="0" w:type="dxa"/>
              <w:right w:w="15" w:type="dxa"/>
            </w:tcMar>
            <w:vAlign w:val="center"/>
          </w:tcPr>
          <w:p w14:paraId="143B70DD" w14:textId="5C6AF76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7D37D453" w14:textId="77777777" w:rsidTr="00C5489C">
        <w:trPr>
          <w:trHeight w:val="176"/>
        </w:trPr>
        <w:tc>
          <w:tcPr>
            <w:tcW w:w="2430" w:type="dxa"/>
            <w:vMerge/>
            <w:tcMar>
              <w:top w:w="15" w:type="dxa"/>
              <w:left w:w="15" w:type="dxa"/>
              <w:bottom w:w="0" w:type="dxa"/>
              <w:right w:w="15" w:type="dxa"/>
            </w:tcMar>
            <w:vAlign w:val="center"/>
          </w:tcPr>
          <w:p w14:paraId="1E189187"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2F93B765" w14:textId="0EA28729"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100 </w:t>
            </w:r>
            <w:r w:rsidRPr="004229FA">
              <w:rPr>
                <w:rFonts w:asciiTheme="majorBidi" w:hAnsiTheme="majorBidi" w:cstheme="majorBidi"/>
                <w:sz w:val="20"/>
                <w:szCs w:val="20"/>
                <w:lang w:val="pt-BR"/>
              </w:rPr>
              <w:t xml:space="preserve">µg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w:t>
            </w:r>
            <w:r w:rsidRPr="004229FA">
              <w:rPr>
                <w:rFonts w:asciiTheme="majorBidi" w:hAnsiTheme="majorBidi" w:cstheme="majorBidi"/>
                <w:sz w:val="20"/>
                <w:szCs w:val="20"/>
                <w:lang w:val="pt-BR"/>
              </w:rPr>
              <w:t xml:space="preserve">0.5 µg/kg/h </w:t>
            </w:r>
          </w:p>
        </w:tc>
        <w:tc>
          <w:tcPr>
            <w:tcW w:w="425" w:type="dxa"/>
            <w:tcMar>
              <w:top w:w="15" w:type="dxa"/>
              <w:left w:w="15" w:type="dxa"/>
              <w:bottom w:w="0" w:type="dxa"/>
              <w:right w:w="15" w:type="dxa"/>
            </w:tcMar>
            <w:vAlign w:val="center"/>
          </w:tcPr>
          <w:p w14:paraId="50EF5EE1" w14:textId="0C27E7B8"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8</w:t>
            </w:r>
          </w:p>
        </w:tc>
        <w:tc>
          <w:tcPr>
            <w:tcW w:w="1276" w:type="dxa"/>
            <w:tcMar>
              <w:top w:w="15" w:type="dxa"/>
              <w:left w:w="15" w:type="dxa"/>
              <w:bottom w:w="0" w:type="dxa"/>
              <w:right w:w="15" w:type="dxa"/>
            </w:tcMar>
            <w:vAlign w:val="center"/>
          </w:tcPr>
          <w:p w14:paraId="0A17B8A1" w14:textId="57BC98A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27</w:t>
            </w:r>
            <w:r w:rsidR="004229FA" w:rsidRPr="000E1337">
              <w:rPr>
                <w:rFonts w:asciiTheme="majorBidi" w:hAnsiTheme="majorBidi" w:cstheme="majorBidi"/>
                <w:sz w:val="20"/>
                <w:szCs w:val="20"/>
              </w:rPr>
              <w:t>–</w:t>
            </w:r>
            <w:r w:rsidRPr="000E1337">
              <w:rPr>
                <w:rFonts w:asciiTheme="majorBidi" w:hAnsiTheme="majorBidi" w:cstheme="majorBidi"/>
                <w:sz w:val="20"/>
                <w:szCs w:val="20"/>
              </w:rPr>
              <w:t>47</w:t>
            </w:r>
          </w:p>
        </w:tc>
        <w:tc>
          <w:tcPr>
            <w:tcW w:w="1134" w:type="dxa"/>
            <w:tcMar>
              <w:top w:w="15" w:type="dxa"/>
              <w:left w:w="15" w:type="dxa"/>
              <w:bottom w:w="0" w:type="dxa"/>
              <w:right w:w="15" w:type="dxa"/>
            </w:tcMar>
            <w:vAlign w:val="center"/>
          </w:tcPr>
          <w:p w14:paraId="4B12B8A0" w14:textId="4744E932"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49</w:t>
            </w:r>
            <w:r w:rsidR="004229FA" w:rsidRPr="000E1337">
              <w:rPr>
                <w:rFonts w:asciiTheme="majorBidi" w:hAnsiTheme="majorBidi" w:cstheme="majorBidi"/>
                <w:sz w:val="20"/>
                <w:szCs w:val="20"/>
              </w:rPr>
              <w:t>–</w:t>
            </w:r>
            <w:r w:rsidRPr="000E1337">
              <w:rPr>
                <w:rFonts w:asciiTheme="majorBidi" w:hAnsiTheme="majorBidi" w:cstheme="majorBidi"/>
                <w:sz w:val="20"/>
                <w:szCs w:val="20"/>
              </w:rPr>
              <w:t>69</w:t>
            </w:r>
          </w:p>
        </w:tc>
        <w:tc>
          <w:tcPr>
            <w:tcW w:w="1134" w:type="dxa"/>
            <w:tcMar>
              <w:top w:w="15" w:type="dxa"/>
              <w:left w:w="15" w:type="dxa"/>
              <w:bottom w:w="0" w:type="dxa"/>
              <w:right w:w="15" w:type="dxa"/>
            </w:tcMar>
            <w:vAlign w:val="center"/>
          </w:tcPr>
          <w:p w14:paraId="2841BE8C" w14:textId="572E104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2AFA9D6D" w14:textId="77777777" w:rsidTr="00C5489C">
        <w:trPr>
          <w:trHeight w:val="176"/>
        </w:trPr>
        <w:tc>
          <w:tcPr>
            <w:tcW w:w="2430" w:type="dxa"/>
            <w:tcMar>
              <w:top w:w="15" w:type="dxa"/>
              <w:left w:w="15" w:type="dxa"/>
              <w:bottom w:w="0" w:type="dxa"/>
              <w:right w:w="15" w:type="dxa"/>
            </w:tcMar>
            <w:vAlign w:val="center"/>
          </w:tcPr>
          <w:p w14:paraId="61D981B1" w14:textId="590DA4F1"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Parikh et al., 2013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{"citationID":"a1ml4dro7fk","properties":{"formattedCitation":"[37]","plainCitation":"[37]","noteIndex":0},"citationItems":[{"id":88,"uris":["http://zotero.org/users/local/J5Cy8xXX/items/4M3A7FK3"],"itemData":{"id":88,"type":"article-journal","abstract":"BACKGROUND: Fentanyl sublingual spray (FSS) is a novel fentanyl formulation recently developed for the treatment of breakthrough cancer pain, which is characterized by a fast onset and a relatively short duration.\nOBJECTIVE: To compare rate of absorption and systemic bioavailability between FSS and oral transmucosal fentanyl citrate (OTFC) in healthy volunteers.\nMETHODS: This randomized 3-way crossover study involved 29 healthy volunteers (25 men and 4 women; mean age, 35 years) who received single doses of FSS (400 μg), OTFC (400 μg), and intravenous fentanyl citrate (100 μg) separated by washout periods of ≥7 days. Oral naltrexone was given to minimize potential adverse effects of fentanyl. Plasma fentanyl concentrations were measured for 36 hours after each dose for the calculation of pharmacokinetic parameters.\nRESULTS: Mean Cmax values of fentanyl were higher with FSS versus OTFC (0.81 ng/mL vs 0.61 ng/mL) and were attained more quickly; the median Tmax was 1.5 hours with FSS and 2.0 hours with OTFC (P &lt; 0.05). Furthermore, potentially effective fentanyl concentrations were achieved more quickly with FSS than with OTFC. Five and 10 minutes after administration, mean plasma concentrations were 19.0% and 53.7% of Cmax with FSS, respectively, compared with levels below the lower limit of assay quantification and 6.1%, respectively, with OTFC. Plasma concentrations of fentanyl at 10 minutes with FSS were equivalent to those with OTFC at 60 minutes. The Cmax and AUCs were approximately 33% to 36% greater with FSS than with OTFC, and the 90% CIs of the geometric mean ratios for each parameter fell outside the bioequivalence range of 80% to 125%. Systemic bioavailability was also greater with FSS than with OTFC (approximately 76% vs 51%). All 3 fentanyl treatments were well tolerated. All reported adverse events were mild and consistent with those previously reported in healthy volunteers receiving transmucosal fentanyl with naltrexone, and none occurred in &gt;2 participants during any treatment period.\nCONCLUSIONS: Absorption of fentanyl in this study was faster and bioavailability was greater with FSS than with OTFC. The pharmacokinetic profile of the sublingual spray closely matches the duration of onset to pain intensity in a breakthrough cancer pain episode. These findings suggest that FSS is appropriate for the treatment of breakthrough cancer pain. ClinicalTrials.gov identifier: NCT01780233.","container-title":"Clinical Therapeutics","DOI":"10.1016/j.clinthera.2013.02.017","ISSN":"1879-114X","issue":"3","journalAbbreviation":"Clin Ther","language":"eng","note":"PMID: 23497761","page":"236-243","source":"PubMed","title":"Single-dose pharmacokinetics of fentanyl sublingual spray and oral transmucosal fentanyl citrate in healthy volunteers: a randomized crossover study","title-short":"Single-dose pharmacokinetics of fentanyl sublingual spray and oral transmucosal fentanyl citrate in healthy volunteers","volume":"35","author":[{"family":"Parikh","given":"Neha"},{"family":"Goskonda","given":"Venkat"},{"family":"Chavan","given":"Ashok"},{"family":"Dillaha","given":"Larry"}],"issued":{"date-parts":[["2013",3]]}}}],"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[37]</w:t>
            </w:r>
            <w:r w:rsidRPr="000E1337">
              <w:rPr>
                <w:rFonts w:asciiTheme="majorBidi" w:hAnsiTheme="majorBidi" w:cstheme="majorBidi"/>
                <w:sz w:val="20"/>
                <w:szCs w:val="20"/>
              </w:rPr>
              <w:fldChar w:fldCharType="end"/>
            </w:r>
          </w:p>
        </w:tc>
        <w:tc>
          <w:tcPr>
            <w:tcW w:w="3547" w:type="dxa"/>
            <w:vAlign w:val="center"/>
          </w:tcPr>
          <w:p w14:paraId="705141C8" w14:textId="6846CA6A"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100 </w:t>
            </w:r>
            <w:r w:rsidRPr="004229FA">
              <w:rPr>
                <w:rFonts w:asciiTheme="majorBidi" w:hAnsiTheme="majorBidi" w:cstheme="majorBidi"/>
                <w:sz w:val="20"/>
                <w:szCs w:val="20"/>
                <w:lang w:val="pt-BR"/>
              </w:rPr>
              <w:t>µ</w:t>
            </w:r>
            <w:r w:rsidRPr="004229FA">
              <w:rPr>
                <w:rFonts w:asciiTheme="majorBidi" w:hAnsiTheme="majorBidi" w:cstheme="majorBidi"/>
                <w:sz w:val="20"/>
                <w:szCs w:val="20"/>
                <w:lang w:val="nn-NO"/>
              </w:rPr>
              <w:t>g</w:t>
            </w:r>
          </w:p>
        </w:tc>
        <w:tc>
          <w:tcPr>
            <w:tcW w:w="425" w:type="dxa"/>
            <w:tcMar>
              <w:top w:w="15" w:type="dxa"/>
              <w:left w:w="15" w:type="dxa"/>
              <w:bottom w:w="0" w:type="dxa"/>
              <w:right w:w="15" w:type="dxa"/>
            </w:tcMar>
            <w:vAlign w:val="center"/>
          </w:tcPr>
          <w:p w14:paraId="785597BB" w14:textId="7ED045A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21</w:t>
            </w:r>
          </w:p>
        </w:tc>
        <w:tc>
          <w:tcPr>
            <w:tcW w:w="1276" w:type="dxa"/>
            <w:tcMar>
              <w:top w:w="15" w:type="dxa"/>
              <w:left w:w="15" w:type="dxa"/>
              <w:bottom w:w="0" w:type="dxa"/>
              <w:right w:w="15" w:type="dxa"/>
            </w:tcMar>
            <w:vAlign w:val="center"/>
          </w:tcPr>
          <w:p w14:paraId="06AAC75D" w14:textId="4C49EF8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18</w:t>
            </w:r>
            <w:r w:rsidR="004229FA" w:rsidRPr="000E1337">
              <w:rPr>
                <w:rFonts w:asciiTheme="majorBidi" w:hAnsiTheme="majorBidi" w:cstheme="majorBidi"/>
                <w:sz w:val="20"/>
                <w:szCs w:val="20"/>
              </w:rPr>
              <w:t>–</w:t>
            </w:r>
            <w:r w:rsidRPr="000E1337">
              <w:rPr>
                <w:rFonts w:asciiTheme="majorBidi" w:hAnsiTheme="majorBidi" w:cstheme="majorBidi"/>
                <w:sz w:val="20"/>
                <w:szCs w:val="20"/>
              </w:rPr>
              <w:t>55</w:t>
            </w:r>
          </w:p>
        </w:tc>
        <w:tc>
          <w:tcPr>
            <w:tcW w:w="1134" w:type="dxa"/>
            <w:tcMar>
              <w:top w:w="15" w:type="dxa"/>
              <w:left w:w="15" w:type="dxa"/>
              <w:bottom w:w="0" w:type="dxa"/>
              <w:right w:w="15" w:type="dxa"/>
            </w:tcMar>
            <w:vAlign w:val="center"/>
          </w:tcPr>
          <w:p w14:paraId="60AEF9F3" w14:textId="15723E6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&gt; 60</w:t>
            </w:r>
          </w:p>
        </w:tc>
        <w:tc>
          <w:tcPr>
            <w:tcW w:w="1134" w:type="dxa"/>
            <w:tcMar>
              <w:top w:w="15" w:type="dxa"/>
              <w:left w:w="15" w:type="dxa"/>
              <w:bottom w:w="0" w:type="dxa"/>
              <w:right w:w="15" w:type="dxa"/>
            </w:tcMar>
            <w:vAlign w:val="center"/>
          </w:tcPr>
          <w:p w14:paraId="33B7BDD7" w14:textId="5AD1B5A9"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0E0CD0FB" w14:textId="77777777" w:rsidTr="00C5489C">
        <w:trPr>
          <w:trHeight w:val="176"/>
        </w:trPr>
        <w:tc>
          <w:tcPr>
            <w:tcW w:w="2430" w:type="dxa"/>
            <w:vMerge w:val="restart"/>
            <w:tcMar>
              <w:top w:w="15" w:type="dxa"/>
              <w:left w:w="15" w:type="dxa"/>
              <w:bottom w:w="0" w:type="dxa"/>
              <w:right w:w="15" w:type="dxa"/>
            </w:tcMar>
            <w:vAlign w:val="center"/>
          </w:tcPr>
          <w:p w14:paraId="7107D6DC" w14:textId="3E9BED1E"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Stoeckel et al., 1982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{"citationID":"4gf9YShn","properties":{"formattedCitation":"[38]","plainCitation":"[38]","noteIndex":0},"citationItems":[{"id":"NzKo45Wf/EvQzSky8","uris":["http://zotero.org/users/6482121/items/H3W5LWJ2"],"itemData":{"id":3895,"type":"article-journal","container-title":"British Journal of Anaesthesia","DOI":"10.1093/bja/54.10.1087","ISSN":"0007-0912","issue":"10","journalAbbreviation":"Br J Anaesth","language":"eng","note":"PMID: 6812606","page":"1087-1095","source":"PubMed","title":"Plasma fentanyl concentrations and the occurrence of respiratory depression in volunteers","volume":"54","author":[{"family":"Stoeckel","given":"H."},{"family":"Schüttler","given":"J."},{"family":"Magnussen","given":"H."},{"family":"Hengstmann","given":"J. H."}],"issued":{"date-parts":[["1982",10]]}}}],"schema":"https://github.com/citation-style-language/schema/raw/master/csl-citation.json"}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[38]</w:t>
            </w:r>
            <w:r w:rsidRPr="000E1337">
              <w:rPr>
                <w:rFonts w:asciiTheme="majorBidi" w:hAnsiTheme="majorBidi" w:cstheme="majorBidi"/>
                <w:sz w:val="20"/>
                <w:szCs w:val="20"/>
              </w:rPr>
              <w:fldChar w:fldCharType="end"/>
            </w:r>
          </w:p>
        </w:tc>
        <w:tc>
          <w:tcPr>
            <w:tcW w:w="3547" w:type="dxa"/>
            <w:vAlign w:val="center"/>
          </w:tcPr>
          <w:p w14:paraId="54CAA590" w14:textId="50D2EF7C"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500 </w:t>
            </w:r>
            <w:r w:rsidRPr="004229FA">
              <w:rPr>
                <w:rFonts w:asciiTheme="majorBidi" w:hAnsiTheme="majorBidi" w:cstheme="majorBidi"/>
                <w:sz w:val="20"/>
                <w:szCs w:val="20"/>
                <w:lang w:val="pt-BR"/>
              </w:rPr>
              <w:t>µg</w:t>
            </w:r>
            <w:r w:rsidRPr="004229FA">
              <w:rPr>
                <w:rFonts w:asciiTheme="majorBidi" w:hAnsiTheme="majorBidi" w:cstheme="majorBidi"/>
                <w:sz w:val="20"/>
                <w:szCs w:val="20"/>
              </w:rPr>
              <w:t xml:space="preserve"> (without desaturation)</w:t>
            </w:r>
          </w:p>
        </w:tc>
        <w:tc>
          <w:tcPr>
            <w:tcW w:w="425" w:type="dxa"/>
            <w:tcMar>
              <w:top w:w="15" w:type="dxa"/>
              <w:left w:w="15" w:type="dxa"/>
              <w:bottom w:w="0" w:type="dxa"/>
              <w:right w:w="15" w:type="dxa"/>
            </w:tcMar>
            <w:vAlign w:val="center"/>
          </w:tcPr>
          <w:p w14:paraId="7D3E7806" w14:textId="473A376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w:t>
            </w:r>
          </w:p>
        </w:tc>
        <w:tc>
          <w:tcPr>
            <w:tcW w:w="1276" w:type="dxa"/>
            <w:tcMar>
              <w:top w:w="15" w:type="dxa"/>
              <w:left w:w="15" w:type="dxa"/>
              <w:bottom w:w="0" w:type="dxa"/>
              <w:right w:w="15" w:type="dxa"/>
            </w:tcMar>
            <w:vAlign w:val="center"/>
          </w:tcPr>
          <w:p w14:paraId="608F81E7" w14:textId="2985937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19</w:t>
            </w:r>
            <w:r w:rsidR="004229FA" w:rsidRPr="000E1337">
              <w:rPr>
                <w:rFonts w:asciiTheme="majorBidi" w:hAnsiTheme="majorBidi" w:cstheme="majorBidi"/>
                <w:sz w:val="20"/>
                <w:szCs w:val="20"/>
              </w:rPr>
              <w:t>–</w:t>
            </w:r>
            <w:r w:rsidRPr="000E1337">
              <w:rPr>
                <w:rFonts w:asciiTheme="majorBidi" w:hAnsiTheme="majorBidi" w:cstheme="majorBidi"/>
                <w:sz w:val="20"/>
                <w:szCs w:val="20"/>
              </w:rPr>
              <w:t>25</w:t>
            </w:r>
          </w:p>
        </w:tc>
        <w:tc>
          <w:tcPr>
            <w:tcW w:w="1134" w:type="dxa"/>
            <w:tcMar>
              <w:top w:w="15" w:type="dxa"/>
              <w:left w:w="15" w:type="dxa"/>
              <w:bottom w:w="0" w:type="dxa"/>
              <w:right w:w="15" w:type="dxa"/>
            </w:tcMar>
            <w:vAlign w:val="center"/>
          </w:tcPr>
          <w:p w14:paraId="7C776157" w14:textId="060AAE1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57</w:t>
            </w:r>
            <w:r w:rsidR="004229FA" w:rsidRPr="000E1337">
              <w:rPr>
                <w:rFonts w:asciiTheme="majorBidi" w:hAnsiTheme="majorBidi" w:cstheme="majorBidi"/>
                <w:sz w:val="20"/>
                <w:szCs w:val="20"/>
              </w:rPr>
              <w:t>–</w:t>
            </w:r>
            <w:r w:rsidRPr="000E1337">
              <w:rPr>
                <w:rFonts w:asciiTheme="majorBidi" w:hAnsiTheme="majorBidi" w:cstheme="majorBidi"/>
                <w:sz w:val="20"/>
                <w:szCs w:val="20"/>
              </w:rPr>
              <w:t>75</w:t>
            </w:r>
          </w:p>
        </w:tc>
        <w:tc>
          <w:tcPr>
            <w:tcW w:w="1134" w:type="dxa"/>
            <w:tcMar>
              <w:top w:w="15" w:type="dxa"/>
              <w:left w:w="15" w:type="dxa"/>
              <w:bottom w:w="0" w:type="dxa"/>
              <w:right w:w="15" w:type="dxa"/>
            </w:tcMar>
            <w:vAlign w:val="center"/>
          </w:tcPr>
          <w:p w14:paraId="0ADE526D" w14:textId="12142F3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170</w:t>
            </w:r>
            <w:r w:rsidR="004229FA" w:rsidRPr="000E1337">
              <w:rPr>
                <w:rFonts w:asciiTheme="majorBidi" w:hAnsiTheme="majorBidi" w:cstheme="majorBidi"/>
                <w:sz w:val="20"/>
                <w:szCs w:val="20"/>
              </w:rPr>
              <w:t>–</w:t>
            </w:r>
            <w:r w:rsidRPr="000E1337">
              <w:rPr>
                <w:rFonts w:asciiTheme="majorBidi" w:hAnsiTheme="majorBidi" w:cstheme="majorBidi"/>
                <w:sz w:val="20"/>
                <w:szCs w:val="20"/>
              </w:rPr>
              <w:t>184</w:t>
            </w:r>
          </w:p>
        </w:tc>
      </w:tr>
      <w:tr w:rsidR="00C5489C" w:rsidRPr="000E1337" w14:paraId="6C64898A" w14:textId="77777777" w:rsidTr="00C5489C">
        <w:trPr>
          <w:trHeight w:val="176"/>
        </w:trPr>
        <w:tc>
          <w:tcPr>
            <w:tcW w:w="2430" w:type="dxa"/>
            <w:vMerge/>
            <w:tcMar>
              <w:top w:w="15" w:type="dxa"/>
              <w:left w:w="15" w:type="dxa"/>
              <w:bottom w:w="0" w:type="dxa"/>
              <w:right w:w="15" w:type="dxa"/>
            </w:tcMar>
            <w:vAlign w:val="center"/>
          </w:tcPr>
          <w:p w14:paraId="2FC910C5"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4F952FDB" w14:textId="0D50A65E"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500 </w:t>
            </w:r>
            <w:r w:rsidRPr="004229FA">
              <w:rPr>
                <w:rFonts w:asciiTheme="majorBidi" w:hAnsiTheme="majorBidi" w:cstheme="majorBidi"/>
                <w:sz w:val="20"/>
                <w:szCs w:val="20"/>
                <w:lang w:val="pt-BR"/>
              </w:rPr>
              <w:t>µg</w:t>
            </w:r>
            <w:r w:rsidRPr="004229FA">
              <w:rPr>
                <w:rFonts w:asciiTheme="majorBidi" w:hAnsiTheme="majorBidi" w:cstheme="majorBidi"/>
                <w:sz w:val="20"/>
                <w:szCs w:val="20"/>
              </w:rPr>
              <w:t xml:space="preserve"> (with desaturation.)</w:t>
            </w:r>
          </w:p>
        </w:tc>
        <w:tc>
          <w:tcPr>
            <w:tcW w:w="425" w:type="dxa"/>
            <w:tcMar>
              <w:top w:w="15" w:type="dxa"/>
              <w:left w:w="15" w:type="dxa"/>
              <w:bottom w:w="0" w:type="dxa"/>
              <w:right w:w="15" w:type="dxa"/>
            </w:tcMar>
            <w:vAlign w:val="center"/>
          </w:tcPr>
          <w:p w14:paraId="2959B9AE" w14:textId="6A0B114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w:t>
            </w:r>
          </w:p>
        </w:tc>
        <w:tc>
          <w:tcPr>
            <w:tcW w:w="1276" w:type="dxa"/>
            <w:tcMar>
              <w:top w:w="15" w:type="dxa"/>
              <w:left w:w="15" w:type="dxa"/>
              <w:bottom w:w="0" w:type="dxa"/>
              <w:right w:w="15" w:type="dxa"/>
            </w:tcMar>
            <w:vAlign w:val="center"/>
          </w:tcPr>
          <w:p w14:paraId="723508DF" w14:textId="75FE7C48"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23</w:t>
            </w:r>
            <w:r w:rsidR="004229FA" w:rsidRPr="000E1337">
              <w:rPr>
                <w:rFonts w:asciiTheme="majorBidi" w:hAnsiTheme="majorBidi" w:cstheme="majorBidi"/>
                <w:sz w:val="20"/>
                <w:szCs w:val="20"/>
              </w:rPr>
              <w:t>–</w:t>
            </w:r>
            <w:r w:rsidRPr="000E1337">
              <w:rPr>
                <w:rFonts w:asciiTheme="majorBidi" w:hAnsiTheme="majorBidi" w:cstheme="majorBidi"/>
                <w:sz w:val="20"/>
                <w:szCs w:val="20"/>
              </w:rPr>
              <w:t>35.6</w:t>
            </w:r>
          </w:p>
        </w:tc>
        <w:tc>
          <w:tcPr>
            <w:tcW w:w="1134" w:type="dxa"/>
            <w:tcMar>
              <w:top w:w="15" w:type="dxa"/>
              <w:left w:w="15" w:type="dxa"/>
              <w:bottom w:w="0" w:type="dxa"/>
              <w:right w:w="15" w:type="dxa"/>
            </w:tcMar>
            <w:vAlign w:val="center"/>
          </w:tcPr>
          <w:p w14:paraId="77A249D8" w14:textId="5E8DECA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52</w:t>
            </w:r>
            <w:r w:rsidR="004229FA" w:rsidRPr="000E1337">
              <w:rPr>
                <w:rFonts w:asciiTheme="majorBidi" w:hAnsiTheme="majorBidi" w:cstheme="majorBidi"/>
                <w:sz w:val="20"/>
                <w:szCs w:val="20"/>
              </w:rPr>
              <w:t>–</w:t>
            </w:r>
            <w:r w:rsidRPr="000E1337">
              <w:rPr>
                <w:rFonts w:asciiTheme="majorBidi" w:hAnsiTheme="majorBidi" w:cstheme="majorBidi"/>
                <w:sz w:val="20"/>
                <w:szCs w:val="20"/>
              </w:rPr>
              <w:t>63</w:t>
            </w:r>
          </w:p>
        </w:tc>
        <w:tc>
          <w:tcPr>
            <w:tcW w:w="1134" w:type="dxa"/>
            <w:tcMar>
              <w:top w:w="15" w:type="dxa"/>
              <w:left w:w="15" w:type="dxa"/>
              <w:bottom w:w="0" w:type="dxa"/>
              <w:right w:w="15" w:type="dxa"/>
            </w:tcMar>
            <w:vAlign w:val="center"/>
          </w:tcPr>
          <w:p w14:paraId="27F7E6F8" w14:textId="4A36916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158</w:t>
            </w:r>
            <w:r w:rsidR="004229FA" w:rsidRPr="000E1337">
              <w:rPr>
                <w:rFonts w:asciiTheme="majorBidi" w:hAnsiTheme="majorBidi" w:cstheme="majorBidi"/>
                <w:sz w:val="20"/>
                <w:szCs w:val="20"/>
              </w:rPr>
              <w:t>–</w:t>
            </w:r>
            <w:r w:rsidRPr="000E1337">
              <w:rPr>
                <w:rFonts w:asciiTheme="majorBidi" w:hAnsiTheme="majorBidi" w:cstheme="majorBidi"/>
                <w:sz w:val="20"/>
                <w:szCs w:val="20"/>
              </w:rPr>
              <w:t>176</w:t>
            </w:r>
          </w:p>
        </w:tc>
      </w:tr>
      <w:tr w:rsidR="00C5489C" w:rsidRPr="000E1337" w14:paraId="464265D8" w14:textId="77777777" w:rsidTr="00C5489C">
        <w:trPr>
          <w:trHeight w:val="176"/>
        </w:trPr>
        <w:tc>
          <w:tcPr>
            <w:tcW w:w="2430" w:type="dxa"/>
            <w:vMerge w:val="restart"/>
            <w:tcMar>
              <w:top w:w="15" w:type="dxa"/>
              <w:left w:w="15" w:type="dxa"/>
              <w:bottom w:w="0" w:type="dxa"/>
              <w:right w:w="15" w:type="dxa"/>
            </w:tcMar>
            <w:vAlign w:val="center"/>
          </w:tcPr>
          <w:p w14:paraId="67FD5DFA" w14:textId="38E1544F"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Shibutani et al., 2005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{"citationID":"ap5bg4nngo","properties":{"formattedCitation":"[39]","plainCitation":"[39]","noteIndex":0},"citationItems":[{"id":91,"uris":["http://zotero.org/users/local/J5Cy8xXX/items/FTI5NN62"],"itemData":{"id":91,"type":"article-journal","abstract":"Background\nWe previously proposed dosing weights for fentanyl, termed ‘pharmacokinetic mass’, that span the total body weight (TBW) range from 40 to 210 kg. In this study, we examined the relationships among fentanyl doses needed to achieve postoperative analgesia, corresponding plasma fentanyl concentrations, and pharmacokinetic mass in lean and obese patients undergoing abdominal surgery.\nMethods\nA total of 69 patients were studied, with TBW ranging from 48 to181 kg. Fentanyl infusion was used during surgery. After surgery, fentanyl infusion rates were titrated to achieve analgesia without significant respiratory depression. Plasma fentanyl concentrations were measured when an apparent steady analgesic state was obtained. Comparisons were made for dosing requirements and effective plasma concentrations for 37 lean patients (body mass index &lt;30, TBW &lt;85 kg) and 33 obese patients (body mass index &gt;30, TBW ≥85 kg).\nResults\nThe average fentanyl dose (μg h−1) required to achieve and maintain analgesia over the 4 h postoperative period had a non-linear relationship to TBW; in comparison, fentanyl dose had a strong linear relationship to pharmacokinetic mass: dose (μg h−1)=1.22×pharmacokinetic mass−7.5; r = 0.741, P&lt;0.001. Based on results from our earlier study, the corresponding values of TBW and pharmacokinetic mass are: 52 kg – 52 kg; 70 kg – 65 kg; 100 kg – 83 kg; 120 kg – 93 kg; 140 kg – 99 kg; 160 kg – 104 kg; 180 kg – 107 kg; 200 kg – 109 kg. In the group comparisons, there was no statistically significant difference in the postoperative fentanyl dose per unit of pharmacokinetic mass between lean and obese patients. The plasma concentration of fentanyl required for analgesia was approximately 1.5 ng ml−1, and was similar in the two groups.\nConclusion\nThe relationship between dose and pharmacokinetic mass, compared with that of dose vs TBW, may provide confidence for the use of pharmacokinetic mass as a dosing approximation for fentanyl. Fentanyl dose based on TBW may cause overdosing in obese patients.","container-title":"British Journal of Anaesthesia","DOI":"10.1093/bja/aei195","ISSN":"0007-0912","issue":"3","journalAbbreviation":"British Journal of Anaesthesia","page":"377-383","source":"ScienceDirect","title":"Pharmacokinetic mass of fentanyl for postoperative analgesia in lean and obese patients†","volume":"95","author":[{"family":"Shibutani","given":"K"},{"family":"Inchiosa","given":"M. A."},{"family":"Sawada","given":"K"},{"family":"Bairamian","given":"M"}],"issued":{"date-parts":[["2005",9,1]]}}}],"schema":"https://github.com/citation-style-language/schema/raw/master/csl-citation.json"}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[39]</w:t>
            </w:r>
            <w:r w:rsidRPr="000E1337">
              <w:rPr>
                <w:rFonts w:asciiTheme="majorBidi" w:hAnsiTheme="majorBidi" w:cstheme="majorBidi"/>
                <w:sz w:val="20"/>
                <w:szCs w:val="20"/>
              </w:rPr>
              <w:fldChar w:fldCharType="end"/>
            </w:r>
          </w:p>
        </w:tc>
        <w:tc>
          <w:tcPr>
            <w:tcW w:w="3547" w:type="dxa"/>
            <w:vAlign w:val="center"/>
          </w:tcPr>
          <w:p w14:paraId="7E0B40EB" w14:textId="53C8FD07"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1-2 </w:t>
            </w:r>
            <w:r w:rsidRPr="004229FA">
              <w:rPr>
                <w:rFonts w:asciiTheme="majorBidi" w:hAnsiTheme="majorBidi" w:cstheme="majorBidi"/>
                <w:sz w:val="20"/>
                <w:szCs w:val="20"/>
                <w:lang w:val="pt-BR"/>
              </w:rPr>
              <w:t>µg</w:t>
            </w:r>
            <w:r w:rsidRPr="004229FA">
              <w:rPr>
                <w:rFonts w:asciiTheme="majorBidi" w:hAnsiTheme="majorBidi" w:cstheme="majorBidi"/>
                <w:sz w:val="20"/>
                <w:szCs w:val="20"/>
              </w:rPr>
              <w:t xml:space="preserve">/kg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w:t>
            </w:r>
            <w:r w:rsidRPr="004229FA">
              <w:rPr>
                <w:rFonts w:asciiTheme="majorBidi" w:hAnsiTheme="majorBidi" w:cstheme="majorBidi"/>
                <w:sz w:val="20"/>
                <w:szCs w:val="20"/>
              </w:rPr>
              <w:t xml:space="preserve">960 ± 230 </w:t>
            </w:r>
            <w:r w:rsidRPr="004229FA">
              <w:rPr>
                <w:rFonts w:asciiTheme="majorBidi" w:hAnsiTheme="majorBidi" w:cstheme="majorBidi"/>
                <w:sz w:val="20"/>
                <w:szCs w:val="20"/>
                <w:lang w:val="pt-BR"/>
              </w:rPr>
              <w:t>µ</w:t>
            </w:r>
            <w:r w:rsidRPr="004229FA">
              <w:rPr>
                <w:rFonts w:asciiTheme="majorBidi" w:hAnsiTheme="majorBidi" w:cstheme="majorBidi"/>
                <w:sz w:val="20"/>
                <w:szCs w:val="20"/>
              </w:rPr>
              <w:t xml:space="preserve">g </w:t>
            </w:r>
          </w:p>
        </w:tc>
        <w:tc>
          <w:tcPr>
            <w:tcW w:w="425" w:type="dxa"/>
            <w:tcMar>
              <w:top w:w="15" w:type="dxa"/>
              <w:left w:w="15" w:type="dxa"/>
              <w:bottom w:w="0" w:type="dxa"/>
              <w:right w:w="15" w:type="dxa"/>
            </w:tcMar>
            <w:vAlign w:val="center"/>
          </w:tcPr>
          <w:p w14:paraId="10C6764E" w14:textId="609FD38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36</w:t>
            </w:r>
          </w:p>
        </w:tc>
        <w:tc>
          <w:tcPr>
            <w:tcW w:w="1276" w:type="dxa"/>
            <w:tcMar>
              <w:top w:w="15" w:type="dxa"/>
              <w:left w:w="15" w:type="dxa"/>
              <w:bottom w:w="0" w:type="dxa"/>
              <w:right w:w="15" w:type="dxa"/>
            </w:tcMar>
            <w:vAlign w:val="center"/>
          </w:tcPr>
          <w:p w14:paraId="28B5366D" w14:textId="6E81CD28"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30–86</w:t>
            </w:r>
          </w:p>
        </w:tc>
        <w:tc>
          <w:tcPr>
            <w:tcW w:w="1134" w:type="dxa"/>
            <w:tcMar>
              <w:top w:w="15" w:type="dxa"/>
              <w:left w:w="15" w:type="dxa"/>
              <w:bottom w:w="0" w:type="dxa"/>
              <w:right w:w="15" w:type="dxa"/>
            </w:tcMar>
            <w:vAlign w:val="center"/>
          </w:tcPr>
          <w:p w14:paraId="4AF5ADE4" w14:textId="7100493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61</w:t>
            </w:r>
            <w:r w:rsidR="004229FA" w:rsidRPr="000E1337">
              <w:rPr>
                <w:rFonts w:asciiTheme="majorBidi" w:hAnsiTheme="majorBidi" w:cstheme="majorBidi"/>
                <w:sz w:val="20"/>
                <w:szCs w:val="20"/>
              </w:rPr>
              <w:t>–</w:t>
            </w:r>
            <w:r w:rsidRPr="000E1337">
              <w:rPr>
                <w:rFonts w:asciiTheme="majorBidi" w:hAnsiTheme="majorBidi" w:cstheme="majorBidi"/>
                <w:sz w:val="20"/>
                <w:szCs w:val="20"/>
              </w:rPr>
              <w:t>79</w:t>
            </w:r>
          </w:p>
        </w:tc>
        <w:tc>
          <w:tcPr>
            <w:tcW w:w="1134" w:type="dxa"/>
            <w:tcMar>
              <w:top w:w="15" w:type="dxa"/>
              <w:left w:w="15" w:type="dxa"/>
              <w:bottom w:w="0" w:type="dxa"/>
              <w:right w:w="15" w:type="dxa"/>
            </w:tcMar>
            <w:vAlign w:val="center"/>
          </w:tcPr>
          <w:p w14:paraId="4E1CE9CE" w14:textId="78E6840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157</w:t>
            </w:r>
            <w:r w:rsidR="004229FA" w:rsidRPr="000E1337">
              <w:rPr>
                <w:rFonts w:asciiTheme="majorBidi" w:hAnsiTheme="majorBidi" w:cstheme="majorBidi"/>
                <w:sz w:val="20"/>
                <w:szCs w:val="20"/>
              </w:rPr>
              <w:t>–</w:t>
            </w:r>
            <w:r w:rsidRPr="000E1337">
              <w:rPr>
                <w:rFonts w:asciiTheme="majorBidi" w:hAnsiTheme="majorBidi" w:cstheme="majorBidi"/>
                <w:sz w:val="20"/>
                <w:szCs w:val="20"/>
              </w:rPr>
              <w:t>175</w:t>
            </w:r>
          </w:p>
        </w:tc>
      </w:tr>
      <w:tr w:rsidR="00C5489C" w:rsidRPr="000E1337" w14:paraId="26B88EF5" w14:textId="77777777" w:rsidTr="00C5489C">
        <w:trPr>
          <w:trHeight w:val="176"/>
        </w:trPr>
        <w:tc>
          <w:tcPr>
            <w:tcW w:w="2430" w:type="dxa"/>
            <w:vMerge/>
            <w:tcMar>
              <w:top w:w="15" w:type="dxa"/>
              <w:left w:w="15" w:type="dxa"/>
              <w:bottom w:w="0" w:type="dxa"/>
              <w:right w:w="15" w:type="dxa"/>
            </w:tcMar>
            <w:vAlign w:val="center"/>
          </w:tcPr>
          <w:p w14:paraId="7C49D96B"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3826E8CA" w14:textId="090B5101"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1-2 </w:t>
            </w:r>
            <w:r w:rsidRPr="004229FA">
              <w:rPr>
                <w:rFonts w:asciiTheme="majorBidi" w:hAnsiTheme="majorBidi" w:cstheme="majorBidi"/>
                <w:sz w:val="20"/>
                <w:szCs w:val="20"/>
                <w:lang w:val="pt-BR"/>
              </w:rPr>
              <w:t>µg</w:t>
            </w:r>
            <w:r w:rsidRPr="004229FA">
              <w:rPr>
                <w:rFonts w:asciiTheme="majorBidi" w:hAnsiTheme="majorBidi" w:cstheme="majorBidi"/>
                <w:sz w:val="20"/>
                <w:szCs w:val="20"/>
              </w:rPr>
              <w:t xml:space="preserve">/kg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w:t>
            </w:r>
            <w:r w:rsidRPr="004229FA">
              <w:rPr>
                <w:rFonts w:asciiTheme="majorBidi" w:hAnsiTheme="majorBidi" w:cstheme="majorBidi"/>
                <w:sz w:val="20"/>
                <w:szCs w:val="20"/>
              </w:rPr>
              <w:t xml:space="preserve">1,270 ± 260 </w:t>
            </w:r>
            <w:r w:rsidRPr="004229FA">
              <w:rPr>
                <w:rFonts w:asciiTheme="majorBidi" w:hAnsiTheme="majorBidi" w:cstheme="majorBidi"/>
                <w:sz w:val="20"/>
                <w:szCs w:val="20"/>
                <w:lang w:val="pt-BR"/>
              </w:rPr>
              <w:t>µ</w:t>
            </w:r>
            <w:r w:rsidRPr="004229FA">
              <w:rPr>
                <w:rFonts w:asciiTheme="majorBidi" w:hAnsiTheme="majorBidi" w:cstheme="majorBidi"/>
                <w:sz w:val="20"/>
                <w:szCs w:val="20"/>
              </w:rPr>
              <w:t>g</w:t>
            </w:r>
          </w:p>
        </w:tc>
        <w:tc>
          <w:tcPr>
            <w:tcW w:w="425" w:type="dxa"/>
            <w:tcMar>
              <w:top w:w="15" w:type="dxa"/>
              <w:left w:w="15" w:type="dxa"/>
              <w:bottom w:w="0" w:type="dxa"/>
              <w:right w:w="15" w:type="dxa"/>
            </w:tcMar>
            <w:vAlign w:val="center"/>
          </w:tcPr>
          <w:p w14:paraId="47BD5E3B" w14:textId="122F4A9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33</w:t>
            </w:r>
          </w:p>
        </w:tc>
        <w:tc>
          <w:tcPr>
            <w:tcW w:w="1276" w:type="dxa"/>
            <w:tcMar>
              <w:top w:w="15" w:type="dxa"/>
              <w:left w:w="15" w:type="dxa"/>
              <w:bottom w:w="0" w:type="dxa"/>
              <w:right w:w="15" w:type="dxa"/>
            </w:tcMar>
            <w:vAlign w:val="center"/>
          </w:tcPr>
          <w:p w14:paraId="46D4D6E6" w14:textId="3B4D315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22–76</w:t>
            </w:r>
          </w:p>
        </w:tc>
        <w:tc>
          <w:tcPr>
            <w:tcW w:w="1134" w:type="dxa"/>
            <w:tcMar>
              <w:top w:w="15" w:type="dxa"/>
              <w:left w:w="15" w:type="dxa"/>
              <w:bottom w:w="0" w:type="dxa"/>
              <w:right w:w="15" w:type="dxa"/>
            </w:tcMar>
            <w:vAlign w:val="center"/>
          </w:tcPr>
          <w:p w14:paraId="6E450ABF" w14:textId="3F8AB1B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88</w:t>
            </w:r>
            <w:r w:rsidR="004229FA" w:rsidRPr="000E1337">
              <w:rPr>
                <w:rFonts w:asciiTheme="majorBidi" w:hAnsiTheme="majorBidi" w:cstheme="majorBidi"/>
                <w:sz w:val="20"/>
                <w:szCs w:val="20"/>
              </w:rPr>
              <w:t>–</w:t>
            </w:r>
            <w:r w:rsidRPr="000E1337">
              <w:rPr>
                <w:rFonts w:asciiTheme="majorBidi" w:hAnsiTheme="majorBidi" w:cstheme="majorBidi"/>
                <w:sz w:val="20"/>
                <w:szCs w:val="20"/>
              </w:rPr>
              <w:t>144</w:t>
            </w:r>
          </w:p>
        </w:tc>
        <w:tc>
          <w:tcPr>
            <w:tcW w:w="1134" w:type="dxa"/>
            <w:tcMar>
              <w:top w:w="15" w:type="dxa"/>
              <w:left w:w="15" w:type="dxa"/>
              <w:bottom w:w="0" w:type="dxa"/>
              <w:right w:w="15" w:type="dxa"/>
            </w:tcMar>
            <w:vAlign w:val="center"/>
          </w:tcPr>
          <w:p w14:paraId="69BA2F61" w14:textId="7AA0229D"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160</w:t>
            </w:r>
            <w:r w:rsidR="004229FA" w:rsidRPr="000E1337">
              <w:rPr>
                <w:rFonts w:asciiTheme="majorBidi" w:hAnsiTheme="majorBidi" w:cstheme="majorBidi"/>
                <w:sz w:val="20"/>
                <w:szCs w:val="20"/>
              </w:rPr>
              <w:t>–</w:t>
            </w:r>
            <w:r w:rsidRPr="000E1337">
              <w:rPr>
                <w:rFonts w:asciiTheme="majorBidi" w:hAnsiTheme="majorBidi" w:cstheme="majorBidi"/>
                <w:sz w:val="20"/>
                <w:szCs w:val="20"/>
              </w:rPr>
              <w:t>186</w:t>
            </w:r>
          </w:p>
        </w:tc>
      </w:tr>
      <w:tr w:rsidR="00C5489C" w:rsidRPr="000E1337" w14:paraId="09D64B85" w14:textId="77777777" w:rsidTr="00C5489C">
        <w:trPr>
          <w:trHeight w:val="176"/>
        </w:trPr>
        <w:tc>
          <w:tcPr>
            <w:tcW w:w="2430" w:type="dxa"/>
            <w:vMerge w:val="restart"/>
            <w:tcMar>
              <w:top w:w="15" w:type="dxa"/>
              <w:left w:w="15" w:type="dxa"/>
              <w:bottom w:w="0" w:type="dxa"/>
              <w:right w:w="15" w:type="dxa"/>
            </w:tcMar>
            <w:vAlign w:val="center"/>
          </w:tcPr>
          <w:p w14:paraId="11510401" w14:textId="77BABAA5" w:rsidR="00C5489C" w:rsidRPr="000E1337" w:rsidRDefault="00C5489C"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Holley et al., 1988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{"citationID":"a19l60v5b67","properties":{"formattedCitation":"[40]","plainCitation":"[40]","noteIndex":0},"citationItems":[{"id":93,"uris":["http://zotero.org/users/local/J5Cy8xXX/items/6MPKFAAH"],"itemData":{"id":93,"type":"article-journal","abstract":"We have investigated the use of constant-rate delivery of fentanyl by i.v. and transdermal routes for the treatment of pain after major surgery. Forty-five males, ASA I-III, received in a double-blinded fashion either placebo (n = 6) or fentanyl (n = 39) i.v. at one of four dose rates (25, 50, 100 or 125 micrograms h-1). Stable serum concentrations of fentanyl were produced by the end of surgery and were maintained for a total of 24 h. Calculated clearance of fentanyl was 1.05 +/- 0.38 litre min-1 and was not related to weight or age. Both the 100- and 125-micrograms h-1 dose rates produced significant analgesic efficacy as assessed by postoperative morphine requirements. Mean serum concentrations of fentanyl in these groups were 1.42 +/- 0.14 (SD) and 1.90 +/- 0.30 ng ml-1, respectively. One of 10 patients receiving fentanyl 100 micrograms h-1 and three of nine patients receiving 125 micrograms h-1 had evidence of respiratory depression. Eight additional patients were treated with a transdermal drug delivery system containing fentanyl (TTS-fentanyl). Steady-state serum concentrations in this group were 2.15 +/- 0.92 (SD) ng ml-1. Post-operative morphine requirements were minimal (less than 0.5 mg h-1) and PaCO2 remained acceptable in all patients. Serum concentrations of fentanyl increased slowly (15 h to plateau) and decreased slowly (apparent half-life, 21 h). We conclude that delivery of analgesic doses of fentanyl is feasible by the transdermal route.","container-title":"British Journal of Anaesthesia","DOI":"10.1093/bja/60.6.608","ISSN":"0007-0912","issue":"6","journalAbbreviation":"Br J Anaesth","language":"eng","note":"PMID: 3377942","page":"608-613","source":"PubMed","title":"Postoperative analgesia with fentanyl: pharmacokinetics and pharmacodynamics of constant-rate i.v. and transdermal delivery","title-short":"Postoperative analgesia with fentanyl","volume":"60","author":[{"family":"Holley","given":"F. O."},{"family":"Steennis","given":"C.","non-dropping-particle":"van"}],"issued":{"date-parts":[["1988",5]]}}}],"schema":"https://github.com/citation-style-language/schema/raw/master/csl-citation.json"}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[40]</w:t>
            </w:r>
            <w:r w:rsidRPr="000E1337">
              <w:rPr>
                <w:rFonts w:asciiTheme="majorBidi" w:hAnsiTheme="majorBidi" w:cstheme="majorBidi"/>
                <w:sz w:val="20"/>
                <w:szCs w:val="20"/>
              </w:rPr>
              <w:fldChar w:fldCharType="end"/>
            </w:r>
          </w:p>
        </w:tc>
        <w:tc>
          <w:tcPr>
            <w:tcW w:w="3547" w:type="dxa"/>
            <w:vAlign w:val="center"/>
          </w:tcPr>
          <w:p w14:paraId="6C135A46" w14:textId="4C417F5F"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100 </w:t>
            </w:r>
            <w:r w:rsidRPr="004229FA">
              <w:rPr>
                <w:rFonts w:asciiTheme="majorBidi" w:hAnsiTheme="majorBidi" w:cstheme="majorBidi"/>
                <w:sz w:val="20"/>
                <w:szCs w:val="20"/>
                <w:lang w:val="pt-BR"/>
              </w:rPr>
              <w:t>µg</w:t>
            </w:r>
            <w:r w:rsidRPr="004229FA">
              <w:rPr>
                <w:rFonts w:asciiTheme="majorBidi" w:hAnsiTheme="majorBidi" w:cstheme="majorBidi"/>
                <w:sz w:val="20"/>
                <w:szCs w:val="20"/>
              </w:rPr>
              <w:t xml:space="preserve">/h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w:t>
            </w:r>
            <w:r w:rsidRPr="004229FA">
              <w:rPr>
                <w:rFonts w:asciiTheme="majorBidi" w:hAnsiTheme="majorBidi" w:cstheme="majorBidi"/>
                <w:sz w:val="20"/>
                <w:szCs w:val="20"/>
              </w:rPr>
              <w:t xml:space="preserve">100 </w:t>
            </w:r>
            <w:r w:rsidRPr="004229FA">
              <w:rPr>
                <w:rFonts w:asciiTheme="majorBidi" w:hAnsiTheme="majorBidi" w:cstheme="majorBidi"/>
                <w:sz w:val="20"/>
                <w:szCs w:val="20"/>
                <w:lang w:val="pt-BR"/>
              </w:rPr>
              <w:t>µ</w:t>
            </w:r>
            <w:r w:rsidRPr="004229FA">
              <w:rPr>
                <w:rFonts w:asciiTheme="majorBidi" w:hAnsiTheme="majorBidi" w:cstheme="majorBidi"/>
                <w:sz w:val="20"/>
                <w:szCs w:val="20"/>
              </w:rPr>
              <w:t>g</w:t>
            </w:r>
          </w:p>
        </w:tc>
        <w:tc>
          <w:tcPr>
            <w:tcW w:w="425" w:type="dxa"/>
            <w:tcMar>
              <w:top w:w="15" w:type="dxa"/>
              <w:left w:w="15" w:type="dxa"/>
              <w:bottom w:w="0" w:type="dxa"/>
              <w:right w:w="15" w:type="dxa"/>
            </w:tcMar>
            <w:vAlign w:val="center"/>
          </w:tcPr>
          <w:p w14:paraId="3D7B2D4F" w14:textId="07C02AF8"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39860F89" w14:textId="650B201D"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42</w:t>
            </w:r>
            <w:r w:rsidR="004229FA" w:rsidRPr="000E1337">
              <w:rPr>
                <w:rFonts w:asciiTheme="majorBidi" w:hAnsiTheme="majorBidi" w:cstheme="majorBidi"/>
                <w:sz w:val="20"/>
                <w:szCs w:val="20"/>
              </w:rPr>
              <w:t>–</w:t>
            </w:r>
            <w:r w:rsidRPr="000E1337">
              <w:rPr>
                <w:rFonts w:asciiTheme="majorBidi" w:hAnsiTheme="majorBidi" w:cstheme="majorBidi"/>
                <w:sz w:val="20"/>
                <w:szCs w:val="20"/>
              </w:rPr>
              <w:t>67</w:t>
            </w:r>
          </w:p>
        </w:tc>
        <w:tc>
          <w:tcPr>
            <w:tcW w:w="1134" w:type="dxa"/>
            <w:tcMar>
              <w:top w:w="15" w:type="dxa"/>
              <w:left w:w="15" w:type="dxa"/>
              <w:bottom w:w="0" w:type="dxa"/>
              <w:right w:w="15" w:type="dxa"/>
            </w:tcMar>
            <w:vAlign w:val="center"/>
          </w:tcPr>
          <w:p w14:paraId="670EBA75" w14:textId="079DB41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64</w:t>
            </w:r>
            <w:r w:rsidR="004229FA" w:rsidRPr="000E1337">
              <w:rPr>
                <w:rFonts w:asciiTheme="majorBidi" w:hAnsiTheme="majorBidi" w:cstheme="majorBidi"/>
                <w:sz w:val="20"/>
                <w:szCs w:val="20"/>
              </w:rPr>
              <w:t>–</w:t>
            </w:r>
            <w:r w:rsidRPr="000E1337">
              <w:rPr>
                <w:rFonts w:asciiTheme="majorBidi" w:hAnsiTheme="majorBidi" w:cstheme="majorBidi"/>
                <w:sz w:val="20"/>
                <w:szCs w:val="20"/>
              </w:rPr>
              <w:t>88</w:t>
            </w:r>
          </w:p>
        </w:tc>
        <w:tc>
          <w:tcPr>
            <w:tcW w:w="1134" w:type="dxa"/>
            <w:tcMar>
              <w:top w:w="15" w:type="dxa"/>
              <w:left w:w="15" w:type="dxa"/>
              <w:bottom w:w="0" w:type="dxa"/>
              <w:right w:w="15" w:type="dxa"/>
            </w:tcMar>
            <w:vAlign w:val="center"/>
          </w:tcPr>
          <w:p w14:paraId="3B14037B" w14:textId="2DAE8381"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10914321" w14:textId="77777777" w:rsidTr="00C5489C">
        <w:trPr>
          <w:trHeight w:val="176"/>
        </w:trPr>
        <w:tc>
          <w:tcPr>
            <w:tcW w:w="2430" w:type="dxa"/>
            <w:vMerge/>
            <w:tcMar>
              <w:top w:w="15" w:type="dxa"/>
              <w:left w:w="15" w:type="dxa"/>
              <w:bottom w:w="0" w:type="dxa"/>
              <w:right w:w="15" w:type="dxa"/>
            </w:tcMar>
            <w:vAlign w:val="center"/>
          </w:tcPr>
          <w:p w14:paraId="7BB5C4CB"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074B8713" w14:textId="1AF7B033"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200 </w:t>
            </w:r>
            <w:r w:rsidRPr="004229FA">
              <w:rPr>
                <w:rFonts w:asciiTheme="majorBidi" w:hAnsiTheme="majorBidi" w:cstheme="majorBidi"/>
                <w:sz w:val="20"/>
                <w:szCs w:val="20"/>
                <w:lang w:val="pt-BR"/>
              </w:rPr>
              <w:t>µg</w:t>
            </w:r>
            <w:r w:rsidRPr="004229FA">
              <w:rPr>
                <w:rFonts w:asciiTheme="majorBidi" w:hAnsiTheme="majorBidi" w:cstheme="majorBidi"/>
                <w:sz w:val="20"/>
                <w:szCs w:val="20"/>
              </w:rPr>
              <w:t>/h</w:t>
            </w:r>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rPr>
              <w:t xml:space="preserve"> 200 </w:t>
            </w:r>
            <w:r w:rsidRPr="004229FA">
              <w:rPr>
                <w:rFonts w:asciiTheme="majorBidi" w:hAnsiTheme="majorBidi" w:cstheme="majorBidi"/>
                <w:sz w:val="20"/>
                <w:szCs w:val="20"/>
                <w:lang w:val="pt-BR"/>
              </w:rPr>
              <w:t>µ</w:t>
            </w:r>
            <w:r w:rsidRPr="004229FA">
              <w:rPr>
                <w:rFonts w:asciiTheme="majorBidi" w:hAnsiTheme="majorBidi" w:cstheme="majorBidi"/>
                <w:sz w:val="20"/>
                <w:szCs w:val="20"/>
              </w:rPr>
              <w:t>g</w:t>
            </w:r>
          </w:p>
        </w:tc>
        <w:tc>
          <w:tcPr>
            <w:tcW w:w="425" w:type="dxa"/>
            <w:tcMar>
              <w:top w:w="15" w:type="dxa"/>
              <w:left w:w="15" w:type="dxa"/>
              <w:bottom w:w="0" w:type="dxa"/>
              <w:right w:w="15" w:type="dxa"/>
            </w:tcMar>
            <w:vAlign w:val="center"/>
          </w:tcPr>
          <w:p w14:paraId="7789A9F5" w14:textId="2B2F612E"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774A15D6" w14:textId="45130613"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29</w:t>
            </w:r>
            <w:r w:rsidR="004229FA" w:rsidRPr="000E1337">
              <w:rPr>
                <w:rFonts w:asciiTheme="majorBidi" w:hAnsiTheme="majorBidi" w:cstheme="majorBidi"/>
                <w:sz w:val="20"/>
                <w:szCs w:val="20"/>
              </w:rPr>
              <w:t>–</w:t>
            </w:r>
            <w:r w:rsidRPr="000E1337">
              <w:rPr>
                <w:rFonts w:asciiTheme="majorBidi" w:hAnsiTheme="majorBidi" w:cstheme="majorBidi"/>
                <w:sz w:val="20"/>
                <w:szCs w:val="20"/>
              </w:rPr>
              <w:t>59</w:t>
            </w:r>
          </w:p>
        </w:tc>
        <w:tc>
          <w:tcPr>
            <w:tcW w:w="1134" w:type="dxa"/>
            <w:tcMar>
              <w:top w:w="15" w:type="dxa"/>
              <w:left w:w="15" w:type="dxa"/>
              <w:bottom w:w="0" w:type="dxa"/>
              <w:right w:w="15" w:type="dxa"/>
            </w:tcMar>
            <w:vAlign w:val="center"/>
          </w:tcPr>
          <w:p w14:paraId="70349A11" w14:textId="68D6E2CB"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65</w:t>
            </w:r>
            <w:r w:rsidR="004229FA" w:rsidRPr="000E1337">
              <w:rPr>
                <w:rFonts w:asciiTheme="majorBidi" w:hAnsiTheme="majorBidi" w:cstheme="majorBidi"/>
                <w:sz w:val="20"/>
                <w:szCs w:val="20"/>
              </w:rPr>
              <w:t>–</w:t>
            </w:r>
            <w:r w:rsidRPr="000E1337">
              <w:rPr>
                <w:rFonts w:asciiTheme="majorBidi" w:hAnsiTheme="majorBidi" w:cstheme="majorBidi"/>
                <w:sz w:val="20"/>
                <w:szCs w:val="20"/>
              </w:rPr>
              <w:t>97</w:t>
            </w:r>
          </w:p>
        </w:tc>
        <w:tc>
          <w:tcPr>
            <w:tcW w:w="1134" w:type="dxa"/>
            <w:tcMar>
              <w:top w:w="15" w:type="dxa"/>
              <w:left w:w="15" w:type="dxa"/>
              <w:bottom w:w="0" w:type="dxa"/>
              <w:right w:w="15" w:type="dxa"/>
            </w:tcMar>
            <w:vAlign w:val="center"/>
          </w:tcPr>
          <w:p w14:paraId="2D076A99" w14:textId="5756AFC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3DC671A2" w14:textId="77777777" w:rsidTr="00C5489C">
        <w:trPr>
          <w:trHeight w:val="176"/>
        </w:trPr>
        <w:tc>
          <w:tcPr>
            <w:tcW w:w="2430" w:type="dxa"/>
            <w:vMerge/>
            <w:tcMar>
              <w:top w:w="15" w:type="dxa"/>
              <w:left w:w="15" w:type="dxa"/>
              <w:bottom w:w="0" w:type="dxa"/>
              <w:right w:w="15" w:type="dxa"/>
            </w:tcMar>
            <w:vAlign w:val="center"/>
          </w:tcPr>
          <w:p w14:paraId="7F458AFD"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29F21A33" w14:textId="33A12A7F"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400 </w:t>
            </w:r>
            <w:r w:rsidRPr="004229FA">
              <w:rPr>
                <w:rFonts w:asciiTheme="majorBidi" w:hAnsiTheme="majorBidi" w:cstheme="majorBidi"/>
                <w:sz w:val="20"/>
                <w:szCs w:val="20"/>
                <w:lang w:val="pt-BR"/>
              </w:rPr>
              <w:t>µg</w:t>
            </w:r>
            <w:r w:rsidRPr="004229FA">
              <w:rPr>
                <w:rFonts w:asciiTheme="majorBidi" w:hAnsiTheme="majorBidi" w:cstheme="majorBidi"/>
                <w:sz w:val="20"/>
                <w:szCs w:val="20"/>
              </w:rPr>
              <w:t xml:space="preserve">/h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w:t>
            </w:r>
            <w:r w:rsidRPr="004229FA">
              <w:rPr>
                <w:rFonts w:asciiTheme="majorBidi" w:hAnsiTheme="majorBidi" w:cstheme="majorBidi"/>
                <w:sz w:val="20"/>
                <w:szCs w:val="20"/>
              </w:rPr>
              <w:t xml:space="preserve">400 </w:t>
            </w:r>
            <w:r w:rsidRPr="004229FA">
              <w:rPr>
                <w:rFonts w:asciiTheme="majorBidi" w:hAnsiTheme="majorBidi" w:cstheme="majorBidi"/>
                <w:sz w:val="20"/>
                <w:szCs w:val="20"/>
                <w:lang w:val="pt-BR"/>
              </w:rPr>
              <w:t>µ</w:t>
            </w:r>
            <w:r w:rsidRPr="004229FA">
              <w:rPr>
                <w:rFonts w:asciiTheme="majorBidi" w:hAnsiTheme="majorBidi" w:cstheme="majorBidi"/>
                <w:sz w:val="20"/>
                <w:szCs w:val="20"/>
              </w:rPr>
              <w:t>g</w:t>
            </w:r>
          </w:p>
        </w:tc>
        <w:tc>
          <w:tcPr>
            <w:tcW w:w="425" w:type="dxa"/>
            <w:tcMar>
              <w:top w:w="15" w:type="dxa"/>
              <w:left w:w="15" w:type="dxa"/>
              <w:bottom w:w="0" w:type="dxa"/>
              <w:right w:w="15" w:type="dxa"/>
            </w:tcMar>
            <w:vAlign w:val="center"/>
          </w:tcPr>
          <w:p w14:paraId="47E3EDF8" w14:textId="48E82A7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0E2D1BF6" w14:textId="6D9AB695"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44</w:t>
            </w:r>
            <w:r w:rsidR="004229FA" w:rsidRPr="000E1337">
              <w:rPr>
                <w:rFonts w:asciiTheme="majorBidi" w:hAnsiTheme="majorBidi" w:cstheme="majorBidi"/>
                <w:sz w:val="20"/>
                <w:szCs w:val="20"/>
              </w:rPr>
              <w:t>–</w:t>
            </w:r>
            <w:r w:rsidRPr="000E1337">
              <w:rPr>
                <w:rFonts w:asciiTheme="majorBidi" w:hAnsiTheme="majorBidi" w:cstheme="majorBidi"/>
                <w:sz w:val="20"/>
                <w:szCs w:val="20"/>
              </w:rPr>
              <w:t>68</w:t>
            </w:r>
          </w:p>
        </w:tc>
        <w:tc>
          <w:tcPr>
            <w:tcW w:w="1134" w:type="dxa"/>
            <w:tcMar>
              <w:top w:w="15" w:type="dxa"/>
              <w:left w:w="15" w:type="dxa"/>
              <w:bottom w:w="0" w:type="dxa"/>
              <w:right w:w="15" w:type="dxa"/>
            </w:tcMar>
            <w:vAlign w:val="center"/>
          </w:tcPr>
          <w:p w14:paraId="7396702D" w14:textId="7CEF4987"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63</w:t>
            </w:r>
            <w:r w:rsidR="004229FA" w:rsidRPr="000E1337">
              <w:rPr>
                <w:rFonts w:asciiTheme="majorBidi" w:hAnsiTheme="majorBidi" w:cstheme="majorBidi"/>
                <w:sz w:val="20"/>
                <w:szCs w:val="20"/>
              </w:rPr>
              <w:t>–</w:t>
            </w:r>
            <w:r w:rsidRPr="000E1337">
              <w:rPr>
                <w:rFonts w:asciiTheme="majorBidi" w:hAnsiTheme="majorBidi" w:cstheme="majorBidi"/>
                <w:sz w:val="20"/>
                <w:szCs w:val="20"/>
              </w:rPr>
              <w:t>97</w:t>
            </w:r>
          </w:p>
        </w:tc>
        <w:tc>
          <w:tcPr>
            <w:tcW w:w="1134" w:type="dxa"/>
            <w:tcMar>
              <w:top w:w="15" w:type="dxa"/>
              <w:left w:w="15" w:type="dxa"/>
              <w:bottom w:w="0" w:type="dxa"/>
              <w:right w:w="15" w:type="dxa"/>
            </w:tcMar>
            <w:vAlign w:val="center"/>
          </w:tcPr>
          <w:p w14:paraId="6D5A56F2" w14:textId="1CCE812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C5489C" w:rsidRPr="000E1337" w14:paraId="7C982FF5" w14:textId="77777777" w:rsidTr="00C5489C">
        <w:trPr>
          <w:trHeight w:val="176"/>
        </w:trPr>
        <w:tc>
          <w:tcPr>
            <w:tcW w:w="2430" w:type="dxa"/>
            <w:vMerge/>
            <w:tcMar>
              <w:top w:w="15" w:type="dxa"/>
              <w:left w:w="15" w:type="dxa"/>
              <w:bottom w:w="0" w:type="dxa"/>
              <w:right w:w="15" w:type="dxa"/>
            </w:tcMar>
            <w:vAlign w:val="center"/>
          </w:tcPr>
          <w:p w14:paraId="0102271A" w14:textId="77777777" w:rsidR="00C5489C" w:rsidRPr="000E1337" w:rsidRDefault="00C5489C" w:rsidP="00C5489C">
            <w:pPr>
              <w:spacing w:after="0" w:line="240" w:lineRule="auto"/>
              <w:jc w:val="center"/>
              <w:rPr>
                <w:rFonts w:asciiTheme="majorBidi" w:hAnsiTheme="majorBidi" w:cstheme="majorBidi"/>
                <w:sz w:val="20"/>
                <w:szCs w:val="20"/>
              </w:rPr>
            </w:pPr>
          </w:p>
        </w:tc>
        <w:tc>
          <w:tcPr>
            <w:tcW w:w="3547" w:type="dxa"/>
            <w:vAlign w:val="center"/>
          </w:tcPr>
          <w:p w14:paraId="4AA2BC5A" w14:textId="393C74E7" w:rsidR="00C5489C" w:rsidRPr="004229FA" w:rsidRDefault="00C5489C" w:rsidP="00C5489C">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 xml:space="preserve">500 </w:t>
            </w:r>
            <w:r w:rsidRPr="004229FA">
              <w:rPr>
                <w:rFonts w:asciiTheme="majorBidi" w:hAnsiTheme="majorBidi" w:cstheme="majorBidi"/>
                <w:sz w:val="20"/>
                <w:szCs w:val="20"/>
                <w:lang w:val="pt-BR"/>
              </w:rPr>
              <w:t>µg</w:t>
            </w:r>
            <w:r w:rsidRPr="004229FA">
              <w:rPr>
                <w:rFonts w:asciiTheme="majorBidi" w:hAnsiTheme="majorBidi" w:cstheme="majorBidi"/>
                <w:sz w:val="20"/>
                <w:szCs w:val="20"/>
              </w:rPr>
              <w:t xml:space="preserve">/h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w:t>
            </w:r>
            <w:r w:rsidRPr="004229FA">
              <w:rPr>
                <w:rFonts w:asciiTheme="majorBidi" w:hAnsiTheme="majorBidi" w:cstheme="majorBidi"/>
                <w:sz w:val="20"/>
                <w:szCs w:val="20"/>
              </w:rPr>
              <w:t xml:space="preserve">500 </w:t>
            </w:r>
            <w:r w:rsidRPr="004229FA">
              <w:rPr>
                <w:rFonts w:asciiTheme="majorBidi" w:hAnsiTheme="majorBidi" w:cstheme="majorBidi"/>
                <w:sz w:val="20"/>
                <w:szCs w:val="20"/>
                <w:lang w:val="pt-BR"/>
              </w:rPr>
              <w:t>µ</w:t>
            </w:r>
            <w:r w:rsidRPr="004229FA">
              <w:rPr>
                <w:rFonts w:asciiTheme="majorBidi" w:hAnsiTheme="majorBidi" w:cstheme="majorBidi"/>
                <w:sz w:val="20"/>
                <w:szCs w:val="20"/>
              </w:rPr>
              <w:t>g</w:t>
            </w:r>
          </w:p>
        </w:tc>
        <w:tc>
          <w:tcPr>
            <w:tcW w:w="425" w:type="dxa"/>
            <w:tcMar>
              <w:top w:w="15" w:type="dxa"/>
              <w:left w:w="15" w:type="dxa"/>
              <w:bottom w:w="0" w:type="dxa"/>
              <w:right w:w="15" w:type="dxa"/>
            </w:tcMar>
            <w:vAlign w:val="center"/>
          </w:tcPr>
          <w:p w14:paraId="6020B378" w14:textId="5F5D984F"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9</w:t>
            </w:r>
          </w:p>
        </w:tc>
        <w:tc>
          <w:tcPr>
            <w:tcW w:w="1276" w:type="dxa"/>
            <w:tcMar>
              <w:top w:w="15" w:type="dxa"/>
              <w:left w:w="15" w:type="dxa"/>
              <w:bottom w:w="0" w:type="dxa"/>
              <w:right w:w="15" w:type="dxa"/>
            </w:tcMar>
            <w:vAlign w:val="center"/>
          </w:tcPr>
          <w:p w14:paraId="6191E1AD" w14:textId="29B3064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42</w:t>
            </w:r>
            <w:r w:rsidR="004229FA" w:rsidRPr="000E1337">
              <w:rPr>
                <w:rFonts w:asciiTheme="majorBidi" w:hAnsiTheme="majorBidi" w:cstheme="majorBidi"/>
                <w:sz w:val="20"/>
                <w:szCs w:val="20"/>
              </w:rPr>
              <w:t>–</w:t>
            </w:r>
            <w:r w:rsidRPr="000E1337">
              <w:rPr>
                <w:rFonts w:asciiTheme="majorBidi" w:hAnsiTheme="majorBidi" w:cstheme="majorBidi"/>
                <w:sz w:val="20"/>
                <w:szCs w:val="20"/>
              </w:rPr>
              <w:t>66</w:t>
            </w:r>
          </w:p>
        </w:tc>
        <w:tc>
          <w:tcPr>
            <w:tcW w:w="1134" w:type="dxa"/>
            <w:tcMar>
              <w:top w:w="15" w:type="dxa"/>
              <w:left w:w="15" w:type="dxa"/>
              <w:bottom w:w="0" w:type="dxa"/>
              <w:right w:w="15" w:type="dxa"/>
            </w:tcMar>
            <w:vAlign w:val="center"/>
          </w:tcPr>
          <w:p w14:paraId="348B96F2" w14:textId="1B20748A"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72</w:t>
            </w:r>
            <w:r w:rsidR="004229FA" w:rsidRPr="000E1337">
              <w:rPr>
                <w:rFonts w:asciiTheme="majorBidi" w:hAnsiTheme="majorBidi" w:cstheme="majorBidi"/>
                <w:sz w:val="20"/>
                <w:szCs w:val="20"/>
              </w:rPr>
              <w:t>–</w:t>
            </w:r>
            <w:r w:rsidRPr="000E1337">
              <w:rPr>
                <w:rFonts w:asciiTheme="majorBidi" w:hAnsiTheme="majorBidi" w:cstheme="majorBidi"/>
                <w:sz w:val="20"/>
                <w:szCs w:val="20"/>
              </w:rPr>
              <w:t>82</w:t>
            </w:r>
          </w:p>
        </w:tc>
        <w:tc>
          <w:tcPr>
            <w:tcW w:w="1134" w:type="dxa"/>
            <w:tcMar>
              <w:top w:w="15" w:type="dxa"/>
              <w:left w:w="15" w:type="dxa"/>
              <w:bottom w:w="0" w:type="dxa"/>
              <w:right w:w="15" w:type="dxa"/>
            </w:tcMar>
            <w:vAlign w:val="center"/>
          </w:tcPr>
          <w:p w14:paraId="6A2A875F" w14:textId="35E06D10" w:rsidR="00C5489C" w:rsidRPr="000E1337" w:rsidRDefault="00C5489C" w:rsidP="00C5489C">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191A31" w:rsidRPr="000E1337" w14:paraId="17AD8212" w14:textId="77777777" w:rsidTr="00C5489C">
        <w:trPr>
          <w:trHeight w:val="176"/>
        </w:trPr>
        <w:tc>
          <w:tcPr>
            <w:tcW w:w="2430" w:type="dxa"/>
            <w:tcMar>
              <w:top w:w="15" w:type="dxa"/>
              <w:left w:w="15" w:type="dxa"/>
              <w:bottom w:w="0" w:type="dxa"/>
              <w:right w:w="15" w:type="dxa"/>
            </w:tcMar>
            <w:vAlign w:val="center"/>
          </w:tcPr>
          <w:p w14:paraId="7574D225" w14:textId="27E411DB" w:rsidR="00191A31" w:rsidRPr="000E1337" w:rsidRDefault="00191A31"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Ellis et al., 1990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{"citationID":"D30nAyla","properties":{"formattedCitation":"[41]","plainCitation":"[41]","noteIndex":0},"citationItems":[{"id":"NzKo45Wf/n5ooCPTY","uris":["http://zotero.org/users/6482121/items/CGAVVREQ"],"itemData":{"id":670,"type":"article-journal","abstract":"The authors conducted a randomized double-blind controlled study comparing groups of patients receiving iv or epidural fentanyl infusions to determine whether, at comparable levels of analgesia, 1) the severity of side effects was different; and 2) plasma fentanyl concentrations differed between the two groups. Twenty-eight ASA physical status 2 women scheduled to undergo elective cesarean section were randomized into two groups to either receive fentanyl intravenously and saline epidurally or fentanyl epidurally and saline intravenously. After delivery of the infants under epidural anesthesia, each patient received a bolus of fentanyl 1.5 microgram/kg either intravenously or epidurally, and a fentanyl infusion was begun via the same route. Concurrently, a saline bolus and infusion were given via the alternate route. The rates of the fentanyl and saline infusions were adjusted until each patient was comfortable. Patients rated their pain, nausea, and pruritus on visual analogue scales. Sedation was evaluated by an observer. Respiratory depression was evaluated by end-tidal PCO2. Data were analyzed by unpaired two-tail t tests. Plasma fentanyl concentrations were measured at 12 and 24 h. Three patients in the iv group were dropped from the study because of inadequate pain relief. For the remaining 25 patients, similar infusion rates of fentanyl were required to produce similar levels of analgesia at 12 and 24 h. The severity of nausea, pruritus and sedation, and end-tidal PCO2 were similar for both groups. The plasma concentrations of fentanyl were significantly greater in those who received iv fentanyl at 12 h but not at 24 h.(ABSTRACT TRUNCATED AT 250 WORDS)","container-title":"Anesthesiology","DOI":"10.1097/00000542-199006000-00006","ISSN":"0003-3022","issue":"6","journalAbbreviation":"Anesthesiology","language":"eng","note":"PMID: 2190502","page":"981-986","source":"PubMed","title":"A randomized double-blind comparison of epidural versus intravenous fentanyl infusion for analgesia after cesarean section","volume":"72","author":[{"family":"Ellis","given":"D. J."},{"family":"Millar","given":"W. L."},{"family":"Reisner","given":"L. S."}],"issued":{"date-parts":[["1990",6]]}}}],"schema":"https://github.com/citation-style-language/schema/raw/master/csl-citation.json"}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[41]</w:t>
            </w:r>
            <w:r w:rsidRPr="000E1337">
              <w:rPr>
                <w:rFonts w:asciiTheme="majorBidi" w:hAnsiTheme="majorBidi" w:cstheme="majorBidi"/>
                <w:sz w:val="20"/>
                <w:szCs w:val="20"/>
              </w:rPr>
              <w:fldChar w:fldCharType="end"/>
            </w:r>
          </w:p>
        </w:tc>
        <w:tc>
          <w:tcPr>
            <w:tcW w:w="3547" w:type="dxa"/>
            <w:vAlign w:val="center"/>
          </w:tcPr>
          <w:p w14:paraId="1DAED74B" w14:textId="71B817CD" w:rsidR="00191A31" w:rsidRPr="004229FA" w:rsidRDefault="00191A31" w:rsidP="00191A31">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pt-BR"/>
              </w:rPr>
              <w:t xml:space="preserve">1.5 </w:t>
            </w:r>
            <w:r w:rsidRPr="004229FA">
              <w:rPr>
                <w:rFonts w:asciiTheme="majorBidi" w:hAnsiTheme="majorBidi" w:cstheme="majorBidi"/>
                <w:sz w:val="20"/>
                <w:szCs w:val="20"/>
              </w:rPr>
              <w:t>µ</w:t>
            </w:r>
            <w:r w:rsidRPr="004229FA">
              <w:rPr>
                <w:rFonts w:asciiTheme="majorBidi" w:hAnsiTheme="majorBidi" w:cstheme="majorBidi"/>
                <w:sz w:val="20"/>
                <w:szCs w:val="20"/>
                <w:lang w:val="pt-BR"/>
              </w:rPr>
              <w:t>g</w:t>
            </w:r>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35.5 </w:t>
            </w:r>
            <w:r w:rsidRPr="004229FA">
              <w:rPr>
                <w:rFonts w:asciiTheme="majorBidi" w:hAnsiTheme="majorBidi" w:cstheme="majorBidi"/>
                <w:sz w:val="20"/>
                <w:szCs w:val="20"/>
                <w:lang w:val="pt-BR"/>
              </w:rPr>
              <w:t>µ</w:t>
            </w:r>
            <w:r w:rsidRPr="004229FA">
              <w:rPr>
                <w:rFonts w:asciiTheme="majorBidi" w:hAnsiTheme="majorBidi" w:cstheme="majorBidi"/>
                <w:sz w:val="20"/>
                <w:szCs w:val="20"/>
                <w:lang w:val="nn-NO"/>
              </w:rPr>
              <w:t>g/kg</w:t>
            </w:r>
          </w:p>
        </w:tc>
        <w:tc>
          <w:tcPr>
            <w:tcW w:w="425" w:type="dxa"/>
            <w:tcMar>
              <w:top w:w="15" w:type="dxa"/>
              <w:left w:w="15" w:type="dxa"/>
              <w:bottom w:w="0" w:type="dxa"/>
              <w:right w:w="15" w:type="dxa"/>
            </w:tcMar>
            <w:vAlign w:val="center"/>
          </w:tcPr>
          <w:p w14:paraId="578629D8" w14:textId="3E76195F"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276" w:type="dxa"/>
            <w:tcMar>
              <w:top w:w="15" w:type="dxa"/>
              <w:left w:w="15" w:type="dxa"/>
              <w:bottom w:w="0" w:type="dxa"/>
              <w:right w:w="15" w:type="dxa"/>
            </w:tcMar>
            <w:vAlign w:val="center"/>
          </w:tcPr>
          <w:p w14:paraId="510015E4" w14:textId="63BD6DC6"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25</w:t>
            </w:r>
            <w:r w:rsidR="004229FA" w:rsidRPr="000E1337">
              <w:rPr>
                <w:rFonts w:asciiTheme="majorBidi" w:hAnsiTheme="majorBidi" w:cstheme="majorBidi"/>
                <w:sz w:val="20"/>
                <w:szCs w:val="20"/>
              </w:rPr>
              <w:t>–</w:t>
            </w:r>
            <w:r w:rsidRPr="000E1337">
              <w:rPr>
                <w:rFonts w:asciiTheme="majorBidi" w:hAnsiTheme="majorBidi" w:cstheme="majorBidi"/>
                <w:sz w:val="20"/>
                <w:szCs w:val="20"/>
              </w:rPr>
              <w:t>35</w:t>
            </w:r>
          </w:p>
        </w:tc>
        <w:tc>
          <w:tcPr>
            <w:tcW w:w="1134" w:type="dxa"/>
            <w:tcMar>
              <w:top w:w="15" w:type="dxa"/>
              <w:left w:w="15" w:type="dxa"/>
              <w:bottom w:w="0" w:type="dxa"/>
              <w:right w:w="15" w:type="dxa"/>
            </w:tcMar>
            <w:vAlign w:val="center"/>
          </w:tcPr>
          <w:p w14:paraId="0B549E2E" w14:textId="3853BFA6"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68</w:t>
            </w:r>
            <w:r w:rsidR="004229FA" w:rsidRPr="000E1337">
              <w:rPr>
                <w:rFonts w:asciiTheme="majorBidi" w:hAnsiTheme="majorBidi" w:cstheme="majorBidi"/>
                <w:sz w:val="20"/>
                <w:szCs w:val="20"/>
              </w:rPr>
              <w:t>–</w:t>
            </w:r>
            <w:r w:rsidRPr="000E1337">
              <w:rPr>
                <w:rFonts w:asciiTheme="majorBidi" w:hAnsiTheme="majorBidi" w:cstheme="majorBidi"/>
                <w:sz w:val="20"/>
                <w:szCs w:val="20"/>
              </w:rPr>
              <w:t>96</w:t>
            </w:r>
          </w:p>
        </w:tc>
        <w:tc>
          <w:tcPr>
            <w:tcW w:w="1134" w:type="dxa"/>
            <w:tcMar>
              <w:top w:w="15" w:type="dxa"/>
              <w:left w:w="15" w:type="dxa"/>
              <w:bottom w:w="0" w:type="dxa"/>
              <w:right w:w="15" w:type="dxa"/>
            </w:tcMar>
            <w:vAlign w:val="center"/>
          </w:tcPr>
          <w:p w14:paraId="4844EFBA" w14:textId="210CDBC5"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156</w:t>
            </w:r>
            <w:r w:rsidR="004229FA" w:rsidRPr="000E1337">
              <w:rPr>
                <w:rFonts w:asciiTheme="majorBidi" w:hAnsiTheme="majorBidi" w:cstheme="majorBidi"/>
                <w:sz w:val="20"/>
                <w:szCs w:val="20"/>
              </w:rPr>
              <w:t>–</w:t>
            </w:r>
            <w:r w:rsidRPr="000E1337">
              <w:rPr>
                <w:rFonts w:asciiTheme="majorBidi" w:hAnsiTheme="majorBidi" w:cstheme="majorBidi"/>
                <w:sz w:val="20"/>
                <w:szCs w:val="20"/>
              </w:rPr>
              <w:t>168</w:t>
            </w:r>
          </w:p>
        </w:tc>
      </w:tr>
      <w:tr w:rsidR="00191A31" w:rsidRPr="000E1337" w14:paraId="727B0933" w14:textId="77777777" w:rsidTr="00C5489C">
        <w:trPr>
          <w:trHeight w:val="176"/>
        </w:trPr>
        <w:tc>
          <w:tcPr>
            <w:tcW w:w="2430" w:type="dxa"/>
            <w:tcMar>
              <w:top w:w="15" w:type="dxa"/>
              <w:left w:w="15" w:type="dxa"/>
              <w:bottom w:w="0" w:type="dxa"/>
              <w:right w:w="15" w:type="dxa"/>
            </w:tcMar>
            <w:vAlign w:val="center"/>
          </w:tcPr>
          <w:p w14:paraId="7663BBA9" w14:textId="7A43AF27" w:rsidR="00191A31" w:rsidRPr="000E1337" w:rsidRDefault="00191A31"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Hudson et al.,1980 </w:t>
            </w:r>
            <w:r w:rsidR="003C711A"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{"citationID":"7RkF0NTw","properties":{"formattedCitation":"[42]","plainCitation":"[42]","noteIndex":0},"citationItems":[{"id":26,"uris":["http://zotero.org/users/local/J5Cy8xXX/items/F6CN2SIZ"],"itemData":{"id":26,"type":"article-journal","abstract":"The authors determined the pharmacokinetics of fentanyl 100 micrograms X kg-1 iv in patients undergoing elective abdominal aortic surgery. The mean (+/- SD) age of the ten patients was 67.2 +/- 8.7 yr; their mean weight was 78.5 +/- 13.7 kg. Seven patients had aortic aneurysm repair, and the other three patients had aortobifemoral grafts. Serum fentanyl concentrations were determined from samples drawn at increasing intervals over a 24-h period. A three-compartment pharmacokinetic model was fit to the concentration versus time data. Total drug clearance was 9.8 +/- 1.8 ml X min-1 X kg-1. The volume of distribution at steady-state (Vdss) was 5.4 +/- 1.9 X 1 kg-1. Elimination half-time was 8.7 +/- 2.5 h. There were no significant correlations between these pharmacokinetic parameters and patient's age, duration of aortic cross-clamping, duration of surgery, intraoperative blood loss, or volume of iv fluids given intraoperatively. In healthy volunteers or patients undergoing general surgery, other investigators report mean elimination half-times for fentanyl ranging from 1.7 to 4.4 h. The prolonged elimination half-time in patients having abdominal aortic surgery has important clinical implications. In particular, recovery from large doses will take much longer than would have been anticipated from previously published fentanyl pharmacokinetic data.","container-title":"Anesthesiology","DOI":"10.1097/00000542-198603000-00006","ISSN":"0003-3022","issue":"3","journalAbbreviation":"Anesthesiology","language":"eng","note":"PMID: 3954128","page":"334-338","source":"PubMed","title":"Pharmacokinetics of fentanyl in patients undergoing abdominal aortic surgery","volume":"64","author":[{"family":"Hudson","given":"R. J."},{"family":"Thomson","given":"I. R."},{"family":"Cannon","given":"J. E."},{"family":"Friesen","given":"R. M."},{"family":"Meatherall","given":"R. C."}],"issued":{"date-parts":[["1986",3]]}}}],"schema":"https://github.com/citation-style-language/schema/raw/master/csl-citation.json"} </w:instrText>
            </w:r>
            <w:r w:rsidR="003C711A" w:rsidRPr="000E1337">
              <w:rPr>
                <w:rFonts w:asciiTheme="majorBidi" w:hAnsiTheme="majorBidi" w:cstheme="majorBidi"/>
                <w:sz w:val="20"/>
                <w:szCs w:val="20"/>
              </w:rPr>
              <w:fldChar w:fldCharType="separate"/>
            </w:r>
            <w:r w:rsidR="00EE60C4" w:rsidRPr="008A707E">
              <w:rPr>
                <w:rFonts w:asciiTheme="majorBidi" w:hAnsiTheme="majorBidi" w:cstheme="majorBidi"/>
                <w:sz w:val="20"/>
              </w:rPr>
              <w:t>[42]</w:t>
            </w:r>
            <w:r w:rsidR="003C711A" w:rsidRPr="000E1337">
              <w:rPr>
                <w:rFonts w:asciiTheme="majorBidi" w:hAnsiTheme="majorBidi" w:cstheme="majorBidi"/>
                <w:sz w:val="20"/>
                <w:szCs w:val="20"/>
              </w:rPr>
              <w:fldChar w:fldCharType="end"/>
            </w:r>
          </w:p>
        </w:tc>
        <w:tc>
          <w:tcPr>
            <w:tcW w:w="3547" w:type="dxa"/>
            <w:vAlign w:val="center"/>
          </w:tcPr>
          <w:p w14:paraId="6B233B67" w14:textId="38EE43E9" w:rsidR="00191A31" w:rsidRPr="004229FA" w:rsidRDefault="00191A31" w:rsidP="00191A31">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nn-NO"/>
              </w:rPr>
              <w:t xml:space="preserve">100 </w:t>
            </w:r>
            <w:r w:rsidRPr="004229FA">
              <w:rPr>
                <w:rFonts w:asciiTheme="majorBidi" w:hAnsiTheme="majorBidi" w:cstheme="majorBidi"/>
                <w:sz w:val="20"/>
                <w:szCs w:val="20"/>
                <w:lang w:val="pt-BR"/>
              </w:rPr>
              <w:t>µ</w:t>
            </w:r>
            <w:r w:rsidRPr="004229FA">
              <w:rPr>
                <w:rFonts w:asciiTheme="majorBidi" w:hAnsiTheme="majorBidi" w:cstheme="majorBidi"/>
                <w:sz w:val="20"/>
                <w:szCs w:val="20"/>
                <w:lang w:val="nn-NO"/>
              </w:rPr>
              <w:t>g/kg</w:t>
            </w:r>
          </w:p>
        </w:tc>
        <w:tc>
          <w:tcPr>
            <w:tcW w:w="425" w:type="dxa"/>
            <w:tcMar>
              <w:top w:w="15" w:type="dxa"/>
              <w:left w:w="15" w:type="dxa"/>
              <w:bottom w:w="0" w:type="dxa"/>
              <w:right w:w="15" w:type="dxa"/>
            </w:tcMar>
            <w:vAlign w:val="center"/>
          </w:tcPr>
          <w:p w14:paraId="41AAC5BF" w14:textId="27B001C9"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10</w:t>
            </w:r>
          </w:p>
        </w:tc>
        <w:tc>
          <w:tcPr>
            <w:tcW w:w="1276" w:type="dxa"/>
            <w:tcMar>
              <w:top w:w="15" w:type="dxa"/>
              <w:left w:w="15" w:type="dxa"/>
              <w:bottom w:w="0" w:type="dxa"/>
              <w:right w:w="15" w:type="dxa"/>
            </w:tcMar>
            <w:vAlign w:val="center"/>
          </w:tcPr>
          <w:p w14:paraId="4F70F672" w14:textId="47E9E214"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58.5</w:t>
            </w:r>
            <w:r w:rsidR="004229FA" w:rsidRPr="000E1337">
              <w:rPr>
                <w:rFonts w:asciiTheme="majorBidi" w:hAnsiTheme="majorBidi" w:cstheme="majorBidi"/>
                <w:sz w:val="20"/>
                <w:szCs w:val="20"/>
              </w:rPr>
              <w:t>–</w:t>
            </w:r>
            <w:r w:rsidRPr="000E1337">
              <w:rPr>
                <w:rFonts w:asciiTheme="majorBidi" w:hAnsiTheme="majorBidi" w:cstheme="majorBidi"/>
                <w:sz w:val="20"/>
                <w:szCs w:val="20"/>
              </w:rPr>
              <w:t>76</w:t>
            </w:r>
          </w:p>
        </w:tc>
        <w:tc>
          <w:tcPr>
            <w:tcW w:w="1134" w:type="dxa"/>
            <w:tcMar>
              <w:top w:w="15" w:type="dxa"/>
              <w:left w:w="15" w:type="dxa"/>
              <w:bottom w:w="0" w:type="dxa"/>
              <w:right w:w="15" w:type="dxa"/>
            </w:tcMar>
            <w:vAlign w:val="center"/>
          </w:tcPr>
          <w:p w14:paraId="3BAB46E3" w14:textId="3090CCBD"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78 ± 13</w:t>
            </w:r>
          </w:p>
        </w:tc>
        <w:tc>
          <w:tcPr>
            <w:tcW w:w="1134" w:type="dxa"/>
            <w:tcMar>
              <w:top w:w="15" w:type="dxa"/>
              <w:left w:w="15" w:type="dxa"/>
              <w:bottom w:w="0" w:type="dxa"/>
              <w:right w:w="15" w:type="dxa"/>
            </w:tcMar>
            <w:vAlign w:val="center"/>
          </w:tcPr>
          <w:p w14:paraId="34CB3347" w14:textId="3E0B2F79"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191A31" w:rsidRPr="000E1337" w14:paraId="7F1FBA93" w14:textId="77777777" w:rsidTr="00191A31">
        <w:trPr>
          <w:trHeight w:val="176"/>
        </w:trPr>
        <w:tc>
          <w:tcPr>
            <w:tcW w:w="2430" w:type="dxa"/>
            <w:tcMar>
              <w:top w:w="15" w:type="dxa"/>
              <w:left w:w="15" w:type="dxa"/>
              <w:bottom w:w="0" w:type="dxa"/>
              <w:right w:w="15" w:type="dxa"/>
            </w:tcMar>
            <w:vAlign w:val="center"/>
          </w:tcPr>
          <w:p w14:paraId="4CE8B1AB" w14:textId="4B6C1A4E" w:rsidR="00191A31" w:rsidRPr="000E1337" w:rsidRDefault="00191A31"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lang w:val="da-DK"/>
              </w:rPr>
              <w:t xml:space="preserve">Bentley et al., 1982 </w:t>
            </w:r>
            <w:r w:rsidRPr="000E1337">
              <w:rPr>
                <w:rFonts w:asciiTheme="majorBidi" w:hAnsiTheme="majorBidi" w:cstheme="majorBidi"/>
                <w:sz w:val="20"/>
                <w:szCs w:val="20"/>
                <w:lang w:val="da-DK"/>
              </w:rPr>
              <w:fldChar w:fldCharType="begin"/>
            </w:r>
            <w:r w:rsidR="000B553F" w:rsidRPr="000E1337">
              <w:rPr>
                <w:rFonts w:asciiTheme="majorBidi" w:hAnsiTheme="majorBidi" w:cstheme="majorBidi"/>
                <w:sz w:val="20"/>
                <w:szCs w:val="20"/>
                <w:lang w:val="da-DK"/>
              </w:rPr>
              <w:instrText xml:space="preserve"> ADDIN ZOTERO_ITEM CSL_CITATION {"citationID":"a1nfj531gpm","properties":{"formattedCitation":"[43]","plainCitation":"[43]","noteIndex":0},"citationItems":[{"id":96,"uris":["http://zotero.org/users/local/J5Cy8xXX/items/SDRLRM9W"],"itemData":{"id":96,"type":"article-journal","abstract":"Fentanyl pharmacokinetics was compared in two groups of adult patients, one group (n = 5) aged less than 50 years, and one group (n = 4) aged greater than 60 years. Despite equivalent doses of fentanyl (10 microgram/kg IV), serum drug concentrations were significantly higher in the older patient group. This was reflected by a prolonged terminal elimination half-life in the elderly compared with the younger patients (945 versus 265 minutes, respectively, p less than 0.005). Volumes of the central compartment and volumes of drug distribution were similar in both patient groups. However, drug clearance was markedly decreased in the elderly (265 versus 991 ml/min, p less than 0.005). These data suggest that a given dose of fentanyl will be clinically effective for a longer period in older patients than in younger patients.","container-title":"Anesthesia and Analgesia","ISSN":"0003-2999","issue":"12","journalAbbreviation":"Anesth Analg","language":"eng","note":"PMID: 7149300","page":"968-971","source":"PubMed","title":"Age and fentanyl pharmacokinetics","volume":"61","author":[{"family":"Bentley","given":"J. B."},{"family":"Borel","given":"J. D."},{"family":"Nenad","given":"R. E."},{"family":"Gillespie","given":"T. J."}],"issued":{"date-parts":[["1982",12]]}}}],"schema":"https://github.com/citation-style-language/schema/raw/master/csl-citation.json"} </w:instrText>
            </w:r>
            <w:r w:rsidRPr="000E1337">
              <w:rPr>
                <w:rFonts w:asciiTheme="majorBidi" w:hAnsiTheme="majorBidi" w:cstheme="majorBidi"/>
                <w:sz w:val="20"/>
                <w:szCs w:val="20"/>
                <w:lang w:val="da-DK"/>
              </w:rPr>
              <w:fldChar w:fldCharType="separate"/>
            </w:r>
            <w:r w:rsidR="000B553F" w:rsidRPr="008A707E">
              <w:rPr>
                <w:rFonts w:asciiTheme="majorBidi" w:hAnsiTheme="majorBidi" w:cstheme="majorBidi"/>
                <w:sz w:val="20"/>
              </w:rPr>
              <w:t>[43]</w:t>
            </w:r>
            <w:r w:rsidRPr="000E1337">
              <w:rPr>
                <w:rFonts w:asciiTheme="majorBidi" w:hAnsiTheme="majorBidi" w:cstheme="majorBidi"/>
                <w:sz w:val="20"/>
                <w:szCs w:val="20"/>
                <w:lang w:val="da-DK"/>
              </w:rPr>
              <w:fldChar w:fldCharType="end"/>
            </w:r>
          </w:p>
        </w:tc>
        <w:tc>
          <w:tcPr>
            <w:tcW w:w="3547" w:type="dxa"/>
            <w:vAlign w:val="center"/>
          </w:tcPr>
          <w:p w14:paraId="15F4C17E" w14:textId="18D8D1E5" w:rsidR="00191A31" w:rsidRPr="004229FA" w:rsidRDefault="00191A31" w:rsidP="00191A31">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lang w:val="nn-NO"/>
              </w:rPr>
              <w:t xml:space="preserve">10 </w:t>
            </w:r>
            <w:r w:rsidRPr="004229FA">
              <w:rPr>
                <w:rFonts w:asciiTheme="majorBidi" w:hAnsiTheme="majorBidi" w:cstheme="majorBidi"/>
                <w:sz w:val="20"/>
                <w:szCs w:val="20"/>
                <w:lang w:val="pt-BR"/>
              </w:rPr>
              <w:t>µ</w:t>
            </w:r>
            <w:r w:rsidRPr="004229FA">
              <w:rPr>
                <w:rFonts w:asciiTheme="majorBidi" w:hAnsiTheme="majorBidi" w:cstheme="majorBidi"/>
                <w:sz w:val="20"/>
                <w:szCs w:val="20"/>
                <w:lang w:val="nn-NO"/>
              </w:rPr>
              <w:t>g/kg</w:t>
            </w:r>
          </w:p>
        </w:tc>
        <w:tc>
          <w:tcPr>
            <w:tcW w:w="425" w:type="dxa"/>
            <w:tcMar>
              <w:top w:w="15" w:type="dxa"/>
              <w:left w:w="15" w:type="dxa"/>
              <w:bottom w:w="0" w:type="dxa"/>
              <w:right w:w="15" w:type="dxa"/>
            </w:tcMar>
            <w:vAlign w:val="center"/>
          </w:tcPr>
          <w:p w14:paraId="69AFC67A" w14:textId="50F90260"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w:t>
            </w:r>
          </w:p>
        </w:tc>
        <w:tc>
          <w:tcPr>
            <w:tcW w:w="1276" w:type="dxa"/>
            <w:tcMar>
              <w:top w:w="15" w:type="dxa"/>
              <w:left w:w="15" w:type="dxa"/>
              <w:bottom w:w="0" w:type="dxa"/>
              <w:right w:w="15" w:type="dxa"/>
            </w:tcMar>
            <w:vAlign w:val="center"/>
          </w:tcPr>
          <w:p w14:paraId="175E3002" w14:textId="0CFD8808"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32</w:t>
            </w:r>
            <w:r w:rsidR="004229FA" w:rsidRPr="000E1337">
              <w:rPr>
                <w:rFonts w:asciiTheme="majorBidi" w:hAnsiTheme="majorBidi" w:cstheme="majorBidi"/>
                <w:sz w:val="20"/>
                <w:szCs w:val="20"/>
              </w:rPr>
              <w:t>–</w:t>
            </w:r>
            <w:r w:rsidRPr="000E1337">
              <w:rPr>
                <w:rFonts w:asciiTheme="majorBidi" w:hAnsiTheme="majorBidi" w:cstheme="majorBidi"/>
                <w:sz w:val="20"/>
                <w:szCs w:val="20"/>
              </w:rPr>
              <w:t>40</w:t>
            </w:r>
          </w:p>
        </w:tc>
        <w:tc>
          <w:tcPr>
            <w:tcW w:w="1134" w:type="dxa"/>
            <w:tcMar>
              <w:top w:w="15" w:type="dxa"/>
              <w:left w:w="15" w:type="dxa"/>
              <w:bottom w:w="0" w:type="dxa"/>
              <w:right w:w="15" w:type="dxa"/>
            </w:tcMar>
            <w:vAlign w:val="center"/>
          </w:tcPr>
          <w:p w14:paraId="13646F9B" w14:textId="68A0C8C0"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64 ± 3</w:t>
            </w:r>
          </w:p>
        </w:tc>
        <w:tc>
          <w:tcPr>
            <w:tcW w:w="1134" w:type="dxa"/>
            <w:tcMar>
              <w:top w:w="15" w:type="dxa"/>
              <w:left w:w="15" w:type="dxa"/>
              <w:bottom w:w="0" w:type="dxa"/>
              <w:right w:w="15" w:type="dxa"/>
            </w:tcMar>
            <w:vAlign w:val="center"/>
          </w:tcPr>
          <w:p w14:paraId="0F1A4D9A" w14:textId="15E6C58C"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162</w:t>
            </w:r>
            <w:r w:rsidR="004229FA" w:rsidRPr="000E1337">
              <w:rPr>
                <w:rFonts w:asciiTheme="majorBidi" w:hAnsiTheme="majorBidi" w:cstheme="majorBidi"/>
                <w:sz w:val="20"/>
                <w:szCs w:val="20"/>
              </w:rPr>
              <w:t>–</w:t>
            </w:r>
            <w:r w:rsidRPr="000E1337">
              <w:rPr>
                <w:rFonts w:asciiTheme="majorBidi" w:hAnsiTheme="majorBidi" w:cstheme="majorBidi"/>
                <w:sz w:val="20"/>
                <w:szCs w:val="20"/>
              </w:rPr>
              <w:t>168</w:t>
            </w:r>
          </w:p>
        </w:tc>
      </w:tr>
      <w:tr w:rsidR="00191A31" w:rsidRPr="000E1337" w14:paraId="25E226DE" w14:textId="77777777" w:rsidTr="00191A31">
        <w:trPr>
          <w:trHeight w:val="176"/>
        </w:trPr>
        <w:tc>
          <w:tcPr>
            <w:tcW w:w="2430" w:type="dxa"/>
            <w:tcMar>
              <w:top w:w="15" w:type="dxa"/>
              <w:left w:w="15" w:type="dxa"/>
              <w:bottom w:w="0" w:type="dxa"/>
              <w:right w:w="15" w:type="dxa"/>
            </w:tcMar>
            <w:vAlign w:val="center"/>
          </w:tcPr>
          <w:p w14:paraId="4D9AAD6A" w14:textId="7CFB560C" w:rsidR="00191A31" w:rsidRPr="000E1337" w:rsidRDefault="00191A31"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Rowbotham et al., 1989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{"citationID":"a1ok7279vli","properties":{"formattedCitation":"[44]","plainCitation":"[44]","noteIndex":0},"citationItems":[{"id":98,"uris":["http://zotero.org/users/local/J5Cy8xXX/items/AZ5TB56G"],"itemData":{"id":98,"type":"article-journal","abstract":"A disposable nonelectronic patient-controlled analgesia device was used to deliver fentanyl after upper abdominal surgery. Pain relief was satisfactory and plasma fentanyl concentrations were similar to those obtained by other workers who used electronic patient-controlled analgesia devices.","container-title":"Anaesthesia","DOI":"10.1111/j.1365-2044.1989.tb09151.x","ISSN":"0003-2409","issue":"11","journalAbbreviation":"Anaesthesia","language":"eng","note":"PMID: 2596660","page":"922-924","source":"PubMed","title":"A disposable device for patient-controlled analgesia with fentanyl","volume":"44","author":[{"family":"Rowbotham","given":"D. J."},{"family":"Wyld","given":"R."},{"family":"Nimmo","given":"W. S."}],"issued":{"date-parts":[["1989",11]]}}}],"schema":"https://github.com/citation-style-language/schema/raw/master/csl-citation.json"}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[44]</w:t>
            </w:r>
            <w:r w:rsidRPr="000E1337">
              <w:rPr>
                <w:rFonts w:asciiTheme="majorBidi" w:hAnsiTheme="majorBidi" w:cstheme="majorBidi"/>
                <w:sz w:val="20"/>
                <w:szCs w:val="20"/>
              </w:rPr>
              <w:fldChar w:fldCharType="end"/>
            </w:r>
          </w:p>
        </w:tc>
        <w:tc>
          <w:tcPr>
            <w:tcW w:w="3547" w:type="dxa"/>
            <w:vAlign w:val="center"/>
          </w:tcPr>
          <w:p w14:paraId="41FB99B1" w14:textId="639B8C99" w:rsidR="00191A31" w:rsidRPr="004229FA" w:rsidRDefault="00191A31" w:rsidP="00191A31">
            <w:pPr>
              <w:spacing w:after="0" w:line="240" w:lineRule="auto"/>
              <w:jc w:val="center"/>
              <w:rPr>
                <w:rFonts w:asciiTheme="majorBidi" w:hAnsiTheme="majorBidi" w:cstheme="majorBidi"/>
                <w:sz w:val="20"/>
                <w:szCs w:val="20"/>
                <w:lang w:val="pt-BR"/>
              </w:rPr>
            </w:pPr>
            <w:r w:rsidRPr="004229FA">
              <w:rPr>
                <w:rFonts w:asciiTheme="majorBidi" w:hAnsiTheme="majorBidi" w:cstheme="majorBidi"/>
                <w:sz w:val="20"/>
                <w:szCs w:val="20"/>
              </w:rPr>
              <w:t>20 µ</w:t>
            </w:r>
            <w:r w:rsidRPr="004229FA">
              <w:rPr>
                <w:rFonts w:asciiTheme="majorBidi" w:hAnsiTheme="majorBidi" w:cstheme="majorBidi"/>
                <w:sz w:val="20"/>
                <w:szCs w:val="20"/>
                <w:lang w:val="pt-BR"/>
              </w:rPr>
              <w:t>g</w:t>
            </w:r>
            <w:r w:rsidRPr="004229FA">
              <w:rPr>
                <w:rFonts w:asciiTheme="majorBidi" w:hAnsiTheme="majorBidi" w:cstheme="majorBidi"/>
                <w:sz w:val="20"/>
                <w:szCs w:val="20"/>
              </w:rPr>
              <w:t xml:space="preserve"> </w:t>
            </w:r>
            <w:proofErr w:type="spellStart"/>
            <w:r w:rsidRPr="004229FA">
              <w:rPr>
                <w:rFonts w:asciiTheme="majorBidi" w:hAnsiTheme="majorBidi" w:cstheme="majorBidi"/>
                <w:sz w:val="20"/>
                <w:szCs w:val="20"/>
                <w:lang w:val="nn-NO"/>
              </w:rPr>
              <w:t>loading</w:t>
            </w:r>
            <w:proofErr w:type="spellEnd"/>
            <w:r w:rsidRPr="004229FA">
              <w:rPr>
                <w:rFonts w:asciiTheme="majorBidi" w:hAnsiTheme="majorBidi" w:cstheme="majorBidi"/>
                <w:sz w:val="20"/>
                <w:szCs w:val="20"/>
                <w:lang w:val="nn-NO"/>
              </w:rPr>
              <w:t xml:space="preserve"> </w:t>
            </w:r>
            <w:proofErr w:type="spellStart"/>
            <w:r w:rsidRPr="004229FA">
              <w:rPr>
                <w:rFonts w:asciiTheme="majorBidi" w:hAnsiTheme="majorBidi" w:cstheme="majorBidi"/>
                <w:sz w:val="20"/>
                <w:szCs w:val="20"/>
                <w:lang w:val="nn-NO"/>
              </w:rPr>
              <w:t>then</w:t>
            </w:r>
            <w:proofErr w:type="spellEnd"/>
            <w:r w:rsidRPr="004229FA">
              <w:rPr>
                <w:rFonts w:asciiTheme="majorBidi" w:hAnsiTheme="majorBidi" w:cstheme="majorBidi"/>
                <w:sz w:val="20"/>
                <w:szCs w:val="20"/>
                <w:lang w:val="nn-NO"/>
              </w:rPr>
              <w:t xml:space="preserve"> </w:t>
            </w:r>
            <w:r w:rsidRPr="004229FA">
              <w:rPr>
                <w:rFonts w:asciiTheme="majorBidi" w:hAnsiTheme="majorBidi" w:cstheme="majorBidi"/>
                <w:sz w:val="20"/>
                <w:szCs w:val="20"/>
              </w:rPr>
              <w:t xml:space="preserve">55 </w:t>
            </w:r>
            <w:r w:rsidRPr="004229FA">
              <w:rPr>
                <w:rFonts w:asciiTheme="majorBidi" w:hAnsiTheme="majorBidi" w:cstheme="majorBidi"/>
                <w:sz w:val="20"/>
                <w:szCs w:val="20"/>
                <w:lang w:val="pt-BR"/>
              </w:rPr>
              <w:t>µ</w:t>
            </w:r>
            <w:r w:rsidRPr="004229FA">
              <w:rPr>
                <w:rFonts w:asciiTheme="majorBidi" w:hAnsiTheme="majorBidi" w:cstheme="majorBidi"/>
                <w:sz w:val="20"/>
                <w:szCs w:val="20"/>
                <w:lang w:val="nn-NO"/>
              </w:rPr>
              <w:t>g/h</w:t>
            </w:r>
          </w:p>
        </w:tc>
        <w:tc>
          <w:tcPr>
            <w:tcW w:w="425" w:type="dxa"/>
            <w:tcMar>
              <w:top w:w="15" w:type="dxa"/>
              <w:left w:w="15" w:type="dxa"/>
              <w:bottom w:w="0" w:type="dxa"/>
              <w:right w:w="15" w:type="dxa"/>
            </w:tcMar>
            <w:vAlign w:val="center"/>
          </w:tcPr>
          <w:p w14:paraId="6C440180" w14:textId="616DB421"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11</w:t>
            </w:r>
          </w:p>
        </w:tc>
        <w:tc>
          <w:tcPr>
            <w:tcW w:w="1276" w:type="dxa"/>
            <w:tcMar>
              <w:top w:w="15" w:type="dxa"/>
              <w:left w:w="15" w:type="dxa"/>
              <w:bottom w:w="0" w:type="dxa"/>
              <w:right w:w="15" w:type="dxa"/>
            </w:tcMar>
            <w:vAlign w:val="center"/>
          </w:tcPr>
          <w:p w14:paraId="07FA826A" w14:textId="59CEFFBC"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40</w:t>
            </w:r>
            <w:r w:rsidR="004229FA" w:rsidRPr="000E1337">
              <w:rPr>
                <w:rFonts w:asciiTheme="majorBidi" w:hAnsiTheme="majorBidi" w:cstheme="majorBidi"/>
                <w:sz w:val="20"/>
                <w:szCs w:val="20"/>
              </w:rPr>
              <w:t>–</w:t>
            </w:r>
            <w:r w:rsidRPr="000E1337">
              <w:rPr>
                <w:rFonts w:asciiTheme="majorBidi" w:hAnsiTheme="majorBidi" w:cstheme="majorBidi"/>
                <w:sz w:val="20"/>
                <w:szCs w:val="20"/>
              </w:rPr>
              <w:t>74</w:t>
            </w:r>
          </w:p>
        </w:tc>
        <w:tc>
          <w:tcPr>
            <w:tcW w:w="1134" w:type="dxa"/>
            <w:tcMar>
              <w:top w:w="15" w:type="dxa"/>
              <w:left w:w="15" w:type="dxa"/>
              <w:bottom w:w="0" w:type="dxa"/>
              <w:right w:w="15" w:type="dxa"/>
            </w:tcMar>
            <w:vAlign w:val="center"/>
          </w:tcPr>
          <w:p w14:paraId="3069DA2D" w14:textId="047504C7"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50</w:t>
            </w:r>
            <w:r w:rsidR="004229FA" w:rsidRPr="000E1337">
              <w:rPr>
                <w:rFonts w:asciiTheme="majorBidi" w:hAnsiTheme="majorBidi" w:cstheme="majorBidi"/>
                <w:sz w:val="20"/>
                <w:szCs w:val="20"/>
              </w:rPr>
              <w:t>–</w:t>
            </w:r>
            <w:r w:rsidRPr="000E1337">
              <w:rPr>
                <w:rFonts w:asciiTheme="majorBidi" w:hAnsiTheme="majorBidi" w:cstheme="majorBidi"/>
                <w:sz w:val="20"/>
                <w:szCs w:val="20"/>
              </w:rPr>
              <w:t>78</w:t>
            </w:r>
          </w:p>
        </w:tc>
        <w:tc>
          <w:tcPr>
            <w:tcW w:w="1134" w:type="dxa"/>
            <w:tcMar>
              <w:top w:w="15" w:type="dxa"/>
              <w:left w:w="15" w:type="dxa"/>
              <w:bottom w:w="0" w:type="dxa"/>
              <w:right w:w="15" w:type="dxa"/>
            </w:tcMar>
            <w:vAlign w:val="center"/>
          </w:tcPr>
          <w:p w14:paraId="67E3B6A1" w14:textId="067BA9EE"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r w:rsidR="00191A31" w:rsidRPr="000E1337" w14:paraId="417FFABF" w14:textId="77777777" w:rsidTr="00E64550">
        <w:trPr>
          <w:trHeight w:val="176"/>
        </w:trPr>
        <w:tc>
          <w:tcPr>
            <w:tcW w:w="2430" w:type="dxa"/>
            <w:tcMar>
              <w:top w:w="15" w:type="dxa"/>
              <w:left w:w="15" w:type="dxa"/>
              <w:bottom w:w="0" w:type="dxa"/>
              <w:right w:w="15" w:type="dxa"/>
            </w:tcMar>
            <w:vAlign w:val="center"/>
          </w:tcPr>
          <w:p w14:paraId="6FF9C718" w14:textId="3D1E901A" w:rsidR="00191A31" w:rsidRPr="000E1337" w:rsidRDefault="00191A31"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lastRenderedPageBreak/>
              <w:t xml:space="preserve">Han et al., 2007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{"citationID":"a1h0uq4noc8","properties":{"formattedCitation":"[45]","plainCitation":"[45]","noteIndex":0},"citationItems":[{"id":101,"uris":["http://zotero.org/users/local/J5Cy8xXX/items/5G8WGJMB"],"itemData":{"id":101,"type":"article-journal","abstract":"This study examined the pharmacokinetics of fentanyl in burned patients during the hyperdynamic phase. Twenty adults, aged 37 +/- 2 years (mean +/- SE), with 49 +/- 3% total body surface area burn, were studied at 17 +/- 2 days after the injury and compared to demographically matched controls. After a 200-microg IV bolus of fentanyl, blood samples (n = 20) were collected for 4.5 hours. Concentration-time curves were fitted to a 2-compartment model. Burned patients had a higher cardiac index. Median fentanyl clearance (CL, 21.0 vs 29.4 mL/kg/min), central compartment volume (V(1), 0.37 vs 0.61 L/kg), and total volume of distribution (V(area), 3.6 vs 5.8 L/kg) were higher in burned patients. Cardiac index was unrelated to CL. The increased V(1) and V(area) are likely due to large intravenous fluid replacement and tissue edema. Higher CL and larger V(1) and V(area) leading to a lower fentanyl plasma concentration may partially explain the increased opiate requirement previously observed after burn injury.","container-title":"Journal of Clinical Pharmacology","DOI":"10.1177/0091270007299756","ISSN":"0091-2700","issue":"6","journalAbbreviation":"J Clin Pharmacol","language":"eng","note":"PMID: 17428913","page":"674-680","source":"PubMed","title":"Fentanyl clearance and volume of distribution are increased in patients with major burns","volume":"47","author":[{"family":"Han","given":"Taehyung"},{"family":"Harmatz","given":"Jerold S."},{"family":"Greenblatt","given":"David J."},{"family":"Martyn","given":"J. A. Jeevendra"}],"issued":{"date-parts":[["2007",6]]}}}],"schema":"https://github.com/citation-style-language/schema/raw/master/csl-citation.json"}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[45]</w:t>
            </w:r>
            <w:r w:rsidRPr="000E1337">
              <w:rPr>
                <w:rFonts w:asciiTheme="majorBidi" w:hAnsiTheme="majorBidi" w:cstheme="majorBidi"/>
                <w:sz w:val="20"/>
                <w:szCs w:val="20"/>
              </w:rPr>
              <w:fldChar w:fldCharType="end"/>
            </w:r>
          </w:p>
        </w:tc>
        <w:tc>
          <w:tcPr>
            <w:tcW w:w="3547" w:type="dxa"/>
            <w:vAlign w:val="center"/>
          </w:tcPr>
          <w:p w14:paraId="5C57E99D" w14:textId="245BD821" w:rsidR="00191A31" w:rsidRPr="000E1337" w:rsidRDefault="00191A31" w:rsidP="00191A31">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rPr>
              <w:t xml:space="preserve">200 </w:t>
            </w:r>
            <w:r w:rsidRPr="000E1337">
              <w:rPr>
                <w:rFonts w:asciiTheme="majorBidi" w:hAnsiTheme="majorBidi" w:cstheme="majorBidi"/>
                <w:sz w:val="20"/>
                <w:szCs w:val="20"/>
                <w:lang w:val="pt-BR"/>
              </w:rPr>
              <w:t>µ</w:t>
            </w:r>
            <w:r w:rsidRPr="000E1337">
              <w:rPr>
                <w:rFonts w:asciiTheme="majorBidi" w:hAnsiTheme="majorBidi" w:cstheme="majorBidi"/>
                <w:sz w:val="20"/>
                <w:szCs w:val="20"/>
                <w:lang w:val="nn-NO"/>
              </w:rPr>
              <w:t>g</w:t>
            </w:r>
          </w:p>
        </w:tc>
        <w:tc>
          <w:tcPr>
            <w:tcW w:w="425" w:type="dxa"/>
            <w:tcMar>
              <w:top w:w="15" w:type="dxa"/>
              <w:left w:w="15" w:type="dxa"/>
              <w:bottom w:w="0" w:type="dxa"/>
              <w:right w:w="15" w:type="dxa"/>
            </w:tcMar>
            <w:vAlign w:val="center"/>
          </w:tcPr>
          <w:p w14:paraId="33AA1CA7" w14:textId="727F203C"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20</w:t>
            </w:r>
          </w:p>
        </w:tc>
        <w:tc>
          <w:tcPr>
            <w:tcW w:w="1276" w:type="dxa"/>
            <w:tcMar>
              <w:top w:w="15" w:type="dxa"/>
              <w:left w:w="15" w:type="dxa"/>
              <w:bottom w:w="0" w:type="dxa"/>
              <w:right w:w="15" w:type="dxa"/>
            </w:tcMar>
            <w:vAlign w:val="center"/>
          </w:tcPr>
          <w:p w14:paraId="201A0CBC" w14:textId="292A586B"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35</w:t>
            </w:r>
            <w:r w:rsidR="004229FA" w:rsidRPr="000E1337">
              <w:rPr>
                <w:rFonts w:asciiTheme="majorBidi" w:hAnsiTheme="majorBidi" w:cstheme="majorBidi"/>
                <w:sz w:val="20"/>
                <w:szCs w:val="20"/>
              </w:rPr>
              <w:t>–</w:t>
            </w:r>
            <w:r w:rsidRPr="000E1337">
              <w:rPr>
                <w:rFonts w:asciiTheme="majorBidi" w:hAnsiTheme="majorBidi" w:cstheme="majorBidi"/>
                <w:sz w:val="20"/>
                <w:szCs w:val="20"/>
              </w:rPr>
              <w:t>41</w:t>
            </w:r>
          </w:p>
        </w:tc>
        <w:tc>
          <w:tcPr>
            <w:tcW w:w="1134" w:type="dxa"/>
            <w:tcMar>
              <w:top w:w="15" w:type="dxa"/>
              <w:left w:w="15" w:type="dxa"/>
              <w:bottom w:w="0" w:type="dxa"/>
              <w:right w:w="15" w:type="dxa"/>
            </w:tcMar>
            <w:vAlign w:val="center"/>
          </w:tcPr>
          <w:p w14:paraId="22674883" w14:textId="7AFC0EB3"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64</w:t>
            </w:r>
            <w:r w:rsidR="004229FA" w:rsidRPr="000E1337">
              <w:rPr>
                <w:rFonts w:asciiTheme="majorBidi" w:hAnsiTheme="majorBidi" w:cstheme="majorBidi"/>
                <w:sz w:val="20"/>
                <w:szCs w:val="20"/>
              </w:rPr>
              <w:t>–</w:t>
            </w:r>
            <w:r w:rsidRPr="000E1337">
              <w:rPr>
                <w:rFonts w:asciiTheme="majorBidi" w:hAnsiTheme="majorBidi" w:cstheme="majorBidi"/>
                <w:sz w:val="20"/>
                <w:szCs w:val="20"/>
              </w:rPr>
              <w:t>70</w:t>
            </w:r>
          </w:p>
        </w:tc>
        <w:tc>
          <w:tcPr>
            <w:tcW w:w="1134" w:type="dxa"/>
            <w:tcMar>
              <w:top w:w="15" w:type="dxa"/>
              <w:left w:w="15" w:type="dxa"/>
              <w:bottom w:w="0" w:type="dxa"/>
              <w:right w:w="15" w:type="dxa"/>
            </w:tcMar>
            <w:vAlign w:val="center"/>
          </w:tcPr>
          <w:p w14:paraId="6F55969D" w14:textId="7A83C985"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164</w:t>
            </w:r>
            <w:r w:rsidR="004229FA" w:rsidRPr="000E1337">
              <w:rPr>
                <w:rFonts w:asciiTheme="majorBidi" w:hAnsiTheme="majorBidi" w:cstheme="majorBidi"/>
                <w:sz w:val="20"/>
                <w:szCs w:val="20"/>
              </w:rPr>
              <w:t>–</w:t>
            </w:r>
            <w:r w:rsidRPr="000E1337">
              <w:rPr>
                <w:rFonts w:asciiTheme="majorBidi" w:hAnsiTheme="majorBidi" w:cstheme="majorBidi"/>
                <w:sz w:val="20"/>
                <w:szCs w:val="20"/>
              </w:rPr>
              <w:t>170</w:t>
            </w:r>
          </w:p>
        </w:tc>
      </w:tr>
      <w:tr w:rsidR="00191A31" w:rsidRPr="000E1337" w14:paraId="5EF08E94" w14:textId="77777777" w:rsidTr="00E64550">
        <w:trPr>
          <w:trHeight w:val="176"/>
        </w:trPr>
        <w:tc>
          <w:tcPr>
            <w:tcW w:w="2430" w:type="dxa"/>
            <w:tcBorders>
              <w:bottom w:val="single" w:sz="12" w:space="0" w:color="auto"/>
            </w:tcBorders>
            <w:tcMar>
              <w:top w:w="15" w:type="dxa"/>
              <w:left w:w="15" w:type="dxa"/>
              <w:bottom w:w="0" w:type="dxa"/>
              <w:right w:w="15" w:type="dxa"/>
            </w:tcMar>
            <w:vAlign w:val="center"/>
          </w:tcPr>
          <w:p w14:paraId="78456FE0" w14:textId="1BEEC194" w:rsidR="00191A31" w:rsidRPr="000E1337" w:rsidRDefault="00191A31" w:rsidP="00EE60C4">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 xml:space="preserve">Tanaka et al, 2014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{"citationID":"EC5dkmlf","properties":{"formattedCitation":"[46]","plainCitation":"[46]","noteIndex":0},"citationItems":[{"id":"NzKo45Wf/hAfsSMgT","uris":["http://zotero.org/users/6482121/items/7MK2DGLT"],"itemData":{"id":3761,"type":"article-journal","abstract":"BACKGROUND: The pharmacokinetic characteristics of intravenous fentanyl have not been fully clarified in the early postsurgical period. The aim of this study was to evaluate the plasma exposure and urinary excretion of fentanyl and norfentanyl according to cytochrome P450 (CYP) 3A5 genetic polymorphism.\nMETHODS: Fifty-two adult Japanese postoperative patients receiving a continuous intravenous fentanyl infusion were enrolled. Plasma concentrations of fentanyl and norfentanyl were determined at 24 hours after the operation, and their urinary excretion from 12 to 36 hours was evaluated.\nRESULTS: Plasma concentrations of fentanyl normalized for infusion rate were significantly higher in the *3/*3 group than in the *1 carrier group. The plasma concentration ratio of norfentanyl to fentanyl was significantly lower in the *3/*3 group than in the *1 carrier group. Urinary excretion rates of fentanyl and norfentanyl were 4.4% and 71%, respectively, and no significant differences were observed between the CYP3A5 genotypes. Renal clearance ratios of fentanyl and norfentanyl to creatinine were 0.34 and 3.4, respectively. There were no significant differences in the renal clearance ratios between the genotypes. Free fractions of fentanyl and norfentanyl in human plasma were 4.9% and 95%, respectively. Total and nonrenal clearance of fentanyl were significantly lower in the *3/*3 group than in the *1 carrier group.\nCONCLUSIONS: CYP3A5*3 affected the plasma exposure of fentanyl but not urinary excretion in our postoperative patients. The renal clearance ratios of fentanyl and norfentanyl to creatinine were much higher than their free fractions in plasma. These findings suggest a slight contribution of renal tubular secretion of fentanyl and norfentanyl to their plasma exposures.","container-title":"Therapeutic Drug Monitoring","DOI":"10.1097/FTD.0000000000000029","ISSN":"1536-3694","issue":"3","journalAbbreviation":"Ther Drug Monit","language":"eng","note":"PMID: 24365989","page":"345-352","source":"PubMed","title":"Impact of CYP3A5*3 on plasma exposure and urinary excretion of fentanyl and norfentanyl in the early postsurgical period","volume":"36","author":[{"family":"Tanaka","given":"Noriaki"},{"family":"Naito","given":"Takafumi"},{"family":"Yagi","given":"Tatsuya"},{"family":"Doi","given":"Matsuyuki"},{"family":"Sato","given":"Shigehito"},{"family":"Kawakami","given":"Junichi"}],"issued":{"date-parts":[["2014",6]]}}}],"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[46]</w:t>
            </w:r>
            <w:r w:rsidRPr="000E1337">
              <w:rPr>
                <w:rFonts w:asciiTheme="majorBidi" w:hAnsiTheme="majorBidi" w:cstheme="majorBidi"/>
                <w:sz w:val="20"/>
                <w:szCs w:val="20"/>
              </w:rPr>
              <w:fldChar w:fldCharType="end"/>
            </w:r>
          </w:p>
        </w:tc>
        <w:tc>
          <w:tcPr>
            <w:tcW w:w="3547" w:type="dxa"/>
            <w:tcBorders>
              <w:bottom w:val="single" w:sz="12" w:space="0" w:color="auto"/>
            </w:tcBorders>
            <w:vAlign w:val="center"/>
          </w:tcPr>
          <w:p w14:paraId="1AE1CD34" w14:textId="6EA39BE9" w:rsidR="00191A31" w:rsidRPr="000E1337" w:rsidRDefault="00191A31" w:rsidP="00191A31">
            <w:pPr>
              <w:spacing w:after="0" w:line="240" w:lineRule="auto"/>
              <w:jc w:val="center"/>
              <w:rPr>
                <w:rFonts w:asciiTheme="majorBidi" w:hAnsiTheme="majorBidi" w:cstheme="majorBidi"/>
                <w:sz w:val="20"/>
                <w:szCs w:val="20"/>
                <w:lang w:val="pt-BR"/>
              </w:rPr>
            </w:pPr>
            <w:r w:rsidRPr="000E1337">
              <w:rPr>
                <w:rFonts w:asciiTheme="majorBidi" w:hAnsiTheme="majorBidi" w:cstheme="majorBidi"/>
                <w:sz w:val="20"/>
                <w:szCs w:val="20"/>
                <w:lang w:val="pt-BR"/>
              </w:rPr>
              <w:t>25.1 µg/h</w:t>
            </w:r>
          </w:p>
        </w:tc>
        <w:tc>
          <w:tcPr>
            <w:tcW w:w="425" w:type="dxa"/>
            <w:tcBorders>
              <w:bottom w:val="single" w:sz="12" w:space="0" w:color="auto"/>
            </w:tcBorders>
            <w:tcMar>
              <w:top w:w="15" w:type="dxa"/>
              <w:left w:w="15" w:type="dxa"/>
              <w:bottom w:w="0" w:type="dxa"/>
              <w:right w:w="15" w:type="dxa"/>
            </w:tcMar>
            <w:vAlign w:val="center"/>
          </w:tcPr>
          <w:p w14:paraId="6389FBDC" w14:textId="15A135F4"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52</w:t>
            </w:r>
          </w:p>
        </w:tc>
        <w:tc>
          <w:tcPr>
            <w:tcW w:w="1276" w:type="dxa"/>
            <w:tcBorders>
              <w:bottom w:val="single" w:sz="12" w:space="0" w:color="auto"/>
            </w:tcBorders>
            <w:tcMar>
              <w:top w:w="15" w:type="dxa"/>
              <w:left w:w="15" w:type="dxa"/>
              <w:bottom w:w="0" w:type="dxa"/>
              <w:right w:w="15" w:type="dxa"/>
            </w:tcMar>
            <w:vAlign w:val="center"/>
          </w:tcPr>
          <w:p w14:paraId="3F901B10" w14:textId="649F924D"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53–77</w:t>
            </w:r>
          </w:p>
        </w:tc>
        <w:tc>
          <w:tcPr>
            <w:tcW w:w="1134" w:type="dxa"/>
            <w:tcBorders>
              <w:bottom w:val="single" w:sz="12" w:space="0" w:color="auto"/>
            </w:tcBorders>
            <w:tcMar>
              <w:top w:w="15" w:type="dxa"/>
              <w:left w:w="15" w:type="dxa"/>
              <w:bottom w:w="0" w:type="dxa"/>
              <w:right w:w="15" w:type="dxa"/>
            </w:tcMar>
            <w:vAlign w:val="center"/>
          </w:tcPr>
          <w:p w14:paraId="166AFD1F" w14:textId="58BC8ACF"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tcBorders>
              <w:bottom w:val="single" w:sz="12" w:space="0" w:color="auto"/>
            </w:tcBorders>
            <w:tcMar>
              <w:top w:w="15" w:type="dxa"/>
              <w:left w:w="15" w:type="dxa"/>
              <w:bottom w:w="0" w:type="dxa"/>
              <w:right w:w="15" w:type="dxa"/>
            </w:tcMar>
            <w:vAlign w:val="center"/>
          </w:tcPr>
          <w:p w14:paraId="217D4C9B" w14:textId="5426042F" w:rsidR="00191A31" w:rsidRPr="000E1337" w:rsidRDefault="00191A31" w:rsidP="00191A31">
            <w:pPr>
              <w:spacing w:after="0" w:line="240" w:lineRule="auto"/>
              <w:jc w:val="center"/>
              <w:rPr>
                <w:rFonts w:asciiTheme="majorBidi" w:hAnsiTheme="majorBidi" w:cstheme="majorBidi"/>
                <w:sz w:val="20"/>
                <w:szCs w:val="20"/>
              </w:rPr>
            </w:pPr>
            <w:r w:rsidRPr="000E1337">
              <w:rPr>
                <w:rFonts w:asciiTheme="majorBidi" w:hAnsiTheme="majorBidi" w:cstheme="majorBidi"/>
                <w:sz w:val="20"/>
                <w:szCs w:val="20"/>
              </w:rPr>
              <w:t>-</w:t>
            </w:r>
          </w:p>
        </w:tc>
      </w:tr>
    </w:tbl>
    <w:p w14:paraId="2B8141EB" w14:textId="01683134" w:rsidR="005637BF" w:rsidRPr="000E1337" w:rsidRDefault="00B56022" w:rsidP="00B56022">
      <w:pPr>
        <w:spacing w:after="0" w:line="240" w:lineRule="auto"/>
        <w:rPr>
          <w:rFonts w:asciiTheme="majorBidi" w:hAnsiTheme="majorBidi" w:cstheme="majorBidi"/>
          <w:sz w:val="20"/>
          <w:szCs w:val="20"/>
        </w:rPr>
      </w:pPr>
      <w:r w:rsidRPr="000E1337">
        <w:rPr>
          <w:rFonts w:asciiTheme="majorBidi" w:hAnsiTheme="majorBidi" w:cstheme="majorBidi"/>
          <w:i/>
          <w:iCs/>
          <w:sz w:val="20"/>
          <w:szCs w:val="20"/>
        </w:rPr>
        <w:t xml:space="preserve">SD: standard deviation, </w:t>
      </w:r>
      <w:r w:rsidR="007F2575" w:rsidRPr="000E1337">
        <w:rPr>
          <w:rFonts w:asciiTheme="majorBidi" w:hAnsiTheme="majorBidi" w:cstheme="majorBidi"/>
          <w:i/>
          <w:iCs/>
          <w:sz w:val="20"/>
          <w:szCs w:val="20"/>
        </w:rPr>
        <w:t>BW</w:t>
      </w:r>
      <w:r w:rsidR="0098044B" w:rsidRPr="000E1337">
        <w:rPr>
          <w:rFonts w:asciiTheme="majorBidi" w:hAnsiTheme="majorBidi" w:cstheme="majorBidi"/>
          <w:i/>
          <w:iCs/>
          <w:sz w:val="20"/>
          <w:szCs w:val="20"/>
        </w:rPr>
        <w:t>:</w:t>
      </w:r>
      <w:r w:rsidR="007F2575" w:rsidRPr="000E1337">
        <w:rPr>
          <w:rFonts w:asciiTheme="majorBidi" w:hAnsiTheme="majorBidi" w:cstheme="majorBidi"/>
          <w:i/>
          <w:iCs/>
          <w:sz w:val="20"/>
          <w:szCs w:val="20"/>
        </w:rPr>
        <w:t xml:space="preserve"> </w:t>
      </w:r>
      <w:r w:rsidR="0098044B" w:rsidRPr="000E1337">
        <w:rPr>
          <w:rFonts w:asciiTheme="majorBidi" w:hAnsiTheme="majorBidi" w:cstheme="majorBidi"/>
          <w:i/>
          <w:iCs/>
          <w:sz w:val="20"/>
          <w:szCs w:val="20"/>
        </w:rPr>
        <w:t>b</w:t>
      </w:r>
      <w:r w:rsidR="007F2575" w:rsidRPr="000E1337">
        <w:rPr>
          <w:rFonts w:asciiTheme="majorBidi" w:hAnsiTheme="majorBidi" w:cstheme="majorBidi"/>
          <w:i/>
          <w:iCs/>
          <w:sz w:val="20"/>
          <w:szCs w:val="20"/>
        </w:rPr>
        <w:t xml:space="preserve">ody </w:t>
      </w:r>
      <w:r w:rsidR="0098044B" w:rsidRPr="000E1337">
        <w:rPr>
          <w:rFonts w:asciiTheme="majorBidi" w:hAnsiTheme="majorBidi" w:cstheme="majorBidi"/>
          <w:i/>
          <w:iCs/>
          <w:sz w:val="20"/>
          <w:szCs w:val="20"/>
        </w:rPr>
        <w:t>w</w:t>
      </w:r>
      <w:r w:rsidR="007F2575" w:rsidRPr="000E1337">
        <w:rPr>
          <w:rFonts w:asciiTheme="majorBidi" w:hAnsiTheme="majorBidi" w:cstheme="majorBidi"/>
          <w:i/>
          <w:iCs/>
          <w:sz w:val="20"/>
          <w:szCs w:val="20"/>
        </w:rPr>
        <w:t xml:space="preserve">eight, </w:t>
      </w:r>
      <w:proofErr w:type="spellStart"/>
      <w:r w:rsidR="007F2575" w:rsidRPr="000E1337">
        <w:rPr>
          <w:rFonts w:asciiTheme="majorBidi" w:hAnsiTheme="majorBidi" w:cstheme="majorBidi"/>
          <w:i/>
          <w:iCs/>
          <w:sz w:val="20"/>
          <w:szCs w:val="20"/>
        </w:rPr>
        <w:t>Ht</w:t>
      </w:r>
      <w:proofErr w:type="spellEnd"/>
      <w:r w:rsidR="0098044B" w:rsidRPr="000E1337">
        <w:rPr>
          <w:rFonts w:asciiTheme="majorBidi" w:hAnsiTheme="majorBidi" w:cstheme="majorBidi"/>
          <w:i/>
          <w:iCs/>
          <w:sz w:val="20"/>
          <w:szCs w:val="20"/>
        </w:rPr>
        <w:t>:</w:t>
      </w:r>
      <w:r w:rsidR="007F2575" w:rsidRPr="000E1337">
        <w:rPr>
          <w:rFonts w:asciiTheme="majorBidi" w:hAnsiTheme="majorBidi" w:cstheme="majorBidi"/>
          <w:i/>
          <w:iCs/>
          <w:sz w:val="20"/>
          <w:szCs w:val="20"/>
        </w:rPr>
        <w:t xml:space="preserve"> </w:t>
      </w:r>
      <w:r w:rsidR="0098044B" w:rsidRPr="000E1337">
        <w:rPr>
          <w:rFonts w:asciiTheme="majorBidi" w:hAnsiTheme="majorBidi" w:cstheme="majorBidi"/>
          <w:i/>
          <w:iCs/>
          <w:sz w:val="20"/>
          <w:szCs w:val="20"/>
        </w:rPr>
        <w:t>h</w:t>
      </w:r>
      <w:r w:rsidR="007F2575" w:rsidRPr="000E1337">
        <w:rPr>
          <w:rFonts w:asciiTheme="majorBidi" w:hAnsiTheme="majorBidi" w:cstheme="majorBidi"/>
          <w:i/>
          <w:iCs/>
          <w:sz w:val="20"/>
          <w:szCs w:val="20"/>
        </w:rPr>
        <w:t>eight</w:t>
      </w:r>
      <w:r w:rsidR="005637BF" w:rsidRPr="000E1337">
        <w:rPr>
          <w:rFonts w:asciiTheme="majorBidi" w:hAnsiTheme="majorBidi" w:cstheme="majorBidi"/>
          <w:sz w:val="20"/>
          <w:szCs w:val="20"/>
        </w:rPr>
        <w:br w:type="page"/>
      </w:r>
    </w:p>
    <w:p w14:paraId="175AAEF6" w14:textId="4449D41B" w:rsidR="00082E62" w:rsidRPr="000E1337" w:rsidRDefault="006549AA" w:rsidP="006830AE">
      <w:pPr>
        <w:spacing w:after="0" w:line="360" w:lineRule="auto"/>
        <w:rPr>
          <w:rFonts w:asciiTheme="majorBidi" w:hAnsiTheme="majorBidi" w:cstheme="majorBidi"/>
        </w:rPr>
      </w:pPr>
      <w:bookmarkStart w:id="8" w:name="_Hlk162569846"/>
      <w:r w:rsidRPr="000E1337">
        <w:rPr>
          <w:rFonts w:asciiTheme="majorBidi" w:hAnsiTheme="majorBidi" w:cstheme="majorBidi"/>
          <w:b/>
          <w:bCs/>
        </w:rPr>
        <w:lastRenderedPageBreak/>
        <w:t>Table S</w:t>
      </w:r>
      <w:r w:rsidR="00AA4A54" w:rsidRPr="000E1337">
        <w:rPr>
          <w:rFonts w:asciiTheme="majorBidi" w:hAnsiTheme="majorBidi" w:cstheme="majorBidi"/>
          <w:b/>
          <w:bCs/>
        </w:rPr>
        <w:t>5</w:t>
      </w:r>
      <w:r w:rsidRPr="000E1337">
        <w:rPr>
          <w:rFonts w:asciiTheme="majorBidi" w:hAnsiTheme="majorBidi" w:cstheme="majorBidi"/>
          <w:b/>
          <w:bCs/>
        </w:rPr>
        <w:t>. A summary of the clinical studies used to develop and</w:t>
      </w:r>
      <w:r w:rsidR="003A2553" w:rsidRPr="000E1337">
        <w:rPr>
          <w:rFonts w:asciiTheme="majorBidi" w:hAnsiTheme="majorBidi" w:cstheme="majorBidi"/>
          <w:b/>
          <w:bCs/>
        </w:rPr>
        <w:t xml:space="preserve"> </w:t>
      </w:r>
      <w:r w:rsidR="00982863" w:rsidRPr="000E1337">
        <w:rPr>
          <w:rFonts w:asciiTheme="majorBidi" w:hAnsiTheme="majorBidi" w:cstheme="majorBidi"/>
          <w:b/>
          <w:bCs/>
        </w:rPr>
        <w:t>verify</w:t>
      </w:r>
      <w:r w:rsidRPr="000E1337">
        <w:rPr>
          <w:rFonts w:asciiTheme="majorBidi" w:hAnsiTheme="majorBidi" w:cstheme="majorBidi"/>
          <w:b/>
          <w:bCs/>
        </w:rPr>
        <w:t xml:space="preserve"> the PBPK models in pediatric</w:t>
      </w:r>
    </w:p>
    <w:tbl>
      <w:tblPr>
        <w:tblStyle w:val="a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225"/>
        <w:gridCol w:w="2160"/>
        <w:gridCol w:w="540"/>
        <w:gridCol w:w="540"/>
        <w:gridCol w:w="1615"/>
        <w:gridCol w:w="1843"/>
      </w:tblGrid>
      <w:tr w:rsidR="00A80370" w:rsidRPr="000E1337" w14:paraId="3AEED365" w14:textId="77777777" w:rsidTr="00575E39">
        <w:trPr>
          <w:trHeight w:val="56"/>
        </w:trPr>
        <w:tc>
          <w:tcPr>
            <w:tcW w:w="3225" w:type="dxa"/>
            <w:tcBorders>
              <w:top w:val="single" w:sz="12" w:space="0" w:color="auto"/>
              <w:bottom w:val="single" w:sz="12" w:space="0" w:color="auto"/>
            </w:tcBorders>
            <w:vAlign w:val="center"/>
            <w:hideMark/>
          </w:tcPr>
          <w:bookmarkEnd w:id="8"/>
          <w:p w14:paraId="57EA1416" w14:textId="3F22E7FF" w:rsidR="00A80370" w:rsidRPr="000E1337" w:rsidRDefault="00A80370" w:rsidP="00DA00C4">
            <w:pPr>
              <w:spacing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Clinical Study</w:t>
            </w:r>
          </w:p>
        </w:tc>
        <w:tc>
          <w:tcPr>
            <w:tcW w:w="2160" w:type="dxa"/>
            <w:tcBorders>
              <w:top w:val="single" w:sz="12" w:space="0" w:color="auto"/>
              <w:bottom w:val="single" w:sz="12" w:space="0" w:color="auto"/>
            </w:tcBorders>
            <w:vAlign w:val="center"/>
            <w:hideMark/>
          </w:tcPr>
          <w:p w14:paraId="1B158B09" w14:textId="3B2CCF35" w:rsidR="00A80370" w:rsidRPr="000E1337" w:rsidRDefault="00A80370" w:rsidP="00DA00C4">
            <w:pPr>
              <w:spacing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 xml:space="preserve">Dose </w:t>
            </w:r>
          </w:p>
        </w:tc>
        <w:tc>
          <w:tcPr>
            <w:tcW w:w="540" w:type="dxa"/>
            <w:tcBorders>
              <w:top w:val="single" w:sz="12" w:space="0" w:color="auto"/>
              <w:bottom w:val="single" w:sz="12" w:space="0" w:color="auto"/>
            </w:tcBorders>
            <w:vAlign w:val="center"/>
            <w:hideMark/>
          </w:tcPr>
          <w:p w14:paraId="64D178DA" w14:textId="77777777" w:rsidR="00A80370" w:rsidRPr="000E1337" w:rsidRDefault="00A80370" w:rsidP="00DA00C4">
            <w:pPr>
              <w:spacing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N</w:t>
            </w:r>
          </w:p>
        </w:tc>
        <w:tc>
          <w:tcPr>
            <w:tcW w:w="540" w:type="dxa"/>
            <w:tcBorders>
              <w:top w:val="single" w:sz="12" w:space="0" w:color="auto"/>
              <w:bottom w:val="single" w:sz="12" w:space="0" w:color="auto"/>
            </w:tcBorders>
            <w:vAlign w:val="center"/>
            <w:hideMark/>
          </w:tcPr>
          <w:p w14:paraId="1413E08C" w14:textId="70DE18EC" w:rsidR="00A80370" w:rsidRPr="000E1337" w:rsidRDefault="00A80370" w:rsidP="00DA00C4">
            <w:pPr>
              <w:spacing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GA</w:t>
            </w:r>
          </w:p>
        </w:tc>
        <w:tc>
          <w:tcPr>
            <w:tcW w:w="1615" w:type="dxa"/>
            <w:tcBorders>
              <w:top w:val="single" w:sz="12" w:space="0" w:color="auto"/>
              <w:bottom w:val="single" w:sz="12" w:space="0" w:color="auto"/>
            </w:tcBorders>
            <w:vAlign w:val="center"/>
            <w:hideMark/>
          </w:tcPr>
          <w:p w14:paraId="599A098A" w14:textId="50394566" w:rsidR="00A80370" w:rsidRPr="000E1337" w:rsidRDefault="00A80370" w:rsidP="00DA00C4">
            <w:pPr>
              <w:spacing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Age</w:t>
            </w:r>
            <w:r w:rsidR="00575E39" w:rsidRPr="000E1337">
              <w:rPr>
                <w:rFonts w:asciiTheme="majorBidi" w:hAnsiTheme="majorBidi" w:cstheme="majorBidi"/>
                <w:b/>
                <w:bCs/>
                <w:sz w:val="20"/>
                <w:szCs w:val="20"/>
              </w:rPr>
              <w:t xml:space="preserve"> (</w:t>
            </w:r>
            <w:r w:rsidR="001B6A92" w:rsidRPr="000E1337">
              <w:rPr>
                <w:rFonts w:asciiTheme="majorBidi" w:hAnsiTheme="majorBidi" w:cstheme="majorBidi"/>
                <w:b/>
                <w:bCs/>
                <w:sz w:val="20"/>
                <w:szCs w:val="20"/>
              </w:rPr>
              <w:t xml:space="preserve">value, </w:t>
            </w:r>
            <w:r w:rsidR="00575E39" w:rsidRPr="000E1337">
              <w:rPr>
                <w:rFonts w:asciiTheme="majorBidi" w:hAnsiTheme="majorBidi" w:cstheme="majorBidi"/>
                <w:b/>
                <w:bCs/>
                <w:sz w:val="20"/>
                <w:szCs w:val="20"/>
              </w:rPr>
              <w:t>min-max</w:t>
            </w:r>
            <w:r w:rsidR="001B6A92" w:rsidRPr="000E1337">
              <w:rPr>
                <w:rFonts w:asciiTheme="majorBidi" w:hAnsiTheme="majorBidi" w:cstheme="majorBidi"/>
                <w:b/>
                <w:bCs/>
                <w:sz w:val="20"/>
                <w:szCs w:val="20"/>
              </w:rPr>
              <w:t>,</w:t>
            </w:r>
            <w:r w:rsidR="00575E39" w:rsidRPr="000E1337">
              <w:rPr>
                <w:rFonts w:asciiTheme="majorBidi" w:hAnsiTheme="majorBidi" w:cstheme="majorBidi"/>
                <w:b/>
                <w:bCs/>
                <w:sz w:val="20"/>
                <w:szCs w:val="20"/>
              </w:rPr>
              <w:t xml:space="preserve"> or mean ± SD)</w:t>
            </w:r>
          </w:p>
        </w:tc>
        <w:tc>
          <w:tcPr>
            <w:tcW w:w="1843" w:type="dxa"/>
            <w:tcBorders>
              <w:top w:val="single" w:sz="12" w:space="0" w:color="auto"/>
              <w:bottom w:val="single" w:sz="12" w:space="0" w:color="auto"/>
            </w:tcBorders>
            <w:vAlign w:val="center"/>
            <w:hideMark/>
          </w:tcPr>
          <w:p w14:paraId="056CD332" w14:textId="0711093B" w:rsidR="00A80370" w:rsidRPr="000E1337" w:rsidRDefault="00A80370" w:rsidP="00DA00C4">
            <w:pPr>
              <w:spacing w:line="276" w:lineRule="auto"/>
              <w:jc w:val="center"/>
              <w:rPr>
                <w:rFonts w:asciiTheme="majorBidi" w:hAnsiTheme="majorBidi" w:cstheme="majorBidi"/>
                <w:b/>
                <w:bCs/>
                <w:sz w:val="20"/>
                <w:szCs w:val="20"/>
              </w:rPr>
            </w:pPr>
            <w:r w:rsidRPr="000E1337">
              <w:rPr>
                <w:rFonts w:asciiTheme="majorBidi" w:hAnsiTheme="majorBidi" w:cstheme="majorBidi"/>
                <w:b/>
                <w:bCs/>
                <w:sz w:val="20"/>
                <w:szCs w:val="20"/>
              </w:rPr>
              <w:t>BW (kg</w:t>
            </w:r>
            <w:r w:rsidR="00575E39" w:rsidRPr="000E1337">
              <w:rPr>
                <w:rFonts w:asciiTheme="majorBidi" w:hAnsiTheme="majorBidi" w:cstheme="majorBidi"/>
                <w:b/>
                <w:bCs/>
                <w:sz w:val="20"/>
                <w:szCs w:val="20"/>
              </w:rPr>
              <w:t xml:space="preserve">; </w:t>
            </w:r>
            <w:r w:rsidR="001B6A92" w:rsidRPr="000E1337">
              <w:rPr>
                <w:rFonts w:asciiTheme="majorBidi" w:hAnsiTheme="majorBidi" w:cstheme="majorBidi"/>
                <w:b/>
                <w:bCs/>
                <w:sz w:val="20"/>
                <w:szCs w:val="20"/>
              </w:rPr>
              <w:t>value</w:t>
            </w:r>
            <w:r w:rsidR="00575E39" w:rsidRPr="000E1337">
              <w:rPr>
                <w:rFonts w:asciiTheme="majorBidi" w:hAnsiTheme="majorBidi" w:cstheme="majorBidi"/>
                <w:b/>
                <w:bCs/>
                <w:sz w:val="20"/>
                <w:szCs w:val="20"/>
              </w:rPr>
              <w:t xml:space="preserve"> or mean ± SD</w:t>
            </w:r>
            <w:r w:rsidRPr="000E1337">
              <w:rPr>
                <w:rFonts w:asciiTheme="majorBidi" w:hAnsiTheme="majorBidi" w:cstheme="majorBidi"/>
                <w:b/>
                <w:bCs/>
                <w:sz w:val="20"/>
                <w:szCs w:val="20"/>
              </w:rPr>
              <w:t>)</w:t>
            </w:r>
          </w:p>
        </w:tc>
      </w:tr>
      <w:tr w:rsidR="00A80370" w:rsidRPr="000E1337" w14:paraId="7482B8F3" w14:textId="77777777" w:rsidTr="00575E39">
        <w:trPr>
          <w:trHeight w:val="195"/>
        </w:trPr>
        <w:tc>
          <w:tcPr>
            <w:tcW w:w="3225" w:type="dxa"/>
            <w:vAlign w:val="center"/>
            <w:hideMark/>
          </w:tcPr>
          <w:p w14:paraId="2068C54C" w14:textId="70E10059" w:rsidR="00A80370" w:rsidRPr="000E1337" w:rsidRDefault="00A80370" w:rsidP="00EE60C4">
            <w:pPr>
              <w:jc w:val="center"/>
              <w:rPr>
                <w:rFonts w:asciiTheme="majorBidi" w:hAnsiTheme="majorBidi" w:cstheme="majorBidi"/>
                <w:sz w:val="20"/>
                <w:szCs w:val="20"/>
              </w:rPr>
            </w:pPr>
            <w:proofErr w:type="spellStart"/>
            <w:r w:rsidRPr="000E1337">
              <w:rPr>
                <w:rFonts w:asciiTheme="majorBidi" w:hAnsiTheme="majorBidi" w:cstheme="majorBidi"/>
                <w:sz w:val="20"/>
                <w:szCs w:val="20"/>
                <w:lang w:val="da-DK"/>
              </w:rPr>
              <w:t>Koehntop</w:t>
            </w:r>
            <w:proofErr w:type="spellEnd"/>
            <w:r w:rsidRPr="000E1337">
              <w:rPr>
                <w:rFonts w:asciiTheme="majorBidi" w:hAnsiTheme="majorBidi" w:cstheme="majorBidi"/>
                <w:sz w:val="20"/>
                <w:szCs w:val="20"/>
                <w:lang w:val="da-DK"/>
              </w:rPr>
              <w:t xml:space="preserve"> et al., 1986 </w:t>
            </w:r>
            <w:r w:rsidRPr="000E1337">
              <w:rPr>
                <w:rFonts w:asciiTheme="majorBidi" w:hAnsiTheme="majorBidi" w:cstheme="majorBidi"/>
                <w:sz w:val="20"/>
                <w:szCs w:val="20"/>
                <w:lang w:val="da-DK"/>
              </w:rPr>
              <w:fldChar w:fldCharType="begin"/>
            </w:r>
            <w:r w:rsidR="00EE60C4" w:rsidRPr="000E1337">
              <w:rPr>
                <w:rFonts w:asciiTheme="majorBidi" w:hAnsiTheme="majorBidi" w:cstheme="majorBidi"/>
                <w:sz w:val="20"/>
                <w:szCs w:val="20"/>
                <w:lang w:val="da-DK"/>
              </w:rPr>
              <w:instrText xml:space="preserve"> ADDIN ZOTERO_ITEM CSL_CITATION {"citationID":"QZptggOc","properties":{"formattedCitation":"[47]","plainCitation":"[47]","noteIndex":0},"citationItems":[{"id":"NzKo45Wf/jUlk6tWA","uris":["http://zotero.org/users/6482121/items/Z47MHNAB"],"itemData":{"id":451,"type":"article-journal","container-title":"ANESTH ANALG","language":"en","page":"6","source":"Zotero","title":"Pharmacokinetics of Fentanyl in Neonates","author":[{"family":"Koehntop","given":"Douglas E"},{"family":"Rodman","given":"John H"},{"family":"Brundage","given":"Diane M"},{"family":"Buckley","given":"Joseph J"}]}}],"schema":"https://github.com/citation-style-language/schema/raw/master/csl-citation.json"} </w:instrText>
            </w:r>
            <w:r w:rsidRPr="000E1337">
              <w:rPr>
                <w:rFonts w:asciiTheme="majorBidi" w:hAnsiTheme="majorBidi" w:cstheme="majorBidi"/>
                <w:sz w:val="20"/>
                <w:szCs w:val="20"/>
                <w:lang w:val="da-DK"/>
              </w:rPr>
              <w:fldChar w:fldCharType="separate"/>
            </w:r>
            <w:r w:rsidR="00EE60C4" w:rsidRPr="008A707E">
              <w:rPr>
                <w:rFonts w:asciiTheme="majorBidi" w:hAnsiTheme="majorBidi" w:cstheme="majorBidi"/>
                <w:sz w:val="20"/>
              </w:rPr>
              <w:t>[47]</w:t>
            </w:r>
            <w:r w:rsidRPr="000E1337">
              <w:rPr>
                <w:rFonts w:asciiTheme="majorBidi" w:hAnsiTheme="majorBidi" w:cstheme="majorBidi"/>
                <w:sz w:val="20"/>
                <w:szCs w:val="20"/>
                <w:lang w:val="da-DK"/>
              </w:rPr>
              <w:fldChar w:fldCharType="end"/>
            </w:r>
          </w:p>
        </w:tc>
        <w:tc>
          <w:tcPr>
            <w:tcW w:w="2160" w:type="dxa"/>
            <w:vAlign w:val="center"/>
            <w:hideMark/>
          </w:tcPr>
          <w:p w14:paraId="4D0524A1" w14:textId="50E6B4D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 xml:space="preserve">25 </w:t>
            </w:r>
            <w:bookmarkStart w:id="9" w:name="_Hlk160663304"/>
            <w:r w:rsidRPr="000E1337">
              <w:rPr>
                <w:rFonts w:asciiTheme="majorBidi" w:hAnsiTheme="majorBidi" w:cstheme="majorBidi"/>
                <w:sz w:val="20"/>
                <w:szCs w:val="20"/>
              </w:rPr>
              <w:t>µ</w:t>
            </w:r>
            <w:bookmarkEnd w:id="9"/>
            <w:r w:rsidRPr="000E1337">
              <w:rPr>
                <w:rFonts w:asciiTheme="majorBidi" w:hAnsiTheme="majorBidi" w:cstheme="majorBidi"/>
                <w:sz w:val="20"/>
                <w:szCs w:val="20"/>
              </w:rPr>
              <w:t>g/kg</w:t>
            </w:r>
          </w:p>
        </w:tc>
        <w:tc>
          <w:tcPr>
            <w:tcW w:w="540" w:type="dxa"/>
            <w:vAlign w:val="center"/>
            <w:hideMark/>
          </w:tcPr>
          <w:p w14:paraId="1604F565"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1</w:t>
            </w:r>
          </w:p>
        </w:tc>
        <w:tc>
          <w:tcPr>
            <w:tcW w:w="540" w:type="dxa"/>
            <w:vAlign w:val="center"/>
            <w:hideMark/>
          </w:tcPr>
          <w:p w14:paraId="57A77107" w14:textId="2233DA66"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4DA8025E" w14:textId="17DD9304"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2 days</w:t>
            </w:r>
          </w:p>
        </w:tc>
        <w:tc>
          <w:tcPr>
            <w:tcW w:w="1843" w:type="dxa"/>
            <w:vAlign w:val="center"/>
            <w:hideMark/>
          </w:tcPr>
          <w:p w14:paraId="416FAE69"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2</w:t>
            </w:r>
          </w:p>
        </w:tc>
      </w:tr>
      <w:tr w:rsidR="00A80370" w:rsidRPr="000E1337" w14:paraId="7689248A" w14:textId="77777777" w:rsidTr="00575E39">
        <w:trPr>
          <w:trHeight w:val="212"/>
        </w:trPr>
        <w:tc>
          <w:tcPr>
            <w:tcW w:w="3225" w:type="dxa"/>
            <w:vAlign w:val="center"/>
            <w:hideMark/>
          </w:tcPr>
          <w:p w14:paraId="1446B182" w14:textId="7E503247" w:rsidR="00A80370" w:rsidRPr="000E1337" w:rsidRDefault="00A80370" w:rsidP="00EE60C4">
            <w:pPr>
              <w:jc w:val="center"/>
              <w:rPr>
                <w:rFonts w:asciiTheme="majorBidi" w:hAnsiTheme="majorBidi" w:cstheme="majorBidi"/>
                <w:sz w:val="20"/>
                <w:szCs w:val="20"/>
              </w:rPr>
            </w:pPr>
            <w:proofErr w:type="spellStart"/>
            <w:r w:rsidRPr="000E1337">
              <w:rPr>
                <w:rFonts w:asciiTheme="majorBidi" w:hAnsiTheme="majorBidi" w:cstheme="majorBidi"/>
                <w:sz w:val="20"/>
                <w:szCs w:val="20"/>
                <w:lang w:val="da-DK"/>
              </w:rPr>
              <w:t>Koehntop</w:t>
            </w:r>
            <w:proofErr w:type="spellEnd"/>
            <w:r w:rsidRPr="000E1337">
              <w:rPr>
                <w:rFonts w:asciiTheme="majorBidi" w:hAnsiTheme="majorBidi" w:cstheme="majorBidi"/>
                <w:sz w:val="20"/>
                <w:szCs w:val="20"/>
                <w:lang w:val="da-DK"/>
              </w:rPr>
              <w:t xml:space="preserve"> et al., 1986 </w:t>
            </w:r>
            <w:r w:rsidRPr="000E1337">
              <w:rPr>
                <w:rFonts w:asciiTheme="majorBidi" w:hAnsiTheme="majorBidi" w:cstheme="majorBidi"/>
                <w:sz w:val="20"/>
                <w:szCs w:val="20"/>
                <w:lang w:val="da-DK"/>
              </w:rPr>
              <w:fldChar w:fldCharType="begin"/>
            </w:r>
            <w:r w:rsidR="00EE60C4" w:rsidRPr="000E1337">
              <w:rPr>
                <w:rFonts w:asciiTheme="majorBidi" w:hAnsiTheme="majorBidi" w:cstheme="majorBidi"/>
                <w:sz w:val="20"/>
                <w:szCs w:val="20"/>
                <w:lang w:val="da-DK"/>
              </w:rPr>
              <w:instrText xml:space="preserve"> ADDIN ZOTERO_ITEM CSL_CITATION {"citationID":"e3Zdvv4V","properties":{"formattedCitation":"[47]","plainCitation":"[47]","noteIndex":0},"citationItems":[{"id":"NzKo45Wf/jUlk6tWA","uris":["http://zotero.org/users/6482121/items/Z47MHNAB"],"itemData":{"id":451,"type":"article-journal","container-title":"ANESTH ANALG","language":"en","page":"6","source":"Zotero","title":"Pharmacokinetics of Fentanyl in Neonates","author":[{"family":"Koehntop","given":"Douglas E"},{"family":"Rodman","given":"John H"},{"family":"Brundage","given":"Diane M"},{"family":"Buckley","given":"Joseph J"}]}}],"schema":"https://github.com/citation-style-language/schema/raw/master/csl-citation.json"} </w:instrText>
            </w:r>
            <w:r w:rsidRPr="000E1337">
              <w:rPr>
                <w:rFonts w:asciiTheme="majorBidi" w:hAnsiTheme="majorBidi" w:cstheme="majorBidi"/>
                <w:sz w:val="20"/>
                <w:szCs w:val="20"/>
                <w:lang w:val="da-DK"/>
              </w:rPr>
              <w:fldChar w:fldCharType="separate"/>
            </w:r>
            <w:r w:rsidR="00EE60C4" w:rsidRPr="008A707E">
              <w:rPr>
                <w:rFonts w:asciiTheme="majorBidi" w:hAnsiTheme="majorBidi" w:cstheme="majorBidi"/>
                <w:sz w:val="20"/>
              </w:rPr>
              <w:t>[47]</w:t>
            </w:r>
            <w:r w:rsidRPr="000E1337">
              <w:rPr>
                <w:rFonts w:asciiTheme="majorBidi" w:hAnsiTheme="majorBidi" w:cstheme="majorBidi"/>
                <w:sz w:val="20"/>
                <w:szCs w:val="20"/>
                <w:lang w:val="da-DK"/>
              </w:rPr>
              <w:fldChar w:fldCharType="end"/>
            </w:r>
          </w:p>
        </w:tc>
        <w:tc>
          <w:tcPr>
            <w:tcW w:w="2160" w:type="dxa"/>
            <w:vAlign w:val="center"/>
            <w:hideMark/>
          </w:tcPr>
          <w:p w14:paraId="69198BB5" w14:textId="22712820"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50 µg/kg</w:t>
            </w:r>
          </w:p>
        </w:tc>
        <w:tc>
          <w:tcPr>
            <w:tcW w:w="540" w:type="dxa"/>
            <w:vAlign w:val="center"/>
            <w:hideMark/>
          </w:tcPr>
          <w:p w14:paraId="7DADEC7D" w14:textId="68D25CB2" w:rsidR="00A80370" w:rsidRPr="000E1337" w:rsidRDefault="002343D9" w:rsidP="00E20FE2">
            <w:pPr>
              <w:jc w:val="center"/>
              <w:rPr>
                <w:rFonts w:asciiTheme="majorBidi" w:hAnsiTheme="majorBidi" w:cstheme="majorBidi"/>
                <w:sz w:val="20"/>
                <w:szCs w:val="20"/>
              </w:rPr>
            </w:pPr>
            <w:r w:rsidRPr="000E1337">
              <w:rPr>
                <w:rFonts w:asciiTheme="majorBidi" w:hAnsiTheme="majorBidi" w:cstheme="majorBidi"/>
                <w:sz w:val="20"/>
                <w:szCs w:val="20"/>
              </w:rPr>
              <w:t>1</w:t>
            </w:r>
          </w:p>
        </w:tc>
        <w:tc>
          <w:tcPr>
            <w:tcW w:w="540" w:type="dxa"/>
            <w:vAlign w:val="center"/>
            <w:hideMark/>
          </w:tcPr>
          <w:p w14:paraId="5625FD89" w14:textId="3A4E43A9"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0A7C6536" w14:textId="33BF449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2 days</w:t>
            </w:r>
          </w:p>
        </w:tc>
        <w:tc>
          <w:tcPr>
            <w:tcW w:w="1843" w:type="dxa"/>
            <w:vAlign w:val="center"/>
            <w:hideMark/>
          </w:tcPr>
          <w:p w14:paraId="6143866E"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3.5</w:t>
            </w:r>
          </w:p>
        </w:tc>
      </w:tr>
      <w:tr w:rsidR="00A80370" w:rsidRPr="000E1337" w14:paraId="414B46AF" w14:textId="77777777" w:rsidTr="00575E39">
        <w:trPr>
          <w:trHeight w:val="195"/>
        </w:trPr>
        <w:tc>
          <w:tcPr>
            <w:tcW w:w="3225" w:type="dxa"/>
            <w:vAlign w:val="center"/>
            <w:hideMark/>
          </w:tcPr>
          <w:p w14:paraId="245CA421" w14:textId="6D2DA0DB" w:rsidR="00A80370" w:rsidRPr="000E1337" w:rsidRDefault="00A80370" w:rsidP="00EE60C4">
            <w:pPr>
              <w:jc w:val="center"/>
              <w:rPr>
                <w:rFonts w:asciiTheme="majorBidi" w:hAnsiTheme="majorBidi" w:cstheme="majorBidi"/>
                <w:sz w:val="20"/>
                <w:szCs w:val="20"/>
              </w:rPr>
            </w:pPr>
            <w:proofErr w:type="spellStart"/>
            <w:r w:rsidRPr="000E1337">
              <w:rPr>
                <w:rFonts w:asciiTheme="majorBidi" w:hAnsiTheme="majorBidi" w:cstheme="majorBidi"/>
                <w:sz w:val="20"/>
                <w:szCs w:val="20"/>
                <w:lang w:val="da-DK"/>
              </w:rPr>
              <w:t>Koehntop</w:t>
            </w:r>
            <w:proofErr w:type="spellEnd"/>
            <w:r w:rsidRPr="000E1337">
              <w:rPr>
                <w:rFonts w:asciiTheme="majorBidi" w:hAnsiTheme="majorBidi" w:cstheme="majorBidi"/>
                <w:sz w:val="20"/>
                <w:szCs w:val="20"/>
                <w:lang w:val="da-DK"/>
              </w:rPr>
              <w:t xml:space="preserve"> et al., 1986 </w:t>
            </w:r>
            <w:r w:rsidRPr="000E1337">
              <w:rPr>
                <w:rFonts w:asciiTheme="majorBidi" w:hAnsiTheme="majorBidi" w:cstheme="majorBidi"/>
                <w:sz w:val="20"/>
                <w:szCs w:val="20"/>
                <w:lang w:val="da-DK"/>
              </w:rPr>
              <w:fldChar w:fldCharType="begin"/>
            </w:r>
            <w:r w:rsidR="00EE60C4" w:rsidRPr="000E1337">
              <w:rPr>
                <w:rFonts w:asciiTheme="majorBidi" w:hAnsiTheme="majorBidi" w:cstheme="majorBidi"/>
                <w:sz w:val="20"/>
                <w:szCs w:val="20"/>
                <w:lang w:val="da-DK"/>
              </w:rPr>
              <w:instrText xml:space="preserve"> ADDIN ZOTERO_ITEM CSL_CITATION {"citationID":"pMlZaWCC","properties":{"formattedCitation":"[47]","plainCitation":"[47]","noteIndex":0},"citationItems":[{"id":"NzKo45Wf/jUlk6tWA","uris":["http://zotero.org/users/6482121/items/Z47MHNAB"],"itemData":{"id":451,"type":"article-journal","container-title":"ANESTH ANALG","language":"en","page":"6","source":"Zotero","title":"Pharmacokinetics of Fentanyl in Neonates","author":[{"family":"Koehntop","given":"Douglas E"},{"family":"Rodman","given":"John H"},{"family":"Brundage","given":"Diane M"},{"family":"Buckley","given":"Joseph J"}]}}],"schema":"https://github.com/citation-style-language/schema/raw/master/csl-citation.json"} </w:instrText>
            </w:r>
            <w:r w:rsidRPr="000E1337">
              <w:rPr>
                <w:rFonts w:asciiTheme="majorBidi" w:hAnsiTheme="majorBidi" w:cstheme="majorBidi"/>
                <w:sz w:val="20"/>
                <w:szCs w:val="20"/>
                <w:lang w:val="da-DK"/>
              </w:rPr>
              <w:fldChar w:fldCharType="separate"/>
            </w:r>
            <w:r w:rsidR="00EE60C4" w:rsidRPr="008A707E">
              <w:rPr>
                <w:rFonts w:asciiTheme="majorBidi" w:hAnsiTheme="majorBidi" w:cstheme="majorBidi"/>
                <w:sz w:val="20"/>
              </w:rPr>
              <w:t>[47]</w:t>
            </w:r>
            <w:r w:rsidRPr="000E1337">
              <w:rPr>
                <w:rFonts w:asciiTheme="majorBidi" w:hAnsiTheme="majorBidi" w:cstheme="majorBidi"/>
                <w:sz w:val="20"/>
                <w:szCs w:val="20"/>
                <w:lang w:val="da-DK"/>
              </w:rPr>
              <w:fldChar w:fldCharType="end"/>
            </w:r>
          </w:p>
        </w:tc>
        <w:tc>
          <w:tcPr>
            <w:tcW w:w="2160" w:type="dxa"/>
            <w:vAlign w:val="center"/>
            <w:hideMark/>
          </w:tcPr>
          <w:p w14:paraId="5DADF234" w14:textId="2AFB54F1"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50 µg/kg</w:t>
            </w:r>
          </w:p>
        </w:tc>
        <w:tc>
          <w:tcPr>
            <w:tcW w:w="540" w:type="dxa"/>
            <w:vAlign w:val="center"/>
            <w:hideMark/>
          </w:tcPr>
          <w:p w14:paraId="08D8D223" w14:textId="693AF57F" w:rsidR="00A80370" w:rsidRPr="000E1337" w:rsidRDefault="002343D9" w:rsidP="00E20FE2">
            <w:pPr>
              <w:jc w:val="center"/>
              <w:rPr>
                <w:rFonts w:asciiTheme="majorBidi" w:hAnsiTheme="majorBidi" w:cstheme="majorBidi"/>
                <w:sz w:val="20"/>
                <w:szCs w:val="20"/>
              </w:rPr>
            </w:pPr>
            <w:r w:rsidRPr="000E1337">
              <w:rPr>
                <w:rFonts w:asciiTheme="majorBidi" w:hAnsiTheme="majorBidi" w:cstheme="majorBidi"/>
                <w:sz w:val="20"/>
                <w:szCs w:val="20"/>
              </w:rPr>
              <w:t>1</w:t>
            </w:r>
          </w:p>
        </w:tc>
        <w:tc>
          <w:tcPr>
            <w:tcW w:w="540" w:type="dxa"/>
            <w:vAlign w:val="center"/>
            <w:hideMark/>
          </w:tcPr>
          <w:p w14:paraId="4C5C0607" w14:textId="6786849B"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01600A59" w14:textId="62E1A936"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1 day</w:t>
            </w:r>
          </w:p>
        </w:tc>
        <w:tc>
          <w:tcPr>
            <w:tcW w:w="1843" w:type="dxa"/>
            <w:vAlign w:val="center"/>
            <w:hideMark/>
          </w:tcPr>
          <w:p w14:paraId="5C79A211"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3.2</w:t>
            </w:r>
          </w:p>
        </w:tc>
      </w:tr>
      <w:tr w:rsidR="00A80370" w:rsidRPr="000E1337" w14:paraId="100AD8E8" w14:textId="77777777" w:rsidTr="00575E39">
        <w:trPr>
          <w:trHeight w:val="203"/>
        </w:trPr>
        <w:tc>
          <w:tcPr>
            <w:tcW w:w="3225" w:type="dxa"/>
            <w:vAlign w:val="center"/>
            <w:hideMark/>
          </w:tcPr>
          <w:p w14:paraId="7E9FCCCA" w14:textId="522D1794" w:rsidR="00A80370" w:rsidRPr="000E1337" w:rsidRDefault="00A80370" w:rsidP="00EE60C4">
            <w:pPr>
              <w:jc w:val="center"/>
              <w:rPr>
                <w:rFonts w:asciiTheme="majorBidi" w:hAnsiTheme="majorBidi" w:cstheme="majorBidi"/>
                <w:sz w:val="20"/>
                <w:szCs w:val="20"/>
              </w:rPr>
            </w:pPr>
            <w:proofErr w:type="spellStart"/>
            <w:r w:rsidRPr="000E1337">
              <w:rPr>
                <w:rFonts w:asciiTheme="majorBidi" w:hAnsiTheme="majorBidi" w:cstheme="majorBidi"/>
                <w:sz w:val="20"/>
                <w:szCs w:val="20"/>
                <w:lang w:val="da-DK"/>
              </w:rPr>
              <w:t>Koehntop</w:t>
            </w:r>
            <w:proofErr w:type="spellEnd"/>
            <w:r w:rsidRPr="000E1337">
              <w:rPr>
                <w:rFonts w:asciiTheme="majorBidi" w:hAnsiTheme="majorBidi" w:cstheme="majorBidi"/>
                <w:sz w:val="20"/>
                <w:szCs w:val="20"/>
                <w:lang w:val="da-DK"/>
              </w:rPr>
              <w:t xml:space="preserve"> et al., 1986 </w:t>
            </w:r>
            <w:r w:rsidRPr="000E1337">
              <w:rPr>
                <w:rFonts w:asciiTheme="majorBidi" w:hAnsiTheme="majorBidi" w:cstheme="majorBidi"/>
                <w:sz w:val="20"/>
                <w:szCs w:val="20"/>
                <w:lang w:val="da-DK"/>
              </w:rPr>
              <w:fldChar w:fldCharType="begin"/>
            </w:r>
            <w:r w:rsidR="00EE60C4" w:rsidRPr="000E1337">
              <w:rPr>
                <w:rFonts w:asciiTheme="majorBidi" w:hAnsiTheme="majorBidi" w:cstheme="majorBidi"/>
                <w:sz w:val="20"/>
                <w:szCs w:val="20"/>
                <w:lang w:val="da-DK"/>
              </w:rPr>
              <w:instrText xml:space="preserve"> ADDIN ZOTERO_ITEM CSL_CITATION {"citationID":"bJaeWcp3","properties":{"formattedCitation":"[47]","plainCitation":"[47]","noteIndex":0},"citationItems":[{"id":"NzKo45Wf/jUlk6tWA","uris":["http://zotero.org/users/6482121/items/Z47MHNAB"],"itemData":{"id":451,"type":"article-journal","container-title":"ANESTH ANALG","language":"en","page":"6","source":"Zotero","title":"Pharmacokinetics of Fentanyl in Neonates","author":[{"family":"Koehntop","given":"Douglas E"},{"family":"Rodman","given":"John H"},{"family":"Brundage","given":"Diane M"},{"family":"Buckley","given":"Joseph J"}]}}],"schema":"https://github.com/citation-style-language/schema/raw/master/csl-citation.json"} </w:instrText>
            </w:r>
            <w:r w:rsidRPr="000E1337">
              <w:rPr>
                <w:rFonts w:asciiTheme="majorBidi" w:hAnsiTheme="majorBidi" w:cstheme="majorBidi"/>
                <w:sz w:val="20"/>
                <w:szCs w:val="20"/>
                <w:lang w:val="da-DK"/>
              </w:rPr>
              <w:fldChar w:fldCharType="separate"/>
            </w:r>
            <w:r w:rsidR="00EE60C4" w:rsidRPr="008A707E">
              <w:rPr>
                <w:rFonts w:asciiTheme="majorBidi" w:hAnsiTheme="majorBidi" w:cstheme="majorBidi"/>
                <w:sz w:val="20"/>
              </w:rPr>
              <w:t>[47]</w:t>
            </w:r>
            <w:r w:rsidRPr="000E1337">
              <w:rPr>
                <w:rFonts w:asciiTheme="majorBidi" w:hAnsiTheme="majorBidi" w:cstheme="majorBidi"/>
                <w:sz w:val="20"/>
                <w:szCs w:val="20"/>
                <w:lang w:val="da-DK"/>
              </w:rPr>
              <w:fldChar w:fldCharType="end"/>
            </w:r>
          </w:p>
        </w:tc>
        <w:tc>
          <w:tcPr>
            <w:tcW w:w="2160" w:type="dxa"/>
            <w:vAlign w:val="center"/>
            <w:hideMark/>
          </w:tcPr>
          <w:p w14:paraId="7F8B64E5" w14:textId="14F0B59F"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50 µg/kg</w:t>
            </w:r>
          </w:p>
        </w:tc>
        <w:tc>
          <w:tcPr>
            <w:tcW w:w="540" w:type="dxa"/>
            <w:vAlign w:val="center"/>
            <w:hideMark/>
          </w:tcPr>
          <w:p w14:paraId="2764AA5F" w14:textId="15E90B5D" w:rsidR="00A80370" w:rsidRPr="000E1337" w:rsidRDefault="002343D9" w:rsidP="00E20FE2">
            <w:pPr>
              <w:jc w:val="center"/>
              <w:rPr>
                <w:rFonts w:asciiTheme="majorBidi" w:hAnsiTheme="majorBidi" w:cstheme="majorBidi"/>
                <w:sz w:val="20"/>
                <w:szCs w:val="20"/>
              </w:rPr>
            </w:pPr>
            <w:r w:rsidRPr="000E1337">
              <w:rPr>
                <w:rFonts w:asciiTheme="majorBidi" w:hAnsiTheme="majorBidi" w:cstheme="majorBidi"/>
                <w:sz w:val="20"/>
                <w:szCs w:val="20"/>
              </w:rPr>
              <w:t>1</w:t>
            </w:r>
          </w:p>
        </w:tc>
        <w:tc>
          <w:tcPr>
            <w:tcW w:w="540" w:type="dxa"/>
            <w:vAlign w:val="center"/>
            <w:hideMark/>
          </w:tcPr>
          <w:p w14:paraId="0E8FE892" w14:textId="2E9A22D3"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41D9D566" w14:textId="681CFF82"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0.5 day</w:t>
            </w:r>
          </w:p>
        </w:tc>
        <w:tc>
          <w:tcPr>
            <w:tcW w:w="1843" w:type="dxa"/>
            <w:vAlign w:val="center"/>
            <w:hideMark/>
          </w:tcPr>
          <w:p w14:paraId="5CDC71E9"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4</w:t>
            </w:r>
          </w:p>
        </w:tc>
      </w:tr>
      <w:tr w:rsidR="00A80370" w:rsidRPr="000E1337" w14:paraId="6B66C0AE" w14:textId="77777777" w:rsidTr="00575E39">
        <w:trPr>
          <w:trHeight w:val="60"/>
        </w:trPr>
        <w:tc>
          <w:tcPr>
            <w:tcW w:w="3225" w:type="dxa"/>
            <w:vAlign w:val="center"/>
            <w:hideMark/>
          </w:tcPr>
          <w:p w14:paraId="47BA8669" w14:textId="5B6663FB" w:rsidR="00A80370" w:rsidRPr="000E1337" w:rsidRDefault="00A80370" w:rsidP="00EE60C4">
            <w:pPr>
              <w:jc w:val="center"/>
              <w:rPr>
                <w:rFonts w:asciiTheme="majorBidi" w:hAnsiTheme="majorBidi" w:cstheme="majorBidi"/>
                <w:sz w:val="20"/>
                <w:szCs w:val="20"/>
              </w:rPr>
            </w:pPr>
            <w:proofErr w:type="spellStart"/>
            <w:r w:rsidRPr="000E1337">
              <w:rPr>
                <w:rFonts w:asciiTheme="majorBidi" w:hAnsiTheme="majorBidi" w:cstheme="majorBidi"/>
                <w:sz w:val="20"/>
                <w:szCs w:val="20"/>
                <w:lang w:val="da-DK"/>
              </w:rPr>
              <w:t>Koehntop</w:t>
            </w:r>
            <w:proofErr w:type="spellEnd"/>
            <w:r w:rsidRPr="000E1337">
              <w:rPr>
                <w:rFonts w:asciiTheme="majorBidi" w:hAnsiTheme="majorBidi" w:cstheme="majorBidi"/>
                <w:sz w:val="20"/>
                <w:szCs w:val="20"/>
                <w:lang w:val="da-DK"/>
              </w:rPr>
              <w:t xml:space="preserve"> et al., 1986 </w:t>
            </w:r>
            <w:r w:rsidRPr="000E1337">
              <w:rPr>
                <w:rFonts w:asciiTheme="majorBidi" w:hAnsiTheme="majorBidi" w:cstheme="majorBidi"/>
                <w:sz w:val="20"/>
                <w:szCs w:val="20"/>
                <w:lang w:val="da-DK"/>
              </w:rPr>
              <w:fldChar w:fldCharType="begin"/>
            </w:r>
            <w:r w:rsidR="00EE60C4" w:rsidRPr="000E1337">
              <w:rPr>
                <w:rFonts w:asciiTheme="majorBidi" w:hAnsiTheme="majorBidi" w:cstheme="majorBidi"/>
                <w:sz w:val="20"/>
                <w:szCs w:val="20"/>
                <w:lang w:val="da-DK"/>
              </w:rPr>
              <w:instrText xml:space="preserve"> ADDIN ZOTERO_ITEM CSL_CITATION {"citationID":"lKGWdisA","properties":{"formattedCitation":"[47]","plainCitation":"[47]","noteIndex":0},"citationItems":[{"id":"NzKo45Wf/jUlk6tWA","uris":["http://zotero.org/users/6482121/items/Z47MHNAB"],"itemData":{"id":451,"type":"article-journal","container-title":"ANESTH ANALG","language":"en","page":"6","source":"Zotero","title":"Pharmacokinetics of Fentanyl in Neonates","author":[{"family":"Koehntop","given":"Douglas E"},{"family":"Rodman","given":"John H"},{"family":"Brundage","given":"Diane M"},{"family":"Buckley","given":"Joseph J"}]}}],"schema":"https://github.com/citation-style-language/schema/raw/master/csl-citation.json"} </w:instrText>
            </w:r>
            <w:r w:rsidRPr="000E1337">
              <w:rPr>
                <w:rFonts w:asciiTheme="majorBidi" w:hAnsiTheme="majorBidi" w:cstheme="majorBidi"/>
                <w:sz w:val="20"/>
                <w:szCs w:val="20"/>
                <w:lang w:val="da-DK"/>
              </w:rPr>
              <w:fldChar w:fldCharType="separate"/>
            </w:r>
            <w:r w:rsidR="00EE60C4" w:rsidRPr="008A707E">
              <w:rPr>
                <w:rFonts w:asciiTheme="majorBidi" w:hAnsiTheme="majorBidi" w:cstheme="majorBidi"/>
                <w:sz w:val="20"/>
              </w:rPr>
              <w:t>[47]</w:t>
            </w:r>
            <w:r w:rsidRPr="000E1337">
              <w:rPr>
                <w:rFonts w:asciiTheme="majorBidi" w:hAnsiTheme="majorBidi" w:cstheme="majorBidi"/>
                <w:sz w:val="20"/>
                <w:szCs w:val="20"/>
                <w:lang w:val="da-DK"/>
              </w:rPr>
              <w:fldChar w:fldCharType="end"/>
            </w:r>
          </w:p>
        </w:tc>
        <w:tc>
          <w:tcPr>
            <w:tcW w:w="2160" w:type="dxa"/>
            <w:vAlign w:val="center"/>
            <w:hideMark/>
          </w:tcPr>
          <w:p w14:paraId="31258277" w14:textId="173D443A"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 xml:space="preserve">25 µg/kg </w:t>
            </w:r>
          </w:p>
        </w:tc>
        <w:tc>
          <w:tcPr>
            <w:tcW w:w="540" w:type="dxa"/>
            <w:vAlign w:val="center"/>
            <w:hideMark/>
          </w:tcPr>
          <w:p w14:paraId="45888CA5" w14:textId="2865BCCA" w:rsidR="00A80370" w:rsidRPr="000E1337" w:rsidRDefault="002343D9" w:rsidP="00E20FE2">
            <w:pPr>
              <w:jc w:val="center"/>
              <w:rPr>
                <w:rFonts w:asciiTheme="majorBidi" w:hAnsiTheme="majorBidi" w:cstheme="majorBidi"/>
                <w:sz w:val="20"/>
                <w:szCs w:val="20"/>
              </w:rPr>
            </w:pPr>
            <w:r w:rsidRPr="000E1337">
              <w:rPr>
                <w:rFonts w:asciiTheme="majorBidi" w:hAnsiTheme="majorBidi" w:cstheme="majorBidi"/>
                <w:sz w:val="20"/>
                <w:szCs w:val="20"/>
              </w:rPr>
              <w:t>1</w:t>
            </w:r>
          </w:p>
        </w:tc>
        <w:tc>
          <w:tcPr>
            <w:tcW w:w="540" w:type="dxa"/>
            <w:vAlign w:val="center"/>
            <w:hideMark/>
          </w:tcPr>
          <w:p w14:paraId="69A20164" w14:textId="6A36BD6F"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071C514B" w14:textId="301674ED"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0.5 day</w:t>
            </w:r>
          </w:p>
        </w:tc>
        <w:tc>
          <w:tcPr>
            <w:tcW w:w="1843" w:type="dxa"/>
            <w:vAlign w:val="center"/>
            <w:hideMark/>
          </w:tcPr>
          <w:p w14:paraId="6467564D"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2.6</w:t>
            </w:r>
          </w:p>
        </w:tc>
      </w:tr>
      <w:tr w:rsidR="00A80370" w:rsidRPr="000E1337" w14:paraId="7757D695" w14:textId="77777777" w:rsidTr="00575E39">
        <w:trPr>
          <w:trHeight w:val="58"/>
        </w:trPr>
        <w:tc>
          <w:tcPr>
            <w:tcW w:w="3225" w:type="dxa"/>
            <w:vAlign w:val="center"/>
            <w:hideMark/>
          </w:tcPr>
          <w:p w14:paraId="3262944A" w14:textId="4FD8E91D" w:rsidR="00A80370" w:rsidRPr="000E1337" w:rsidRDefault="00A80370" w:rsidP="00EE60C4">
            <w:pPr>
              <w:jc w:val="center"/>
              <w:rPr>
                <w:rFonts w:asciiTheme="majorBidi" w:hAnsiTheme="majorBidi" w:cstheme="majorBidi"/>
                <w:sz w:val="20"/>
                <w:szCs w:val="20"/>
              </w:rPr>
            </w:pPr>
            <w:r w:rsidRPr="000E1337">
              <w:rPr>
                <w:rFonts w:asciiTheme="majorBidi" w:hAnsiTheme="majorBidi" w:cstheme="majorBidi"/>
                <w:sz w:val="20"/>
                <w:szCs w:val="20"/>
                <w:lang w:val="fr-FR"/>
              </w:rPr>
              <w:t xml:space="preserve">Singleton et al., 1987 (infants) </w:t>
            </w:r>
            <w:r w:rsidRPr="000E1337">
              <w:rPr>
                <w:rFonts w:asciiTheme="majorBidi" w:hAnsiTheme="majorBidi" w:cstheme="majorBidi"/>
                <w:sz w:val="20"/>
                <w:szCs w:val="20"/>
                <w:lang w:val="fr-FR"/>
              </w:rPr>
              <w:fldChar w:fldCharType="begin"/>
            </w:r>
            <w:r w:rsidR="00EE60C4" w:rsidRPr="000E1337">
              <w:rPr>
                <w:rFonts w:asciiTheme="majorBidi" w:hAnsiTheme="majorBidi" w:cstheme="majorBidi"/>
                <w:sz w:val="20"/>
                <w:szCs w:val="20"/>
                <w:lang w:val="fr-FR"/>
              </w:rPr>
              <w:instrText xml:space="preserve"> ADDIN ZOTERO_ITEM CSL_CITATION {"citationID":"bAJIhkgC","properties":{"formattedCitation":"[48]","plainCitation":"[48]","noteIndex":0},"citationItems":[{"id":"NzKo45Wf/1f5hgAdy","uris":["http://zotero.org/users/6482121/items/DSIIPRD6"],"itemData":{"id":701,"type":"article-journal","abstract":"To evaluate whether there are age-related differences in the plasma concentration-vs-time course of fentanyl, the authors administered fentanyl to seven infants (3-10 months), seven children (1-9 years) and seven adults (18-41 years). Anaesthesia was induced with thiopentone, nitrous oxide, and pancuronium; following tracheal intubation, fentanyl (approximately 30 micrograms X kg-1 for infants and children, 20 micrograms X kg-1 for adults) was administered as a 2-min IV infusion. Anaesthesia was maintained with nitrous oxide, pancuronium, and morphine sulphate as clinically indicated. Plasma samples were obtained for 4 h and fentanyl concentrations determined by radioimmunoassay. Plasma concentrations per microgram X kg-1 fentanyl administered were lowest in infants 4-10 and 60-240 min after the start of the 2-min infusion; values for children were lower than those for adults 4, 180 and 210 min after the start of the 2-min infusion. These findings are consistent with the authors' clinical observation that infants tolerate larger doses of fentanyl than do adults.","container-title":"Canadian Journal of Anaesthesia = Journal Canadien D'anesthesie","DOI":"10.1007/BF03015333","ISSN":"0832-610X","issue":"2","journalAbbreviation":"Can J Anaesth","language":"eng","note":"PMID: 3829301","page":"152-155","source":"PubMed","title":"Plasma concentrations of fentanyl in infants, children and adults","volume":"34","author":[{"family":"Singleton","given":"M. A."},{"family":"Rosen","given":"J. I."},{"family":"Fisher","given":"D. M."}],"issued":{"date-parts":[["1987",3]]}}}],"schema":"https://github.com/citation-style-language/schema/raw/master/csl-citation.json"} </w:instrText>
            </w:r>
            <w:r w:rsidRPr="000E1337">
              <w:rPr>
                <w:rFonts w:asciiTheme="majorBidi" w:hAnsiTheme="majorBidi" w:cstheme="majorBidi"/>
                <w:sz w:val="20"/>
                <w:szCs w:val="20"/>
                <w:lang w:val="fr-FR"/>
              </w:rPr>
              <w:fldChar w:fldCharType="separate"/>
            </w:r>
            <w:r w:rsidR="00EE60C4" w:rsidRPr="008A707E">
              <w:rPr>
                <w:rFonts w:asciiTheme="majorBidi" w:hAnsiTheme="majorBidi" w:cstheme="majorBidi"/>
                <w:sz w:val="20"/>
              </w:rPr>
              <w:t>[48]</w:t>
            </w:r>
            <w:r w:rsidRPr="000E1337">
              <w:rPr>
                <w:rFonts w:asciiTheme="majorBidi" w:hAnsiTheme="majorBidi" w:cstheme="majorBidi"/>
                <w:sz w:val="20"/>
                <w:szCs w:val="20"/>
                <w:lang w:val="fr-FR"/>
              </w:rPr>
              <w:fldChar w:fldCharType="end"/>
            </w:r>
          </w:p>
        </w:tc>
        <w:tc>
          <w:tcPr>
            <w:tcW w:w="2160" w:type="dxa"/>
            <w:vAlign w:val="center"/>
            <w:hideMark/>
          </w:tcPr>
          <w:p w14:paraId="43A08951" w14:textId="46BD82B9"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31 µg/kg</w:t>
            </w:r>
          </w:p>
        </w:tc>
        <w:tc>
          <w:tcPr>
            <w:tcW w:w="540" w:type="dxa"/>
            <w:vAlign w:val="center"/>
            <w:hideMark/>
          </w:tcPr>
          <w:p w14:paraId="0008C3F0"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7</w:t>
            </w:r>
          </w:p>
        </w:tc>
        <w:tc>
          <w:tcPr>
            <w:tcW w:w="540" w:type="dxa"/>
            <w:vAlign w:val="center"/>
            <w:hideMark/>
          </w:tcPr>
          <w:p w14:paraId="2F1968C0" w14:textId="510E41C9"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7CD46C62" w14:textId="082A8679"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3–10 month</w:t>
            </w:r>
          </w:p>
        </w:tc>
        <w:tc>
          <w:tcPr>
            <w:tcW w:w="1843" w:type="dxa"/>
            <w:vAlign w:val="center"/>
            <w:hideMark/>
          </w:tcPr>
          <w:p w14:paraId="7C4ED53F" w14:textId="2AFE9C8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r>
      <w:tr w:rsidR="00A80370" w:rsidRPr="000E1337" w14:paraId="2BFA8FFE" w14:textId="77777777" w:rsidTr="00575E39">
        <w:trPr>
          <w:trHeight w:val="56"/>
        </w:trPr>
        <w:tc>
          <w:tcPr>
            <w:tcW w:w="3225" w:type="dxa"/>
            <w:vAlign w:val="center"/>
            <w:hideMark/>
          </w:tcPr>
          <w:p w14:paraId="6A902D51" w14:textId="1DB77467" w:rsidR="00A80370" w:rsidRPr="000E1337" w:rsidRDefault="00A80370" w:rsidP="00EE60C4">
            <w:pPr>
              <w:jc w:val="center"/>
              <w:rPr>
                <w:rFonts w:asciiTheme="majorBidi" w:hAnsiTheme="majorBidi" w:cstheme="majorBidi"/>
                <w:sz w:val="20"/>
                <w:szCs w:val="20"/>
              </w:rPr>
            </w:pPr>
            <w:r w:rsidRPr="000E1337">
              <w:rPr>
                <w:rFonts w:asciiTheme="majorBidi" w:hAnsiTheme="majorBidi" w:cstheme="majorBidi"/>
                <w:sz w:val="20"/>
                <w:szCs w:val="20"/>
              </w:rPr>
              <w:t xml:space="preserve">Singleton et al., 1987 (children) </w:t>
            </w:r>
            <w:r w:rsidRPr="000E1337">
              <w:rPr>
                <w:rFonts w:asciiTheme="majorBidi" w:hAnsiTheme="majorBidi" w:cstheme="majorBidi"/>
                <w:sz w:val="20"/>
                <w:szCs w:val="20"/>
                <w:lang w:val="fr-FR"/>
              </w:rPr>
              <w:fldChar w:fldCharType="begin"/>
            </w:r>
            <w:r w:rsidR="00EE60C4" w:rsidRPr="000E1337">
              <w:rPr>
                <w:rFonts w:asciiTheme="majorBidi" w:hAnsiTheme="majorBidi" w:cstheme="majorBidi"/>
                <w:sz w:val="20"/>
                <w:szCs w:val="20"/>
                <w:lang w:val="fr-FR"/>
              </w:rPr>
              <w:instrText xml:space="preserve"> ADDIN ZOTERO_ITEM CSL_CITATION {"citationID":"riSl67Za","properties":{"formattedCitation":"[48]","plainCitation":"[48]","noteIndex":0},"citationItems":[{"id":"NzKo45Wf/1f5hgAdy","uris":["http://zotero.org/users/6482121/items/DSIIPRD6"],"itemData":{"id":701,"type":"article-journal","abstract":"To evaluate whether there are age-related differences in the plasma concentration-vs-time course of fentanyl, the authors administered fentanyl to seven infants (3-10 months), seven children (1-9 years) and seven adults (18-41 years). Anaesthesia was induced with thiopentone, nitrous oxide, and pancuronium; following tracheal intubation, fentanyl (approximately 30 micrograms X kg-1 for infants and children, 20 micrograms X kg-1 for adults) was administered as a 2-min IV infusion. Anaesthesia was maintained with nitrous oxide, pancuronium, and morphine sulphate as clinically indicated. Plasma samples were obtained for 4 h and fentanyl concentrations determined by radioimmunoassay. Plasma concentrations per microgram X kg-1 fentanyl administered were lowest in infants 4-10 and 60-240 min after the start of the 2-min infusion; values for children were lower than those for adults 4, 180 and 210 min after the start of the 2-min infusion. These findings are consistent with the authors' clinical observation that infants tolerate larger doses of fentanyl than do adults.","container-title":"Canadian Journal of Anaesthesia = Journal Canadien D'anesthesie","DOI":"10.1007/BF03015333","ISSN":"0832-610X","issue":"2","journalAbbreviation":"Can J Anaesth","language":"eng","note":"PMID: 3829301","page":"152-155","source":"PubMed","title":"Plasma concentrations of fentanyl in infants, children and adults","volume":"34","author":[{"family":"Singleton","given":"M. A."},{"family":"Rosen","given":"J. I."},{"family":"Fisher","given":"D. M."}],"issued":{"date-parts":[["1987",3]]}}}],"schema":"https://github.com/citation-style-language/schema/raw/master/csl-citation.json"} </w:instrText>
            </w:r>
            <w:r w:rsidRPr="000E1337">
              <w:rPr>
                <w:rFonts w:asciiTheme="majorBidi" w:hAnsiTheme="majorBidi" w:cstheme="majorBidi"/>
                <w:sz w:val="20"/>
                <w:szCs w:val="20"/>
                <w:lang w:val="fr-FR"/>
              </w:rPr>
              <w:fldChar w:fldCharType="separate"/>
            </w:r>
            <w:r w:rsidR="00EE60C4" w:rsidRPr="008A707E">
              <w:rPr>
                <w:rFonts w:asciiTheme="majorBidi" w:hAnsiTheme="majorBidi" w:cstheme="majorBidi"/>
                <w:sz w:val="20"/>
              </w:rPr>
              <w:t>[48]</w:t>
            </w:r>
            <w:r w:rsidRPr="000E1337">
              <w:rPr>
                <w:rFonts w:asciiTheme="majorBidi" w:hAnsiTheme="majorBidi" w:cstheme="majorBidi"/>
                <w:sz w:val="20"/>
                <w:szCs w:val="20"/>
                <w:lang w:val="fr-FR"/>
              </w:rPr>
              <w:fldChar w:fldCharType="end"/>
            </w:r>
          </w:p>
        </w:tc>
        <w:tc>
          <w:tcPr>
            <w:tcW w:w="2160" w:type="dxa"/>
            <w:vAlign w:val="center"/>
            <w:hideMark/>
          </w:tcPr>
          <w:p w14:paraId="5A362894" w14:textId="5A7F95A0"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31µg/kg</w:t>
            </w:r>
          </w:p>
        </w:tc>
        <w:tc>
          <w:tcPr>
            <w:tcW w:w="540" w:type="dxa"/>
            <w:vAlign w:val="center"/>
            <w:hideMark/>
          </w:tcPr>
          <w:p w14:paraId="533CB03D" w14:textId="6208483B" w:rsidR="00A80370" w:rsidRPr="000E1337" w:rsidRDefault="002343D9" w:rsidP="00E20FE2">
            <w:pPr>
              <w:jc w:val="center"/>
              <w:rPr>
                <w:rFonts w:asciiTheme="majorBidi" w:hAnsiTheme="majorBidi" w:cstheme="majorBidi"/>
                <w:sz w:val="20"/>
                <w:szCs w:val="20"/>
              </w:rPr>
            </w:pPr>
            <w:r w:rsidRPr="000E1337">
              <w:rPr>
                <w:rFonts w:asciiTheme="majorBidi" w:hAnsiTheme="majorBidi" w:cstheme="majorBidi"/>
                <w:sz w:val="20"/>
                <w:szCs w:val="20"/>
              </w:rPr>
              <w:t>7</w:t>
            </w:r>
          </w:p>
        </w:tc>
        <w:tc>
          <w:tcPr>
            <w:tcW w:w="540" w:type="dxa"/>
            <w:vAlign w:val="center"/>
            <w:hideMark/>
          </w:tcPr>
          <w:p w14:paraId="2CD8D8BF" w14:textId="7DFA72E0"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15FFD14F" w14:textId="4FD983A2"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1–9 year</w:t>
            </w:r>
          </w:p>
        </w:tc>
        <w:tc>
          <w:tcPr>
            <w:tcW w:w="1843" w:type="dxa"/>
            <w:vAlign w:val="center"/>
            <w:hideMark/>
          </w:tcPr>
          <w:p w14:paraId="120D86D7" w14:textId="04C7BF16"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r>
      <w:tr w:rsidR="00A80370" w:rsidRPr="000E1337" w14:paraId="33E5745D" w14:textId="77777777" w:rsidTr="00575E39">
        <w:trPr>
          <w:trHeight w:val="195"/>
        </w:trPr>
        <w:tc>
          <w:tcPr>
            <w:tcW w:w="3225" w:type="dxa"/>
            <w:vMerge w:val="restart"/>
            <w:vAlign w:val="center"/>
            <w:hideMark/>
          </w:tcPr>
          <w:p w14:paraId="3CF031DC" w14:textId="70451609" w:rsidR="00A80370" w:rsidRPr="000E1337" w:rsidRDefault="00A80370" w:rsidP="00EE60C4">
            <w:pPr>
              <w:jc w:val="center"/>
              <w:rPr>
                <w:rFonts w:asciiTheme="majorBidi" w:hAnsiTheme="majorBidi" w:cstheme="majorBidi"/>
                <w:sz w:val="20"/>
                <w:szCs w:val="20"/>
              </w:rPr>
            </w:pPr>
            <w:r w:rsidRPr="000E1337">
              <w:rPr>
                <w:rFonts w:asciiTheme="majorBidi" w:hAnsiTheme="majorBidi" w:cstheme="majorBidi"/>
                <w:sz w:val="20"/>
                <w:szCs w:val="20"/>
              </w:rPr>
              <w:t xml:space="preserve">Gruber et al., 2001 </w:t>
            </w:r>
            <w:r w:rsidRPr="000E1337">
              <w:rPr>
                <w:rFonts w:asciiTheme="majorBidi" w:hAnsiTheme="majorBidi" w:cstheme="majorBidi"/>
                <w:sz w:val="20"/>
                <w:szCs w:val="20"/>
              </w:rPr>
              <w:fldChar w:fldCharType="begin"/>
            </w:r>
            <w:r w:rsidR="000B553F" w:rsidRPr="000E1337">
              <w:rPr>
                <w:rFonts w:asciiTheme="majorBidi" w:hAnsiTheme="majorBidi" w:cstheme="majorBidi"/>
                <w:sz w:val="20"/>
                <w:szCs w:val="20"/>
              </w:rPr>
              <w:instrText xml:space="preserve"> ADDIN ZOTERO_ITEM CSL_CITATION {"citationID":"alsqrhkh8g","properties":{"formattedCitation":"[49]","plainCitation":"[49]","noteIndex":0},"citationItems":[{"id":103,"uris":["http://zotero.org/users/local/J5Cy8xXX/items/RMH2629F"],"itemData":{"id":103,"type":"article-journal","abstract":"There have been significant changes in the management of neonates and infants undergoing cardiac surgery in the past decade. We have evaluated in this prospective, randomized, double-blinded study the effect of large-dose fentanyl anesthesia, with or without midazolam, on stress responses and outcome. Forty-five patients &lt; 6 mo of age received bolus fentanyl (Group 1), fentanyl by continuous infusion (Group 2), or fentanyl-midazolam infusion (Group 3). Epinephrine, norepinephrine, cortisol, adrenocortical hormone, glucose, and lactate were measured after the induction (T1), after sternotomy (T2), 15 min after initiating cardiopulmonary bypass (T3), at the end of surgery (T4), and after 24 h in the intensive care unit (T5). Plasma fentanyl concentrations were obtained at all time points except at T5. Within each group epinephrine, norepinephrine, cortisol, glucose and lactate levels were significantly larger at T4 (P values &lt; 0.01), but there were no differences among groups. Within groups, fentanyl levels were significantly larger in Groups 2 and 3 (P &lt; 0.001) at T4, and among groups, the fentanyl level was larger only at T2 in Group 1 compared with Groups 2 and 3 (P &lt; 0.006). There were no deaths or postoperative complications, and no significant differences in duration of mechanical ventilation or intensive care unit or hospital stay. Fentanyl dosing strategies, with or without midazolam, do not prevent a hormonal or metabolic stress response in infants undergoing cardiac surgery.\nIMPLICATIONS: We demonstrated a significant endocrine stress response in infants with well compensated congenital cardiac disease undergoing cardiac surgery, but without adverse postoperative outcome. The use of large-dose fentanyl, with or without midazolam, with the intention of providing \"stress free\" anesthesia, does not appear to be an important determinant of early postoperative outcome.","container-title":"Anesthesia and Analgesia","DOI":"10.1097/00000539-200104000-00016","ISSN":"0003-2999","issue":"4","journalAbbreviation":"Anesth Analg","language":"eng","note":"PMID: 11273919","page":"882-890","source":"PubMed","title":"Stress response in infants undergoing cardiac surgery: a randomized study of fentanyl bolus, fentanyl infusion, and fentanyl-midazolam infusion","title-short":"Stress response in infants undergoing cardiac surgery","volume":"92","author":[{"family":"Gruber","given":"E. M."},{"family":"Laussen","given":"P. C."},{"family":"Casta","given":"A."},{"family":"Zimmerman","given":"A. A."},{"family":"Zurakowski","given":"D."},{"family":"Reid","given":"R."},{"family":"Odegard","given":"K. C."},{"family":"Chakravorti","given":"S."},{"family":"Davis","given":"P. J."},{"family":"McGowan","given":"F. X."},{"family":"Hickey","given":"P. R."},{"family":"Hansen","given":"D. D."}],"issued":{"date-parts":[["2001",4]]}}}],"schema":"https://github.com/citation-style-language/schema/raw/master/csl-citation.json"} </w:instrText>
            </w:r>
            <w:r w:rsidRPr="000E1337">
              <w:rPr>
                <w:rFonts w:asciiTheme="majorBidi" w:hAnsiTheme="majorBidi" w:cstheme="majorBidi"/>
                <w:sz w:val="20"/>
                <w:szCs w:val="20"/>
              </w:rPr>
              <w:fldChar w:fldCharType="separate"/>
            </w:r>
            <w:r w:rsidR="000B553F" w:rsidRPr="008A707E">
              <w:rPr>
                <w:rFonts w:asciiTheme="majorBidi" w:hAnsiTheme="majorBidi" w:cstheme="majorBidi"/>
                <w:sz w:val="20"/>
              </w:rPr>
              <w:t>[49]</w:t>
            </w:r>
            <w:r w:rsidRPr="000E1337">
              <w:rPr>
                <w:rFonts w:asciiTheme="majorBidi" w:hAnsiTheme="majorBidi" w:cstheme="majorBidi"/>
                <w:sz w:val="20"/>
                <w:szCs w:val="20"/>
              </w:rPr>
              <w:fldChar w:fldCharType="end"/>
            </w:r>
          </w:p>
        </w:tc>
        <w:tc>
          <w:tcPr>
            <w:tcW w:w="2160" w:type="dxa"/>
            <w:vAlign w:val="center"/>
            <w:hideMark/>
          </w:tcPr>
          <w:p w14:paraId="006AF51D" w14:textId="0CE09EBE"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lang w:val="nn-NO"/>
              </w:rPr>
              <w:t>25 µg/kg</w:t>
            </w:r>
          </w:p>
        </w:tc>
        <w:tc>
          <w:tcPr>
            <w:tcW w:w="540" w:type="dxa"/>
            <w:vAlign w:val="center"/>
            <w:hideMark/>
          </w:tcPr>
          <w:p w14:paraId="101E0408"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15</w:t>
            </w:r>
          </w:p>
        </w:tc>
        <w:tc>
          <w:tcPr>
            <w:tcW w:w="540" w:type="dxa"/>
            <w:vAlign w:val="center"/>
            <w:hideMark/>
          </w:tcPr>
          <w:p w14:paraId="4B4E6928" w14:textId="0C15EAF2"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1A250BD6" w14:textId="6D20713F"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4.0 ± 1.7 days</w:t>
            </w:r>
          </w:p>
        </w:tc>
        <w:tc>
          <w:tcPr>
            <w:tcW w:w="1843" w:type="dxa"/>
            <w:vAlign w:val="center"/>
            <w:hideMark/>
          </w:tcPr>
          <w:p w14:paraId="1A43BE3A" w14:textId="0D17BDF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5.1 ± 1.2</w:t>
            </w:r>
          </w:p>
        </w:tc>
      </w:tr>
      <w:tr w:rsidR="00A80370" w:rsidRPr="000E1337" w14:paraId="160EB272" w14:textId="77777777" w:rsidTr="00575E39">
        <w:trPr>
          <w:trHeight w:val="203"/>
        </w:trPr>
        <w:tc>
          <w:tcPr>
            <w:tcW w:w="3225" w:type="dxa"/>
            <w:vMerge/>
            <w:vAlign w:val="center"/>
            <w:hideMark/>
          </w:tcPr>
          <w:p w14:paraId="1D1AC07A" w14:textId="77777777" w:rsidR="00A80370" w:rsidRPr="000E1337" w:rsidRDefault="00A80370" w:rsidP="00E20FE2">
            <w:pPr>
              <w:jc w:val="center"/>
              <w:rPr>
                <w:rFonts w:asciiTheme="majorBidi" w:hAnsiTheme="majorBidi" w:cstheme="majorBidi"/>
                <w:sz w:val="20"/>
                <w:szCs w:val="20"/>
              </w:rPr>
            </w:pPr>
          </w:p>
        </w:tc>
        <w:tc>
          <w:tcPr>
            <w:tcW w:w="2160" w:type="dxa"/>
            <w:vAlign w:val="center"/>
            <w:hideMark/>
          </w:tcPr>
          <w:p w14:paraId="684CD455" w14:textId="519BC29F"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 xml:space="preserve">25 µg/kg 10 </w:t>
            </w:r>
            <w:r w:rsidRPr="000E1337">
              <w:rPr>
                <w:rFonts w:asciiTheme="majorBidi" w:hAnsiTheme="majorBidi" w:cstheme="majorBidi"/>
                <w:sz w:val="20"/>
                <w:szCs w:val="20"/>
                <w:lang w:val="nn-NO"/>
              </w:rPr>
              <w:t>µ</w:t>
            </w:r>
            <w:r w:rsidRPr="000E1337">
              <w:rPr>
                <w:rFonts w:asciiTheme="majorBidi" w:hAnsiTheme="majorBidi" w:cstheme="majorBidi"/>
                <w:sz w:val="20"/>
                <w:szCs w:val="20"/>
              </w:rPr>
              <w:t>g/kg/h</w:t>
            </w:r>
          </w:p>
        </w:tc>
        <w:tc>
          <w:tcPr>
            <w:tcW w:w="540" w:type="dxa"/>
            <w:vAlign w:val="center"/>
            <w:hideMark/>
          </w:tcPr>
          <w:p w14:paraId="0A268428"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14</w:t>
            </w:r>
          </w:p>
        </w:tc>
        <w:tc>
          <w:tcPr>
            <w:tcW w:w="540" w:type="dxa"/>
            <w:vAlign w:val="center"/>
            <w:hideMark/>
          </w:tcPr>
          <w:p w14:paraId="196E7DFD" w14:textId="3FE30B39"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615" w:type="dxa"/>
            <w:vAlign w:val="center"/>
            <w:hideMark/>
          </w:tcPr>
          <w:p w14:paraId="3EE41D51" w14:textId="76116C09"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2.9 ± 1.7 days</w:t>
            </w:r>
          </w:p>
        </w:tc>
        <w:tc>
          <w:tcPr>
            <w:tcW w:w="1843" w:type="dxa"/>
            <w:vAlign w:val="center"/>
            <w:hideMark/>
          </w:tcPr>
          <w:p w14:paraId="50458511" w14:textId="04763FA2"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4.4 ± 0.9</w:t>
            </w:r>
          </w:p>
        </w:tc>
      </w:tr>
      <w:tr w:rsidR="00A80370" w:rsidRPr="000E1337" w14:paraId="54A558BE" w14:textId="77777777" w:rsidTr="00575E39">
        <w:trPr>
          <w:trHeight w:val="203"/>
        </w:trPr>
        <w:tc>
          <w:tcPr>
            <w:tcW w:w="3225" w:type="dxa"/>
            <w:vMerge w:val="restart"/>
            <w:vAlign w:val="center"/>
            <w:hideMark/>
          </w:tcPr>
          <w:p w14:paraId="5DB4F7AF" w14:textId="7B11C40F" w:rsidR="00A80370" w:rsidRPr="000E1337" w:rsidRDefault="00A80370" w:rsidP="00EE60C4">
            <w:pPr>
              <w:jc w:val="center"/>
              <w:rPr>
                <w:rFonts w:asciiTheme="majorBidi" w:hAnsiTheme="majorBidi" w:cstheme="majorBidi"/>
                <w:sz w:val="20"/>
                <w:szCs w:val="20"/>
              </w:rPr>
            </w:pPr>
            <w:r w:rsidRPr="000E1337">
              <w:rPr>
                <w:rFonts w:asciiTheme="majorBidi" w:hAnsiTheme="majorBidi" w:cstheme="majorBidi"/>
                <w:sz w:val="20"/>
                <w:szCs w:val="20"/>
              </w:rPr>
              <w:t xml:space="preserve">Gauntlett et al., 1988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{"citationID":"hCyQruWC","properties":{"formattedCitation":"[50]","plainCitation":"[50]","noteIndex":0},"citationItems":[{"id":"NzKo45Wf/k8eJbW7i","uris":["http://zotero.org/users/6482121/items/VCXXDALM"],"itemData":{"id":672,"type":"article-journal","abstract":"To determine whether the clearance of fentanyl in neonates varies with age, the authors determined the pharmacokinetics of fentanyl in 14 humans ages 1-71 days and 15 lambs ages 3-37 days. In humans, fentanyl, 54.1 +/- 2.3 (mean +/- SD) micrograms/kg, was administered as a 2-min iv infusion; in lambs, fentanyl, 50 micrograms/kg, was administered as an iv bolus. Ventilation was controlled to maintain end-tidal or arterial PCO2 normal, and potent inhaled anesthetics were not administered; in humans, additional anesthesia was provided with iv morphine. Arterial or venous samples were obtained for 12 h, and plasma concentrations of fentanyl were determined by radioimmunoassay. Plasma concentration versus time data were fitted to two- and three-compartment pharmacokinetic models, and clearance, volume of distribution at steady-state (Vdss), and elimination half-life were determined. Clearance increased with age in both humans and lambs. Two humans who had intraabdominal surgery had no clearance of fentanyl: plasma concentrations of fentanyl remained constant for approximately 10 h after an initial distribution phase. In lambs, but not in humans, Vdss increased with age; elimination half-life did not change with age in either lambs or humans. The authors conclude that at least two factors--postnatal age and the type of surgery--affect fentanyl clearance during the neonatal period. The effect of other factors, such as inhaled anesthetics, remains to be determined.","container-title":"Anesthesiology","DOI":"10.1097/00000542-198811000-00008","ISSN":"0003-3022","issue":"5","journalAbbreviation":"Anesthesiology","language":"eng","note":"PMID: 3189915","page":"683-687","source":"PubMed","title":"Pharmacokinetics of fentanyl in neonatal humans and lambs: effects of age","title-short":"Pharmacokinetics of fentanyl in neonatal humans and lambs","volume":"69","author":[{"family":"Gauntlett","given":"I. S."},{"family":"Fisher","given":"D. M."},{"family":"Hertzka","given":"R. E."},{"family":"Kuhls","given":"E."},{"family":"Spellman","given":"M. J."},{"family":"Rudolph","given":"C."}],"issued":{"date-parts":[["1988",11]]}}}],"schema":"https://github.com/citation-style-language/schema/raw/master/csl-citation.json"}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[50]</w:t>
            </w:r>
            <w:r w:rsidRPr="000E1337">
              <w:rPr>
                <w:rFonts w:asciiTheme="majorBidi" w:hAnsiTheme="majorBidi" w:cstheme="majorBidi"/>
                <w:sz w:val="20"/>
                <w:szCs w:val="20"/>
              </w:rPr>
              <w:fldChar w:fldCharType="end"/>
            </w:r>
          </w:p>
        </w:tc>
        <w:tc>
          <w:tcPr>
            <w:tcW w:w="2160" w:type="dxa"/>
            <w:vAlign w:val="center"/>
            <w:hideMark/>
          </w:tcPr>
          <w:p w14:paraId="3C270375" w14:textId="5AB93865"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lang w:val="nn-NO"/>
              </w:rPr>
              <w:t xml:space="preserve">52.5 </w:t>
            </w:r>
            <w:r w:rsidRPr="000E1337">
              <w:rPr>
                <w:rFonts w:asciiTheme="majorBidi" w:hAnsiTheme="majorBidi" w:cstheme="majorBidi"/>
                <w:sz w:val="20"/>
                <w:szCs w:val="20"/>
              </w:rPr>
              <w:t>µ</w:t>
            </w:r>
            <w:r w:rsidRPr="000E1337">
              <w:rPr>
                <w:rFonts w:asciiTheme="majorBidi" w:hAnsiTheme="majorBidi" w:cstheme="majorBidi"/>
                <w:sz w:val="20"/>
                <w:szCs w:val="20"/>
                <w:lang w:val="nn-NO"/>
              </w:rPr>
              <w:t>g/kg</w:t>
            </w:r>
          </w:p>
        </w:tc>
        <w:tc>
          <w:tcPr>
            <w:tcW w:w="540" w:type="dxa"/>
            <w:vAlign w:val="center"/>
            <w:hideMark/>
          </w:tcPr>
          <w:p w14:paraId="39187538"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1</w:t>
            </w:r>
          </w:p>
        </w:tc>
        <w:tc>
          <w:tcPr>
            <w:tcW w:w="540" w:type="dxa"/>
            <w:vAlign w:val="center"/>
            <w:hideMark/>
          </w:tcPr>
          <w:p w14:paraId="446978B5"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40</w:t>
            </w:r>
          </w:p>
        </w:tc>
        <w:tc>
          <w:tcPr>
            <w:tcW w:w="1615" w:type="dxa"/>
            <w:vAlign w:val="center"/>
            <w:hideMark/>
          </w:tcPr>
          <w:p w14:paraId="1D4886F5" w14:textId="53EC2C3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1 day</w:t>
            </w:r>
          </w:p>
        </w:tc>
        <w:tc>
          <w:tcPr>
            <w:tcW w:w="1843" w:type="dxa"/>
            <w:vAlign w:val="center"/>
            <w:hideMark/>
          </w:tcPr>
          <w:p w14:paraId="026E1842"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3.2</w:t>
            </w:r>
          </w:p>
        </w:tc>
      </w:tr>
      <w:tr w:rsidR="00A80370" w:rsidRPr="000E1337" w14:paraId="1DDE4469" w14:textId="77777777" w:rsidTr="00575E39">
        <w:trPr>
          <w:trHeight w:val="60"/>
        </w:trPr>
        <w:tc>
          <w:tcPr>
            <w:tcW w:w="3225" w:type="dxa"/>
            <w:vMerge/>
            <w:tcBorders>
              <w:bottom w:val="single" w:sz="12" w:space="0" w:color="auto"/>
            </w:tcBorders>
            <w:vAlign w:val="center"/>
            <w:hideMark/>
          </w:tcPr>
          <w:p w14:paraId="4CEFF466" w14:textId="77777777" w:rsidR="00A80370" w:rsidRPr="000E1337" w:rsidRDefault="00A80370" w:rsidP="00E20FE2">
            <w:pPr>
              <w:jc w:val="center"/>
              <w:rPr>
                <w:rFonts w:asciiTheme="majorBidi" w:hAnsiTheme="majorBidi" w:cstheme="majorBidi"/>
                <w:sz w:val="20"/>
                <w:szCs w:val="20"/>
              </w:rPr>
            </w:pPr>
          </w:p>
        </w:tc>
        <w:tc>
          <w:tcPr>
            <w:tcW w:w="2160" w:type="dxa"/>
            <w:tcBorders>
              <w:bottom w:val="single" w:sz="12" w:space="0" w:color="auto"/>
            </w:tcBorders>
            <w:vAlign w:val="center"/>
            <w:hideMark/>
          </w:tcPr>
          <w:p w14:paraId="3B1B2697" w14:textId="0EB56EFC"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lang w:val="nn-NO"/>
              </w:rPr>
              <w:t xml:space="preserve">56.5 </w:t>
            </w:r>
            <w:r w:rsidRPr="000E1337">
              <w:rPr>
                <w:rFonts w:asciiTheme="majorBidi" w:hAnsiTheme="majorBidi" w:cstheme="majorBidi"/>
                <w:sz w:val="20"/>
                <w:szCs w:val="20"/>
              </w:rPr>
              <w:t>µ</w:t>
            </w:r>
            <w:r w:rsidRPr="000E1337">
              <w:rPr>
                <w:rFonts w:asciiTheme="majorBidi" w:hAnsiTheme="majorBidi" w:cstheme="majorBidi"/>
                <w:sz w:val="20"/>
                <w:szCs w:val="20"/>
                <w:lang w:val="nn-NO"/>
              </w:rPr>
              <w:t>g/kg</w:t>
            </w:r>
          </w:p>
        </w:tc>
        <w:tc>
          <w:tcPr>
            <w:tcW w:w="540" w:type="dxa"/>
            <w:tcBorders>
              <w:bottom w:val="single" w:sz="12" w:space="0" w:color="auto"/>
            </w:tcBorders>
            <w:vAlign w:val="center"/>
            <w:hideMark/>
          </w:tcPr>
          <w:p w14:paraId="08B96403"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1</w:t>
            </w:r>
          </w:p>
        </w:tc>
        <w:tc>
          <w:tcPr>
            <w:tcW w:w="540" w:type="dxa"/>
            <w:tcBorders>
              <w:bottom w:val="single" w:sz="12" w:space="0" w:color="auto"/>
            </w:tcBorders>
            <w:vAlign w:val="center"/>
            <w:hideMark/>
          </w:tcPr>
          <w:p w14:paraId="37415ABA"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40</w:t>
            </w:r>
          </w:p>
        </w:tc>
        <w:tc>
          <w:tcPr>
            <w:tcW w:w="1615" w:type="dxa"/>
            <w:tcBorders>
              <w:bottom w:val="single" w:sz="12" w:space="0" w:color="auto"/>
            </w:tcBorders>
            <w:vAlign w:val="center"/>
            <w:hideMark/>
          </w:tcPr>
          <w:p w14:paraId="61426AA9" w14:textId="010E7F25"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3 days</w:t>
            </w:r>
          </w:p>
        </w:tc>
        <w:tc>
          <w:tcPr>
            <w:tcW w:w="1843" w:type="dxa"/>
            <w:tcBorders>
              <w:bottom w:val="single" w:sz="12" w:space="0" w:color="auto"/>
            </w:tcBorders>
            <w:vAlign w:val="center"/>
            <w:hideMark/>
          </w:tcPr>
          <w:p w14:paraId="4C02AE1C" w14:textId="77777777" w:rsidR="00A80370" w:rsidRPr="000E1337" w:rsidRDefault="00A80370" w:rsidP="00E20FE2">
            <w:pPr>
              <w:jc w:val="center"/>
              <w:rPr>
                <w:rFonts w:asciiTheme="majorBidi" w:hAnsiTheme="majorBidi" w:cstheme="majorBidi"/>
                <w:sz w:val="20"/>
                <w:szCs w:val="20"/>
              </w:rPr>
            </w:pPr>
            <w:r w:rsidRPr="000E1337">
              <w:rPr>
                <w:rFonts w:asciiTheme="majorBidi" w:hAnsiTheme="majorBidi" w:cstheme="majorBidi"/>
                <w:sz w:val="20"/>
                <w:szCs w:val="20"/>
              </w:rPr>
              <w:t>2.5</w:t>
            </w:r>
          </w:p>
        </w:tc>
      </w:tr>
    </w:tbl>
    <w:p w14:paraId="1416CBD8" w14:textId="392AEBD1" w:rsidR="007F2575" w:rsidRPr="000E1337" w:rsidRDefault="001B6A92" w:rsidP="007F2575">
      <w:pPr>
        <w:spacing w:after="0" w:line="240" w:lineRule="auto"/>
        <w:rPr>
          <w:rFonts w:asciiTheme="majorBidi" w:hAnsiTheme="majorBidi" w:cstheme="majorBidi"/>
          <w:sz w:val="20"/>
          <w:szCs w:val="20"/>
        </w:rPr>
      </w:pPr>
      <w:r w:rsidRPr="000E1337">
        <w:rPr>
          <w:rFonts w:asciiTheme="majorBidi" w:hAnsiTheme="majorBidi" w:cstheme="majorBidi"/>
          <w:i/>
          <w:iCs/>
          <w:sz w:val="20"/>
          <w:szCs w:val="20"/>
        </w:rPr>
        <w:t xml:space="preserve">SD: standard deviation, </w:t>
      </w:r>
      <w:r w:rsidR="00B21CFA" w:rsidRPr="000E1337">
        <w:rPr>
          <w:rFonts w:asciiTheme="majorBidi" w:hAnsiTheme="majorBidi" w:cstheme="majorBidi"/>
          <w:i/>
          <w:iCs/>
          <w:sz w:val="20"/>
          <w:szCs w:val="20"/>
        </w:rPr>
        <w:t xml:space="preserve">GA: </w:t>
      </w:r>
      <w:r w:rsidR="0098044B" w:rsidRPr="000E1337">
        <w:rPr>
          <w:rFonts w:asciiTheme="majorBidi" w:hAnsiTheme="majorBidi" w:cstheme="majorBidi"/>
          <w:i/>
          <w:iCs/>
          <w:sz w:val="20"/>
          <w:szCs w:val="20"/>
        </w:rPr>
        <w:t>g</w:t>
      </w:r>
      <w:r w:rsidR="00B21CFA" w:rsidRPr="000E1337">
        <w:rPr>
          <w:rFonts w:asciiTheme="majorBidi" w:hAnsiTheme="majorBidi" w:cstheme="majorBidi"/>
          <w:i/>
          <w:iCs/>
          <w:sz w:val="20"/>
          <w:szCs w:val="20"/>
        </w:rPr>
        <w:t>estational analysis in weeks</w:t>
      </w:r>
      <w:r w:rsidR="0098044B" w:rsidRPr="000E1337">
        <w:rPr>
          <w:rFonts w:asciiTheme="majorBidi" w:hAnsiTheme="majorBidi" w:cstheme="majorBidi"/>
          <w:i/>
          <w:iCs/>
          <w:sz w:val="20"/>
          <w:szCs w:val="20"/>
        </w:rPr>
        <w:t>,</w:t>
      </w:r>
      <w:r w:rsidR="00B21CFA" w:rsidRPr="000E1337">
        <w:rPr>
          <w:rFonts w:asciiTheme="majorBidi" w:hAnsiTheme="majorBidi" w:cstheme="majorBidi"/>
          <w:i/>
          <w:iCs/>
          <w:sz w:val="20"/>
          <w:szCs w:val="20"/>
        </w:rPr>
        <w:t xml:space="preserve"> </w:t>
      </w:r>
      <w:r w:rsidR="007F2575" w:rsidRPr="000E1337">
        <w:rPr>
          <w:rFonts w:asciiTheme="majorBidi" w:hAnsiTheme="majorBidi" w:cstheme="majorBidi"/>
          <w:i/>
          <w:iCs/>
          <w:sz w:val="20"/>
          <w:szCs w:val="20"/>
        </w:rPr>
        <w:t>BW</w:t>
      </w:r>
      <w:r w:rsidR="0098044B" w:rsidRPr="000E1337">
        <w:rPr>
          <w:rFonts w:asciiTheme="majorBidi" w:hAnsiTheme="majorBidi" w:cstheme="majorBidi"/>
          <w:i/>
          <w:iCs/>
          <w:sz w:val="20"/>
          <w:szCs w:val="20"/>
        </w:rPr>
        <w:t>:</w:t>
      </w:r>
      <w:r w:rsidR="007F2575" w:rsidRPr="000E1337">
        <w:rPr>
          <w:rFonts w:asciiTheme="majorBidi" w:hAnsiTheme="majorBidi" w:cstheme="majorBidi"/>
          <w:i/>
          <w:iCs/>
          <w:sz w:val="20"/>
          <w:szCs w:val="20"/>
        </w:rPr>
        <w:t xml:space="preserve"> </w:t>
      </w:r>
      <w:r w:rsidR="0098044B" w:rsidRPr="000E1337">
        <w:rPr>
          <w:rFonts w:asciiTheme="majorBidi" w:hAnsiTheme="majorBidi" w:cstheme="majorBidi"/>
          <w:i/>
          <w:iCs/>
          <w:sz w:val="20"/>
          <w:szCs w:val="20"/>
        </w:rPr>
        <w:t>b</w:t>
      </w:r>
      <w:r w:rsidR="007F2575" w:rsidRPr="000E1337">
        <w:rPr>
          <w:rFonts w:asciiTheme="majorBidi" w:hAnsiTheme="majorBidi" w:cstheme="majorBidi"/>
          <w:i/>
          <w:iCs/>
          <w:sz w:val="20"/>
          <w:szCs w:val="20"/>
        </w:rPr>
        <w:t xml:space="preserve">ody </w:t>
      </w:r>
      <w:r w:rsidR="0098044B" w:rsidRPr="000E1337">
        <w:rPr>
          <w:rFonts w:asciiTheme="majorBidi" w:hAnsiTheme="majorBidi" w:cstheme="majorBidi"/>
          <w:i/>
          <w:iCs/>
          <w:sz w:val="20"/>
          <w:szCs w:val="20"/>
        </w:rPr>
        <w:t>w</w:t>
      </w:r>
      <w:r w:rsidR="007F2575" w:rsidRPr="000E1337">
        <w:rPr>
          <w:rFonts w:asciiTheme="majorBidi" w:hAnsiTheme="majorBidi" w:cstheme="majorBidi"/>
          <w:i/>
          <w:iCs/>
          <w:sz w:val="20"/>
          <w:szCs w:val="20"/>
        </w:rPr>
        <w:t>eight</w:t>
      </w:r>
    </w:p>
    <w:p w14:paraId="4CD5E198" w14:textId="7BB34263" w:rsidR="00705B78" w:rsidRPr="000E1337" w:rsidRDefault="005637BF" w:rsidP="005637BF">
      <w:pPr>
        <w:rPr>
          <w:rFonts w:asciiTheme="majorBidi" w:hAnsiTheme="majorBidi" w:cstheme="majorBidi"/>
          <w:sz w:val="20"/>
          <w:szCs w:val="20"/>
        </w:rPr>
      </w:pPr>
      <w:r w:rsidRPr="000E1337">
        <w:rPr>
          <w:rFonts w:asciiTheme="majorBidi" w:hAnsiTheme="majorBidi" w:cstheme="majorBidi"/>
          <w:sz w:val="20"/>
          <w:szCs w:val="20"/>
        </w:rPr>
        <w:br w:type="page"/>
      </w:r>
    </w:p>
    <w:p w14:paraId="1DA6CC6D" w14:textId="0A9F1AAB" w:rsidR="006549AA" w:rsidRPr="000E1337" w:rsidRDefault="006549AA" w:rsidP="006830AE">
      <w:pPr>
        <w:spacing w:after="0" w:line="360" w:lineRule="auto"/>
        <w:rPr>
          <w:rFonts w:asciiTheme="majorBidi" w:hAnsiTheme="majorBidi" w:cstheme="majorBidi"/>
        </w:rPr>
      </w:pPr>
      <w:bookmarkStart w:id="10" w:name="_Hlk162569858"/>
      <w:r w:rsidRPr="000E1337">
        <w:rPr>
          <w:rFonts w:asciiTheme="majorBidi" w:hAnsiTheme="majorBidi" w:cstheme="majorBidi"/>
          <w:b/>
          <w:bCs/>
        </w:rPr>
        <w:lastRenderedPageBreak/>
        <w:t>Table S</w:t>
      </w:r>
      <w:r w:rsidR="00AA4A54" w:rsidRPr="000E1337">
        <w:rPr>
          <w:rFonts w:asciiTheme="majorBidi" w:hAnsiTheme="majorBidi" w:cstheme="majorBidi"/>
          <w:b/>
          <w:bCs/>
        </w:rPr>
        <w:t>6</w:t>
      </w:r>
      <w:r w:rsidRPr="000E1337">
        <w:rPr>
          <w:rFonts w:asciiTheme="majorBidi" w:hAnsiTheme="majorBidi" w:cstheme="majorBidi"/>
          <w:b/>
          <w:bCs/>
        </w:rPr>
        <w:t xml:space="preserve">. A summary of the clinical studies used to develop and </w:t>
      </w:r>
      <w:r w:rsidR="00982863" w:rsidRPr="000E1337">
        <w:rPr>
          <w:rFonts w:asciiTheme="majorBidi" w:hAnsiTheme="majorBidi" w:cstheme="majorBidi"/>
          <w:b/>
          <w:bCs/>
        </w:rPr>
        <w:t>verify</w:t>
      </w:r>
      <w:r w:rsidR="0098577A" w:rsidRPr="000E1337">
        <w:rPr>
          <w:rFonts w:asciiTheme="majorBidi" w:hAnsiTheme="majorBidi" w:cstheme="majorBidi"/>
          <w:b/>
          <w:bCs/>
        </w:rPr>
        <w:t xml:space="preserve"> </w:t>
      </w:r>
      <w:r w:rsidRPr="000E1337">
        <w:rPr>
          <w:rFonts w:asciiTheme="majorBidi" w:hAnsiTheme="majorBidi" w:cstheme="majorBidi"/>
          <w:b/>
          <w:bCs/>
        </w:rPr>
        <w:t>the PBPK models in preterm</w:t>
      </w:r>
    </w:p>
    <w:tbl>
      <w:tblPr>
        <w:tblStyle w:val="ae"/>
        <w:tblW w:w="9441"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424"/>
        <w:gridCol w:w="2623"/>
        <w:gridCol w:w="425"/>
        <w:gridCol w:w="1418"/>
        <w:gridCol w:w="1417"/>
        <w:gridCol w:w="1134"/>
      </w:tblGrid>
      <w:tr w:rsidR="00A80370" w:rsidRPr="000E1337" w14:paraId="015DCE71" w14:textId="77777777" w:rsidTr="001B6A92">
        <w:trPr>
          <w:trHeight w:val="239"/>
        </w:trPr>
        <w:tc>
          <w:tcPr>
            <w:tcW w:w="2424" w:type="dxa"/>
            <w:tcBorders>
              <w:top w:val="single" w:sz="12" w:space="0" w:color="auto"/>
              <w:bottom w:val="single" w:sz="12" w:space="0" w:color="auto"/>
            </w:tcBorders>
            <w:vAlign w:val="center"/>
            <w:hideMark/>
          </w:tcPr>
          <w:bookmarkEnd w:id="10"/>
          <w:p w14:paraId="7CF5575F" w14:textId="114B4053" w:rsidR="00A80370" w:rsidRPr="000E1337" w:rsidRDefault="00A80370" w:rsidP="001B6A92">
            <w:pPr>
              <w:jc w:val="center"/>
              <w:rPr>
                <w:rFonts w:asciiTheme="majorBidi" w:hAnsiTheme="majorBidi" w:cstheme="majorBidi"/>
                <w:b/>
                <w:bCs/>
                <w:sz w:val="20"/>
                <w:szCs w:val="20"/>
              </w:rPr>
            </w:pPr>
            <w:r w:rsidRPr="000E1337">
              <w:rPr>
                <w:rFonts w:asciiTheme="majorBidi" w:hAnsiTheme="majorBidi" w:cstheme="majorBidi"/>
                <w:b/>
                <w:bCs/>
                <w:sz w:val="20"/>
                <w:szCs w:val="20"/>
              </w:rPr>
              <w:t>Clinical Study</w:t>
            </w:r>
          </w:p>
        </w:tc>
        <w:tc>
          <w:tcPr>
            <w:tcW w:w="2623" w:type="dxa"/>
            <w:tcBorders>
              <w:top w:val="single" w:sz="12" w:space="0" w:color="auto"/>
              <w:bottom w:val="single" w:sz="12" w:space="0" w:color="auto"/>
            </w:tcBorders>
            <w:vAlign w:val="center"/>
            <w:hideMark/>
          </w:tcPr>
          <w:p w14:paraId="6B25D696" w14:textId="76788D99" w:rsidR="00A80370" w:rsidRPr="000E1337" w:rsidRDefault="00A80370" w:rsidP="001B6A92">
            <w:pPr>
              <w:jc w:val="center"/>
              <w:rPr>
                <w:rFonts w:asciiTheme="majorBidi" w:hAnsiTheme="majorBidi" w:cstheme="majorBidi"/>
                <w:b/>
                <w:bCs/>
                <w:sz w:val="20"/>
                <w:szCs w:val="20"/>
              </w:rPr>
            </w:pPr>
            <w:r w:rsidRPr="000E1337">
              <w:rPr>
                <w:rFonts w:asciiTheme="majorBidi" w:hAnsiTheme="majorBidi" w:cstheme="majorBidi"/>
                <w:b/>
                <w:bCs/>
                <w:sz w:val="20"/>
                <w:szCs w:val="20"/>
              </w:rPr>
              <w:t>Dose</w:t>
            </w:r>
          </w:p>
        </w:tc>
        <w:tc>
          <w:tcPr>
            <w:tcW w:w="425" w:type="dxa"/>
            <w:tcBorders>
              <w:top w:val="single" w:sz="12" w:space="0" w:color="auto"/>
              <w:bottom w:val="single" w:sz="12" w:space="0" w:color="auto"/>
            </w:tcBorders>
            <w:vAlign w:val="center"/>
            <w:hideMark/>
          </w:tcPr>
          <w:p w14:paraId="2CD09701" w14:textId="77777777" w:rsidR="00A80370" w:rsidRPr="000E1337" w:rsidRDefault="00A80370" w:rsidP="001B6A92">
            <w:pPr>
              <w:jc w:val="center"/>
              <w:rPr>
                <w:rFonts w:asciiTheme="majorBidi" w:hAnsiTheme="majorBidi" w:cstheme="majorBidi"/>
                <w:b/>
                <w:bCs/>
                <w:sz w:val="20"/>
                <w:szCs w:val="20"/>
              </w:rPr>
            </w:pPr>
            <w:r w:rsidRPr="000E1337">
              <w:rPr>
                <w:rFonts w:asciiTheme="majorBidi" w:hAnsiTheme="majorBidi" w:cstheme="majorBidi"/>
                <w:b/>
                <w:bCs/>
                <w:sz w:val="20"/>
                <w:szCs w:val="20"/>
              </w:rPr>
              <w:t>N</w:t>
            </w:r>
          </w:p>
        </w:tc>
        <w:tc>
          <w:tcPr>
            <w:tcW w:w="1418" w:type="dxa"/>
            <w:tcBorders>
              <w:top w:val="single" w:sz="12" w:space="0" w:color="auto"/>
              <w:bottom w:val="single" w:sz="12" w:space="0" w:color="auto"/>
            </w:tcBorders>
            <w:vAlign w:val="center"/>
            <w:hideMark/>
          </w:tcPr>
          <w:p w14:paraId="348531C5" w14:textId="08D961CC" w:rsidR="001B6A92" w:rsidRPr="000E1337" w:rsidRDefault="00A80370" w:rsidP="001B6A92">
            <w:pPr>
              <w:jc w:val="center"/>
              <w:rPr>
                <w:rFonts w:asciiTheme="majorBidi" w:hAnsiTheme="majorBidi" w:cstheme="majorBidi"/>
                <w:b/>
                <w:bCs/>
                <w:sz w:val="20"/>
                <w:szCs w:val="20"/>
              </w:rPr>
            </w:pPr>
            <w:r w:rsidRPr="000E1337">
              <w:rPr>
                <w:rFonts w:asciiTheme="majorBidi" w:hAnsiTheme="majorBidi" w:cstheme="majorBidi"/>
                <w:b/>
                <w:bCs/>
                <w:sz w:val="20"/>
                <w:szCs w:val="20"/>
              </w:rPr>
              <w:t>GA</w:t>
            </w:r>
            <w:r w:rsidR="001B6A92" w:rsidRPr="000E1337">
              <w:rPr>
                <w:rFonts w:asciiTheme="majorBidi" w:hAnsiTheme="majorBidi" w:cstheme="majorBidi"/>
                <w:b/>
                <w:bCs/>
                <w:sz w:val="20"/>
                <w:szCs w:val="20"/>
              </w:rPr>
              <w:t xml:space="preserve"> (value or min-max)</w:t>
            </w:r>
          </w:p>
        </w:tc>
        <w:tc>
          <w:tcPr>
            <w:tcW w:w="1417" w:type="dxa"/>
            <w:tcBorders>
              <w:top w:val="single" w:sz="12" w:space="0" w:color="auto"/>
              <w:bottom w:val="single" w:sz="12" w:space="0" w:color="auto"/>
            </w:tcBorders>
            <w:vAlign w:val="center"/>
            <w:hideMark/>
          </w:tcPr>
          <w:p w14:paraId="4222ECC6" w14:textId="50E22FA3" w:rsidR="001B6A92" w:rsidRPr="000E1337" w:rsidRDefault="00A80370" w:rsidP="001B6A92">
            <w:pPr>
              <w:jc w:val="center"/>
              <w:rPr>
                <w:rFonts w:asciiTheme="majorBidi" w:hAnsiTheme="majorBidi" w:cstheme="majorBidi"/>
                <w:b/>
                <w:bCs/>
                <w:sz w:val="20"/>
                <w:szCs w:val="20"/>
              </w:rPr>
            </w:pPr>
            <w:r w:rsidRPr="000E1337">
              <w:rPr>
                <w:rFonts w:asciiTheme="majorBidi" w:hAnsiTheme="majorBidi" w:cstheme="majorBidi"/>
                <w:b/>
                <w:bCs/>
                <w:sz w:val="20"/>
                <w:szCs w:val="20"/>
              </w:rPr>
              <w:t>Age</w:t>
            </w:r>
          </w:p>
          <w:p w14:paraId="74D331F2" w14:textId="52BD4593" w:rsidR="00A80370" w:rsidRPr="000E1337" w:rsidRDefault="001B6A92" w:rsidP="001B6A92">
            <w:pPr>
              <w:jc w:val="center"/>
              <w:rPr>
                <w:rFonts w:asciiTheme="majorBidi" w:hAnsiTheme="majorBidi" w:cstheme="majorBidi"/>
                <w:b/>
                <w:bCs/>
                <w:sz w:val="20"/>
                <w:szCs w:val="20"/>
              </w:rPr>
            </w:pPr>
            <w:r w:rsidRPr="000E1337">
              <w:rPr>
                <w:rFonts w:asciiTheme="majorBidi" w:hAnsiTheme="majorBidi" w:cstheme="majorBidi"/>
                <w:b/>
                <w:bCs/>
                <w:sz w:val="20"/>
                <w:szCs w:val="20"/>
              </w:rPr>
              <w:t>(min-max)</w:t>
            </w:r>
          </w:p>
        </w:tc>
        <w:tc>
          <w:tcPr>
            <w:tcW w:w="1134" w:type="dxa"/>
            <w:tcBorders>
              <w:top w:val="single" w:sz="12" w:space="0" w:color="auto"/>
              <w:bottom w:val="single" w:sz="12" w:space="0" w:color="auto"/>
            </w:tcBorders>
            <w:vAlign w:val="center"/>
            <w:hideMark/>
          </w:tcPr>
          <w:p w14:paraId="653019E2" w14:textId="740C603B" w:rsidR="00A80370" w:rsidRPr="000E1337" w:rsidRDefault="00A80370" w:rsidP="001B6A92">
            <w:pPr>
              <w:jc w:val="center"/>
              <w:rPr>
                <w:rFonts w:asciiTheme="majorBidi" w:hAnsiTheme="majorBidi" w:cstheme="majorBidi"/>
                <w:b/>
                <w:bCs/>
                <w:sz w:val="20"/>
                <w:szCs w:val="20"/>
              </w:rPr>
            </w:pPr>
            <w:r w:rsidRPr="000E1337">
              <w:rPr>
                <w:rFonts w:asciiTheme="majorBidi" w:hAnsiTheme="majorBidi" w:cstheme="majorBidi"/>
                <w:b/>
                <w:bCs/>
                <w:sz w:val="20"/>
                <w:szCs w:val="20"/>
              </w:rPr>
              <w:t>BW (kg</w:t>
            </w:r>
            <w:r w:rsidR="001B6A92" w:rsidRPr="000E1337">
              <w:rPr>
                <w:rFonts w:asciiTheme="majorBidi" w:hAnsiTheme="majorBidi" w:cstheme="majorBidi"/>
                <w:b/>
                <w:bCs/>
                <w:sz w:val="20"/>
                <w:szCs w:val="20"/>
              </w:rPr>
              <w:t>; min-max</w:t>
            </w:r>
            <w:r w:rsidRPr="000E1337">
              <w:rPr>
                <w:rFonts w:asciiTheme="majorBidi" w:hAnsiTheme="majorBidi" w:cstheme="majorBidi"/>
                <w:b/>
                <w:bCs/>
                <w:sz w:val="20"/>
                <w:szCs w:val="20"/>
              </w:rPr>
              <w:t>)</w:t>
            </w:r>
          </w:p>
        </w:tc>
      </w:tr>
      <w:tr w:rsidR="00A80370" w:rsidRPr="000E1337" w14:paraId="487D9308" w14:textId="77777777" w:rsidTr="001B6A92">
        <w:trPr>
          <w:trHeight w:val="239"/>
        </w:trPr>
        <w:tc>
          <w:tcPr>
            <w:tcW w:w="2424" w:type="dxa"/>
            <w:tcBorders>
              <w:top w:val="single" w:sz="12" w:space="0" w:color="auto"/>
            </w:tcBorders>
            <w:vAlign w:val="center"/>
            <w:hideMark/>
          </w:tcPr>
          <w:p w14:paraId="6317A8E9" w14:textId="443B452F" w:rsidR="00A80370" w:rsidRPr="000E1337" w:rsidRDefault="00A80370" w:rsidP="00EE60C4">
            <w:pPr>
              <w:jc w:val="center"/>
              <w:rPr>
                <w:rFonts w:asciiTheme="majorBidi" w:hAnsiTheme="majorBidi" w:cstheme="majorBidi"/>
                <w:sz w:val="20"/>
                <w:szCs w:val="20"/>
              </w:rPr>
            </w:pPr>
            <w:r w:rsidRPr="000E1337">
              <w:rPr>
                <w:rFonts w:asciiTheme="majorBidi" w:hAnsiTheme="majorBidi" w:cstheme="majorBidi"/>
                <w:sz w:val="20"/>
                <w:szCs w:val="20"/>
                <w:lang w:val="fr-FR"/>
              </w:rPr>
              <w:t xml:space="preserve">Collins et al., 1985 </w:t>
            </w:r>
            <w:r w:rsidRPr="000E1337">
              <w:rPr>
                <w:rFonts w:asciiTheme="majorBidi" w:hAnsiTheme="majorBidi" w:cstheme="majorBidi"/>
                <w:sz w:val="20"/>
                <w:szCs w:val="20"/>
                <w:lang w:val="fr-FR"/>
              </w:rPr>
              <w:fldChar w:fldCharType="begin"/>
            </w:r>
            <w:r w:rsidR="00552F4F" w:rsidRPr="000E1337">
              <w:rPr>
                <w:rFonts w:asciiTheme="majorBidi" w:hAnsiTheme="majorBidi" w:cstheme="majorBidi"/>
                <w:sz w:val="20"/>
                <w:szCs w:val="20"/>
                <w:lang w:val="fr-FR"/>
              </w:rPr>
              <w:instrText xml:space="preserve"> ADDIN ZOTERO_ITEM CSL_CITATION {"citationID":"amrkgsvoff","properties":{"formattedCitation":"[51]","plainCitation":"[51]","noteIndex":0},"citationItems":[{"id":105,"uris":["http://zotero.org/users/local/J5Cy8xXX/items/3Y8TRM9K"],"itemData":{"id":105,"type":"article-journal","abstract":"A bolus of 30 micrograms X kg-1 fentanyl was given to nine preterm infants (gestational age 31.8 +/- 4.7 weeks, weight 1100 +/- 309 g) for induction of anesthesia for ligation of a patent ductus arteriosus. Thirty minutes after the injection, fentanyl plasma concentrations were between 7.7 and 13.6 ng X ml-1. Elimination half-life was 6-32 hr (mean +/- SD, 17.7 +/- 9.3). Systolic blood pressure remained stable throughout surgery. There was a gradual increase in heart rate from 159 +/- 12 min-1 at the time of skin incision to 173 +/- 15 min-1 at the time of skin closure (P less than 0.05). Fentanyl plasma concentrations remained virtually unchanged between 30 min (10.6 +/- 1.9 ng X ml-1) and 120 min (9.6 +/- 1.6 ng X ml-1); whereas at the end of surgery most infants moved and breathed spontaneously. This phenomenon can be explained by redistribution of fentanyl from brain into pharmacodynamically inert tissues.","container-title":"Anesthesia and Analgesia","ISSN":"0003-2999","issue":"11","journalAbbreviation":"Anesth Analg","language":"eng","note":"PMID: 3840338","page":"1078-1080","source":"PubMed","title":"Fentanyl pharmacokinetics and hemodynamic effects in preterm infants during ligation of patent ductus arteriosus","volume":"64","author":[{"family":"Collins","given":"C."},{"family":"Koren","given":"G."},{"family":"Crean","given":"P."},{"family":"Klein","given":"J."},{"family":"Roy","given":"W. L."},{"family":"MacLeod","given":"S. M."}],"issued":{"date-parts":[["1985",11]]}}}],"schema":"https://github.com/citation-style-language/schema/raw/master/csl-citation.json"} </w:instrText>
            </w:r>
            <w:r w:rsidRPr="000E1337">
              <w:rPr>
                <w:rFonts w:asciiTheme="majorBidi" w:hAnsiTheme="majorBidi" w:cstheme="majorBidi"/>
                <w:sz w:val="20"/>
                <w:szCs w:val="20"/>
                <w:lang w:val="fr-FR"/>
              </w:rPr>
              <w:fldChar w:fldCharType="separate"/>
            </w:r>
            <w:r w:rsidR="00552F4F" w:rsidRPr="008A707E">
              <w:rPr>
                <w:rFonts w:asciiTheme="majorBidi" w:hAnsiTheme="majorBidi" w:cstheme="majorBidi"/>
                <w:sz w:val="20"/>
              </w:rPr>
              <w:t>[51]</w:t>
            </w:r>
            <w:r w:rsidRPr="000E1337">
              <w:rPr>
                <w:rFonts w:asciiTheme="majorBidi" w:hAnsiTheme="majorBidi" w:cstheme="majorBidi"/>
                <w:sz w:val="20"/>
                <w:szCs w:val="20"/>
                <w:lang w:val="fr-FR"/>
              </w:rPr>
              <w:fldChar w:fldCharType="end"/>
            </w:r>
          </w:p>
        </w:tc>
        <w:tc>
          <w:tcPr>
            <w:tcW w:w="2623" w:type="dxa"/>
            <w:tcBorders>
              <w:top w:val="single" w:sz="12" w:space="0" w:color="auto"/>
            </w:tcBorders>
            <w:vAlign w:val="center"/>
            <w:hideMark/>
          </w:tcPr>
          <w:p w14:paraId="1DB7D3DE" w14:textId="5A801624"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30 µg/kg</w:t>
            </w:r>
          </w:p>
        </w:tc>
        <w:tc>
          <w:tcPr>
            <w:tcW w:w="425" w:type="dxa"/>
            <w:tcBorders>
              <w:top w:val="single" w:sz="12" w:space="0" w:color="auto"/>
            </w:tcBorders>
            <w:vAlign w:val="center"/>
            <w:hideMark/>
          </w:tcPr>
          <w:p w14:paraId="2A72C10D" w14:textId="7777777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9</w:t>
            </w:r>
          </w:p>
        </w:tc>
        <w:tc>
          <w:tcPr>
            <w:tcW w:w="1418" w:type="dxa"/>
            <w:tcBorders>
              <w:top w:val="single" w:sz="12" w:space="0" w:color="auto"/>
            </w:tcBorders>
            <w:vAlign w:val="center"/>
            <w:hideMark/>
          </w:tcPr>
          <w:p w14:paraId="2AFFA667" w14:textId="670FFF41"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23–38</w:t>
            </w:r>
          </w:p>
        </w:tc>
        <w:tc>
          <w:tcPr>
            <w:tcW w:w="1417" w:type="dxa"/>
            <w:tcBorders>
              <w:top w:val="single" w:sz="12" w:space="0" w:color="auto"/>
            </w:tcBorders>
            <w:vAlign w:val="center"/>
            <w:hideMark/>
          </w:tcPr>
          <w:p w14:paraId="2C9F8E1E" w14:textId="438EF6F9"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1</w:t>
            </w:r>
            <w:r w:rsidR="0007693F" w:rsidRPr="000E1337">
              <w:rPr>
                <w:rFonts w:asciiTheme="majorBidi" w:hAnsiTheme="majorBidi" w:cstheme="majorBidi"/>
                <w:sz w:val="20"/>
                <w:szCs w:val="20"/>
              </w:rPr>
              <w:t>–</w:t>
            </w:r>
            <w:r w:rsidRPr="000E1337">
              <w:rPr>
                <w:rFonts w:asciiTheme="majorBidi" w:hAnsiTheme="majorBidi" w:cstheme="majorBidi"/>
                <w:sz w:val="20"/>
                <w:szCs w:val="20"/>
              </w:rPr>
              <w:t>30 days</w:t>
            </w:r>
          </w:p>
        </w:tc>
        <w:tc>
          <w:tcPr>
            <w:tcW w:w="1134" w:type="dxa"/>
            <w:tcBorders>
              <w:top w:val="single" w:sz="12" w:space="0" w:color="auto"/>
            </w:tcBorders>
            <w:vAlign w:val="center"/>
            <w:hideMark/>
          </w:tcPr>
          <w:p w14:paraId="001BE06E" w14:textId="1457D398"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0.7–1.6</w:t>
            </w:r>
          </w:p>
        </w:tc>
      </w:tr>
      <w:tr w:rsidR="00A80370" w:rsidRPr="000E1337" w14:paraId="5D4D0DFE" w14:textId="77777777" w:rsidTr="001B6A92">
        <w:trPr>
          <w:trHeight w:val="239"/>
        </w:trPr>
        <w:tc>
          <w:tcPr>
            <w:tcW w:w="2424" w:type="dxa"/>
            <w:vAlign w:val="center"/>
            <w:hideMark/>
          </w:tcPr>
          <w:p w14:paraId="5513C4F3" w14:textId="3E651A6B" w:rsidR="00A80370" w:rsidRPr="000E1337" w:rsidRDefault="00A80370" w:rsidP="00EE60C4">
            <w:pPr>
              <w:jc w:val="center"/>
              <w:rPr>
                <w:rFonts w:asciiTheme="majorBidi" w:hAnsiTheme="majorBidi" w:cstheme="majorBidi"/>
                <w:sz w:val="20"/>
                <w:szCs w:val="20"/>
              </w:rPr>
            </w:pPr>
            <w:proofErr w:type="spellStart"/>
            <w:r w:rsidRPr="000E1337">
              <w:rPr>
                <w:rFonts w:asciiTheme="majorBidi" w:hAnsiTheme="majorBidi" w:cstheme="majorBidi"/>
                <w:sz w:val="20"/>
                <w:szCs w:val="20"/>
              </w:rPr>
              <w:t>Saarenmaa</w:t>
            </w:r>
            <w:proofErr w:type="spellEnd"/>
            <w:r w:rsidRPr="000E1337">
              <w:rPr>
                <w:rFonts w:asciiTheme="majorBidi" w:hAnsiTheme="majorBidi" w:cstheme="majorBidi"/>
                <w:sz w:val="20"/>
                <w:szCs w:val="20"/>
              </w:rPr>
              <w:t xml:space="preserve"> et al., 2000 </w:t>
            </w:r>
            <w:r w:rsidRPr="000E1337">
              <w:rPr>
                <w:rFonts w:asciiTheme="majorBidi" w:hAnsiTheme="majorBidi" w:cstheme="majorBidi"/>
                <w:sz w:val="20"/>
                <w:szCs w:val="20"/>
              </w:rPr>
              <w:fldChar w:fldCharType="begin"/>
            </w:r>
            <w:r w:rsidR="00552F4F" w:rsidRPr="000E1337">
              <w:rPr>
                <w:rFonts w:asciiTheme="majorBidi" w:hAnsiTheme="majorBidi" w:cstheme="majorBidi"/>
                <w:sz w:val="20"/>
                <w:szCs w:val="20"/>
              </w:rPr>
              <w:instrText xml:space="preserve"> ADDIN ZOTERO_ITEM CSL_CITATION {"citationID":"a156on1so7h","properties":{"formattedCitation":"[52]","plainCitation":"[52]","noteIndex":0},"citationItems":[{"id":107,"uris":["http://zotero.org/users/local/J5Cy8xXX/items/M5VXLV2W"],"itemData":{"id":107,"type":"article-journal","abstract":"Objective: To provide a rational basis for the dosage of fentanyl in newborn infants by determining clearance in the first days of life. Study design: A continuous infusion of fentanyl for 2 to 3 clays (10.5 μg/kg over a 1-hour period followed by 1.5 μg/kg/h) was administered to 38 newborn infants who had undergone ventilation (gestational ages 26 to 42 weeks and birth weights 835 to 3550 g). Fentanyl concentrations were measured in arterial blood samples collected at 2, 12, 24, 48, and 60 hours after the start of fentanyl infusion. Fentanyl levels were correlated with a pain score. Results: The mean (±SD) steady-state fentanyl concentration of 2.5 (±1) ng/mL achieved between 24 and 48 hours of infusion correlated significantly with the concomitant pain score (r = −0.57, P &lt; .01). The clearance, 11.5 (±4.0) mL/min/kg, correlated significantly with the gestational age (r = 0.46, P &lt; .01) and birth weight (r = 0.48, P &lt; .01). Conclusions: Because plasma fentanyl clearance increases with maturity, gestational age should be taken into account when fentanyl is administered to newborn infants.","container-title":"The Journal of Pediatrics","DOI":"10.1016/S0022-3476(00)98837-1","ISSN":"0022-3476","issue":"6","journalAbbreviation":"The Journal of Pediatrics","page":"767-770","source":"ScienceDirect","title":"Gestational age and birth weight effects on plasma clearance of fentanyl in newborn infants","volume":"136","author":[{"family":"Saarenmaa","given":"Elina"},{"family":"Neuvonen","given":"Pertti J."},{"family":"Fellman","given":"Vineta"}],"issued":{"date-parts":[["2000",6,1]]}}}],"schema":"https://github.com/citation-style-language/schema/raw/master/csl-citation.json"} </w:instrText>
            </w:r>
            <w:r w:rsidRPr="000E1337">
              <w:rPr>
                <w:rFonts w:asciiTheme="majorBidi" w:hAnsiTheme="majorBidi" w:cstheme="majorBidi"/>
                <w:sz w:val="20"/>
                <w:szCs w:val="20"/>
              </w:rPr>
              <w:fldChar w:fldCharType="separate"/>
            </w:r>
            <w:r w:rsidR="00552F4F" w:rsidRPr="008A707E">
              <w:rPr>
                <w:rFonts w:asciiTheme="majorBidi" w:hAnsiTheme="majorBidi" w:cstheme="majorBidi"/>
                <w:sz w:val="20"/>
              </w:rPr>
              <w:t>[52]</w:t>
            </w:r>
            <w:r w:rsidRPr="000E1337">
              <w:rPr>
                <w:rFonts w:asciiTheme="majorBidi" w:hAnsiTheme="majorBidi" w:cstheme="majorBidi"/>
                <w:sz w:val="20"/>
                <w:szCs w:val="20"/>
              </w:rPr>
              <w:fldChar w:fldCharType="end"/>
            </w:r>
          </w:p>
        </w:tc>
        <w:tc>
          <w:tcPr>
            <w:tcW w:w="2623" w:type="dxa"/>
            <w:vAlign w:val="center"/>
            <w:hideMark/>
          </w:tcPr>
          <w:p w14:paraId="24378100" w14:textId="7D48E76B"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lang w:val="pt-BR"/>
              </w:rPr>
              <w:t xml:space="preserve">10.5 </w:t>
            </w:r>
            <w:r w:rsidRPr="000E1337">
              <w:rPr>
                <w:rFonts w:asciiTheme="majorBidi" w:hAnsiTheme="majorBidi" w:cstheme="majorBidi"/>
                <w:sz w:val="20"/>
                <w:szCs w:val="20"/>
              </w:rPr>
              <w:t>µ</w:t>
            </w:r>
            <w:r w:rsidRPr="000E1337">
              <w:rPr>
                <w:rFonts w:asciiTheme="majorBidi" w:hAnsiTheme="majorBidi" w:cstheme="majorBidi"/>
                <w:sz w:val="20"/>
                <w:szCs w:val="20"/>
                <w:lang w:val="pt-BR"/>
              </w:rPr>
              <w:t xml:space="preserve">g/kg/h </w:t>
            </w:r>
            <w:proofErr w:type="spellStart"/>
            <w:r w:rsidRPr="000E1337">
              <w:rPr>
                <w:rFonts w:asciiTheme="majorBidi" w:hAnsiTheme="majorBidi" w:cstheme="majorBidi"/>
                <w:sz w:val="20"/>
                <w:szCs w:val="20"/>
                <w:lang w:val="pt-BR"/>
              </w:rPr>
              <w:t>then</w:t>
            </w:r>
            <w:proofErr w:type="spellEnd"/>
            <w:r w:rsidRPr="000E1337">
              <w:rPr>
                <w:rFonts w:asciiTheme="majorBidi" w:hAnsiTheme="majorBidi" w:cstheme="majorBidi"/>
                <w:sz w:val="20"/>
                <w:szCs w:val="20"/>
                <w:lang w:val="pt-BR"/>
              </w:rPr>
              <w:t xml:space="preserve"> 1.5</w:t>
            </w:r>
            <w:r w:rsidRPr="000E1337">
              <w:rPr>
                <w:rFonts w:asciiTheme="majorBidi" w:hAnsiTheme="majorBidi" w:cstheme="majorBidi"/>
                <w:sz w:val="20"/>
                <w:szCs w:val="20"/>
              </w:rPr>
              <w:t xml:space="preserve"> µ</w:t>
            </w:r>
            <w:r w:rsidRPr="000E1337">
              <w:rPr>
                <w:rFonts w:asciiTheme="majorBidi" w:hAnsiTheme="majorBidi" w:cstheme="majorBidi"/>
                <w:sz w:val="20"/>
                <w:szCs w:val="20"/>
                <w:lang w:val="pt-BR"/>
              </w:rPr>
              <w:t>g/kg/h</w:t>
            </w:r>
          </w:p>
        </w:tc>
        <w:tc>
          <w:tcPr>
            <w:tcW w:w="425" w:type="dxa"/>
            <w:vAlign w:val="center"/>
            <w:hideMark/>
          </w:tcPr>
          <w:p w14:paraId="6C8445DA" w14:textId="7777777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38</w:t>
            </w:r>
          </w:p>
        </w:tc>
        <w:tc>
          <w:tcPr>
            <w:tcW w:w="1418" w:type="dxa"/>
            <w:vAlign w:val="center"/>
            <w:hideMark/>
          </w:tcPr>
          <w:p w14:paraId="16597865" w14:textId="4B91A32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26–42</w:t>
            </w:r>
          </w:p>
        </w:tc>
        <w:tc>
          <w:tcPr>
            <w:tcW w:w="1417" w:type="dxa"/>
            <w:vAlign w:val="center"/>
            <w:hideMark/>
          </w:tcPr>
          <w:p w14:paraId="016C65B4" w14:textId="6A392E5E"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3 h–2 days</w:t>
            </w:r>
          </w:p>
        </w:tc>
        <w:tc>
          <w:tcPr>
            <w:tcW w:w="1134" w:type="dxa"/>
            <w:vAlign w:val="center"/>
            <w:hideMark/>
          </w:tcPr>
          <w:p w14:paraId="368667E8" w14:textId="7AFEB782"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0.9–3.6</w:t>
            </w:r>
          </w:p>
        </w:tc>
      </w:tr>
      <w:tr w:rsidR="00A80370" w:rsidRPr="000E1337" w14:paraId="0B2252FA" w14:textId="77777777" w:rsidTr="001B6A92">
        <w:trPr>
          <w:trHeight w:val="229"/>
        </w:trPr>
        <w:tc>
          <w:tcPr>
            <w:tcW w:w="2424" w:type="dxa"/>
            <w:vMerge w:val="restart"/>
            <w:vAlign w:val="center"/>
            <w:hideMark/>
          </w:tcPr>
          <w:p w14:paraId="61C64851" w14:textId="41AB8466" w:rsidR="00A80370" w:rsidRPr="000E1337" w:rsidRDefault="00A80370" w:rsidP="00EE60C4">
            <w:pPr>
              <w:jc w:val="center"/>
              <w:rPr>
                <w:rFonts w:asciiTheme="majorBidi" w:hAnsiTheme="majorBidi" w:cstheme="majorBidi"/>
                <w:sz w:val="20"/>
                <w:szCs w:val="20"/>
              </w:rPr>
            </w:pPr>
            <w:r w:rsidRPr="000E1337">
              <w:rPr>
                <w:rFonts w:asciiTheme="majorBidi" w:hAnsiTheme="majorBidi" w:cstheme="majorBidi"/>
                <w:sz w:val="20"/>
                <w:szCs w:val="20"/>
              </w:rPr>
              <w:t xml:space="preserve">Norman et al., 2019 </w:t>
            </w:r>
            <w:r w:rsidRPr="000E1337">
              <w:rPr>
                <w:rFonts w:asciiTheme="majorBidi" w:hAnsiTheme="majorBidi" w:cstheme="majorBidi"/>
                <w:sz w:val="20"/>
                <w:szCs w:val="20"/>
              </w:rPr>
              <w:fldChar w:fldCharType="begin"/>
            </w:r>
            <w:r w:rsidR="00552F4F" w:rsidRPr="000E1337">
              <w:rPr>
                <w:rFonts w:asciiTheme="majorBidi" w:hAnsiTheme="majorBidi" w:cstheme="majorBidi"/>
                <w:sz w:val="20"/>
                <w:szCs w:val="20"/>
              </w:rPr>
              <w:instrText xml:space="preserve"> ADDIN ZOTERO_ITEM CSL_CITATION {"citationID":"af8nmgut1j","properties":{"formattedCitation":"[53]","plainCitation":"[53]","noteIndex":0},"citationItems":[{"id":109,"uris":["http://zotero.org/users/local/J5Cy8xXX/items/RIMLAXDZ"],"itemData":{"id":109,"type":"article-journal","abstract":"AIM: Fentanyl pharmacokinetics and pharmacodynamics are lacking in preterm infants. Our aim was to study these and their relation with a new formulation of fentanyl 5 μg/mL for procedural pain.\nMETHODS: Preterm infants were given 0.5 (n = 20, median gestational age 26.5; range 23.3-34.1 weeks) and 2 μg/kg (n = 8, 27.4; 25.3-30.7 weeks) fentanyl, respectively, before skin-breaking procedures or tracheal intubation. Blood samples were collected after ten minutes, two, four, eight and 24 hours. Physiologic parameters were monitored and pain scores assessed.\nRESULTS: The median fentanyl concentrations were 0.18, 0.15, 0.15 and 0.57, 0.37, 0.35 ng/mL at 15-31 minutes, two and four hours and the half-lives were 1.6 to 20.5 or 4.1 to 32.6 hours for the low- and high-dose groups, respectively. A significant correlation was seen between weight at study inclusion and half-life (Spearman's r = -0.9, p &lt; 0.001), volume of distribution (r = -0.8, p &lt; 0.01) and clearance (r = -0.9, p &lt; 0.01) in the low-dose group (n = 9). Pain assessment results were not correlated to pharmacokinetic variables. Fentanyl was well tolerated.\nCONCLUSION: The inter-individual variation of fentanyl pharmacokinetics is large in preterm infants, and the dose of 0.5 μg/kg seems not effective for skin-breaking procedures.","container-title":"Acta Paediatrica (Oslo, Norway: 1992)","DOI":"10.1111/apa.14744","ISSN":"1651-2227","issue":"8","journalAbbreviation":"Acta Paediatr","language":"eng","note":"PMID: 30721546","page":"1441-1446","source":"PubMed","title":"Individual variations in fentanyl pharmacokinetics and pharmacodynamics in preterm infants","volume":"108","author":[{"family":"Norman","given":"Elisabeth"},{"family":"Kindblom","given":"Jenny M."},{"family":"Rane","given":"Anders"},{"family":"Berg","given":"Ann-Cathrine"},{"family":"Schubert","given":"Ulf"},{"family":"Hallberg","given":"Boubou"},{"family":"Fellman","given":"Vineta"}],"issued":{"date-parts":[["2019",8]]}}}],"schema":"https://github.com/citation-style-language/schema/raw/master/csl-citation.json"} </w:instrText>
            </w:r>
            <w:r w:rsidRPr="000E1337">
              <w:rPr>
                <w:rFonts w:asciiTheme="majorBidi" w:hAnsiTheme="majorBidi" w:cstheme="majorBidi"/>
                <w:sz w:val="20"/>
                <w:szCs w:val="20"/>
              </w:rPr>
              <w:fldChar w:fldCharType="separate"/>
            </w:r>
            <w:r w:rsidR="00552F4F" w:rsidRPr="008A707E">
              <w:rPr>
                <w:rFonts w:asciiTheme="majorBidi" w:hAnsiTheme="majorBidi" w:cstheme="majorBidi"/>
                <w:sz w:val="20"/>
              </w:rPr>
              <w:t>[53]</w:t>
            </w:r>
            <w:r w:rsidRPr="000E1337">
              <w:rPr>
                <w:rFonts w:asciiTheme="majorBidi" w:hAnsiTheme="majorBidi" w:cstheme="majorBidi"/>
                <w:sz w:val="20"/>
                <w:szCs w:val="20"/>
              </w:rPr>
              <w:fldChar w:fldCharType="end"/>
            </w:r>
          </w:p>
        </w:tc>
        <w:tc>
          <w:tcPr>
            <w:tcW w:w="2623" w:type="dxa"/>
            <w:vAlign w:val="center"/>
            <w:hideMark/>
          </w:tcPr>
          <w:p w14:paraId="0ED147BC" w14:textId="73B760DA"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0.5 µg/kg</w:t>
            </w:r>
          </w:p>
        </w:tc>
        <w:tc>
          <w:tcPr>
            <w:tcW w:w="425" w:type="dxa"/>
            <w:vAlign w:val="center"/>
            <w:hideMark/>
          </w:tcPr>
          <w:p w14:paraId="598C3333" w14:textId="7777777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20</w:t>
            </w:r>
          </w:p>
        </w:tc>
        <w:tc>
          <w:tcPr>
            <w:tcW w:w="1418" w:type="dxa"/>
            <w:vAlign w:val="center"/>
            <w:hideMark/>
          </w:tcPr>
          <w:p w14:paraId="5C519DEB" w14:textId="75F45220"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23–34</w:t>
            </w:r>
          </w:p>
        </w:tc>
        <w:tc>
          <w:tcPr>
            <w:tcW w:w="1417" w:type="dxa"/>
            <w:vAlign w:val="center"/>
            <w:hideMark/>
          </w:tcPr>
          <w:p w14:paraId="42243316" w14:textId="34821F02"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1.6–28 days</w:t>
            </w:r>
          </w:p>
        </w:tc>
        <w:tc>
          <w:tcPr>
            <w:tcW w:w="1134" w:type="dxa"/>
            <w:vAlign w:val="center"/>
            <w:hideMark/>
          </w:tcPr>
          <w:p w14:paraId="01C8B05B" w14:textId="719ABC64"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0.6–1.37</w:t>
            </w:r>
          </w:p>
        </w:tc>
      </w:tr>
      <w:tr w:rsidR="00A80370" w:rsidRPr="000E1337" w14:paraId="4D2FE6C6" w14:textId="77777777" w:rsidTr="001B6A92">
        <w:trPr>
          <w:trHeight w:val="239"/>
        </w:trPr>
        <w:tc>
          <w:tcPr>
            <w:tcW w:w="2424" w:type="dxa"/>
            <w:vMerge/>
            <w:vAlign w:val="center"/>
            <w:hideMark/>
          </w:tcPr>
          <w:p w14:paraId="30B0D449" w14:textId="77777777" w:rsidR="00A80370" w:rsidRPr="000E1337" w:rsidRDefault="00A80370" w:rsidP="001B6A92">
            <w:pPr>
              <w:jc w:val="center"/>
              <w:rPr>
                <w:rFonts w:asciiTheme="majorBidi" w:hAnsiTheme="majorBidi" w:cstheme="majorBidi"/>
                <w:sz w:val="20"/>
                <w:szCs w:val="20"/>
              </w:rPr>
            </w:pPr>
          </w:p>
        </w:tc>
        <w:tc>
          <w:tcPr>
            <w:tcW w:w="2623" w:type="dxa"/>
            <w:vAlign w:val="center"/>
            <w:hideMark/>
          </w:tcPr>
          <w:p w14:paraId="0ACCC239" w14:textId="08650C8A"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2 µg/kg</w:t>
            </w:r>
          </w:p>
        </w:tc>
        <w:tc>
          <w:tcPr>
            <w:tcW w:w="425" w:type="dxa"/>
            <w:vAlign w:val="center"/>
            <w:hideMark/>
          </w:tcPr>
          <w:p w14:paraId="5CEE629F" w14:textId="7777777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8</w:t>
            </w:r>
          </w:p>
        </w:tc>
        <w:tc>
          <w:tcPr>
            <w:tcW w:w="1418" w:type="dxa"/>
            <w:vAlign w:val="center"/>
            <w:hideMark/>
          </w:tcPr>
          <w:p w14:paraId="009D8319" w14:textId="1DBB6702"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25–30</w:t>
            </w:r>
          </w:p>
        </w:tc>
        <w:tc>
          <w:tcPr>
            <w:tcW w:w="1417" w:type="dxa"/>
            <w:vAlign w:val="center"/>
            <w:hideMark/>
          </w:tcPr>
          <w:p w14:paraId="35BB104D" w14:textId="07C6E341"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0.25–28 days</w:t>
            </w:r>
          </w:p>
        </w:tc>
        <w:tc>
          <w:tcPr>
            <w:tcW w:w="1134" w:type="dxa"/>
            <w:vAlign w:val="center"/>
            <w:hideMark/>
          </w:tcPr>
          <w:p w14:paraId="646D38FB" w14:textId="4C8217CF"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0.86–1.71</w:t>
            </w:r>
          </w:p>
        </w:tc>
      </w:tr>
      <w:tr w:rsidR="00A80370" w:rsidRPr="000E1337" w14:paraId="0B59C2CC" w14:textId="77777777" w:rsidTr="001B6A92">
        <w:trPr>
          <w:trHeight w:val="229"/>
        </w:trPr>
        <w:tc>
          <w:tcPr>
            <w:tcW w:w="2424" w:type="dxa"/>
            <w:vMerge w:val="restart"/>
            <w:vAlign w:val="center"/>
            <w:hideMark/>
          </w:tcPr>
          <w:p w14:paraId="5CE0A5EC" w14:textId="644254EF" w:rsidR="00A80370" w:rsidRPr="000E1337" w:rsidRDefault="00A80370" w:rsidP="00EE60C4">
            <w:pPr>
              <w:jc w:val="center"/>
              <w:rPr>
                <w:rFonts w:asciiTheme="majorBidi" w:hAnsiTheme="majorBidi" w:cstheme="majorBidi"/>
                <w:sz w:val="20"/>
                <w:szCs w:val="20"/>
              </w:rPr>
            </w:pPr>
            <w:r w:rsidRPr="000E1337">
              <w:rPr>
                <w:rFonts w:asciiTheme="majorBidi" w:hAnsiTheme="majorBidi" w:cstheme="majorBidi"/>
                <w:sz w:val="20"/>
                <w:szCs w:val="20"/>
              </w:rPr>
              <w:t xml:space="preserve">Roth et al.,  </w:t>
            </w:r>
            <w:r w:rsidRPr="000E1337">
              <w:rPr>
                <w:rFonts w:asciiTheme="majorBidi" w:hAnsiTheme="majorBidi" w:cstheme="majorBidi"/>
                <w:sz w:val="20"/>
                <w:szCs w:val="20"/>
              </w:rPr>
              <w:fldChar w:fldCharType="begin"/>
            </w:r>
            <w:r w:rsidR="00EE60C4" w:rsidRPr="000E1337">
              <w:rPr>
                <w:rFonts w:asciiTheme="majorBidi" w:hAnsiTheme="majorBidi" w:cstheme="majorBidi"/>
                <w:sz w:val="20"/>
                <w:szCs w:val="20"/>
              </w:rPr>
              <w:instrText xml:space="preserve"> ADDIN ZOTERO_ITEM CSL_CITATION {"citationID":"8G4YOghH","properties":{"formattedCitation":"[54]","plainCitation":"[54]","noteIndex":0},"citationItems":[{"id":"NzKo45Wf/tkeyuJWy","uris":["http://zotero.org/users/6482121/items/DBRMRBFQ"],"itemData":{"id":2685,"type":"article-journal","abstract":"To determine the effects of fentanyl in newborn and premature infants, we compared two groups of 20 newborn and premature babies under artificial ventilation for severe respiratory distress syndrome: a prospective group receiving fentanyl for analgesic and sedation and a historical control group, who did not receive fentanyl. Fentanyl serum levels during steady state were determined by radioimmunoassay. Average time of infusion was 86 ± 47 h with a mean dosage of 0.68 ± 0.24 pg/kg/h. The fentanyl group needed much less sedatives and catecholamines. Heart rate and blood pressure were not significantly changed by fentanyl. Meconium was excreted later, and higher values of bilirubin were reached earlier than in the control group. Although fentanyl proved to be helpful in the neonatal intensive care unit, the administration should remain under strict indication.","language":"en","page":"7","source":"Zotero","title":"Analgesia and Sedation in Neonatal Intensive Care Using Fentanyl by Continuous Infusion1,2","author":[{"family":"Rotha","given":"B"},{"family":"Schlünder","given":"C"},{"family":"Günther","given":"M"},{"family":"Theisohn","given":"M"}]}}],"schema":"https://github.com/citation-style-language/schema/raw/master/csl-citation.json"} </w:instrText>
            </w:r>
            <w:r w:rsidRPr="000E1337">
              <w:rPr>
                <w:rFonts w:asciiTheme="majorBidi" w:hAnsiTheme="majorBidi" w:cstheme="majorBidi"/>
                <w:sz w:val="20"/>
                <w:szCs w:val="20"/>
              </w:rPr>
              <w:fldChar w:fldCharType="separate"/>
            </w:r>
            <w:r w:rsidR="00EE60C4" w:rsidRPr="008A707E">
              <w:rPr>
                <w:rFonts w:asciiTheme="majorBidi" w:hAnsiTheme="majorBidi" w:cstheme="majorBidi"/>
                <w:sz w:val="20"/>
              </w:rPr>
              <w:t>[54]</w:t>
            </w:r>
            <w:r w:rsidRPr="000E1337">
              <w:rPr>
                <w:rFonts w:asciiTheme="majorBidi" w:hAnsiTheme="majorBidi" w:cstheme="majorBidi"/>
                <w:sz w:val="20"/>
                <w:szCs w:val="20"/>
              </w:rPr>
              <w:fldChar w:fldCharType="end"/>
            </w:r>
          </w:p>
        </w:tc>
        <w:tc>
          <w:tcPr>
            <w:tcW w:w="2623" w:type="dxa"/>
            <w:vAlign w:val="center"/>
            <w:hideMark/>
          </w:tcPr>
          <w:p w14:paraId="314A46FF" w14:textId="1150676E"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5</w:t>
            </w:r>
            <w:r w:rsidR="0007693F" w:rsidRPr="000E1337">
              <w:rPr>
                <w:rFonts w:asciiTheme="majorBidi" w:hAnsiTheme="majorBidi" w:cstheme="majorBidi"/>
                <w:sz w:val="20"/>
                <w:szCs w:val="20"/>
              </w:rPr>
              <w:t>–</w:t>
            </w:r>
            <w:r w:rsidRPr="000E1337">
              <w:rPr>
                <w:rFonts w:asciiTheme="majorBidi" w:hAnsiTheme="majorBidi" w:cstheme="majorBidi"/>
                <w:sz w:val="20"/>
                <w:szCs w:val="20"/>
              </w:rPr>
              <w:t>12.5 µg/kg</w:t>
            </w:r>
          </w:p>
        </w:tc>
        <w:tc>
          <w:tcPr>
            <w:tcW w:w="425" w:type="dxa"/>
            <w:vAlign w:val="center"/>
            <w:hideMark/>
          </w:tcPr>
          <w:p w14:paraId="4C8310CB" w14:textId="7777777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12</w:t>
            </w:r>
          </w:p>
        </w:tc>
        <w:tc>
          <w:tcPr>
            <w:tcW w:w="1418" w:type="dxa"/>
            <w:vAlign w:val="center"/>
            <w:hideMark/>
          </w:tcPr>
          <w:p w14:paraId="2DE7951C" w14:textId="3ACC6E0E"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 xml:space="preserve">&lt; 34 </w:t>
            </w:r>
          </w:p>
        </w:tc>
        <w:tc>
          <w:tcPr>
            <w:tcW w:w="1417" w:type="dxa"/>
            <w:vAlign w:val="center"/>
            <w:hideMark/>
          </w:tcPr>
          <w:p w14:paraId="28502D50" w14:textId="4A04E76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vMerge w:val="restart"/>
            <w:vAlign w:val="center"/>
            <w:hideMark/>
          </w:tcPr>
          <w:p w14:paraId="26E71D3F" w14:textId="11ECF7A6" w:rsidR="00A80370" w:rsidRPr="000E1337" w:rsidRDefault="001B1446" w:rsidP="001B6A92">
            <w:pPr>
              <w:jc w:val="center"/>
              <w:rPr>
                <w:rFonts w:asciiTheme="majorBidi" w:hAnsiTheme="majorBidi" w:cstheme="majorBidi"/>
                <w:sz w:val="20"/>
                <w:szCs w:val="20"/>
              </w:rPr>
            </w:pPr>
            <w:r w:rsidRPr="000E1337">
              <w:rPr>
                <w:rFonts w:asciiTheme="majorBidi" w:hAnsiTheme="majorBidi" w:cstheme="majorBidi"/>
                <w:sz w:val="20"/>
                <w:szCs w:val="20"/>
              </w:rPr>
              <w:t>0.</w:t>
            </w:r>
            <w:r w:rsidR="00A80370" w:rsidRPr="000E1337">
              <w:rPr>
                <w:rFonts w:asciiTheme="majorBidi" w:hAnsiTheme="majorBidi" w:cstheme="majorBidi"/>
                <w:sz w:val="20"/>
                <w:szCs w:val="20"/>
              </w:rPr>
              <w:t>860</w:t>
            </w:r>
            <w:r w:rsidR="0007693F" w:rsidRPr="000E1337">
              <w:rPr>
                <w:rFonts w:asciiTheme="majorBidi" w:hAnsiTheme="majorBidi" w:cstheme="majorBidi"/>
                <w:sz w:val="20"/>
                <w:szCs w:val="20"/>
              </w:rPr>
              <w:t>–</w:t>
            </w:r>
            <w:r w:rsidR="00A80370" w:rsidRPr="000E1337">
              <w:rPr>
                <w:rFonts w:asciiTheme="majorBidi" w:hAnsiTheme="majorBidi" w:cstheme="majorBidi"/>
                <w:sz w:val="20"/>
                <w:szCs w:val="20"/>
              </w:rPr>
              <w:t>3</w:t>
            </w:r>
            <w:r w:rsidRPr="000E1337">
              <w:rPr>
                <w:rFonts w:asciiTheme="majorBidi" w:hAnsiTheme="majorBidi" w:cstheme="majorBidi"/>
                <w:sz w:val="20"/>
                <w:szCs w:val="20"/>
              </w:rPr>
              <w:t>.</w:t>
            </w:r>
            <w:r w:rsidR="00A80370" w:rsidRPr="000E1337">
              <w:rPr>
                <w:rFonts w:asciiTheme="majorBidi" w:hAnsiTheme="majorBidi" w:cstheme="majorBidi"/>
                <w:sz w:val="20"/>
                <w:szCs w:val="20"/>
              </w:rPr>
              <w:t>5</w:t>
            </w:r>
          </w:p>
        </w:tc>
      </w:tr>
      <w:tr w:rsidR="00A80370" w:rsidRPr="000E1337" w14:paraId="08AB5189" w14:textId="77777777" w:rsidTr="001B6A92">
        <w:trPr>
          <w:trHeight w:val="239"/>
        </w:trPr>
        <w:tc>
          <w:tcPr>
            <w:tcW w:w="2424" w:type="dxa"/>
            <w:vMerge/>
            <w:vAlign w:val="center"/>
            <w:hideMark/>
          </w:tcPr>
          <w:p w14:paraId="5048A09F" w14:textId="77777777" w:rsidR="00A80370" w:rsidRPr="000E1337" w:rsidRDefault="00A80370" w:rsidP="001B6A92">
            <w:pPr>
              <w:jc w:val="center"/>
              <w:rPr>
                <w:rFonts w:asciiTheme="majorBidi" w:hAnsiTheme="majorBidi" w:cstheme="majorBidi"/>
                <w:sz w:val="20"/>
                <w:szCs w:val="20"/>
              </w:rPr>
            </w:pPr>
          </w:p>
        </w:tc>
        <w:tc>
          <w:tcPr>
            <w:tcW w:w="2623" w:type="dxa"/>
            <w:vAlign w:val="center"/>
            <w:hideMark/>
          </w:tcPr>
          <w:p w14:paraId="0D46E069" w14:textId="15E9375B"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5</w:t>
            </w:r>
            <w:r w:rsidR="0007693F" w:rsidRPr="000E1337">
              <w:rPr>
                <w:rFonts w:asciiTheme="majorBidi" w:hAnsiTheme="majorBidi" w:cstheme="majorBidi"/>
                <w:sz w:val="20"/>
                <w:szCs w:val="20"/>
              </w:rPr>
              <w:t>–</w:t>
            </w:r>
            <w:r w:rsidRPr="000E1337">
              <w:rPr>
                <w:rFonts w:asciiTheme="majorBidi" w:hAnsiTheme="majorBidi" w:cstheme="majorBidi"/>
                <w:sz w:val="20"/>
                <w:szCs w:val="20"/>
              </w:rPr>
              <w:t>12.5 µg/kg</w:t>
            </w:r>
          </w:p>
        </w:tc>
        <w:tc>
          <w:tcPr>
            <w:tcW w:w="425" w:type="dxa"/>
            <w:vAlign w:val="center"/>
            <w:hideMark/>
          </w:tcPr>
          <w:p w14:paraId="52F03280" w14:textId="7777777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8</w:t>
            </w:r>
          </w:p>
        </w:tc>
        <w:tc>
          <w:tcPr>
            <w:tcW w:w="1418" w:type="dxa"/>
            <w:vAlign w:val="center"/>
            <w:hideMark/>
          </w:tcPr>
          <w:p w14:paraId="7BD4FE17" w14:textId="6015173F"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 xml:space="preserve">&gt; 34 </w:t>
            </w:r>
          </w:p>
        </w:tc>
        <w:tc>
          <w:tcPr>
            <w:tcW w:w="1417" w:type="dxa"/>
            <w:vAlign w:val="center"/>
            <w:hideMark/>
          </w:tcPr>
          <w:p w14:paraId="3524A30E" w14:textId="392E41AB"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vMerge/>
            <w:vAlign w:val="center"/>
            <w:hideMark/>
          </w:tcPr>
          <w:p w14:paraId="59901CBD" w14:textId="77777777" w:rsidR="00A80370" w:rsidRPr="000E1337" w:rsidRDefault="00A80370" w:rsidP="001B6A92">
            <w:pPr>
              <w:jc w:val="center"/>
              <w:rPr>
                <w:rFonts w:asciiTheme="majorBidi" w:hAnsiTheme="majorBidi" w:cstheme="majorBidi"/>
                <w:sz w:val="20"/>
                <w:szCs w:val="20"/>
              </w:rPr>
            </w:pPr>
          </w:p>
        </w:tc>
      </w:tr>
      <w:tr w:rsidR="00A80370" w:rsidRPr="000E1337" w14:paraId="65260681" w14:textId="77777777" w:rsidTr="001B6A92">
        <w:trPr>
          <w:trHeight w:val="229"/>
        </w:trPr>
        <w:tc>
          <w:tcPr>
            <w:tcW w:w="2424" w:type="dxa"/>
            <w:vMerge/>
            <w:tcBorders>
              <w:bottom w:val="single" w:sz="12" w:space="0" w:color="auto"/>
            </w:tcBorders>
            <w:vAlign w:val="center"/>
            <w:hideMark/>
          </w:tcPr>
          <w:p w14:paraId="1C9F118B" w14:textId="77777777" w:rsidR="00A80370" w:rsidRPr="000E1337" w:rsidRDefault="00A80370" w:rsidP="001B6A92">
            <w:pPr>
              <w:jc w:val="center"/>
              <w:rPr>
                <w:rFonts w:asciiTheme="majorBidi" w:hAnsiTheme="majorBidi" w:cstheme="majorBidi"/>
                <w:sz w:val="20"/>
                <w:szCs w:val="20"/>
              </w:rPr>
            </w:pPr>
          </w:p>
        </w:tc>
        <w:tc>
          <w:tcPr>
            <w:tcW w:w="2623" w:type="dxa"/>
            <w:tcBorders>
              <w:bottom w:val="single" w:sz="12" w:space="0" w:color="auto"/>
            </w:tcBorders>
            <w:vAlign w:val="center"/>
            <w:hideMark/>
          </w:tcPr>
          <w:p w14:paraId="1D70D33F" w14:textId="47DD1E8D"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lang w:val="pt-BR"/>
              </w:rPr>
              <w:t>5</w:t>
            </w:r>
            <w:r w:rsidR="0007693F" w:rsidRPr="000E1337">
              <w:rPr>
                <w:rFonts w:asciiTheme="majorBidi" w:hAnsiTheme="majorBidi" w:cstheme="majorBidi"/>
                <w:sz w:val="20"/>
                <w:szCs w:val="20"/>
              </w:rPr>
              <w:t>–</w:t>
            </w:r>
            <w:r w:rsidRPr="000E1337">
              <w:rPr>
                <w:rFonts w:asciiTheme="majorBidi" w:hAnsiTheme="majorBidi" w:cstheme="majorBidi"/>
                <w:sz w:val="20"/>
                <w:szCs w:val="20"/>
                <w:lang w:val="pt-BR"/>
              </w:rPr>
              <w:t xml:space="preserve">12.5 </w:t>
            </w:r>
            <w:r w:rsidRPr="000E1337">
              <w:rPr>
                <w:rFonts w:asciiTheme="majorBidi" w:hAnsiTheme="majorBidi" w:cstheme="majorBidi"/>
                <w:sz w:val="20"/>
                <w:szCs w:val="20"/>
              </w:rPr>
              <w:t>µ</w:t>
            </w:r>
            <w:r w:rsidRPr="000E1337">
              <w:rPr>
                <w:rFonts w:asciiTheme="majorBidi" w:hAnsiTheme="majorBidi" w:cstheme="majorBidi"/>
                <w:sz w:val="20"/>
                <w:szCs w:val="20"/>
                <w:lang w:val="pt-BR"/>
              </w:rPr>
              <w:t>g/kg</w:t>
            </w:r>
          </w:p>
        </w:tc>
        <w:tc>
          <w:tcPr>
            <w:tcW w:w="425" w:type="dxa"/>
            <w:tcBorders>
              <w:bottom w:val="single" w:sz="12" w:space="0" w:color="auto"/>
            </w:tcBorders>
            <w:vAlign w:val="center"/>
            <w:hideMark/>
          </w:tcPr>
          <w:p w14:paraId="006CDE63" w14:textId="7777777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20</w:t>
            </w:r>
          </w:p>
        </w:tc>
        <w:tc>
          <w:tcPr>
            <w:tcW w:w="1418" w:type="dxa"/>
            <w:tcBorders>
              <w:bottom w:val="single" w:sz="12" w:space="0" w:color="auto"/>
            </w:tcBorders>
            <w:vAlign w:val="center"/>
            <w:hideMark/>
          </w:tcPr>
          <w:p w14:paraId="5F39F1BA" w14:textId="77777777"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34</w:t>
            </w:r>
          </w:p>
        </w:tc>
        <w:tc>
          <w:tcPr>
            <w:tcW w:w="1417" w:type="dxa"/>
            <w:tcBorders>
              <w:bottom w:val="single" w:sz="12" w:space="0" w:color="auto"/>
            </w:tcBorders>
            <w:vAlign w:val="center"/>
            <w:hideMark/>
          </w:tcPr>
          <w:p w14:paraId="4CFB4E80" w14:textId="3E9A2280" w:rsidR="00A80370" w:rsidRPr="000E1337" w:rsidRDefault="00A80370" w:rsidP="001B6A92">
            <w:pPr>
              <w:jc w:val="center"/>
              <w:rPr>
                <w:rFonts w:asciiTheme="majorBidi" w:hAnsiTheme="majorBidi" w:cstheme="majorBidi"/>
                <w:sz w:val="20"/>
                <w:szCs w:val="20"/>
              </w:rPr>
            </w:pPr>
            <w:r w:rsidRPr="000E1337">
              <w:rPr>
                <w:rFonts w:asciiTheme="majorBidi" w:hAnsiTheme="majorBidi" w:cstheme="majorBidi"/>
                <w:sz w:val="20"/>
                <w:szCs w:val="20"/>
              </w:rPr>
              <w:t>-</w:t>
            </w:r>
          </w:p>
        </w:tc>
        <w:tc>
          <w:tcPr>
            <w:tcW w:w="1134" w:type="dxa"/>
            <w:vMerge/>
            <w:tcBorders>
              <w:bottom w:val="single" w:sz="12" w:space="0" w:color="auto"/>
            </w:tcBorders>
            <w:vAlign w:val="center"/>
            <w:hideMark/>
          </w:tcPr>
          <w:p w14:paraId="5FFF6DD9" w14:textId="77777777" w:rsidR="00A80370" w:rsidRPr="000E1337" w:rsidRDefault="00A80370" w:rsidP="001B6A92">
            <w:pPr>
              <w:jc w:val="center"/>
              <w:rPr>
                <w:rFonts w:asciiTheme="majorBidi" w:hAnsiTheme="majorBidi" w:cstheme="majorBidi"/>
                <w:sz w:val="20"/>
                <w:szCs w:val="20"/>
              </w:rPr>
            </w:pPr>
          </w:p>
        </w:tc>
      </w:tr>
    </w:tbl>
    <w:p w14:paraId="3A9E1CCB" w14:textId="0D1223A8" w:rsidR="007F2575" w:rsidRPr="000E1337" w:rsidRDefault="007F2575" w:rsidP="007F2575">
      <w:pPr>
        <w:spacing w:after="0" w:line="240" w:lineRule="auto"/>
        <w:rPr>
          <w:rFonts w:asciiTheme="majorBidi" w:hAnsiTheme="majorBidi" w:cstheme="majorBidi"/>
          <w:sz w:val="20"/>
          <w:szCs w:val="20"/>
        </w:rPr>
      </w:pPr>
      <w:r w:rsidRPr="000E1337">
        <w:rPr>
          <w:rFonts w:asciiTheme="majorBidi" w:hAnsiTheme="majorBidi" w:cstheme="majorBidi"/>
          <w:i/>
          <w:iCs/>
          <w:sz w:val="20"/>
          <w:szCs w:val="20"/>
        </w:rPr>
        <w:t>BW</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r w:rsidR="0098044B" w:rsidRPr="000E1337">
        <w:rPr>
          <w:rFonts w:asciiTheme="majorBidi" w:hAnsiTheme="majorBidi" w:cstheme="majorBidi"/>
          <w:i/>
          <w:iCs/>
          <w:sz w:val="20"/>
          <w:szCs w:val="20"/>
        </w:rPr>
        <w:t>b</w:t>
      </w:r>
      <w:r w:rsidRPr="000E1337">
        <w:rPr>
          <w:rFonts w:asciiTheme="majorBidi" w:hAnsiTheme="majorBidi" w:cstheme="majorBidi"/>
          <w:i/>
          <w:iCs/>
          <w:sz w:val="20"/>
          <w:szCs w:val="20"/>
        </w:rPr>
        <w:t xml:space="preserve">ody </w:t>
      </w:r>
      <w:r w:rsidR="0098044B" w:rsidRPr="000E1337">
        <w:rPr>
          <w:rFonts w:asciiTheme="majorBidi" w:hAnsiTheme="majorBidi" w:cstheme="majorBidi"/>
          <w:i/>
          <w:iCs/>
          <w:sz w:val="20"/>
          <w:szCs w:val="20"/>
        </w:rPr>
        <w:t>w</w:t>
      </w:r>
      <w:r w:rsidRPr="000E1337">
        <w:rPr>
          <w:rFonts w:asciiTheme="majorBidi" w:hAnsiTheme="majorBidi" w:cstheme="majorBidi"/>
          <w:i/>
          <w:iCs/>
          <w:sz w:val="20"/>
          <w:szCs w:val="20"/>
        </w:rPr>
        <w:t>eight, GA</w:t>
      </w:r>
      <w:r w:rsidR="0098044B" w:rsidRPr="000E1337">
        <w:rPr>
          <w:rFonts w:asciiTheme="majorBidi" w:hAnsiTheme="majorBidi" w:cstheme="majorBidi"/>
          <w:i/>
          <w:iCs/>
          <w:sz w:val="20"/>
          <w:szCs w:val="20"/>
        </w:rPr>
        <w:t>:</w:t>
      </w:r>
      <w:r w:rsidRPr="000E1337">
        <w:rPr>
          <w:rFonts w:asciiTheme="majorBidi" w:hAnsiTheme="majorBidi" w:cstheme="majorBidi"/>
          <w:i/>
          <w:iCs/>
          <w:sz w:val="20"/>
          <w:szCs w:val="20"/>
        </w:rPr>
        <w:t xml:space="preserve"> </w:t>
      </w:r>
      <w:r w:rsidR="0098044B" w:rsidRPr="000E1337">
        <w:rPr>
          <w:rFonts w:asciiTheme="majorBidi" w:hAnsiTheme="majorBidi" w:cstheme="majorBidi"/>
          <w:i/>
          <w:iCs/>
          <w:sz w:val="20"/>
          <w:szCs w:val="20"/>
        </w:rPr>
        <w:t>g</w:t>
      </w:r>
      <w:r w:rsidRPr="000E1337">
        <w:rPr>
          <w:rFonts w:asciiTheme="majorBidi" w:hAnsiTheme="majorBidi" w:cstheme="majorBidi"/>
          <w:i/>
          <w:iCs/>
          <w:sz w:val="20"/>
          <w:szCs w:val="20"/>
        </w:rPr>
        <w:t xml:space="preserve">estational </w:t>
      </w:r>
      <w:r w:rsidR="0098044B" w:rsidRPr="000E1337">
        <w:rPr>
          <w:rFonts w:asciiTheme="majorBidi" w:hAnsiTheme="majorBidi" w:cstheme="majorBidi"/>
          <w:i/>
          <w:iCs/>
          <w:sz w:val="20"/>
          <w:szCs w:val="20"/>
        </w:rPr>
        <w:t>a</w:t>
      </w:r>
      <w:r w:rsidRPr="000E1337">
        <w:rPr>
          <w:rFonts w:asciiTheme="majorBidi" w:hAnsiTheme="majorBidi" w:cstheme="majorBidi"/>
          <w:i/>
          <w:iCs/>
          <w:sz w:val="20"/>
          <w:szCs w:val="20"/>
        </w:rPr>
        <w:t>ge</w:t>
      </w:r>
    </w:p>
    <w:p w14:paraId="226F1D71" w14:textId="77777777" w:rsidR="000A34EA" w:rsidRPr="000E1337" w:rsidRDefault="000A34EA">
      <w:pPr>
        <w:rPr>
          <w:rFonts w:asciiTheme="majorBidi" w:hAnsiTheme="majorBidi" w:cstheme="majorBidi"/>
          <w:sz w:val="20"/>
          <w:szCs w:val="20"/>
        </w:rPr>
      </w:pPr>
      <w:r w:rsidRPr="000E1337">
        <w:rPr>
          <w:rFonts w:asciiTheme="majorBidi" w:hAnsiTheme="majorBidi" w:cstheme="majorBidi"/>
          <w:sz w:val="20"/>
          <w:szCs w:val="20"/>
        </w:rPr>
        <w:br w:type="page"/>
      </w:r>
    </w:p>
    <w:p w14:paraId="68E80901" w14:textId="5C819B24" w:rsidR="005637BF" w:rsidRPr="000E1337" w:rsidRDefault="00A74EA9" w:rsidP="000A34EA">
      <w:pPr>
        <w:jc w:val="center"/>
        <w:rPr>
          <w:rFonts w:asciiTheme="majorBidi" w:hAnsiTheme="majorBidi" w:cstheme="majorBidi"/>
          <w:sz w:val="20"/>
          <w:szCs w:val="20"/>
        </w:rPr>
      </w:pPr>
      <w:r w:rsidRPr="00A74EA9">
        <w:rPr>
          <w:noProof/>
        </w:rPr>
        <w:lastRenderedPageBreak/>
        <w:t xml:space="preserve"> </w:t>
      </w:r>
      <w:r w:rsidRPr="00A74EA9">
        <w:rPr>
          <w:rFonts w:asciiTheme="majorBidi" w:hAnsiTheme="majorBidi" w:cstheme="majorBidi"/>
          <w:noProof/>
          <w:sz w:val="20"/>
          <w:szCs w:val="20"/>
        </w:rPr>
        <w:drawing>
          <wp:inline distT="0" distB="0" distL="0" distR="0" wp14:anchorId="2D77691C" wp14:editId="59081403">
            <wp:extent cx="5422900" cy="3454400"/>
            <wp:effectExtent l="0" t="0" r="0" b="0"/>
            <wp:docPr id="2566939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93967" name=""/>
                    <pic:cNvPicPr/>
                  </pic:nvPicPr>
                  <pic:blipFill>
                    <a:blip r:embed="rId8"/>
                    <a:stretch>
                      <a:fillRect/>
                    </a:stretch>
                  </pic:blipFill>
                  <pic:spPr>
                    <a:xfrm>
                      <a:off x="0" y="0"/>
                      <a:ext cx="5422900" cy="3454400"/>
                    </a:xfrm>
                    <a:prstGeom prst="rect">
                      <a:avLst/>
                    </a:prstGeom>
                  </pic:spPr>
                </pic:pic>
              </a:graphicData>
            </a:graphic>
          </wp:inline>
        </w:drawing>
      </w:r>
    </w:p>
    <w:p w14:paraId="5BBF21BF" w14:textId="25B0801C" w:rsidR="000A34EA" w:rsidRPr="000E1337" w:rsidRDefault="000A34EA" w:rsidP="000A34EA">
      <w:pPr>
        <w:spacing w:after="0" w:line="480" w:lineRule="auto"/>
        <w:jc w:val="both"/>
        <w:rPr>
          <w:rFonts w:asciiTheme="majorBidi" w:hAnsiTheme="majorBidi" w:cstheme="majorBidi"/>
          <w:b/>
          <w:bCs/>
          <w:color w:val="000000" w:themeColor="text1"/>
          <w:sz w:val="20"/>
          <w:szCs w:val="20"/>
        </w:rPr>
      </w:pPr>
      <w:r w:rsidRPr="000E1337">
        <w:rPr>
          <w:rFonts w:asciiTheme="majorBidi" w:hAnsiTheme="majorBidi" w:cstheme="majorBidi"/>
          <w:b/>
          <w:bCs/>
          <w:color w:val="000000" w:themeColor="text1"/>
          <w:sz w:val="20"/>
          <w:szCs w:val="20"/>
        </w:rPr>
        <w:t>Fig</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S</w:t>
      </w:r>
      <w:r w:rsidR="0071315E">
        <w:rPr>
          <w:rFonts w:asciiTheme="majorBidi" w:hAnsiTheme="majorBidi" w:cstheme="majorBidi"/>
          <w:b/>
          <w:bCs/>
          <w:color w:val="000000" w:themeColor="text1"/>
          <w:sz w:val="20"/>
          <w:szCs w:val="20"/>
        </w:rPr>
        <w:t>1</w:t>
      </w:r>
      <w:r w:rsidRPr="000E1337">
        <w:rPr>
          <w:rFonts w:asciiTheme="majorBidi" w:hAnsiTheme="majorBidi" w:cstheme="majorBidi"/>
          <w:b/>
          <w:bCs/>
          <w:color w:val="000000" w:themeColor="text1"/>
          <w:sz w:val="20"/>
          <w:szCs w:val="20"/>
        </w:rPr>
        <w:t xml:space="preserve">. Schematic workflow for establishing a target concentration range for therapeutic drug monitoring of fentanyl in </w:t>
      </w:r>
      <w:r w:rsidR="00A74EA9">
        <w:rPr>
          <w:rFonts w:asciiTheme="majorBidi" w:hAnsiTheme="majorBidi" w:cstheme="majorBidi"/>
          <w:b/>
          <w:bCs/>
          <w:color w:val="000000" w:themeColor="text1"/>
          <w:sz w:val="20"/>
          <w:szCs w:val="20"/>
        </w:rPr>
        <w:t>neonates</w:t>
      </w:r>
      <w:r w:rsidRPr="000E1337">
        <w:rPr>
          <w:rFonts w:asciiTheme="majorBidi" w:hAnsiTheme="majorBidi" w:cstheme="majorBidi"/>
          <w:b/>
          <w:bCs/>
          <w:color w:val="000000" w:themeColor="text1"/>
          <w:sz w:val="20"/>
          <w:szCs w:val="20"/>
        </w:rPr>
        <w:t>, outlined in four key steps</w:t>
      </w:r>
    </w:p>
    <w:p w14:paraId="4E7E782C" w14:textId="50BD435A" w:rsidR="000A34EA" w:rsidRPr="000E1337" w:rsidRDefault="000A34EA" w:rsidP="000A34EA">
      <w:pPr>
        <w:spacing w:after="0" w:line="480" w:lineRule="auto"/>
        <w:jc w:val="both"/>
        <w:rPr>
          <w:rFonts w:asciiTheme="majorBidi" w:hAnsiTheme="majorBidi" w:cstheme="majorBidi"/>
          <w:color w:val="000000" w:themeColor="text1"/>
          <w:sz w:val="20"/>
          <w:szCs w:val="20"/>
        </w:rPr>
      </w:pPr>
      <w:r w:rsidRPr="000E1337">
        <w:rPr>
          <w:rFonts w:asciiTheme="majorBidi" w:hAnsiTheme="majorBidi" w:cstheme="majorBidi"/>
          <w:color w:val="000000" w:themeColor="text1"/>
          <w:sz w:val="20"/>
          <w:szCs w:val="20"/>
        </w:rPr>
        <w:t xml:space="preserve">AUROC: area under the receiver operating characteristic curve; </w:t>
      </w:r>
      <w:r w:rsidR="000911B1" w:rsidRPr="000911B1">
        <w:rPr>
          <w:rFonts w:asciiTheme="majorBidi" w:hAnsiTheme="majorBidi" w:cstheme="majorBidi"/>
          <w:color w:val="000000" w:themeColor="text1"/>
          <w:sz w:val="20"/>
          <w:szCs w:val="20"/>
          <w:highlight w:val="yellow"/>
        </w:rPr>
        <w:t>FEAE: fentanyl-emerged adverse event,</w:t>
      </w:r>
      <w:r w:rsidR="000911B1">
        <w:rPr>
          <w:rFonts w:asciiTheme="majorBidi" w:hAnsiTheme="majorBidi" w:cstheme="majorBidi"/>
          <w:color w:val="000000" w:themeColor="text1"/>
          <w:sz w:val="20"/>
          <w:szCs w:val="20"/>
        </w:rPr>
        <w:t xml:space="preserve"> </w:t>
      </w:r>
      <w:r w:rsidRPr="000E1337">
        <w:rPr>
          <w:rFonts w:asciiTheme="majorBidi" w:hAnsiTheme="majorBidi" w:cstheme="majorBidi"/>
          <w:color w:val="000000" w:themeColor="text1"/>
          <w:sz w:val="20"/>
          <w:szCs w:val="20"/>
        </w:rPr>
        <w:t>C</w:t>
      </w:r>
      <w:r w:rsidRPr="000E1337">
        <w:rPr>
          <w:rFonts w:asciiTheme="majorBidi" w:hAnsiTheme="majorBidi" w:cstheme="majorBidi"/>
          <w:color w:val="000000" w:themeColor="text1"/>
          <w:sz w:val="20"/>
          <w:szCs w:val="20"/>
          <w:vertAlign w:val="subscript"/>
        </w:rPr>
        <w:t>max</w:t>
      </w:r>
      <w:r w:rsidRPr="000E1337">
        <w:rPr>
          <w:rFonts w:asciiTheme="majorBidi" w:hAnsiTheme="majorBidi" w:cstheme="majorBidi"/>
          <w:color w:val="000000" w:themeColor="text1"/>
          <w:sz w:val="20"/>
          <w:szCs w:val="20"/>
        </w:rPr>
        <w:t>: maximum concentration; GA: gestational age.</w:t>
      </w:r>
    </w:p>
    <w:p w14:paraId="49D17F12" w14:textId="6BECC3E7" w:rsidR="000A34EA" w:rsidRPr="000E1337" w:rsidRDefault="000A34EA">
      <w:pPr>
        <w:rPr>
          <w:rFonts w:asciiTheme="majorBidi" w:hAnsiTheme="majorBidi" w:cstheme="majorBidi"/>
          <w:sz w:val="20"/>
          <w:szCs w:val="20"/>
        </w:rPr>
      </w:pPr>
      <w:r w:rsidRPr="000E1337">
        <w:rPr>
          <w:rFonts w:asciiTheme="majorBidi" w:hAnsiTheme="majorBidi" w:cstheme="majorBidi"/>
          <w:sz w:val="20"/>
          <w:szCs w:val="20"/>
        </w:rPr>
        <w:br w:type="page"/>
      </w:r>
    </w:p>
    <w:p w14:paraId="752468C1" w14:textId="2A2AEE41" w:rsidR="000A34EA" w:rsidRPr="000E1337" w:rsidRDefault="00740B12" w:rsidP="000A34EA">
      <w:pPr>
        <w:jc w:val="center"/>
        <w:rPr>
          <w:rFonts w:asciiTheme="majorBidi" w:hAnsiTheme="majorBidi" w:cstheme="majorBidi"/>
          <w:sz w:val="20"/>
          <w:szCs w:val="20"/>
        </w:rPr>
      </w:pPr>
      <w:r w:rsidRPr="00740B12">
        <w:rPr>
          <w:rFonts w:asciiTheme="majorBidi" w:hAnsiTheme="majorBidi" w:cstheme="majorBidi"/>
          <w:noProof/>
          <w:sz w:val="20"/>
          <w:szCs w:val="20"/>
        </w:rPr>
        <w:lastRenderedPageBreak/>
        <w:drawing>
          <wp:inline distT="0" distB="0" distL="0" distR="0" wp14:anchorId="4C02F001" wp14:editId="05F1577E">
            <wp:extent cx="5543550" cy="7869048"/>
            <wp:effectExtent l="0" t="0" r="0" b="0"/>
            <wp:docPr id="11827751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75160" name=""/>
                    <pic:cNvPicPr/>
                  </pic:nvPicPr>
                  <pic:blipFill>
                    <a:blip r:embed="rId9"/>
                    <a:stretch>
                      <a:fillRect/>
                    </a:stretch>
                  </pic:blipFill>
                  <pic:spPr>
                    <a:xfrm>
                      <a:off x="0" y="0"/>
                      <a:ext cx="5616171" cy="7972133"/>
                    </a:xfrm>
                    <a:prstGeom prst="rect">
                      <a:avLst/>
                    </a:prstGeom>
                  </pic:spPr>
                </pic:pic>
              </a:graphicData>
            </a:graphic>
          </wp:inline>
        </w:drawing>
      </w:r>
    </w:p>
    <w:p w14:paraId="0001CE4C" w14:textId="27B5EC49" w:rsidR="000A34EA" w:rsidRPr="000E1337" w:rsidRDefault="000A34EA" w:rsidP="000A34EA">
      <w:pPr>
        <w:pStyle w:val="root-block-node"/>
        <w:spacing w:before="0" w:beforeAutospacing="0" w:after="0" w:afterAutospacing="0" w:line="480" w:lineRule="auto"/>
        <w:jc w:val="both"/>
        <w:rPr>
          <w:rFonts w:asciiTheme="majorBidi" w:hAnsiTheme="majorBidi" w:cstheme="majorBidi"/>
          <w:color w:val="000000" w:themeColor="text1"/>
          <w:sz w:val="20"/>
          <w:szCs w:val="20"/>
        </w:rPr>
      </w:pPr>
      <w:r w:rsidRPr="000E1337">
        <w:rPr>
          <w:rFonts w:asciiTheme="majorBidi" w:hAnsiTheme="majorBidi" w:cstheme="majorBidi"/>
          <w:b/>
          <w:bCs/>
          <w:color w:val="000000" w:themeColor="text1"/>
          <w:sz w:val="20"/>
          <w:szCs w:val="20"/>
        </w:rPr>
        <w:t>Fig</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S</w:t>
      </w:r>
      <w:r w:rsidR="0071315E">
        <w:rPr>
          <w:rFonts w:asciiTheme="majorBidi" w:hAnsiTheme="majorBidi" w:cstheme="majorBidi"/>
          <w:b/>
          <w:bCs/>
          <w:color w:val="000000" w:themeColor="text1"/>
          <w:sz w:val="20"/>
          <w:szCs w:val="20"/>
        </w:rPr>
        <w:t>2</w:t>
      </w:r>
      <w:r w:rsidRPr="000E1337">
        <w:rPr>
          <w:rFonts w:asciiTheme="majorBidi" w:hAnsiTheme="majorBidi" w:cstheme="majorBidi"/>
          <w:b/>
          <w:bCs/>
          <w:color w:val="000000" w:themeColor="text1"/>
          <w:sz w:val="20"/>
          <w:szCs w:val="20"/>
        </w:rPr>
        <w:t>. Model verification in the adult population</w:t>
      </w:r>
    </w:p>
    <w:p w14:paraId="6053ECEF" w14:textId="7F2F705C" w:rsidR="000A34EA" w:rsidRPr="000E1337" w:rsidRDefault="000A34EA" w:rsidP="000B553F">
      <w:pPr>
        <w:pStyle w:val="root-block-node"/>
        <w:spacing w:before="0" w:beforeAutospacing="0" w:after="0" w:afterAutospacing="0" w:line="480" w:lineRule="auto"/>
        <w:jc w:val="both"/>
        <w:rPr>
          <w:rFonts w:asciiTheme="majorBidi" w:hAnsiTheme="majorBidi" w:cstheme="majorBidi"/>
          <w:color w:val="000000" w:themeColor="text1"/>
          <w:sz w:val="20"/>
          <w:szCs w:val="20"/>
        </w:rPr>
      </w:pPr>
      <w:r w:rsidRPr="000E1337">
        <w:rPr>
          <w:rFonts w:asciiTheme="majorBidi" w:hAnsiTheme="majorBidi" w:cstheme="majorBidi"/>
          <w:color w:val="000000" w:themeColor="text1"/>
          <w:sz w:val="20"/>
          <w:szCs w:val="20"/>
        </w:rPr>
        <w:lastRenderedPageBreak/>
        <w:t xml:space="preserve">Open circles indicate the observed mean (± SEM) </w:t>
      </w:r>
      <w:r w:rsidRPr="000E1337">
        <w:rPr>
          <w:rFonts w:asciiTheme="majorBidi" w:hAnsiTheme="majorBidi" w:cstheme="majorBidi" w:hint="eastAsia"/>
          <w:color w:val="000000" w:themeColor="text1"/>
          <w:sz w:val="20"/>
          <w:szCs w:val="20"/>
        </w:rPr>
        <w:t>f</w:t>
      </w:r>
      <w:r w:rsidRPr="000E1337">
        <w:rPr>
          <w:rFonts w:asciiTheme="majorBidi" w:hAnsiTheme="majorBidi" w:cstheme="majorBidi"/>
          <w:color w:val="000000" w:themeColor="text1"/>
          <w:sz w:val="20"/>
          <w:szCs w:val="20"/>
        </w:rPr>
        <w:t>entanyl concentrations from various clinical studies: (a) 52 patients from four studies after an intravenous bolus dose of fentanyl at 5 µg/</w:t>
      </w:r>
      <w:r w:rsidR="003C711A" w:rsidRPr="000E1337">
        <w:rPr>
          <w:rFonts w:asciiTheme="majorBidi" w:hAnsiTheme="majorBidi" w:cstheme="majorBidi"/>
          <w:color w:val="000000" w:themeColor="text1"/>
          <w:sz w:val="20"/>
          <w:szCs w:val="20"/>
        </w:rPr>
        <w:t>kg</w:t>
      </w:r>
      <w:r w:rsidRPr="000E1337">
        <w:rPr>
          <w:rFonts w:asciiTheme="majorBidi" w:hAnsiTheme="majorBidi" w:cstheme="majorBidi"/>
          <w:color w:val="000000" w:themeColor="text1"/>
          <w:sz w:val="20"/>
          <w:szCs w:val="20"/>
        </w:rPr>
        <w:t xml:space="preserve"> </w:t>
      </w:r>
      <w:r w:rsidRPr="000E1337">
        <w:rPr>
          <w:rFonts w:asciiTheme="majorBidi" w:hAnsiTheme="majorBidi" w:cstheme="majorBidi"/>
          <w:color w:val="000000" w:themeColor="text1"/>
          <w:sz w:val="20"/>
          <w:szCs w:val="20"/>
        </w:rPr>
        <w:fldChar w:fldCharType="begin"/>
      </w:r>
      <w:r w:rsidR="00552F4F" w:rsidRPr="000E1337">
        <w:rPr>
          <w:rFonts w:asciiTheme="majorBidi" w:hAnsiTheme="majorBidi" w:cstheme="majorBidi"/>
          <w:color w:val="000000" w:themeColor="text1"/>
          <w:sz w:val="20"/>
          <w:szCs w:val="20"/>
        </w:rPr>
        <w:instrText xml:space="preserve"> ADDIN ZOTERO_ITEM CSL_CITATION {"citationID":"at5o1qt6ig","properties":{"formattedCitation":"[7,13\\uc0\\u8211{}15]","plainCitation":"[7,13–15]","noteIndex":0},"citationItems":[{"id":36,"uris":["http://zotero.org/users/local/J5Cy8xXX/items/4S2WIJGV"],"itemData":{"id":36,"type":"article-journal","abstract":"OBJECTIVE: Fentanyl is a widely used opioid analgesic, which is extensively metabolized by hepatic cytochrome P450 (CYP) 3A. Recent reports suggest that concomitant administration of CYP3A inhibitors with fentanyl may lead to dangerous drug interactions.\nMETHODS: The potential interactions of fentanyl with triazole antifungal agents voriconazole and fluconazole were studied in a randomized crossover study in three phases. Twelve healthy volunteers were given 5 microg/kg of intravenous fentanyl without pretreatment (control), after oral voriconazole (400 mg twice on the first day and 200 mg twice on the second day), or after oral fluconazole (400 mg once on the first day and 200 mg once on the second day). Plasma concentrations of fentanyl, norfentanyl, voriconazole, and fluconazole were determined up to 24 h. Pharmacokinetic parameters were calculated using compartmental methods.\nRESULTS: The mean plasma clearance of intravenous fentanyl was decreased by 23% (range -22 to 48%; p &lt; 0.05) and 16% (-34 to 53%; p &lt; 0.05) after voriconazole and fluconazole administration, respectively. Voriconazole increased the area under the fentanyl plasma concentration-time curve by 1.4-fold (p &lt; 0.05). The initial plasma concentrations and volume of distribution of fentanyl did not differ significantly between phases.\nCONCLUSION: Both voriconazole and fluconazole delay the elimination of fentanyl significantly. Caution should be exercised, especially in patients who are given voriconazole or fluconazole during long-lasting fentanyl treatment, because insidiously elevated fentanyl concentration may lead to respiratory depression.","container-title":"European Journal of Clinical Pharmacology","DOI":"10.1007/s00228-007-0398-x","ISSN":"1432-1041","issue":"1","journalAbbreviation":"Eur J Clin Pharmacol","language":"eng","note":"PMID: 17987285","page":"25-30","source":"PubMed","title":"Effect of voriconazole and fluconazole on the pharmacokinetics of intravenous fentanyl","volume":"64","author":[{"family":"Saari","given":"Teijo I."},{"family":"Laine","given":"Kari"},{"family":"Neuvonen","given":"Mikko"},{"family":"Neuvonen","given":"Pertti J."},{"family":"Olkkola","given":"Klaus T."}],"issued":{"date-parts":[["2008",1]]}}},{"id":63,"uris":["http://zotero.org/users/local/J5Cy8xXX/items/5WUIR2UC"],"itemData":{"id":63,"type":"article-journal","abstract":"Fentanyl is primarily metabolized by CYP3A, but has also been suggested to act as a weak inhibitor of CYP3A. We investigated the influence of CYP3A inhibition by ketoconazole on the pharmacokinetics of intravenously administered fentanyl and the effect of fentanyl on CYP3A activity. A prospective, open-label, randomized, monocentre, crossover study was conducted in 16 healthy volunteers. They received fentanyl alone (5 microgram per kilogram) or fentanyl plus ketoconazole (200 milligram orally B.I.D. over 2 days). Naloxone (2 × 0.2 milligram i.v.) was given simultaneously with fentanyl to mitigate any opioid effect. Midazolam was administered as a CYP3A probe drug. Fentanyl and its metabolites were quantified by LC/MS/MS in blood and urine samples obtained over 24 hour. Exposure of fentanyl (AUC0- </w:instrText>
      </w:r>
      <w:r w:rsidR="00552F4F" w:rsidRPr="000E1337">
        <w:rPr>
          <w:rFonts w:asciiTheme="majorBidi" w:hAnsiTheme="majorBidi" w:cstheme="majorBidi" w:hint="eastAsia"/>
          <w:color w:val="000000" w:themeColor="text1"/>
          <w:sz w:val="20"/>
          <w:szCs w:val="20"/>
        </w:rPr>
        <w:instrText>∞</w:instrText>
      </w:r>
      <w:r w:rsidR="00552F4F" w:rsidRPr="000E1337">
        <w:rPr>
          <w:rFonts w:asciiTheme="majorBidi" w:hAnsiTheme="majorBidi" w:cstheme="majorBidi"/>
          <w:color w:val="000000" w:themeColor="text1"/>
          <w:sz w:val="20"/>
          <w:szCs w:val="20"/>
        </w:rPr>
        <w:instrText xml:space="preserve"> ) was significantly increased to 133% and systemic clearance was reduced to 78% by ketoconazole, norfentanyl formation was significantly delayed and partial metabolic clearance decreased to 18%. Fentanyl had no influence on midazolam exposure and CYP3A activity whereas ketoconazole decreased CYP3A activity to 13%. Although fentanyl N-dealkylation is substantially inhibited by ketoconazole, exposure of fentanyl itself increased by one third only. Clinically fentanyl dosage adjustments may become necessary when ketoconazole or other strong CYP3A inhibitors are given simultaneously. Fentanyl itself does not influence CYP3A activity.","container-title":"Journal of Clinical Pharmacology","DOI":"10.1002/jcph.469","ISSN":"1552-4604","issue":"6","journalAbbreviation":"J Clin Pharmacol","language":"eng","note":"PMID: 25651378","page":"708-717","source":"PubMed","title":"Pharmacokinetic interaction of intravenous fentanyl with ketoconazole","volume":"55","author":[{"family":"Ziesenitz","given":"Victoria C."},{"family":"König","given":"Sonja K."},{"family":"Mahlke","given":"Nina S."},{"family":"Skopp","given":"Gisela"},{"family":"Haefeli","given":"Walter E."},{"family":"Mikus","given":"Gerd"}],"issued":{"date-parts":[["2015",6]]}}},{"id":61,"uris":["http://zotero.org/users/local/J5Cy8xXX/items/DDRM3JAP"],"itemData":{"id":61,"type":"article-journal","abstract":"BACKGROUND: Parecoxib is a parenteral cyclooxygenase-2 (COX-2) inhibitor intended for perioperative analgesia. It is an inactive prodrug hydrolyzed in vivo to the active inhibitor valdecoxib, a substrate for hepatic cytochrome P450 3A4 (CYP3A4); hence, a potential exists for metabolic interactions with other CYP3A substrates. This study determined the effects of parecoxib on the pharmacokinetics and pharmacodynamics of the CYP3A substrates fentanyl and alfentanil compared with the CYP3A inhibitor troleandomycin. Alfentanil is a low-extraction drug with a clearance that is highly susceptible to drug interactions; fentanyl is a high-extraction drug and, thus, is theoretically less vulnerable. We therefore also tested the hypothesis that the extraction ratio influences the consequence of altered hepatic metabolism of these opioids.\nMETHODS: After Institutional Review Board-approved, written, informed consent was obtained, 12 22- to 40-yr-old healthy volunteers were enrolled in the study. The protocol was a randomized, double-blinded, balanced, placebo-controlled, three-session (placebo, parecoxib, or troleandomycin pretreatment) crossover. Subjects received both alfentanil (15 microg/kg) and fentanyl (5 microg/kg; 15-min intravenous infusion) 1 h after placebo, parecoxib (40 mg intravenously every 12 h), or troleandomycin (every 6 h). Study sessions were separated by 7 or more days. Opioid concentrations in venous blood were determined by liquid chromatography-mass spectrometry. Pharmacokinetic parameters were determined by noncompartmental analysis. Opioid effects were determined by pupillometry, respiratory rate, and Visual Analog Scale scores.\nRESULTS: There were no significant differences between the placebo and parecoxib treatments in alfentanil or fentanyl plasma concentration, maximum observed plasma concentration, area under the plasma time-concentration time curve, clearance, elimination half-life, or volume of distribution. However, disposition of alfentanil, and to a lesser extent fentanyl, was significantly altered by troleandomycin. Clearances were reduced to 12% (0.64 +/- 0.25 ml. kg-1. min-1) and 61% (9.35 +/- 3.07) of control (5.53 +/- 2.16 and 15.3 +/- 5.0) for alfentanil and fentanyl (P &lt; 0.001). Pupil diameter versus time curves were similar between placebo and parecoxib treatments but were significantly different after troleandomycin.\nCONCLUSIONS: Single-dose parecoxib does not alter fentanyl or alfentanil disposition or clinical effects and does not appear to cause significant CYP3A drug interactions. CYP3A inhibition decreases alfentanil clearance more than fentanyl clearance, confirming that the extraction ratio influences the consequence of altered hepatic drug metabolism. Modified cassette, or \"cocktail,\" dosing is useful for assessing drug interactions in humans.","container-title":"Anesthesiology","DOI":"10.1097/00000542-200304000-00011","ISSN":"0003-3022","issue":"4","journalAbbreviation":"Anesthesiology","language":"eng","note":"PMID: 12657846","page":"853-861","source":"PubMed","title":"Simultaneous assessment of drug interactions with low- and high-extraction opioids: application to parecoxib effects on the pharmacokinetics and pharmacodynamics of fentanyl and alfentanil","title-short":"Simultaneous assessment of drug interactions with low- and high-extraction opioids","volume":"98","author":[{"family":"Ibrahim","given":"Andra E."},{"family":"Feldman","given":"Jennifer"},{"family":"Karim","given":"Aziz"},{"family":"Kharasch","given":"Evan D."}],"issued":{"date-parts":[["2003",4]]}}},{"id":52,"uris":["http://zotero.org/users/local/J5Cy8xXX/items/VA4F6WKK"],"itemData":{"id":52,"type":"article-journal","abstract":"BACKGROUND: The human immunodeficiency virus protease inhibitor ritonavir is a potent inhibitor of the cytochrome P450 3A4 enzyme, and ritonavir's concomitant administration with the substrates of this enzyme may lead to dangerous drug interactions.\nMETHODS: The authors investigated possible interactions between ritonavir and intravenously administered fentanyl in a double-blind, placebo-controlled, cross-over study in two phases. Twelve healthy volunteers received orally ritonavir or placebo for 3 days; the dose of ritonavir was 200 mg three times on the first day and 300 mg three times on the second. The last dose of ritonavir 300 mg or placebo was given on the morning of the third day. On the second day, 2 h after the afternoon pretreatment dose, fentanyl 5 microg/kg was injected intravenously in 2 min with naloxone to moderate its effects, and 15 timed venous blood samples were collected for 18 h.\nRESULTS: Ritonavir reduced the clearance of fentanyl by 67% from 15.6+/-8.2 to 5.2+/-2.0 ml x min(-1) x kg(-1) (P&lt;0.01). The area under the fentanyl plasma concentration-time curve from 0 to 18 h was increased from 4.8+/-2.7 to 8.8+/-2.3 ng x ml(-1) x h(-1) by ritonavir (P&lt;0.01). Ritonavir did not affect the initial concentrations and the steady-state volume of distribution of fentanyl. One subject discontinued participation before fentanyl administration because of severe side effects, and during the study 8 of the remaining 11 subjects reported nausea.\nCONCLUSIONS: Ritonavir can inhibit the metabolism of fentanyl significantly, so caution should be exercised if fentanyl is given to patients receiving ritonavir medication.","container-title":"Anesthesiology","DOI":"10.1097/00000542-199909000-00020","ISSN":"0003-3022","issue":"3","journalAbbreviation":"Anesthesiology","language":"eng","note":"PMID: 10485779","page":"681-685","source":"PubMed","title":"Ritonavir's role in reducing fentanyl clearance and prolonging its half-life","volume":"91","author":[{"family":"Olkkola","given":"K. T."},{"family":"Palkama","given":"V. J."},{"family":"Neuvonen","given":"P. J."}],"issued":{"date-parts":[["1999",9]]}}}],"schema":"https://github.com/citation-style-language/schema/raw/master/csl-citation.json"} </w:instrText>
      </w:r>
      <w:r w:rsidRPr="000E1337">
        <w:rPr>
          <w:rFonts w:asciiTheme="majorBidi" w:hAnsiTheme="majorBidi" w:cstheme="majorBidi"/>
          <w:color w:val="000000" w:themeColor="text1"/>
          <w:sz w:val="20"/>
          <w:szCs w:val="20"/>
        </w:rPr>
        <w:fldChar w:fldCharType="separate"/>
      </w:r>
      <w:r w:rsidR="00552F4F" w:rsidRPr="008A707E">
        <w:rPr>
          <w:rFonts w:asciiTheme="majorBidi" w:hAnsiTheme="majorBidi" w:cstheme="majorBidi"/>
          <w:sz w:val="20"/>
        </w:rPr>
        <w:t>[7,13–15]</w:t>
      </w:r>
      <w:r w:rsidRPr="000E1337">
        <w:rPr>
          <w:rFonts w:asciiTheme="majorBidi" w:hAnsiTheme="majorBidi" w:cstheme="majorBidi"/>
          <w:color w:val="000000" w:themeColor="text1"/>
          <w:sz w:val="20"/>
          <w:szCs w:val="20"/>
        </w:rPr>
        <w:fldChar w:fldCharType="end"/>
      </w:r>
      <w:r w:rsidRPr="000E1337">
        <w:rPr>
          <w:rFonts w:asciiTheme="majorBidi" w:hAnsiTheme="majorBidi" w:cstheme="majorBidi"/>
          <w:color w:val="000000" w:themeColor="text1"/>
          <w:sz w:val="20"/>
          <w:szCs w:val="20"/>
        </w:rPr>
        <w:t xml:space="preserve">; (b) 58 patients from three studies after an intravenous bolus dose of fentanyl at 100 µg </w:t>
      </w:r>
      <w:r w:rsidRPr="000E1337">
        <w:rPr>
          <w:rFonts w:asciiTheme="majorBidi" w:hAnsiTheme="majorBidi" w:cstheme="majorBidi"/>
          <w:color w:val="000000" w:themeColor="text1"/>
          <w:sz w:val="20"/>
          <w:szCs w:val="20"/>
        </w:rPr>
        <w:fldChar w:fldCharType="begin"/>
      </w:r>
      <w:r w:rsidR="00552F4F" w:rsidRPr="000E1337">
        <w:rPr>
          <w:rFonts w:asciiTheme="majorBidi" w:hAnsiTheme="majorBidi" w:cstheme="majorBidi"/>
          <w:color w:val="000000" w:themeColor="text1"/>
          <w:sz w:val="20"/>
          <w:szCs w:val="20"/>
        </w:rPr>
        <w:instrText xml:space="preserve"> ADDIN ZOTERO_ITEM CSL_CITATION {"citationID":"a1iie315ft0","properties":{"formattedCitation":"[24,31,37]","plainCitation":"[24,31,37]","noteIndex":0},"citationItems":[{"id":88,"uris":["http://zotero.org/users/local/J5Cy8xXX/items/4M3A7FK3"],"itemData":{"id":88,"type":"article-journal","abstract":"BACKGROUND: Fentanyl sublingual spray (FSS) is a novel fentanyl formulation recently developed for the treatment of breakthrough cancer pain, which is characterized by a fast onset and a relatively short duration.\nOBJECTIVE: To compare rate of absorption and systemic bioavailability between FSS and oral transmucosal fentanyl citrate (OTFC) in healthy volunteers.\nMETHODS: This randomized 3-way crossover study involved 29 healthy volunteers (25 men and 4 women; mean age, 35 years) who received single doses of FSS (400 μg), OTFC (400 μg), and intravenous fentanyl citrate (100 μg) separated by washout periods of ≥7 days. Oral naltrexone was given to minimize potential adverse effects of fentanyl. Plasma fentanyl concentrations were measured for 36 hours after each dose for the calculation of pharmacokinetic parameters.\nRESULTS: Mean Cmax values of fentanyl were higher with FSS versus OTFC (0.81 ng/mL vs 0.61 ng/mL) and were attained more quickly; the median Tmax was 1.5 hours with FSS and 2.0 hours with OTFC (P &lt; 0.05). Furthermore, potentially effective fentanyl concentrations were achieved more quickly with FSS than with OTFC. Five and 10 minutes after administration, mean plasma concentrations were 19.0% and 53.7% of Cmax with FSS, respectively, compared with levels below the lower limit of assay quantification and 6.1%, respectively, with OTFC. Plasma concentrations of fentanyl at 10 minutes with FSS were equivalent to those with OTFC at 60 minutes. The Cmax and AUCs were approximately 33% to 36% greater with FSS than with OTFC, and the 90% CIs of the geometric mean ratios for each parameter fell outside the bioequivalence range of 80% to 125%. Systemic bioavailability was also greater with FSS than with OTFC (approximately 76% vs 51%). All 3 fentanyl treatments were well tolerated. All reported adverse events were mild and consistent with those previously reported in healthy volunteers receiving transmucosal fentanyl with naltrexone, and none occurred in &gt;2 participants during any treatment period.\nCONCLUSIONS: Absorption of fentanyl in this study was faster and bioavailability was greater with FSS than with OTFC. The pharmacokinetic profile of the sublingual spray closely matches the duration of onset to pain intensity in a breakthrough cancer pain episode. These findings suggest that FSS is appropriate for the treatment of breakthrough cancer pain. ClinicalTrials.gov identifier: NCT01780233.","container-title":"Clinical Therapeutics","DOI":"10.1016/j.clinthera.2013.02.017","ISSN":"1879-114X","issue":"3","journalAbbreviation":"Clin Ther","language":"eng","note":"PMID: 23497761","page":"236-243","source":"PubMed","title":"Single-dose pharmacokinetics of fentanyl sublingual spray and oral transmucosal fentanyl citrate in healthy volunteers: a randomized crossover study","title-short":"Single-dose pharmacokinetics of fentanyl sublingual spray and oral transmucosal fentanyl citrate in healthy volunteers","volume":"35","author":[{"family":"Parikh","given":"Neha"},{"family":"Goskonda","given":"Venkat"},{"family":"Chavan","given":"Ashok"},{"family":"Dillaha","given":"Larry"}],"issued":{"date-parts":[["2013",3]]}}},{"id":75,"uris":["http://zotero.org/users/local/J5Cy8xXX/items/MUI7V7GB"],"itemData":{"id":75,"type":"article-journal","abstract":"BACKGROUND: The sublingual administration of opioids is a simple and noninvasive method that provides rapid analgesia. In this phase I study we investigated the pharmacokinetics and bioavailability of a fentanyl wafer in healthy volunteers. The principal study objective was to investigate the pharmacokinetic profile of a new sublingual fentanyl wafer and to establish its absolute bioavailability.\nMETHODS: Twenty-four healthy volunteers, mean age 23 years, were randomly assigned to receive the equivalent of fentanyl 100 μg by both the sublingual and IV routes. Blood samples were collected in sterile polypropylene tubes for 24 hours after each fentanyl administration. The pharmacokinetic parameters were determined by model-independent pharmacokinetic analyses of the plasma fentanyl concentration-time profiles.\nRESULTS: The mean absolute bioavailability of the sublingual fentanyl wafer was 78.9% (90% confidence interval [CI] 51.1% to 121.7%). The first detectable plasma fentanyl concentration time ranged from 2 to 10 minutes in all volunteers, and the mean (±SD) time to peak plasma concentration at 0.91 (±0.73) hours after administration.\nCONCLUSION: Sublingual administration of fentanyl as a wafer product resulted in rapidly detectable plasma fentanyl concentrations. The absolute bioavailability of 78.9% indicated a high systemic availability of fentanyl and suggests that further development of this wafer is justified.","container-title":"Anesthesia and Analgesia","DOI":"10.1213/ANE.0b013e3182575cbf","ISSN":"1526-7598","issue":"3","journalAbbreviation":"Anesth Analg","language":"eng","note":"PMID: 22584544","page":"554-559","source":"PubMed","title":"A phase I pharmacokinetic and bioavailability study of a sublingual fentanyl wafer in healthy volunteers","volume":"115","author":[{"family":"Lim","given":"Chin Beng Stephen"},{"family":"Schug","given":"Stephan A."},{"family":"Sunderland","given":"Vivian Bruce"},{"family":"Paech","given":"Michael James"},{"family":"Liu","given":"Yandi"}],"issued":{"date-parts":[["2012",9]]}}},{"id":77,"uris":["http://zotero.org/users/local/J5Cy8xXX/items/HBTFKPFT"],"itemData":{"id":77,"type":"article-journal","abstract":"CONTEXT AND OBJECTIVE: Controversy exists regarding the site of action of fentanyl after epidural injection. The objective of this investigation was to compare the efficacy of epidural and intravenous fentanyl for orthopedic surgery. DESIGN AND SETTING: A randomized double-blind study was performed in Hospital São Paulo. METHODS: During the postoperative period, in the presence of pain, 29 patients were divided into two groups: group 1 (n = 14) received 100 µg of fentanyl epidurally and 2 ml of saline intravenously; group 2 (n = 15) received 5 ml of saline epidurally and 100 µg of fentanyl intravenously. The analgesic supplementation consisted of 40 mg of tenoxicam intravenously and, if necessary, 5 ml of 0.25% bupivacaine epidurally. Pain intensity was evaluated on a numerical scale and plasma concentrations of fentanyl were measured simultaneously. RESULTS: The percentage of patients who required supplementary analgesia with tenoxicam was lower in group 1 (71.4%) than in group 2 (100%): 95% confidence interval (CI) = 0.001-0.4360 (P = 0.001, Fisher's exact test; relative risk, RR = 0.07). Epidural bupivacaine supplementation was also lower in group 1 (14.3%) than in group 2 (53.3%): 95% CI = 0.06-1.05 (P = 0.03, Fisher's exact test; RR = 0.26). There was no difference in pain intensity on the numerical scale. Mean fentanyl plasma concentrations were similar in the two groups. CONCLUSION: Intravenous and epidural fentanyl appear to have similar efficacy for reducing pain according to the numerical scale, but supplementary analgesia was needed less frequently when epidural fentanyl was used. CLINICAL TRIAL REGISTRATION NUMBER: NCT00635986","container-title":"Sao Paulo Medical Journal","DOI":"https://doi.org/10.1590/S1516-31802010000100002","ISSN":"1516-3180, 1806-9460","journalAbbreviation":"Sao Paulo Med. J.","language":"en","note":"publisher: Associação Paulista de Medicina - APM","page":"5-9","source":"SciELO","title":"Epidural versus intravenous fentanyl for postoperative analgesia following orthopedic surgery: randomized controlled trial","title-short":"Epidural versus intravenous fentanyl for postoperative analgesia following orthopedic surgery","volume":"128","author":[{"family":"Privado","given":"Marcelo Soares"},{"family":"Issy","given":"Adriana Machado"},{"family":"Lanchote","given":"Vera Lucia"},{"family":"Garcia","given":"João Batista Santos"},{"family":"Sakata","given":"Rioko Kimiko"}],"issued":{"date-parts":[["2010",1]]}}}],"schema":"https://github.com/citation-style-language/schema/raw/master/csl-citation.json"} </w:instrText>
      </w:r>
      <w:r w:rsidRPr="000E1337">
        <w:rPr>
          <w:rFonts w:asciiTheme="majorBidi" w:hAnsiTheme="majorBidi" w:cstheme="majorBidi"/>
          <w:color w:val="000000" w:themeColor="text1"/>
          <w:sz w:val="20"/>
          <w:szCs w:val="20"/>
        </w:rPr>
        <w:fldChar w:fldCharType="separate"/>
      </w:r>
      <w:r w:rsidR="00552F4F" w:rsidRPr="008A707E">
        <w:rPr>
          <w:rFonts w:asciiTheme="majorBidi" w:hAnsiTheme="majorBidi" w:cstheme="majorBidi"/>
          <w:sz w:val="20"/>
        </w:rPr>
        <w:t>[24,31,37]</w:t>
      </w:r>
      <w:r w:rsidRPr="000E1337">
        <w:rPr>
          <w:rFonts w:asciiTheme="majorBidi" w:hAnsiTheme="majorBidi" w:cstheme="majorBidi"/>
          <w:color w:val="000000" w:themeColor="text1"/>
          <w:sz w:val="20"/>
          <w:szCs w:val="20"/>
        </w:rPr>
        <w:fldChar w:fldCharType="end"/>
      </w:r>
      <w:r w:rsidRPr="000E1337">
        <w:rPr>
          <w:rFonts w:asciiTheme="majorBidi" w:hAnsiTheme="majorBidi" w:cstheme="majorBidi"/>
          <w:color w:val="000000" w:themeColor="text1"/>
          <w:sz w:val="20"/>
          <w:szCs w:val="20"/>
        </w:rPr>
        <w:t xml:space="preserve">; (c) 33 patients undergoing upper abdominal, orthopedic, and prolonged abdominal surgeries from </w:t>
      </w:r>
      <w:r w:rsidRPr="000E1337">
        <w:rPr>
          <w:rFonts w:asciiTheme="majorBidi" w:eastAsiaTheme="minorEastAsia" w:hAnsiTheme="majorBidi" w:cstheme="majorBidi"/>
          <w:color w:val="000000" w:themeColor="text1"/>
          <w:sz w:val="20"/>
          <w:szCs w:val="20"/>
        </w:rPr>
        <w:t>one study</w:t>
      </w:r>
      <w:r w:rsidRPr="000E1337">
        <w:rPr>
          <w:rFonts w:asciiTheme="majorBidi" w:hAnsiTheme="majorBidi" w:cstheme="majorBidi"/>
          <w:color w:val="000000" w:themeColor="text1"/>
          <w:sz w:val="20"/>
          <w:szCs w:val="20"/>
        </w:rPr>
        <w:t xml:space="preserve"> after fentanyl infusion at 100 µg/h for up to 26 h, including a bolus dose of 100 µg after 2 h </w:t>
      </w:r>
      <w:r w:rsidRPr="000E1337">
        <w:rPr>
          <w:rFonts w:asciiTheme="majorBidi" w:hAnsiTheme="majorBidi" w:cstheme="majorBidi"/>
          <w:color w:val="000000" w:themeColor="text1"/>
          <w:sz w:val="20"/>
          <w:szCs w:val="20"/>
        </w:rPr>
        <w:fldChar w:fldCharType="begin"/>
      </w:r>
      <w:r w:rsidR="00552F4F" w:rsidRPr="000E1337">
        <w:rPr>
          <w:rFonts w:asciiTheme="majorBidi" w:hAnsiTheme="majorBidi" w:cstheme="majorBidi"/>
          <w:color w:val="000000" w:themeColor="text1"/>
          <w:sz w:val="20"/>
          <w:szCs w:val="20"/>
        </w:rPr>
        <w:instrText xml:space="preserve"> ADDIN ZOTERO_ITEM CSL_CITATION {"citationID":"a14b1upd6nr","properties":{"formattedCitation":"[17]","plainCitation":"[17]","noteIndex":0},"citationItems":[{"id":59,"uris":["http://zotero.org/users/local/J5Cy8xXX/items/L7GAWX46"],"itemData":{"id":59,"type":"article-journal","abstract":"Forty-five patients in four groups undergoing orthopaedic, upper abdominal, prolonged or cardiac surgery received a constant rate i.v. infusion of fentanyl 100 micrograms h-1, for 24 h starting 2 h before surgery. A single bolus dose was given i.v. at the induction of anaesthesia. Plasma fentanyl concentrations, measured by radioimmunoassay were between 1 and 3 ng ml-1 until the infusions were discontinued. Clearance of fentanyl was decreased in the cardiac surgery group only. The elimination half-life was 7.3-9.7 h. This simple regimen produced effective analgesia.","container-title":"British Journal of Anaesthesia","DOI":"10.1093/bja/58.9.950","ISSN":"0007-0912","issue":"9","journalAbbreviation":"Br J Anaesth","language":"eng","note":"PMID: 3756054","page":"950-956","source":"PubMed","title":"Pharmacokinetics of fentanyl during constant rate i.v. infusion for the relief of pain after surgery","volume":"58","author":[{"family":"Duthie","given":"D. J."},{"family":"McLaren","given":"A. D."},{"family":"Nimmo","given":"W. S."}],"issued":{"date-parts":[["1986",9]]}}}],"schema":"https://github.com/citation-style-language/schema/raw/master/csl-citation.json"} </w:instrText>
      </w:r>
      <w:r w:rsidRPr="000E1337">
        <w:rPr>
          <w:rFonts w:asciiTheme="majorBidi" w:hAnsiTheme="majorBidi" w:cstheme="majorBidi"/>
          <w:color w:val="000000" w:themeColor="text1"/>
          <w:sz w:val="20"/>
          <w:szCs w:val="20"/>
        </w:rPr>
        <w:fldChar w:fldCharType="separate"/>
      </w:r>
      <w:r w:rsidR="00552F4F" w:rsidRPr="008A707E">
        <w:rPr>
          <w:rFonts w:asciiTheme="majorBidi" w:hAnsiTheme="majorBidi" w:cstheme="majorBidi"/>
          <w:sz w:val="20"/>
        </w:rPr>
        <w:t>[17]</w:t>
      </w:r>
      <w:r w:rsidRPr="000E1337">
        <w:rPr>
          <w:rFonts w:asciiTheme="majorBidi" w:hAnsiTheme="majorBidi" w:cstheme="majorBidi"/>
          <w:color w:val="000000" w:themeColor="text1"/>
          <w:sz w:val="20"/>
          <w:szCs w:val="20"/>
        </w:rPr>
        <w:fldChar w:fldCharType="end"/>
      </w:r>
      <w:r w:rsidRPr="000E1337">
        <w:rPr>
          <w:rFonts w:asciiTheme="majorBidi" w:hAnsiTheme="majorBidi" w:cstheme="majorBidi"/>
          <w:color w:val="000000" w:themeColor="text1"/>
          <w:sz w:val="20"/>
          <w:szCs w:val="20"/>
        </w:rPr>
        <w:t xml:space="preserve">. The shaded light blue region represents the 5th–95th percentile range, with solid lines depicting the simulated mean fentanyl concentrations. (d) Scatter plot comparing the predicted fentanyl concentrations with the observed fentanyl concentrations from 34 adult clinical studies </w:t>
      </w:r>
      <w:r w:rsidRPr="000E1337">
        <w:rPr>
          <w:rFonts w:asciiTheme="majorBidi" w:hAnsiTheme="majorBidi" w:cstheme="majorBidi"/>
          <w:color w:val="000000" w:themeColor="text1"/>
          <w:sz w:val="20"/>
          <w:szCs w:val="20"/>
        </w:rPr>
        <w:fldChar w:fldCharType="begin"/>
      </w:r>
      <w:r w:rsidR="000E1337" w:rsidRPr="000E1337">
        <w:rPr>
          <w:rFonts w:asciiTheme="majorBidi" w:hAnsiTheme="majorBidi" w:cstheme="majorBidi"/>
          <w:color w:val="000000" w:themeColor="text1"/>
          <w:sz w:val="20"/>
          <w:szCs w:val="20"/>
        </w:rPr>
        <w:instrText xml:space="preserve"> ADDIN ZOTERO_ITEM CSL_CITATION {"citationID":"a2erjoe8tsc","properties":{"formattedCitation":"[7,15,17\\uc0\\u8211{}19,21\\uc0\\u8211{}28,30\\uc0\\u8211{}37,39\\uc0\\u8211{}41,43\\uc0\\u8211{}46,55\\uc0\\u8211{}58]","plainCitation":"[7,15,17–19,21–28,30–37,39–41,43–46,55–58]","noteIndex":0},"citationItems":[{"id":36,"uris":["http://zotero.org/users/local/J5Cy8xXX/items/4S2WIJGV"],"itemData":{"id":36,"type":"article-journal","abstract":"OBJECTIVE: Fentanyl is a widely used opioid analgesic, which is extensively metabolized by hepatic cytochrome P450 (CYP) 3A. Recent reports suggest that concomitant administration of CYP3A inhibitors with fentanyl may lead to dangerous drug interactions.\nMETHODS: The potential interactions of fentanyl with triazole antifungal agents voriconazole and fluconazole were studied in a randomized crossover study in three phases. Twelve healthy volunteers were given 5 microg/kg of intravenous fentanyl without pretreatment (control), after oral voriconazole (400 mg twice on the first day and 200 mg twice on the second day), or after oral fluconazole (400 mg once on the first day and 200 mg once on the second day). Plasma concentrations of fentanyl, norfentanyl, voriconazole, and fluconazole were determined up to 24 h. Pharmacokinetic parameters were calculated using compartmental methods.\nRESULTS: The mean plasma clearance of intravenous fentanyl was decreased by 23% (range -22 to 48%; p &lt; 0.05) and 16% (-34 to 53%; p &lt; 0.05) after voriconazole and fluconazole administration, respectively. Voriconazole increased the area under the fentanyl plasma concentration-time curve by 1.4-fold (p &lt; 0.05). The initial plasma concentrations and volume of distribution of fentanyl did not differ significantly between phases.\nCONCLUSION: Both voriconazole and fluconazole delay the elimination of fentanyl significantly. Caution should be exercised, especially in patients who are given voriconazole or fluconazole during long-lasting fentanyl treatment, because insidiously elevated fentanyl concentration may lead to respiratory depression.","container-title":"European Journal of Clinical Pharmacology","DOI":"10.1007/s00228-007-0398-x","ISSN":"1432-1041","issue":"1","journalAbbreviation":"Eur J Clin Pharmacol","language":"eng","note":"PMID: 17987285","page":"25-30","source":"PubMed","title":"Effect of voriconazole and fluconazole on the pharmacokinetics of intravenous fentanyl","volume":"64","author":[{"family":"Saari","given":"Teijo I."},{"family":"Laine","given":"Kari"},{"family":"Neuvonen","given":"Mikko"},{"family":"Neuvonen","given":"Pertti J."},{"family":"Olkkola","given":"Klaus T."}],"issued":{"date-parts":[["2008",1]]}}},{"id":61,"uris":["http://zotero.org/users/local/J5Cy8xXX/items/DDRM3JAP"],"itemData":{"id":61,"type":"article-journal","abstract":"BACKGROUND: Parecoxib is a parenteral cyclooxygenase-2 (COX-2) inhibitor intended for perioperative analgesia. It is an inactive prodrug hydrolyzed in vivo to the active inhibitor valdecoxib, a substrate for hepatic cytochrome P450 3A4 (CYP3A4); hence, a potential exists for metabolic interactions with other CYP3A substrates. This study determined the effects of parecoxib on the pharmacokinetics and pharmacodynamics of the CYP3A substrates fentanyl and alfentanil compared with the CYP3A inhibitor troleandomycin. Alfentanil is a low-extraction drug with a clearance that is highly susceptible to drug interactions; fentanyl is a high-extraction drug and, thus, is theoretically less vulnerable. We therefore also tested the hypothesis that the extraction ratio influences the consequence of altered hepatic metabolism of these opioids.\nMETHODS: After Institutional Review Board-approved, written, informed consent was obtained, 12 22- to 40-yr-old healthy volunteers were enrolled in the study. The protocol was a randomized, double-blinded, balanced, placebo-controlled, three-session (placebo, parecoxib, or troleandomycin pretreatment) crossover. Subjects received both alfentanil (15 microg/kg) and fentanyl (5 microg/kg; 15-min intravenous infusion) 1 h after placebo, parecoxib (40 mg intravenously every 12 h), or troleandomycin (every 6 h). Study sessions were separated by 7 or more days. Opioid concentrations in venous blood were determined by liquid chromatography-mass spectrometry. Pharmacokinetic parameters were determined by noncompartmental analysis. Opioid effects were determined by pupillometry, respiratory rate, and Visual Analog Scale scores.\nRESULTS: There were no significant differences between the placebo and parecoxib treatments in alfentanil or fentanyl plasma concentration, maximum observed plasma concentration, area under the plasma time-concentration time curve, clearance, elimination half-life, or volume of distribution. However, disposition of alfentanil, and to a lesser extent fentanyl, was significantly altered by troleandomycin. Clearances were reduced to 12% (0.64 +/- 0.25 ml. kg-1. min-1) and 61% (9.35 +/- 3.07) of control (5.53 +/- 2.16 and 15.3 +/- 5.0) for alfentanil and fentanyl (P &lt; 0.001). Pupil diameter versus time curves were similar between placebo and parecoxib treatments but were significantly different after troleandomycin.\nCONCLUSIONS: Single-dose parecoxib does not alter fentanyl or alfentanil disposition or clinical effects and does not appear to cause significant CYP3A drug interactions. CYP3A inhibition decreases alfentanil clearance more than fentanyl clearance, confirming that the extraction ratio influences the consequence of altered hepatic drug metabolism. Modified cassette, or \"cocktail,\" dosing is useful for assessing drug interactions in humans.","container-title":"Anesthesiology","DOI":"10.1097/00000542-200304000-00011","ISSN":"0003-3022","issue":"4","journalAbbreviation":"Anesthesiology","language":"eng","note":"PMID: 12657846","page":"853-861","source":"PubMed","title":"Simultaneous assessment of drug interactions with low- and high-extraction opioids: application to parecoxib effects on the pharmacokinetics and pharmacodynamics of fentanyl and alfentanil","title-short":"Simultaneous assessment of drug interactions with low- and high-extraction opioids","volume":"98","author":[{"family":"Ibrahim","given":"Andra E."},{"family":"Feldman","given":"Jennifer"},{"family":"Karim","given":"Aziz"},{"family":"Kharasch","given":"Evan D."}],"issued":{"date-parts":[["2003",4]]}}},{"id":59,"uris":["http://zotero.org/users/local/J5Cy8xXX/items/L7GAWX46"],"itemData":{"id":59,"type":"article-journal","abstract":"Forty-five patients in four groups undergoing orthopaedic, upper abdominal, prolonged or cardiac surgery received a constant rate i.v. infusion of fentanyl 100 micrograms h-1, for 24 h starting 2 h before surgery. A single bolus dose was given i.v. at the induction of anaesthesia. Plasma fentanyl concentrations, measured by radioimmunoassay were between 1 and 3 ng ml-1 until the infusions were discontinued. Clearance of fentanyl was decreased in the cardiac surgery group only. The elimination half-life was 7.3-9.7 h. This simple regimen produced effective analgesia.","container-title":"British Journal of Anaesthesia","DOI":"10.1093/bja/58.9.950","ISSN":"0007-0912","issue":"9","journalAbbreviation":"Br J Anaesth","language":"eng","note":"PMID: 3756054","page":"950-956","source":"PubMed","title":"Pharmacokinetics of fentanyl during constant rate i.v. infusion for the relief of pain after surgery","volume":"58","author":[{"family":"Duthie","given":"D. J."},{"family":"McLaren","given":"A. D."},{"family":"Nimmo","given":"W. S."}],"issued":{"date-parts":[["1986",9]]}}},{"id":"NzKo45Wf/Y1yoYd3K","uris":["http://zotero.org/users/6482121/items/WSVG9SYU"],"itemData":{"id":664,"type":"article-journal","abstract":"The management of postoperative pain with continuous epidural fentanyl infusion was compared with continuous intravenous fentanyl infusion. In a randomized, doubleblind protocol we prospectively studied 20 patients undergoing repair of the anterior cruciate ligament of the knee. The quality of analgesia and the incidence of side effects were documented. Compared with patients receiving continuous intravenous fentanyl infusion, at 18 h postoperatively patients given continuous epidural fentanyl infusion reported similar pain scores both at rest (22 +/- 25 vs 27 +/- 21, P = 0.52) and with ambulation (59 +/- 18 vs 56 +/- 22, P = 0.82). Plasma fentanyl levels were 1.8 +/- 0.4 and 1.7 +/- 0.4 ng/mL (P = 0.91) for the intravenous and epidural groups, respectively. There were no significant differences in the incidence of nausea, pruritus, or urinary retention. There was no respiratory depression in either group. We conclude that when compared with continuous intravenous fentanyl infusion, continuous epidural fentanyl infusion offers no clinical advantages for the management of postoperative pain after knee surgery.","container-title":"Anesthesia and Analgesia","DOI":"10.1213/00000539-199001000-00012","ISSN":"0003-2999","issue":"1","journalAbbreviation":"Anesth Analg","language":"eng","note":"PMID: 2297107","page":"72-75","source":"PubMed","title":"Epidural and intravenous fentanyl infusions are clinically equivalent after knee surgery","volume":"70","author":[{"family":"Loper","given":"K. A."},{"family":"Ready","given":"L. B."},{"family":"Downey","given":"M."},{"family":"Sandler","given":"A. N."},{"family":"Nessly","given":"M."},{"family":"Rapp","given":"S."},{"family":"Badner","given":"N."}],"issued":{"date-parts":[["1990",1]]}}},{"id":"NzKo45Wf/L2fgBEUs","uris":["http://zotero.org/users/6482121/items/4JFGHS6L"],"itemData":{"id":666,"type":"article-journal","abstract":"This study compared epidural and intravenous fentanyl infusions for pain relief for the first 20 h after thoracotomy, in order to examine whether an thoracic epidural fentanyl infusion offers clinical advantage over an intravenous infusion. Forty patients were assigned randomly to receive either fentanyl epidurally and saline intravenously or fentanyl intravenously and saline epidurally in a double-blind fashion. For each patient the fentanyl infusion was titrated to a rate required for pain relief (pain score less than 3, maximum 10). Patients reported similar median pain scores, but in the epidural group the required mean fentanyl infusion rate was less (0.95 +/- 0.23 vs. 1.67 +/- 0.46 micrograms.kg-1.h-1, P = 0.0001) and plasma fentanyl concentrations were less at 4 and 18 h (4 h: 0.81 +/- 0.27 vs. 1.38 +/- 0.36 ng.ml-1, P = 0.0001; 18 h: 0.94 +/- 0.32 vs. 1.54 +/- 0.65 ng.ml-1, P = 0.0007) than those in the intravenous group. Respiratory function was better preserved and the incidence of nausea and sedation was less in the epidural group than in the intravenous group. In conclusion there appears to be a clinical advantage to the epidural infusion over the intravenous infusion of fentanyl for analgesia after thoracotomy.","container-title":"Anesthesiology","DOI":"10.1097/00000542-199111000-00010","ISSN":"0003-3022","issue":"5","journalAbbreviation":"Anesthesiology","language":"eng","note":"PMID: 1952204","page":"790-795","source":"PubMed","title":"A randomized double-blind comparison of epidural versus intravenous fentanyl infusion for analgesia after thoracotomy","volume":"75","author":[{"family":"Salomäki","given":"T. E."},{"family":"Laitinen","given":"J. O."},{"family":"Nuutinen","given":"L. S."}],"issued":{"date-parts":[["1991",11]]}}},{"id":65,"uris":["http://zotero.org/users/local/J5Cy8xXX/items/5VIQHHVF"],"itemData":{"id":65,"type":"article-journal","abstract":"Fentanyl, unlike morphine, is highly lipophilic and rapidly diffuses out of the epidural space. Respiratory depression is, therefore, unlikely when fentanyl is given epidurally. However, much of fentanyl's analgesic effect is mediated by systemic rather than spinal receptor binding. To test this hypothesis, we performed a prospective, double-blind, cross-over study comparing epidural and intravenous (IV) administration of fentanyl in 16 patients for the first 12 h after lower abdominal or lower extremity surgery. To allow direct comparison of these two routes of administration, patient-controlled analgesia was used so patients could self-titrate their analgesia. Patients were randomized to receive fentanyl initially by an epidural (group A, n = 8) or IV (group B, n = 8) catheter for 6 h, after which they were crossed-over to the alternate route by means of a hidden three-way stopcock. The degree of analgesia was subjectively evaluated by a visual analogue scale, and by an observer rating patient's comfort and sedation. Cumulative dosage of fentanyl was recorded, and plasma fentanyl concentrations were measured. The onset of analgesia and increase in plasma fentanyl concentrations were more rapid with intravenous fentanyl. However, after 60 min, analgesia (visual analogue scale 2-4 cm) or plasma fentanyl concentrations (0.3-0.7 ng/mL) did not differ between the two routes of administration. There were also no significant differences in the cumulative dosage of fentanyl within each group (epidural vs IV) or between the groups. Thus, the analgesic effects of epidural fentanyl appear largely mediated by systemic absorption. Intravenous fentanyl achieves a similar degree of analgesia and a more rapid onset of effect without the need for epidural catheterization.","container-title":"Anesthesia and Analgesia","DOI":"10.1213/00000539-199203000-00005","ISSN":"0003-2999","issue":"3","journalAbbreviation":"Anesth Analg","language":"eng","note":"PMID: 1539812","page":"345-351","source":"PubMed","title":"Use of patient-controlled analgesia to compare the efficacy of epidural to intravenous fentanyl administration","volume":"74","author":[{"family":"Glass","given":"P. S."},{"family":"Estok","given":"P."},{"family":"Ginsberg","given":"B."},{"family":"Goldberg","given":"J. S."},{"family":"Sladen","given":"R. N."}],"issued":{"date-parts":[["1992",3]]}}},{"id":67,"uris":["http://zotero.org/users/local/J5Cy8xXX/items/VKGJM8KB"],"itemData":{"id":67,"type":"article-journal","abstract":"This double-blind randomised study compared the analgesic efficacy, respiratory effects, side effects, and pharmacokinetic disposition of 24 hr lumbar epidural and intravenous infusions of the same dosage regimen of fentanyl (1.5 micrograms.kg-1 bolus then 1 microgram.kg-1.hr-1 infusion) in 50 patients after thoracotomy. Patients received either epidural fentanyl and intravenous normal saline, or epidural normal saline and intravenous fentanyl, for postoperative analgesia, after a standard low-dose alfentanil and isoflurane general anaesthetic. Visual analogue pain scores were lower in the epidural group (P &lt; 0.05) only at two hours postoperatively, and there was no difference in the amount of supplementary morphine self-administered by patient-controlled analgesic pump. A mainly spinal analgesic effect probably occurred in the first few hours since fentanyl was not detectable in the plasma of patients in the epidural group until two hours after bolus injection; its concentration was less at that time than after intravenous injection (P &lt; 0.05). Thereafter there was no difference in the plasma concentration profiles between the two groups. Seven patients in the epidural group and ten patients in the intravenous group received naloxone for PaCO2 &gt; 50 mmHg, and one patient in the intravenous group had the infusions stopped because of PaCO2 elevation and somnolence. In patients who did not receive naloxone, the epidural route produced better analgesia throughout the study period (P &lt; 0.01).(ABSTRACT TRUNCATED AT 250 WORDS)","container-title":"Canadian Journal of Anaesthesia = Journal Canadien D'anesthesie","DOI":"10.1007/BF03009829","ISSN":"0832-610X","issue":"3","journalAbbreviation":"Can J Anaesth","language":"eng","note":"PMID: 8187254","page":"184-191","source":"PubMed","title":"A comparison of lumbar epidural and intravenous fentanyl infusions for post-thoracotomy analgesia","volume":"41","author":[{"family":"Baxter","given":"A. D."},{"family":"Laganière","given":"S."},{"family":"Samson","given":"B."},{"family":"Stewart","given":"J."},{"family":"Hull","given":"K."},{"family":"Goernert","given":"L."}],"issued":{"date-parts":[["1994",3]]}}},{"id":"NzKo45Wf/9KI78ETq","uris":["http://zotero.org/users/6482121/items/JS7WW8AG"],"itemData":{"id":489,"type":"article-journal","container-title":"ANESTH ANALG","language":"en","page":"7","source":"Zotero","title":"Balanced Postoperative Analgesia: Effect of Intravenous Clonidine on Blood Gases and Pharmacokinetics of Intravenous Fentanyl","author":[{"family":"Bernard","given":"Jean-Marc"},{"family":"Lagarde","given":"Didier"},{"family":"Souron","given":"Remy"}]}},{"id":77,"uris":["http://zotero.org/users/local/J5Cy8xXX/items/HBTFKPFT"],"itemData":{"id":77,"type":"article-journal","abstract":"CONTEXT AND OBJECTIVE: Controversy exists regarding the site of action of fentanyl after epidural injection. The objective of this investigation was to compare the efficacy of epidural and intravenous fentanyl for orthopedic surgery. DESIGN AND SETTING: A randomized double-blind study was performed in Hospital São Paulo. METHODS: During the postoperative period, in the presence of pain, 29 patients were divided into two groups: group 1 (n = 14) received 100 µg of fentanyl epidurally and 2 ml of saline intravenously; group 2 (n = 15) received 5 ml of saline epidurally and 100 µg of fentanyl intravenously. The analgesic supplementation consisted of 40 mg of tenoxicam intravenously and, if necessary, 5 ml of 0.25% bupivacaine epidurally. Pain intensity was evaluated on a numerical scale and plasma concentrations of fentanyl were measured simultaneously. RESULTS: The percentage of patients who required supplementary analgesia with tenoxicam was lower in group 1 (71.4%) than in group 2 (100%): 95% confidence interval (CI) = 0.001-0.4360 (P = 0.001, Fisher's exact test; relative risk, RR = 0.07). Epidural bupivacaine supplementation was also lower in group 1 (14.3%) than in group 2 (53.3%): 95% CI = 0.06-1.05 (P = 0.03, Fisher's exact test; RR = 0.26). There was no difference in pain intensity on the numerical scale. Mean fentanyl plasma concentrations were similar in the two groups. CONCLUSION: Intravenous and epidural fentanyl appear to have similar efficacy for reducing pain according to the numerical scale, but supplementary analgesia was needed less frequently when epidural fentanyl was used. CLINICAL TRIAL REGISTRATION NUMBER: NCT00635986","container-title":"Sao Paulo Medical Journal","DOI":"https://doi.org/10.1590/S1516-31802010000100002","ISSN":"1516-3180, 1806-9460","journalAbbreviation":"Sao Paulo Med. J.","language":"en","note":"publisher: Associação Paulista de Medicina - APM","page":"5-9","source":"SciELO","title":"Epidural versus intravenous fentanyl for postoperative analgesia following orthopedic surgery: randomized controlled trial","title-short":"Epidural versus intravenous fentanyl for postoperative analgesia following orthopedic surgery","volume":"128","author":[{"family":"Privado","given":"Marcelo Soares"},{"family":"Issy","given":"Adriana Machado"},{"family":"Lanchote","given":"Vera Lucia"},{"family":"Garcia","given":"João Batista Santos"},{"family":"Sakata","given":"Rioko Kimiko"}],"issued":{"date-parts":[["2010",1]]}}},{"id":70,"uris":["http://zotero.org/users/local/J5Cy8xXX/items/NV2E7EUY"],"itemData":{"id":70,"type":"article-journal","abstract":"OBJECTIVES: Fentanyl is a potent analgesic that accounts for an increasing number of overdose deaths in the United States. This study tested whether altered pharmacokinetics plays a pivotal role in the increased fentanyl dose requirements in patients receiving the enzyme-inducing anticonvulsant, carbamazepine.\nMETHODS: Neurosurgical patients receiving carbamazepine for &gt;6 weeks (N = 11) or no carbamazepine (N = 6, controls) received a single bolus dose of fentanyl (200 μg) intravenously. Plasma was collected before and for up to 9 h after the bolus. Fentanyl concentrations were measured using liquid chromatography-mass spectrometry. Pharmacokinetic variables were derived from plasma concentration-time curves best fitted to a two-compartment model.\nKEY FINDINGS: Fentanyl clearance was significantly higher in the carbamazepine group compared to controls (mean ± SD: 20.1 ± 6.8 vs 13.2 ± 4.8 ml/min per kg, P &lt; 0.05), and area under the plasma concentration curve (AUC) was significantly lower (150 ± 65 vs 233 ± 70 ng/ml × min, P &lt; 0.02). Volume of distribution was larger in the carbamazepine group, but the difference was not statistically significant (5.4 ± 3.1 vs 3.6 ± 1.2 l/kg, P &gt; 0.15). The terminal elimination half-life did not differ between the two groups.\nCONCLUSIONS: Chronic carbamazepine therapy leads to increased fentanyl clearance and decreased AUC, which may result in decreased duration of therapeutic plasma concentrations of fentanyl and an increased dose requirement. Assuming that carbamazepine does not change fentanyl pharmacodynamics, patients on chronic carbamazepine therapy may require more frequent or higher fentanyl doses to maintain therapeutic plasma concentrations.","container-title":"The Journal of Pharmacy and Pharmacology","DOI":"10.1111/jphp.13079","ISSN":"2042-7158","issue":"6","journalAbbreviation":"J Pharm Pharmacol","language":"eng","note":"PMID: 30793320\nPMCID: PMC7938950","page":"982-987","source":"PubMed","title":"Prolonged therapy with the anticonvulsant carbamazepine leads to increased plasma clearance of fentanyl","volume":"71","author":[{"family":"Nozari","given":"Ala"},{"family":"Akeju","given":"Oluwaseun"},{"family":"Mirzakhani","given":"Hooman"},{"family":"Eskandar","given":"Emad"},{"family":"Ma","given":"Zhijun"},{"family":"Hossain","given":"Md Amin"},{"family":"Wang","given":"Qingping"},{"family":"Greenblatt","given":"David J."},{"family":"Martyn","given":"J. A. Jeevendra"}],"issued":{"date-parts":[["2019",6]]}}},{"id":"NzKo45Wf/DpcbZcKz","uris":["http://zotero.org/users/6482121/items/8469QX46"],"itemData":{"id":3758,"type":"article-journal","abstract":"Fentanyl was administered intravenously and transdermally to eight surgical patients to determine the systemic bioavailability and rate of absorption of the transdermally administered drug. Serum fentanyl concentrations reached a plateau approximately 14 h after placement of the transdermal fentanyl delivery system. This plateau was maintained until removal of the system at 24 h. The decline in serum fentanyl concentrations after removal of the transdermal system had a terminal half-life of 17.0 +/- 2.3 h (mean +/- SD), considerably longer than the terminal elimination half-life seen after intravenous administration of fentanyl in the same patients (6.1 +/- 2.0 h). The rate of fentanyl absorption, predicted to be 100 micrograms/h from in vitro data, appeared to be relatively constant during a period starting 4-8 h after placement of the transdermal system until removal of the system at 24 h. The rate of absorption during this period was 91.7 +/- 25.7 micrograms/h. After removal of the transdermal fentanyl delivery system, absorption continued at a declining rate. This indicates that the long terminal half-life of serum fentanyl concentrations after transdermal system removal is due to continued slow absorption of fentanyl, probably from a cutaneous depot of drug at the site of prior transdermal system placement. At the time of removal of the transdermal fentanyl system, 1.07 +/- 0.43 mg of drug remained in this depot. Systemic fentanyl bioavailability was found to be 0.92 +/- 0.33, with no evidence of significant cutaneous metabolism or degradation by the skin's bacterial flora. The transdermal administration of fentanyl produces relatively constant serum fentanyl concentrations for significant periods of time in the postsurgical patient requiring analgesic therapy.","container-title":"Anesthesiology","DOI":"10.1097/00000542-198906000-00008","ISSN":"0003-3022","issue":"6","journalAbbreviation":"Anesthesiology","language":"eng","note":"PMID: 2729633","page":"928-934","source":"PubMed","title":"Absorption characteristics of transdermally administered fentanyl","volume":"70","author":[{"family":"Varvel","given":"J. R."},{"family":"Shafer","given":"S. L."},{"family":"Hwang","given":"S. S."},{"family":"Coen","given":"P. A."},{"family":"Stanski","given":"D. R."}],"issued":{"date-parts":[["1989",6]]}}},{"id":"NzKo45Wf/lHfdesAc","uris":["http://zotero.org/users/6482121/items/86RDCM9V"],"itemData":{"id":648,"type":"article-journal","abstract":"BACKGROUND: Rapid delivery of potent opioid to the systemic circulation is an important feature for the effective treatment of acute and acute-on-chronic breakthrough pain. The delivery of different opioids by the pulmonary route has been inconsistent, usually resulting in low bioavailability of the drug. Staccato® Fentanyl for Inhalation is a handheld inhaler producing a single metered dose of aerosolized fentanyl during a single inspiration. The aerosol is of high purity (≥98%) at a particle size (1 to 3.5 microns) shown to be best for pulmonary absorption.\nMETHODS: We conducted the study in healthy volunteers in 2 stages. In the crossover stage, 10 subjects received IV fentanyl 25 µg and inhaled fentanyl 25 µg on separate occasions. The dose escalation stage was a multidose, randomized, double-blind, placebo-controlled, single-period dose escalation study of inhaled fentanyl (50 to 300 µg). Serial blood sampling was performed over an 8-hour period after drug administration to determine the pharmacokinetic profile, and serial pupillometry was performed as a measure of pharmacodynamic effect.\nRESULTS: In the crossover stage the pharmacokinetic profiles of the inhaled and IV fentanyl showed similar peak arterial concentrations and areas under the curve. The time to maximum concentration was slightly shorter for the inhaled than IV fentanyl, 20.5 and 31.5 seconds, respectively. In the dose escalation stage the administration of repeated doses resulted in predictable, dose-dependent serum concentrations.\nCONCLUSIONS: This study has demonstrated that the pharmacokinetic profile of single doses of inhaled fentanyl is comparable to IV administration.","container-title":"Anesthesia and Analgesia","DOI":"10.1213/ANE.0b013e3182691898","ISSN":"1526-7598","issue":"5","journalAbbreviation":"Anesth Analg","language":"eng","note":"PMID: 22984155","page":"1071-1077","source":"PubMed","title":"Inhaled fentanyl aerosol in healthy volunteers: pharmacokinetics and pharmacodynamics","title-short":"Inhaled fentanyl aerosol in healthy volunteers","volume":"115","author":[{"family":"Macleod","given":"David B."},{"family":"Habib","given":"Ashraf S."},{"family":"Ikeda","given":"Keita"},{"family":"Spyker","given":"Daniel A."},{"family":"Cassella","given":"James V."},{"family":"Ho","given":"Kok Yuen"},{"family":"Gan","given":"Tong J."}],"issued":{"date-parts":[["2012",11]]}}},{"id":"NzKo45Wf/UWSMNLYm","uris":["http://zotero.org/users/6482121/items/NNCTRNIB"],"itemData":{"id":652,"type":"article-journal","abstract":"Oral transmucosal fentanyl citrate (OTFC) is a novel, noninvasive dosage form of fentanyl used to provide children and adults with sedation, anxiolysis, and analgesia. In order to determine the bioavailability and absorption of fentanyl from OTFC, 12 volunteers were given intravenous fentanyl citrate or OTFC 15 micrograms/kg on each of two occasions. On a third occasion, the authors assessed oral administration (gastrointestinal absorption) by giving eight of the same volunteers the same dose of a solution of fentanyl citrate to swallow. In each study, arterial blood samples were taken over 24 h for analysis of plasma fentanyl. After intravenous (iv) administration of fentanyl, clearance (mean +/- standard deviation) was 0.67 +/- 0.15 l/min; volume of distribution at steady state was 287 +/- 79 l; and the terminal elimination half-life was 425 +/- 102 min. Peak plasma concentrations of fentanyl were higher (3.0 +/- 1.0 vs. 1.6 +/- 0.6 ng/ml, P = 0.01) and occurred sooner (22 +/- 2.5 vs. 101 +/- 48.8 min, P = 0.003) after OTFC than after oral solution administration. Plasma concentrations of fentanyl after OTFC decreased rapidly, to less than 1.0 ng/ml within 75-135 min after the beginning of administration. Peak absorption rate was greater (11.1 +/- 4.3 vs. 3.6 +/- 2.1 micrograms/min, P = 0.004) and occurred much sooner after OTFC than after oral solution administration (19 +/- 2.6 vs. 87.5 +/- 38.1 min, P = 0.001). Systemic bioavailability was greater after OTFC administration than after the oral solution (0.52 +/- 0.1 vs. 0.32 +/- 0.1, P = 0.01).(ABSTRACT TRUNCATED AT 250 WORDS)","container-title":"Anesthesiology","DOI":"10.1097/00000542-199108000-00009","ISSN":"0003-3022","issue":"2","journalAbbreviation":"Anesthesiology","language":"eng","note":"PMID: 1859010","page":"223-229","source":"PubMed","title":"Absorption and bioavailability of oral transmucosal fentanyl citrate","volume":"75","author":[{"family":"Streisand","given":"J. B."},{"family":"Varvel","given":"J. R."},{"family":"Stanski","given":"D. R."},{"family":"Le Maire","given":"L."},{"family":"Ashburn","given":"M. A."},{"family":"Hague","given":"B. I."},{"family":"Tarver","given":"S. D."},{"family":"Stanley","given":"T. H."}],"issued":{"date-parts":[["1991",8]]}}},{"id":73,"uris":["http://zotero.org/users/local/J5Cy8xXX/items/YTFL4P55"],"itemData":{"id":73,"type":"article-journal","abstract":"Drug disposition kinetics are commonly assumed to be time-invariant as a first approximation. In a preliminary study, 6 healthy volunteers received a constant intravenous infusion of 50 micrograms/h for 48 hours; the serum fentanyl concentration at 36 hours was lower than that at 24 hours for all 6 subjects. This suggested possible diurnal variations in fentanyl clearance. In 2 subsequent studies, with healthy volunteers receiving short infusions of fentanyl (n = 9, 150 micrograms/h for 0.33 hours every 4 hours; n = 12, 150 micrograms/h for 0.33 hours every hour, respectively), the area under the serum fentanyl concentration curve appeared to be independent of the time of infusion. Thus, there was no evidence to support a large diurnal change in fentanyl clearance. The serum fentanyl concentration-time profiles, corrected for carryover from previous doses, within each study were superimposable. This suggests that there are no diurnal changes in the distribution kinetics of fentanyl.","container-title":"Journal of Clinical Pharmacology","DOI":"10.1002/j.1552-4604.1995.tb05005.x","ISSN":"0091-2700","issue":"2","journalAbbreviation":"J Clin Pharmacol","language":"eng","note":"PMID: 7751426","page":"159-162","source":"PubMed","title":"Evaluation of diurnal variation in fentanyl clearance","volume":"35","author":[{"family":"Gupta","given":"S. K."},{"family":"Southam","given":"M. A."},{"family":"Hwang","given":"S. S."}],"issued":{"date-parts":[["1995",2]]}}},{"id":75,"uris":["http://zotero.org/users/local/J5Cy8xXX/items/MUI7V7GB"],"itemData":{"id":75,"type":"article-journal","abstract":"BACKGROUND: The sublingual administration of opioids is a simple and noninvasive method that provides rapid analgesia. In this phase I study we investigated the pharmacokinetics and bioavailability of a fentanyl wafer in healthy volunteers. The principal study objective was to investigate the pharmacokinetic profile of a new sublingual fentanyl wafer and to establish its absolute bioavailability.\nMETHODS: Twenty-four healthy volunteers, mean age 23 years, were randomly assigned to receive the equivalent of fentanyl 100 μg by both the sublingual and IV routes. Blood samples were collected in sterile polypropylene tubes for 24 hours after each fentanyl administration. The pharmacokinetic parameters were determined by model-independent pharmacokinetic analyses of the plasma fentanyl concentration-time profiles.\nRESULTS: The mean absolute bioavailability of the sublingual fentanyl wafer was 78.9% (90% confidence interval [CI] 51.1% to 121.7%). The first detectable plasma fentanyl concentration time ranged from 2 to 10 minutes in all volunteers, and the mean (±SD) time to peak plasma concentration at 0.91 (±0.73) hours after administration.\nCONCLUSION: Sublingual administration of fentanyl as a wafer product resulted in rapidly detectable plasma fentanyl concentrations. The absolute bioavailability of 78.9% indicated a high systemic availability of fentanyl and suggests that further development of this wafer is justified.","container-title":"Anesthesia and Analgesia","DOI":"10.1213/ANE.0b013e3182575cbf","ISSN":"1526-7598","issue":"3","journalAbbreviation":"Anesth Analg","language":"eng","note":"PMID: 22584544","page":"554-559","source":"PubMed","title":"A phase I pharmacokinetic and bioavailability study of a sublingual fentanyl wafer in healthy volunteers","volume":"115","author":[{"family":"Lim","given":"Chin Beng Stephen"},{"family":"Schug","given":"Stephan A."},{"family":"Sunderland","given":"Vivian Bruce"},{"family":"Paech","given":"Michael James"},{"family":"Liu","given":"Yandi"}],"issued":{"date-parts":[["2012",9]]}}},{"id":"NzKo45Wf/izTZn1yB","uris":["http://zotero.org/users/6482121/items/YWE5DWYH"],"itemData":{"id":662,"type":"article-journal","abstract":"BACKGROUND: The benefit of epidural versus intravenous fentanyl administration for postoperative analgesia is controversial. In the current study, the intraoperative effects of epidural versus intravenous fentanyl administration were compared during major surgery.\nMETHODS: Twenty elective patients scheduled for thoracoabdominal esophagectomy under general anesthesia with propofol infusion were randomly allocated to receive either intravenous or epidural boluses of 50-100 micrograms fentanyl in a double-blind fashion to maintain hemodynamic stability. Plasma cortisol and fentanyl, as well as total urinary catecholamines, were obtained at the end of the operations.\nRESULTS: Hemodynamic variations were similar except that patients receiving epidural fentanyl had a lower incidence of heart rate reduction (&gt; 20% reduction from baseline, P &lt; 0.05). There were no differences in mean intraoperative fentanyl (1,115 +/- 430 and 1,010 +/- 377 micrograms, epidural and intravenous, respectively) or propofol (2,281 +/- 645 and 2,452 +/- 1,169 mg) doses, number of boluses of fentanyl (nine in both groups), plasma fentanyl concentration (1.13 +/- 0.4 and 1.02 +/- 0.46 ng/ml), or number of anesthesiologists correctly identifying the site of fentanyl administration. Similarly, there were no differences in plasma glucose (8.9 +/- 1.8 and 9.3 +/- 1.8 mM) and cortisol (696 +/- 446 and 846 +/- 257 mM), or urinary epinephrine (12 +/- 3.7 and 13.1 +/- 9.2, micrograms/sample) and norepinephrine (42.7 +/- 26.7 and 39.1 +/- 27.6, micrograms/sample).\nCONCLUSIONS: There appears to be no clinical advantage to epidural administration of fentanyl over intravenous administration during anesthesia for major surgery.","container-title":"Anesthesiology","DOI":"10.1097/00000542-199502000-00008","ISSN":"0003-3022","issue":"2","journalAbbreviation":"Anesthesiology","language":"eng","note":"PMID: 7856896","page":"377-382","source":"PubMed","title":"Epidural and intravenous fentanyl produce equivalent effects during major surgery","volume":"82","author":[{"family":"Guinard","given":"J. P."},{"family":"Carpenter","given":"R. L."},{"family":"Chassot","given":"P. G."}],"issued":{"date-parts":[["1995",2]]}}},{"id":79,"uris":["http://zotero.org/users/local/J5Cy8xXX/items/SU83YWAC"],"itemData":{"id":79,"type":"article-journal","abstract":"Objective\nThe objectives of the study were to determine the absolute bioavailability of fentanyl from fentanyl buccal soluble film, estimate the percentage of a fentanyl dose absorbed through the buccal mucosa, and compare the bioavailability of equivalent doses administered either as single or multiple dose units.\n\nDesign\nOpen-label, randomized, four-period, Latin-square crossover pharmacokinetic study.\n\nSetting\nInpatient phase 1 unit.\n\nPatients\nTwelve healthy volunteers.\n\nInterventions\nInjectable fentanyl citrate (200 µg) administered by intravenous infusion, injectable fentanyl citrate (800 µg/16 mL) administered orally, and fentanyl buccal soluble film (800 µg) administered as a single film and as four separate 200 µg films simultaneously.\n\nOutcome Measures\nPlasma concentrations after fentanyl dosing; pharmacokinetic parameters.\n\nResults\nThe two buccal film treatments were bioequivalent and both had an absolute bioavailability of 71%. The percentage of an administered dose absorbed through the buccal mucosa was calculated to be 51%.\n\nConclusions\nFentanyl buccal soluble film effectively delivers a high percentage of the administered fentanyl dose and nearly identical plasma profiles are obtained when equivalent doses are delivered by single or multiple dosage units.","container-title":"Pain Medicine (Malden, Mass.)","DOI":"10.1111/j.1526-4637.2010.00875.x","ISSN":"1526-2375","issue":"7","journalAbbreviation":"Pain Med","note":"PMID: 20492573\nPMCID: PMC2955962","page":"1017-1023","source":"PubMed Central","title":"Single-Dose Pharmacokinetics of Fentanyl Buccal Soluble Film","volume":"11","author":[{"family":"Vasisht","given":"Niraj"},{"family":"Gever","given":"Larry N"},{"family":"Tagarro","given":"Ignacio"},{"family":"Finn","given":"Andrew L"}],"issued":{"date-parts":[["2010",7]]}}},{"id":82,"uris":["http://zotero.org/users/local/J5Cy8xXX/items/TFGT66HK"],"itemData":{"id":82,"type":"article-journal","abstract":"Background and Objectives\nFentanyl sublingual spray may be a viable alternative to intravenous (IV) opioids for the treatment of acute pain. As patients with acute pain may include those who have limited prior exposure to opioids, this phase 1, open-label, randomized, multiple ascending-dose study was conducted to assess the pharmacokinetics, pharmacodynamics, safety, and tolerability of multiple doses of fentanyl sublingual spray in opioid-naïve participants. This article primarily reports the pharmacokinetics results.\n\nMethods\nStudy drugs were administered in four dosing cohorts: every 0.5, 1, 2, or 4 h for a maximum of three doses per cohort. Eight fasted individuals per cohort were randomized to either fentanyl sublingual spray (100, 200, or 400 µg) or fentanyl citrate IV 50 µg (6:2 ratio). Blood samples were collected pre-dose through 24 h post first dose.\n\nResults\nA total of 98 healthy adults were enrolled and 96 completed the study. Mean plasma fentanyl concentrations increased with increasing doses of fentanyl sublingual spray administered every 0.5–4 h. With multiple doses, systemic exposure increased relative to the first dose; shorter dosing intervals resulted in higher concentrations. Analysis of dose proportionality suggested that systemic exposure increased in a linear but slightly greater than dose-proportional manner. Accumulation between the first and last doses of fentanyl sublingual spray was more pronounced with shorter dosing intervals.\n\nConclusion\nDose-dependent fentanyl pharmacokinetics following multiple doses of fentanyl sublingual spray were well characterized in an opioid-naïve population.\n\nClinicalTrials.gov identifier\nNCT02641340.\n\nElectronic supplementary material\nThe online version of this article (10.1007/s40261-018-0658-9) contains supplementary material, which is available to authorized users.","container-title":"Clinical Drug Investigation","DOI":"10.1007/s40261-018-0658-9","ISSN":"1173-2563","issue":"8","journalAbbreviation":"Clin Drug Investig","note":"PMID: 29909433\nPMCID: PMC6061414","page":"715-726","source":"PubMed Central","title":"Pharmacokinetics of Fentanyl Sublingual Spray in Opioid-Naïve Participants: Results of a Phase 1, Multiple Ascending Dose Study","title-short":"Pharmacokinetics of Fentanyl Sublingual Spray in Opioid-Naïve Participants","volume":"38","author":[{"family":"Rauck","given":"Richard L."},{"family":"Oh","given":"D. Alexander"},{"family":"Singla","given":"Neil"},{"family":"Koch","given":"Christian"},{"family":"Parikh","given":"Neha"},{"family":"Nalamachu","given":"Srinivas"},{"family":"Yu","given":"Jin"},{"family":"James","given":"Steven"}],"issued":{"date-parts":[["2018"]]}}},{"id":"NzKo45Wf/n24H29bH","uris":["http://zotero.org/users/6482121/items/MBBNBXDA"],"itemData":{"id":3763,"type":"article-journal","abstract":"BACKGROUND: Pulmonary administration of fentanyl solution can provide satisfactory but brief postoperative pain relief. Liposomes are microscopic phospholipid vesicles that can entrap drug molecules. Liposomal delivery of fentanyl has the potential to control the uptake of fentanyl by the lungs and thus provide sustained drug release. To demonstrate that inhalation of a mixture of free and liposome-encapsulated fentanyl can provide a rapid increase and sustained plasma fentanyl concentrations (CfenS), this study determined the pharmacokinetic profiles after the inhalation of free and liposome-encapsulated fentanyl in healthy volunteers.\nMETHODS: After obtaining institutional approval and informed consent, ten healthy volunteers (five men, five women) were studied. Each subject received 200 micrograms intravenous fentanyl and inhaled 2,000 micrograms of free (50%) and liposome-encapsulated fentanyl (50%) on separate occasions. Frequent venous blood samples were collected, and CfenS were determined by radioimmunoassay. The pharmacokinetics and absorption characteristics of the inhaled mixture of free and liposome-encapsulated fentanyl were determined using moment analysis and least-squares numeric deconvolution.\nRESULTS: The mean (+/- SD) volume of distribution at steady-state and clearance of fentanyl after the intravenous administration were comparable to previous studies: 435 +/- 1821 and 0.584 +/- 0.209 l.min-1, respectively. The mean (+/- SD) peak Cfen was significantly greater for the intravenous administration compared to the aerosol mixture of free and liposome-encapsulated fentanyl (4.67 +/- 1.87 vs. 1.15 +/- 0.36 ng.ml-1). However, CfenS at 8 and 24 h after aerosol administration were greater compared to intravenous (0.25 +/- 0.14 and 0.12 +/- 0.16 ng.ml-1 for aerosol versus 0.16 +/- 0.10 and 0.05 +/- 0.06 ng.ml-1 for intravenous). The peak absorption rate, time to peak absorption, and bioavailability after inhalation were 7.02 (+/- 2.34) micrograms.min, -1(16) (+/- 8.0) min, and 0.12 (+/- 0.11), respectively.\nCONCLUSIONS: The data suggest that this analgesic method offers a simple and noninvasive route of administration with a rapid increase of Cfen and a prolonged therapeutic fentanyl concentration. Future studies are required to determine the optimal liposome composition that would produce a sustained stable Cfen within analgesic therapeutic concentrations.","container-title":"Anesthesiology","DOI":"10.1097/00000542-199508000-00007","ISSN":"0003-3022","issue":"2","journalAbbreviation":"Anesthesiology","language":"eng","note":"PMID: 7631949","page":"277-284","source":"PubMed","title":"Pharmacokinetics of inhaled liposome-encapsulated fentanyl","volume":"83","author":[{"family":"Hung","given":"O. R."},{"family":"Whynot","given":"S. C."},{"family":"Varvel","given":"J. R."},{"family":"Shafer","given":"S. L."},{"family":"Mezei","given":"M."}],"issued":{"date-parts":[["1995",8]]}}},{"id":85,"uris":["http://zotero.org/users/local/J5Cy8xXX/items/DJB2IISU"],"itemData":{"id":85,"type":"article-journal","abstract":"Fentanyl by continuous i.v. infusion (1.5 microgram kg-1 min-1 or 0.5 microgram kg-1 min-1) was compared with placebo infusion as an analgesic regimen for 24 h after hysterectomy. The drugs were infused using a new disposable device which required no external power source. All patients were allowed morphine i.m. if they experienced pain. Patients in the higher dose fentanyl group demanded less i.m. morphine and had better pain relief after operation, without important respiratory depression.","container-title":"British Journal of Anaesthesia","DOI":"10.1093/bja/57.3.250","ISSN":"0007-0912","issue":"3","journalAbbreviation":"Br J Anaesth","language":"eng","note":"PMID: 3978007","page":"250-254","source":"PubMed","title":"Fentanyl by constant rate i.v. infusion for postoperative analgesia","volume":"57","author":[{"family":"Nimmo","given":"W. S."},{"family":"Todd","given":"J. G."}],"issued":{"date-parts":[["1985",3]]}}},{"id":88,"uris":["http://zotero.org/users/local/J5Cy8xXX/items/4M3A7FK3"],"itemData":{"id":88,"type":"article-journal","abstract":"BACKGROUND: Fentanyl sublingual spray (FSS) is a novel fentanyl formulation recently developed for the treatment of breakthrough cancer pain, which is characterized by a fast onset and a relatively short duration.\nOBJECTIVE: To compare rate of absorption and systemic bioavailability between FSS and oral transmucosal fentanyl citrate (OTFC) in healthy volunteers.\nMETHODS: This randomized 3-way crossover study involved 29 healthy volunteers (25 men and 4 women; mean age, 35 years) who received single doses of FSS (400 </w:instrText>
      </w:r>
      <w:r w:rsidR="000E1337" w:rsidRPr="000E1337">
        <w:rPr>
          <w:rFonts w:asciiTheme="majorBidi" w:hAnsiTheme="majorBidi" w:cstheme="majorBidi" w:hint="eastAsia"/>
          <w:color w:val="000000" w:themeColor="text1"/>
          <w:sz w:val="20"/>
          <w:szCs w:val="20"/>
        </w:rPr>
        <w:instrText>μ</w:instrText>
      </w:r>
      <w:r w:rsidR="000E1337" w:rsidRPr="000E1337">
        <w:rPr>
          <w:rFonts w:asciiTheme="majorBidi" w:hAnsiTheme="majorBidi" w:cstheme="majorBidi"/>
          <w:color w:val="000000" w:themeColor="text1"/>
          <w:sz w:val="20"/>
          <w:szCs w:val="20"/>
        </w:rPr>
        <w:instrText xml:space="preserve">g), OTFC (400 μg), and intravenous fentanyl citrate (100 μg) separated by washout periods of ≥7 days. Oral naltrexone was given to minimize potential adverse effects of fentanyl. Plasma fentanyl concentrations were measured for 36 hours after each dose for the calculation of pharmacokinetic parameters.\nRESULTS: Mean Cmax values of fentanyl were higher with FSS versus OTFC (0.81 ng/mL vs 0.61 ng/mL) and were attained more quickly; the median Tmax was 1.5 hours with FSS and 2.0 hours with OTFC (P &lt; 0.05). Furthermore, potentially effective fentanyl concentrations were achieved more quickly with FSS than with OTFC. Five and 10 minutes after administration, mean plasma concentrations were 19.0% and 53.7% of Cmax with FSS, respectively, compared with levels below the lower limit of assay quantification and 6.1%, respectively, with OTFC. Plasma concentrations of fentanyl at 10 minutes with FSS were equivalent to those with OTFC at 60 minutes. The Cmax and AUCs were approximately 33% to 36% greater with FSS than with OTFC, and the 90% CIs of the geometric mean ratios for each parameter fell outside the bioequivalence range of 80% to 125%. Systemic bioavailability was also greater with FSS than with OTFC (approximately 76% vs 51%). All 3 fentanyl treatments were well tolerated. All reported adverse events were mild and consistent with those previously reported in healthy volunteers receiving transmucosal fentanyl with naltrexone, and none occurred in &gt;2 participants during any treatment period.\nCONCLUSIONS: Absorption of fentanyl in this study was faster and bioavailability was greater with FSS than with OTFC. The pharmacokinetic profile of the sublingual spray closely matches the duration of onset to pain intensity in a breakthrough cancer pain episode. These findings suggest that FSS is appropriate for the treatment of breakthrough cancer pain. ClinicalTrials.gov identifier: NCT01780233.","container-title":"Clinical Therapeutics","DOI":"10.1016/j.clinthera.2013.02.017","ISSN":"1879-114X","issue":"3","journalAbbreviation":"Clin Ther","language":"eng","note":"PMID: 23497761","page":"236-243","source":"PubMed","title":"Single-dose pharmacokinetics of fentanyl sublingual spray and oral transmucosal fentanyl citrate in healthy volunteers: a randomized crossover study","title-short":"Single-dose pharmacokinetics of fentanyl sublingual spray and oral transmucosal fentanyl citrate in healthy volunteers","volume":"35","author":[{"family":"Parikh","given":"Neha"},{"family":"Goskonda","given":"Venkat"},{"family":"Chavan","given":"Ashok"},{"family":"Dillaha","given":"Larry"}],"issued":{"date-parts":[["2013",3]]}}},{"id":91,"uris":["http://zotero.org/users/local/J5Cy8xXX/items/FTI5NN62"],"itemData":{"id":91,"type":"article-journal","abstract":"Background\nWe previously proposed dosing weights for fentanyl, termed ‘pharmacokinetic mass’, that span the total body weight (TBW) range from 40 to 210 kg. In this study, we examined the relationships among fentanyl doses needed to achieve postoperative analgesia, corresponding plasma fentanyl concentrations, and pharmacokinetic mass in lean and obese patients undergoing abdominal surgery.\nMethods\nA total of 69 patients were studied, with TBW ranging from 48 to181 kg. Fentanyl infusion was used during surgery. After surgery, fentanyl infusion rates were titrated to achieve analgesia without significant respiratory depression. Plasma fentanyl concentrations were measured when an apparent steady analgesic state was obtained. Comparisons were made for dosing requirements and effective plasma concentrations for 37 lean patients (body mass index &lt;30, TBW &lt;85 kg) and 33 obese patients (body mass index &gt;30, TBW ≥85 kg).\nResults\nThe average fentanyl dose (μg h−1) required to achieve and maintain analgesia over the 4 h postoperative period had a non-linear relationship to TBW; in comparison, fentanyl dose had a strong linear relationship to pharmacokinetic mass: dose (μg h−1)=1.22×pharmacokinetic mass−7.5; r = 0.741, P&lt;0.001. Based on results from our earlier study, the corresponding values of TBW and pharmacokinetic mass are: 52 kg – 52 kg; 70 kg – 65 kg; 100 kg – 83 kg; 120 kg – 93 kg; 140 kg – 99 kg; 160 kg – 104 kg; 180 kg – 107 kg; 200 kg – 109 kg. In the group comparisons, there was no statistically significant difference in the postoperative fentanyl dose per unit of pharmacokinetic mass between lean and obese patients. The plasma concentration of fentanyl required for analgesia was approximately 1.5 ng ml−1, and was similar in the two groups.\nConclusion\nThe relationship between dose and pharmacokinetic mass, compared with that of dose vs TBW, may provide confidence for the use of pharmacokinetic mass as a dosing approximation for fentanyl. Fentanyl dose based on TBW may cause overdosing in obese patients.","container-title":"British Journal of Anaesthesia","DOI":"10.1093/bja/aei195","ISSN":"0007-0912","issue":"3","journalAbbreviation":"British Journal of Anaesthesia","page":"377-383","source":"ScienceDirect","title":"Pharmacokinetic mass of fentanyl for postoperative analgesia in lean and obese patients†","volume":"95","author":[{"family":"Shibutani","given":"K"},{"family":"Inchiosa","given":"M. A."},{"family":"Sawada","given":"K"},{"family":"Bairamian","given":"M"}],"issued":{"date-parts":[["2005",9,1]]}}},{"id":93,"uris":["http://zotero.org/users/local/J5Cy8xXX/items/6MPKFAAH"],"itemData":{"id":93,"type":"article-journal","abstract":"We have investigated the use of constant-rate delivery of fentanyl by i.v. and transdermal routes for the treatment of pain after major surgery. Forty-five males, ASA I-III, received in a double-blinded fashion either placebo (n = 6) or fentanyl (n = 39) i.v. at one of four dose rates (25, 50, 100 or 125 micrograms h-1). Stable serum concentrations of fentanyl were produced by the end of surgery and were maintained for a total of 24 h. Calculated clearance of fentanyl was 1.05 +/- 0.38 litre min-1 and was not related to weight or age. Both the 100- and 125-micrograms h-1 dose rates produced significant analgesic efficacy as assessed by postoperative morphine requirements. Mean serum concentrations of fentanyl in these groups were 1.42 +/- 0.14 (SD) and 1.90 +/- 0.30 ng ml-1, respectively. One of 10 patients receiving fentanyl 100 micrograms h-1 and three of nine patients receiving 125 micrograms h-1 had evidence of respiratory depression. Eight additional patients were treated with a transdermal drug delivery system containing fentanyl (TTS-fentanyl). Steady-state serum concentrations in this group were 2.15 +/- 0.92 (SD) ng ml-1. Post-operative morphine requirements were minimal (less than 0.5 mg h-1) and PaCO2 remained acceptable in all patients. Serum concentrations of fentanyl increased slowly (15 h to plateau) and decreased slowly (apparent half-life, 21 h). We conclude that delivery of analgesic doses of fentanyl is feasible by the transdermal route.","container-title":"British Journal of Anaesthesia","DOI":"10.1093/bja/60.6.608","ISSN":"0007-0912","issue":"6","journalAbbreviation":"Br J Anaesth","language":"eng","note":"PMID: 3377942","page":"608-613","source":"PubMed","title":"Postoperative analgesia with fentanyl: pharmacokinetics and pharmacodynamics of constant-rate i.v. and transdermal delivery","title-short":"Postoperative analgesia with fentanyl","volume":"60","author":[{"family":"Holley","given":"F. O."},{"family":"Steennis","given":"C.","non-dropping-particle":"van"}],"issued":{"date-parts":[["1988",5]]}}},{"id":"NzKo45Wf/n5ooCPTY","uris":["http://zotero.org/users/6482121/items/CGAVVREQ"],"itemData":{"id":670,"type":"article-journal","abstract":"The authors conducted a randomized double-blind controlled study comparing groups of patients receiving iv or epidural fentanyl infusions to determine whether, at comparable levels of analgesia, 1) the severity of side effects was different; and 2) plasma fentanyl concentrations differed between the two groups. Twenty-eight ASA physical status 2 women scheduled to undergo elective cesarean section were randomized into two groups to either receive fentanyl intravenously and saline epidurally or fentanyl epidurally and saline intravenously. After delivery of the infants under epidural anesthesia, each patient received a bolus of fentanyl 1.5 microgram/kg either intravenously or epidurally, and a fentanyl infusion was begun via the same route. Concurrently, a saline bolus and infusion were given via the alternate route. The rates of the fentanyl and saline infusions were adjusted until each patient was comfortable. Patients rated their pain, nausea, and pruritus on visual analogue scales. Sedation was evaluated by an observer. Respiratory depression was evaluated by end-tidal PCO2. Data were analyzed by unpaired two-tail t tests. Plasma fentanyl concentrations were measured at 12 and 24 h. Three patients in the iv group were dropped from the study because of inadequate pain relief. For the remaining 25 patients, similar infusion rates of fentanyl were required to produce similar levels of analgesia at 12 and 24 h. The severity of nausea, pruritus and sedation, and end-tidal PCO2 were similar for both groups. The plasma concentrations of fentanyl were significantly greater in those who received iv fentanyl at 12 h but not at 24 h.(ABSTRACT TRUNCATED AT 250 WORDS)","container-title":"Anesthesiology","DOI":"10.1097/00000542-199006000-00006","ISSN":"0003-3022","issue":"6","journalAbbreviation":"Anesthesiology","language":"eng","note":"PMID: 2190502","page":"981-986","source":"PubMed","title":"A randomized double-blind comparison of epidural versus intravenous fentanyl infusion for analgesia after cesarean section","volume":"72","author":[{"family":"Ellis","given":"D. J."},{"family":"Millar","given":"W. L."},{"family":"Reisner","given":"L. S."}],"issued":{"date-parts":[["1990",6]]}}},{"id":96,"uris":["http://zotero.org/users/local/J5Cy8xXX/items/SDRLRM9W"],"itemData":{"id":96,"type":"article-journal","abstract":"Fentanyl pharmacokinetics was compared in two groups of adult patients, one group (n = 5) aged less than 50 years, and one group (n = 4) aged greater than 60 years. Despite equivalent doses of fentanyl (10 microgram/kg IV), serum drug concentrations were significantly higher in the older patient group. This was reflected by a prolonged terminal elimination half-life in the elderly compared with the younger patients (945 versus 265 minutes, respectively, p less than 0.005). Volumes of the central compartment and volumes of drug distribution were similar in both patient groups. However, drug clearance was markedly decreased in the elderly (265 versus 991 ml/min, p less than 0.005). These data suggest that a given dose of fentanyl will be clinically effective for a longer period in older patients than in younger patients.","container-title":"Anesthesia and Analgesia","ISSN":"0003-2999","issue":"12","journalAbbreviation":"Anesth Analg","language":"eng","note":"PMID: 7149300","page":"968-971","source":"PubMed","title":"Age and fentanyl pharmacokinetics","volume":"61","author":[{"family":"Bentley","given":"J. B."},{"family":"Borel","given":"J. D."},{"family":"Nenad","given":"R. E."},{"family":"Gillespie","given":"T. J."}],"issued":{"date-parts":[["1982",12]]}}},{"id":98,"uris":["http://zotero.org/users/local/J5Cy8xXX/items/AZ5TB56G"],"itemData":{"id":98,"type":"article-journal","abstract":"A disposable nonelectronic patient-controlled analgesia device was used to deliver fentanyl after upper abdominal surgery. Pain relief was satisfactory and plasma fentanyl concentrations were similar to those obtained by other workers who used electronic patient-controlled analgesia devices.","container-title":"Anaesthesia","DOI":"10.1111/j.1365-2044.1989.tb09151.x","ISSN":"0003-2409","issue":"11","journalAbbreviation":"Anaesthesia","language":"eng","note":"PMID: 2596660","page":"922-924","source":"PubMed","title":"A disposable device for patient-controlled analgesia with fentanyl","volume":"44","author":[{"family":"Rowbotham","given":"D. J."},{"family":"Wyld","given":"R."},{"family":"Nimmo","given":"W. S."}],"issued":{"date-parts":[["1989",11]]}}},{"id":101,"uris":["http://zotero.org/users/local/J5Cy8xXX/items/5G8WGJMB"],"itemData":{"id":101,"type":"article-journal","abstract":"This study examined the pharmacokinetics of fentanyl in burned patients during the hyperdynamic phase. Twenty adults, aged 37 +/- 2 years (mean +/- SE), with 49 +/- 3% total body surface area burn, were studied at 17 +/- 2 days after the injury and compared to demographically matched controls. After a 200-microg IV bolus of fentanyl, blood samples (n = 20) were collected for 4.5 hours. Concentration-time curves were fitted to a 2-compartment model. Burned patients had a higher cardiac index. Median fentanyl clearance (CL, 21.0 vs 29.4 mL/kg/min), central compartment volume (V(1), 0.37 vs 0.61 L/kg), and total volume of distribution (V(area), 3.6 vs 5.8 L/kg) were higher in burned patients. Cardiac index was unrelated to CL. The increased V(1) and V(area) are likely due to large intravenous fluid replacement and tissue edema. Higher CL and larger V(1) and V(area) leading to a lower fentanyl plasma concentration may partially explain the increased opiate requirement previously observed after burn injury.","container-title":"Journal of Clinical Pharmacology","DOI":"10.1177/0091270007299756","ISSN":"0091-2700","issue":"6","journalAbbreviation":"J Clin Pharmacol","language":"eng","note":"PMID: 17428913","page":"674-680","source":"PubMed","title":"Fentanyl clearance and volume of distribution are increased in patients with major burns","volume":"47","author":[{"family":"Han","given":"Taehyung"},{"family":"Harmatz","given":"Jerold S."},{"family":"Greenblatt","given":"David J."},{"family":"Martyn","given":"J. A. Jeevendra"}],"issued":{"date-parts":[["2007",6]]}}},{"id":"NzKo45Wf/hAfsSMgT","uris":["http://zotero.org/users/6482121/items/7MK2DGLT"],"itemData":{"id":3761,"type":"article-journal","abstract":"BACKGROUND: The pharmacokinetic characteristics of intravenous fentanyl have not been fully clarified in the early postsurgical period. The aim of this study was to evaluate the plasma exposure and urinary excretion of fentanyl and norfentanyl according to cytochrome P450 (CYP) 3A5 genetic polymorphism.\nMETHODS: Fifty-two adult Japanese postoperative patients receiving a continuous intravenous fentanyl infusion were enrolled. Plasma concentrations of fentanyl and norfentanyl were determined at 24 hours after the operation, and their urinary excretion from 12 to 36 hours was evaluated.\nRESULTS: Plasma concentrations of fentanyl normalized for infusion rate were significantly higher in the *3/*3 group than in the *1 carrier group. The plasma concentration ratio of norfentanyl to fentanyl was significantly lower in the *3/*3 group than in the *1 carrier group. Urinary excretion rates of fentanyl and norfentanyl were 4.4% and 71%, respectively, and no significant differences were observed between the CYP3A5 genotypes. Renal clearance ratios of fentanyl and norfentanyl to creatinine were 0.34 and 3.4, respectively. There were no significant differences in the renal clearance ratios between the genotypes. Free fractions of fentanyl and norfentanyl in human plasma were 4.9% and 95%, respectively. Total and nonrenal clearance of fentanyl were significantly lower in the *3/*3 group than in the *1 carrier group.\nCONCLUSIONS: CYP3A5*3 affected the plasma exposure of fentanyl but not urinary excretion in our postoperative patients. The renal clearance ratios of fentanyl and norfentanyl to creatinine were much higher than their free fractions in plasma. These findings suggest a slight contribution of renal tubular secretion of fentanyl and norfentanyl to their plasma exposures.","container-title":"Therapeutic Drug Monitoring","DOI":"10.1097/FTD.0000000000000029","ISSN":"1536-3694","issue":"3","journalAbbreviation":"Ther Drug Monit","language":"eng","note":"PMID: 24365989","page":"345-352","source":"PubMed","title":"Impact of CYP3A5*3 on plasma exposure and urinary excretion of fentanyl and norfentanyl in the early postsurgical period","volume":"36","author":[{"family":"Tanaka","given":"Noriaki"},{"family":"Naito","given":"Takafumi"},{"family":"Yagi","given":"Tatsuya"},{"family":"Doi","given":"Matsuyuki"},{"family":"Sato","given":"Shigehito"},{"family":"Kawakami","given":"Junichi"}],"issued":{"date-parts":[["2014",6]]}}},{"id":"NzKo45Wf/oGsOYiJD","uris":["http://zotero.org/users/6482121/items/YJ7ZXEJ7"],"itemData":{"id":3893,"type":"article-journal","abstract":"The pharmacokinetics of fentanyl are complicated by an additional increase in plasma concentration during the elimination phase of the drug. We have confirmed that fentanyl is excreted in the gastric juice and reabsorbed from the alkaline medium of the small intestine. In addition, the stomach wall in rats has an important storage capacity for fentanyl. A maximum of about 20% of the dose was found in the stomach wall after i.v. injection. In man the resected part of the stomach contained 16% of the dose, 10 min after injection. These observations could be important in explaining the occurrence of respiratory depression in the period after operation.","container-title":"British Journal of Anaesthesia","DOI":"10.1093/bja/51.8.741","ISSN":"0007-0912","issue":"8","journalAbbreviation":"Br J Anaesth","language":"eng","note":"PMID: 497071","page":"741-745","source":"PubMed","title":"Pharmacokinetics of fentanyl as a possible explanation for recurrence of respiratory depression","volume":"51","author":[{"family":"Stoeckel","given":"H."},{"family":"Hengstmann","given":"J. H."},{"family":"Schüttler","given":"J."}],"issued":{"date-parts":[["1979",8]]}}},{"id":"NzKo45Wf/vX9o9gRM","uris":["http://zotero.org/users/6482121/items/FH7JPDNG"],"itemData":{"id":660,"type":"article-journal","abstract":"The authors determined the pharmacokinetics of fentanyl 100 micrograms X kg-1 iv in patients undergoing elective abdominal aortic surgery. The mean (+/- SD) age of the ten patients was 67.2 +/- 8.7 yr; their mean weight was 78.5 +/- 13.7 kg. Seven patients had aortic aneurysm repair, and the other three patients had aortobifemoral grafts. Serum fentanyl concentrations were determined from samples drawn at increasing intervals over a 24-h period. A three-compartment pharmacokinetic model was fit to the concentration versus time data. Total drug clearance was 9.8 +/- 1.8 ml X min-1 X kg-1. The volume of distribution at steady-state (Vdss) was 5.4 +/- 1.9 X 1 kg-1. Elimination half-time was 8.7 +/- 2.5 h. There were no significant correlations between these pharmacokinetic parameters and patient's age, duration of aortic cross-clamping, duration of surgery, intraoperative blood loss, or volume of iv fluids given intraoperatively. In healthy volunteers or patients undergoing general surgery, other investigators report mean elimination half-times for fentanyl ranging from 1.7 to 4.4 h. The prolonged elimination half-time in patients having abdominal aortic surgery has important clinical implications. In particular, recovery from large doses will take much longer than would have been anticipated from previously published fentanyl pharmacokinetic data.","container-title":"Anesthesiology","DOI":"10.1097/00000542-198603000-00006","ISSN":"0003-3022","issue":"3","journalAbbreviation":"Anesthesiology","language":"eng","note":"PMID: 3954128","page":"334-338","source":"PubMed","title":"Pharmacokinetics of fentanyl in patients undergoing abdominal aortic surgery","volume":"64","author":[{"family":"Hudson","given":"R. J."},{"family":"Thomson","given":"I. R."},{"family":"Cannon","given":"J. E."},{"family":"Friesen","given":"R. M."},{"family":"Meatherall","given":"R. C."}],"issued":{"date-parts":[["1986",3]]}}},{"id":111,"uris":["http://zotero.org/users/local/J5Cy8xXX/items/5F99AT35"],"itemData":{"id":111,"type":"article-journal","abstract":"Numerous postoperative analgesic therapies are continuing to develop as interest increases in the control of acute pain, particularly within the specialty of anaesthesia. Further progress will be made in the near future in relation to preemptive analgesia and reduction of postoperative pain by controlling spinal cord plasticity.41,42 The concept of multimodal or balanced analgesia43 in which the combined use of specific agents blocking specific segments of the pain pathway is another area which may provide improvements in postoperative analgesia.","container-title":"Canadian Journal of Anaesthesia","DOI":"10.1007/BF03008843","ISSN":"1496-8975","issue":"1","journalAbbreviation":"Can J Anaesth","language":"en","page":"R53-R59","source":"Springer Link","title":"Update on postoperative pain management","volume":"39","author":[{"family":"Sandier","given":"Alan N."}],"issued":{"date-parts":[["1992",5,1]]}}},{"id":54,"uris":["http://zotero.org/users/local/J5Cy8xXX/items/VRJQQMNH"],"itemData":{"id":54,"type":"article-journal","abstract":"Fentanyl and its derivatives sufentanil, alfentanil, and remifentanil are potent opioids. A comprehensive review of the use of fentanyl and its derivatives in the pediatric population was performed using the National Library of Medicine PubMed. Studies were included if they contained original pharmacokinetic parameters or models using established routes of administration in patients younger than 18 years of age. Of 372 retrieved articles, 44 eligible pharmacokinetic studies contained data of 821 patients younger than 18 years of age, including more than 46 preterm infants, 64 full-term neonates, 115 infants/toddlers, 188 children, and 28 adolescents. Underlying diagnoses included congenital heart and pulmonary disease and abdominal disorders. Routes of drug administration were intravenous, epidural, oral-transmucosal, intranasal, and transdermal. Despite extensive use in daily clinical practice, few studies have been performed. Preterm and term infants have lower clearance and protein binding. Pharmacokinetics was not altered by chronic renal or hepatic disease. Analyses of the pooled individual patients' data revealed that clearance maturation relating to body weight could be best described by the Hill function for sufentanil (R 2 = 0.71, B max 876 mL/min, K 50 16.3 kg) and alfentanil (R 2 = 0.70, B max (fixed) 420 mL/min, K 50 28 kg). The allometric exponent for estimation of clearance of sufentanil was 0.99 and 0.75 for alfentanil clearance. Maturation of remifentanil clearance was described by linear regression to bodyweight (R 2 = 0.69). The allometric exponent for estimation of remifentanil clearance was 0.76. For fentanyl, linear regression showed only a weak correlation between clearance and bodyweight in preterm and term neonates (R 2 = 0.22) owing to a lack of data in older age groups. A large heterogeneity regarding study design, clinical setting, drug administration, laboratory assays, and pharmacokinetic estimation was observed between studies introducing bias into the analyses performed in this review. A limitation of this review is that pharmacokinetic data, based on different modes of administration, dosing schemes, and parameter estimation methods, were combined.","container-title":"Clinical Pharmacokinetics","DOI":"10.1007/s40262-017-0569-6","ISSN":"1179-1926","issue":"2","journalAbbreviation":"Clin Pharmacokinet","language":"eng","note":"PMID: 28688027\nPMCID: PMC5756700","page":"125-149","source":"PubMed","title":"Pharmacokinetics of Fentanyl and Its Derivatives in Children: A Comprehensive Review","title-short":"Pharmacokinetics of Fentanyl and Its Derivatives in Children","volume":"57","author":[{"family":"Ziesenitz","given":"Victoria C."},{"family":"Vaughns","given":"Janelle D."},{"family":"Koch","given":"Gilbert"},{"family":"Mikus","given":"Gerd"},{"family":"Anker","given":"Johannes N.","non-dropping-particle":"van den"}],"issued":{"date-parts":[["2018",2]]}}}],"schema":"https://github.com/citation-style-language/schema/raw/master/csl-citation.json"} </w:instrText>
      </w:r>
      <w:r w:rsidRPr="000E1337">
        <w:rPr>
          <w:rFonts w:asciiTheme="majorBidi" w:hAnsiTheme="majorBidi" w:cstheme="majorBidi"/>
          <w:color w:val="000000" w:themeColor="text1"/>
          <w:sz w:val="20"/>
          <w:szCs w:val="20"/>
        </w:rPr>
        <w:fldChar w:fldCharType="separate"/>
      </w:r>
      <w:r w:rsidR="000E1337" w:rsidRPr="008A707E">
        <w:rPr>
          <w:rFonts w:asciiTheme="majorBidi" w:hAnsiTheme="majorBidi" w:cstheme="majorBidi"/>
          <w:sz w:val="20"/>
        </w:rPr>
        <w:t>[7,15,17–19,21–28,30–37,39–41,43–46,55–58]</w:t>
      </w:r>
      <w:r w:rsidRPr="000E1337">
        <w:rPr>
          <w:rFonts w:asciiTheme="majorBidi" w:hAnsiTheme="majorBidi" w:cstheme="majorBidi"/>
          <w:color w:val="000000" w:themeColor="text1"/>
          <w:sz w:val="20"/>
          <w:szCs w:val="20"/>
        </w:rPr>
        <w:fldChar w:fldCharType="end"/>
      </w:r>
      <w:r w:rsidRPr="000E1337">
        <w:rPr>
          <w:rFonts w:asciiTheme="majorBidi" w:hAnsiTheme="majorBidi" w:cstheme="majorBidi"/>
          <w:color w:val="000000" w:themeColor="text1"/>
          <w:sz w:val="20"/>
          <w:szCs w:val="20"/>
        </w:rPr>
        <w:t>, with the dashed black line representing the appropriate line and the light gray area showing the two-fold range. The table in (d) presents the quantitative indicators of prediction bias and precision shown by the mean error percentage (ME%) ± standard error (SE) and the root mean square error (RMSE%), respectively.</w:t>
      </w:r>
    </w:p>
    <w:p w14:paraId="2142D97C" w14:textId="4F7C2712" w:rsidR="000A34EA" w:rsidRPr="000E1337" w:rsidRDefault="000A34EA">
      <w:pPr>
        <w:rPr>
          <w:rFonts w:asciiTheme="majorBidi" w:hAnsiTheme="majorBidi" w:cstheme="majorBidi"/>
          <w:sz w:val="20"/>
          <w:szCs w:val="20"/>
        </w:rPr>
      </w:pPr>
      <w:r w:rsidRPr="000E1337">
        <w:rPr>
          <w:rFonts w:asciiTheme="majorBidi" w:hAnsiTheme="majorBidi" w:cstheme="majorBidi"/>
          <w:sz w:val="20"/>
          <w:szCs w:val="20"/>
        </w:rPr>
        <w:br w:type="page"/>
      </w:r>
    </w:p>
    <w:p w14:paraId="2FDC31A6" w14:textId="37642985" w:rsidR="00CF1F86" w:rsidRPr="008A707E" w:rsidRDefault="00740B12" w:rsidP="00CF1F86">
      <w:pPr>
        <w:jc w:val="center"/>
        <w:rPr>
          <w:rFonts w:asciiTheme="majorBidi" w:hAnsiTheme="majorBidi" w:cstheme="majorBidi"/>
          <w:noProof/>
        </w:rPr>
      </w:pPr>
      <w:r w:rsidRPr="00740B12">
        <w:rPr>
          <w:rFonts w:asciiTheme="majorBidi" w:hAnsiTheme="majorBidi" w:cstheme="majorBidi"/>
          <w:noProof/>
        </w:rPr>
        <w:lastRenderedPageBreak/>
        <w:drawing>
          <wp:inline distT="0" distB="0" distL="0" distR="0" wp14:anchorId="18999F5F" wp14:editId="7F7E2182">
            <wp:extent cx="5771832" cy="7934968"/>
            <wp:effectExtent l="0" t="0" r="0" b="0"/>
            <wp:docPr id="10193974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97488" name=""/>
                    <pic:cNvPicPr/>
                  </pic:nvPicPr>
                  <pic:blipFill>
                    <a:blip r:embed="rId10"/>
                    <a:stretch>
                      <a:fillRect/>
                    </a:stretch>
                  </pic:blipFill>
                  <pic:spPr>
                    <a:xfrm>
                      <a:off x="0" y="0"/>
                      <a:ext cx="5784315" cy="7952129"/>
                    </a:xfrm>
                    <a:prstGeom prst="rect">
                      <a:avLst/>
                    </a:prstGeom>
                  </pic:spPr>
                </pic:pic>
              </a:graphicData>
            </a:graphic>
          </wp:inline>
        </w:drawing>
      </w:r>
      <w:r w:rsidR="00BC06D6" w:rsidRPr="008A707E">
        <w:rPr>
          <w:rFonts w:asciiTheme="majorBidi" w:hAnsiTheme="majorBidi" w:cstheme="majorBidi"/>
          <w:noProof/>
        </w:rPr>
        <w:t xml:space="preserve"> </w:t>
      </w:r>
    </w:p>
    <w:p w14:paraId="0A19C90C" w14:textId="5E4610A6" w:rsidR="00CF1F86" w:rsidRPr="000E1337" w:rsidRDefault="00CF1F86" w:rsidP="00CF1F86">
      <w:pPr>
        <w:pStyle w:val="root-block-node"/>
        <w:spacing w:before="0" w:beforeAutospacing="0" w:after="0" w:afterAutospacing="0" w:line="480" w:lineRule="auto"/>
        <w:jc w:val="both"/>
        <w:rPr>
          <w:rFonts w:asciiTheme="majorBidi" w:hAnsiTheme="majorBidi" w:cstheme="majorBidi"/>
          <w:bCs/>
          <w:color w:val="000000" w:themeColor="text1"/>
          <w:sz w:val="20"/>
          <w:szCs w:val="20"/>
        </w:rPr>
      </w:pPr>
      <w:r w:rsidRPr="000E1337">
        <w:rPr>
          <w:rFonts w:asciiTheme="majorBidi" w:hAnsiTheme="majorBidi" w:cstheme="majorBidi"/>
          <w:b/>
          <w:bCs/>
          <w:color w:val="000000" w:themeColor="text1"/>
          <w:sz w:val="20"/>
          <w:szCs w:val="20"/>
        </w:rPr>
        <w:t>Fig</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S</w:t>
      </w:r>
      <w:r w:rsidR="0071315E">
        <w:rPr>
          <w:rFonts w:asciiTheme="majorBidi" w:hAnsiTheme="majorBidi" w:cstheme="majorBidi"/>
          <w:b/>
          <w:bCs/>
          <w:color w:val="000000" w:themeColor="text1"/>
          <w:sz w:val="20"/>
          <w:szCs w:val="20"/>
        </w:rPr>
        <w:t>3</w:t>
      </w:r>
      <w:r w:rsidRPr="000E1337">
        <w:rPr>
          <w:rFonts w:asciiTheme="majorBidi" w:hAnsiTheme="majorBidi" w:cstheme="majorBidi"/>
          <w:b/>
          <w:bCs/>
          <w:color w:val="000000" w:themeColor="text1"/>
          <w:sz w:val="20"/>
          <w:szCs w:val="20"/>
        </w:rPr>
        <w:t xml:space="preserve">. Observed and predictive fentanyl concentrations and the time at the development of </w:t>
      </w:r>
      <w:r w:rsidR="002F51B5">
        <w:rPr>
          <w:rFonts w:asciiTheme="majorBidi" w:hAnsiTheme="majorBidi" w:cstheme="majorBidi"/>
          <w:b/>
          <w:bCs/>
          <w:color w:val="000000" w:themeColor="text1"/>
          <w:sz w:val="20"/>
          <w:szCs w:val="20"/>
        </w:rPr>
        <w:t xml:space="preserve">each </w:t>
      </w:r>
      <w:r w:rsidR="0071315E">
        <w:rPr>
          <w:rFonts w:asciiTheme="majorBidi" w:hAnsiTheme="majorBidi" w:cstheme="majorBidi"/>
          <w:b/>
          <w:bCs/>
          <w:color w:val="000000" w:themeColor="text1"/>
          <w:sz w:val="20"/>
          <w:szCs w:val="20"/>
        </w:rPr>
        <w:t>event</w:t>
      </w:r>
    </w:p>
    <w:p w14:paraId="2F280785" w14:textId="3D660C33" w:rsidR="00BC06D6" w:rsidRPr="000E1337" w:rsidRDefault="00740B12" w:rsidP="00CF1F86">
      <w:pPr>
        <w:jc w:val="center"/>
        <w:rPr>
          <w:rFonts w:asciiTheme="majorBidi" w:hAnsiTheme="majorBidi" w:cstheme="majorBidi"/>
          <w:sz w:val="20"/>
          <w:szCs w:val="20"/>
        </w:rPr>
      </w:pPr>
      <w:r w:rsidRPr="00740B12">
        <w:rPr>
          <w:rFonts w:asciiTheme="majorBidi" w:hAnsiTheme="majorBidi" w:cstheme="majorBidi"/>
          <w:noProof/>
          <w:sz w:val="20"/>
          <w:szCs w:val="20"/>
        </w:rPr>
        <w:lastRenderedPageBreak/>
        <w:drawing>
          <wp:inline distT="0" distB="0" distL="0" distR="0" wp14:anchorId="0EEEC5FD" wp14:editId="2B4D911C">
            <wp:extent cx="5722865" cy="7867650"/>
            <wp:effectExtent l="0" t="0" r="5080" b="0"/>
            <wp:docPr id="20695189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18906" name=""/>
                    <pic:cNvPicPr/>
                  </pic:nvPicPr>
                  <pic:blipFill>
                    <a:blip r:embed="rId11"/>
                    <a:stretch>
                      <a:fillRect/>
                    </a:stretch>
                  </pic:blipFill>
                  <pic:spPr>
                    <a:xfrm>
                      <a:off x="0" y="0"/>
                      <a:ext cx="5734664" cy="7883870"/>
                    </a:xfrm>
                    <a:prstGeom prst="rect">
                      <a:avLst/>
                    </a:prstGeom>
                  </pic:spPr>
                </pic:pic>
              </a:graphicData>
            </a:graphic>
          </wp:inline>
        </w:drawing>
      </w:r>
    </w:p>
    <w:p w14:paraId="2C76EE49" w14:textId="76DFD562" w:rsidR="00CF1F86" w:rsidRPr="000E1337" w:rsidRDefault="00CF1F86" w:rsidP="00CF1F86">
      <w:pPr>
        <w:pStyle w:val="root-block-node"/>
        <w:spacing w:before="0" w:beforeAutospacing="0" w:after="0" w:afterAutospacing="0" w:line="480" w:lineRule="auto"/>
        <w:jc w:val="both"/>
        <w:rPr>
          <w:rFonts w:asciiTheme="majorBidi" w:hAnsiTheme="majorBidi" w:cstheme="majorBidi"/>
          <w:bCs/>
          <w:color w:val="000000" w:themeColor="text1"/>
          <w:sz w:val="20"/>
          <w:szCs w:val="20"/>
        </w:rPr>
      </w:pPr>
      <w:r w:rsidRPr="000E1337">
        <w:rPr>
          <w:rFonts w:asciiTheme="majorBidi" w:hAnsiTheme="majorBidi" w:cstheme="majorBidi"/>
          <w:b/>
          <w:bCs/>
          <w:color w:val="000000" w:themeColor="text1"/>
          <w:sz w:val="20"/>
          <w:szCs w:val="20"/>
        </w:rPr>
        <w:t>Fig</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S</w:t>
      </w:r>
      <w:r w:rsidR="0071315E">
        <w:rPr>
          <w:rFonts w:asciiTheme="majorBidi" w:hAnsiTheme="majorBidi" w:cstheme="majorBidi"/>
          <w:b/>
          <w:bCs/>
          <w:color w:val="000000" w:themeColor="text1"/>
          <w:sz w:val="20"/>
          <w:szCs w:val="20"/>
        </w:rPr>
        <w:t>3</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(Continue)</w:t>
      </w:r>
    </w:p>
    <w:p w14:paraId="23E4CD74" w14:textId="313E3F3F" w:rsidR="00CF1F86" w:rsidRPr="000E1337" w:rsidRDefault="00740B12" w:rsidP="00BC06D6">
      <w:pPr>
        <w:jc w:val="center"/>
        <w:rPr>
          <w:rFonts w:asciiTheme="majorBidi" w:hAnsiTheme="majorBidi" w:cstheme="majorBidi"/>
          <w:i/>
          <w:iCs/>
          <w:sz w:val="20"/>
          <w:szCs w:val="20"/>
        </w:rPr>
      </w:pPr>
      <w:r w:rsidRPr="00740B12">
        <w:rPr>
          <w:rFonts w:asciiTheme="majorBidi" w:hAnsiTheme="majorBidi" w:cstheme="majorBidi"/>
          <w:i/>
          <w:iCs/>
          <w:noProof/>
          <w:sz w:val="20"/>
          <w:szCs w:val="20"/>
        </w:rPr>
        <w:lastRenderedPageBreak/>
        <w:drawing>
          <wp:inline distT="0" distB="0" distL="0" distR="0" wp14:anchorId="3C0D1E24" wp14:editId="4A13200C">
            <wp:extent cx="5757508" cy="7915275"/>
            <wp:effectExtent l="0" t="0" r="0" b="0"/>
            <wp:docPr id="3170799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79905" name=""/>
                    <pic:cNvPicPr/>
                  </pic:nvPicPr>
                  <pic:blipFill>
                    <a:blip r:embed="rId12"/>
                    <a:stretch>
                      <a:fillRect/>
                    </a:stretch>
                  </pic:blipFill>
                  <pic:spPr>
                    <a:xfrm>
                      <a:off x="0" y="0"/>
                      <a:ext cx="5766925" cy="7928221"/>
                    </a:xfrm>
                    <a:prstGeom prst="rect">
                      <a:avLst/>
                    </a:prstGeom>
                  </pic:spPr>
                </pic:pic>
              </a:graphicData>
            </a:graphic>
          </wp:inline>
        </w:drawing>
      </w:r>
    </w:p>
    <w:p w14:paraId="1BAA980F" w14:textId="0DD24770" w:rsidR="00CF1F86" w:rsidRPr="000E1337" w:rsidRDefault="00CF1F86" w:rsidP="00CF1F86">
      <w:pPr>
        <w:pStyle w:val="root-block-node"/>
        <w:spacing w:before="0" w:beforeAutospacing="0" w:after="0" w:afterAutospacing="0" w:line="480" w:lineRule="auto"/>
        <w:jc w:val="both"/>
        <w:rPr>
          <w:rFonts w:asciiTheme="majorBidi" w:hAnsiTheme="majorBidi" w:cstheme="majorBidi"/>
          <w:bCs/>
          <w:color w:val="000000" w:themeColor="text1"/>
          <w:sz w:val="20"/>
          <w:szCs w:val="20"/>
        </w:rPr>
      </w:pPr>
      <w:r w:rsidRPr="000E1337">
        <w:rPr>
          <w:rFonts w:asciiTheme="majorBidi" w:hAnsiTheme="majorBidi" w:cstheme="majorBidi"/>
          <w:b/>
          <w:bCs/>
          <w:color w:val="000000" w:themeColor="text1"/>
          <w:sz w:val="20"/>
          <w:szCs w:val="20"/>
        </w:rPr>
        <w:t>Fig</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S</w:t>
      </w:r>
      <w:r w:rsidR="0071315E">
        <w:rPr>
          <w:rFonts w:asciiTheme="majorBidi" w:hAnsiTheme="majorBidi" w:cstheme="majorBidi"/>
          <w:b/>
          <w:bCs/>
          <w:color w:val="000000" w:themeColor="text1"/>
          <w:sz w:val="20"/>
          <w:szCs w:val="20"/>
        </w:rPr>
        <w:t>3</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(Continue) </w:t>
      </w:r>
    </w:p>
    <w:p w14:paraId="6D572ABA" w14:textId="2596C899" w:rsidR="00BC06D6" w:rsidRPr="000E1337" w:rsidRDefault="00740B12" w:rsidP="00BC06D6">
      <w:pPr>
        <w:jc w:val="center"/>
        <w:rPr>
          <w:rFonts w:asciiTheme="majorBidi" w:hAnsiTheme="majorBidi" w:cstheme="majorBidi"/>
          <w:i/>
          <w:iCs/>
          <w:sz w:val="20"/>
          <w:szCs w:val="20"/>
        </w:rPr>
      </w:pPr>
      <w:r w:rsidRPr="00740B12">
        <w:rPr>
          <w:rFonts w:asciiTheme="majorBidi" w:hAnsiTheme="majorBidi" w:cstheme="majorBidi"/>
          <w:i/>
          <w:iCs/>
          <w:noProof/>
          <w:sz w:val="20"/>
          <w:szCs w:val="20"/>
        </w:rPr>
        <w:lastRenderedPageBreak/>
        <w:drawing>
          <wp:inline distT="0" distB="0" distL="0" distR="0" wp14:anchorId="249A6AA1" wp14:editId="595F5356">
            <wp:extent cx="5767900" cy="7929563"/>
            <wp:effectExtent l="0" t="0" r="0" b="0"/>
            <wp:docPr id="5249206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20690" name=""/>
                    <pic:cNvPicPr/>
                  </pic:nvPicPr>
                  <pic:blipFill>
                    <a:blip r:embed="rId13"/>
                    <a:stretch>
                      <a:fillRect/>
                    </a:stretch>
                  </pic:blipFill>
                  <pic:spPr>
                    <a:xfrm>
                      <a:off x="0" y="0"/>
                      <a:ext cx="5784311" cy="7952125"/>
                    </a:xfrm>
                    <a:prstGeom prst="rect">
                      <a:avLst/>
                    </a:prstGeom>
                  </pic:spPr>
                </pic:pic>
              </a:graphicData>
            </a:graphic>
          </wp:inline>
        </w:drawing>
      </w:r>
    </w:p>
    <w:p w14:paraId="0C48B283" w14:textId="68903297" w:rsidR="00CF1F86" w:rsidRPr="000E1337" w:rsidRDefault="00CF1F86" w:rsidP="00CF1F86">
      <w:pPr>
        <w:pStyle w:val="root-block-node"/>
        <w:spacing w:before="0" w:beforeAutospacing="0" w:after="0" w:afterAutospacing="0" w:line="480" w:lineRule="auto"/>
        <w:jc w:val="both"/>
        <w:rPr>
          <w:rFonts w:asciiTheme="majorBidi" w:hAnsiTheme="majorBidi" w:cstheme="majorBidi"/>
          <w:bCs/>
          <w:color w:val="000000" w:themeColor="text1"/>
          <w:sz w:val="20"/>
          <w:szCs w:val="20"/>
        </w:rPr>
      </w:pPr>
      <w:r w:rsidRPr="000E1337">
        <w:rPr>
          <w:rFonts w:asciiTheme="majorBidi" w:hAnsiTheme="majorBidi" w:cstheme="majorBidi"/>
          <w:b/>
          <w:bCs/>
          <w:color w:val="000000" w:themeColor="text1"/>
          <w:sz w:val="20"/>
          <w:szCs w:val="20"/>
        </w:rPr>
        <w:t>Fig</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S</w:t>
      </w:r>
      <w:r w:rsidR="0071315E">
        <w:rPr>
          <w:rFonts w:asciiTheme="majorBidi" w:hAnsiTheme="majorBidi" w:cstheme="majorBidi"/>
          <w:b/>
          <w:bCs/>
          <w:color w:val="000000" w:themeColor="text1"/>
          <w:sz w:val="20"/>
          <w:szCs w:val="20"/>
        </w:rPr>
        <w:t>3</w:t>
      </w:r>
      <w:r w:rsidR="00DE0A2E">
        <w:rPr>
          <w:rFonts w:asciiTheme="majorBidi" w:hAnsiTheme="majorBidi" w:cstheme="majorBidi"/>
          <w:b/>
          <w:bCs/>
          <w:color w:val="000000" w:themeColor="text1"/>
          <w:sz w:val="20"/>
          <w:szCs w:val="20"/>
        </w:rPr>
        <w:t>.</w:t>
      </w:r>
      <w:r w:rsidRPr="000E1337">
        <w:rPr>
          <w:rFonts w:asciiTheme="majorBidi" w:hAnsiTheme="majorBidi" w:cstheme="majorBidi"/>
          <w:b/>
          <w:bCs/>
          <w:color w:val="000000" w:themeColor="text1"/>
          <w:sz w:val="20"/>
          <w:szCs w:val="20"/>
        </w:rPr>
        <w:t xml:space="preserve"> (Continue) </w:t>
      </w:r>
    </w:p>
    <w:p w14:paraId="57B11C55" w14:textId="31855C97" w:rsidR="00FE35D7" w:rsidRPr="000E1337" w:rsidRDefault="0098044B" w:rsidP="00BC06D6">
      <w:pPr>
        <w:jc w:val="center"/>
        <w:rPr>
          <w:rFonts w:asciiTheme="majorBidi" w:hAnsiTheme="majorBidi" w:cstheme="majorBidi"/>
          <w:sz w:val="24"/>
          <w:szCs w:val="24"/>
        </w:rPr>
      </w:pPr>
      <w:r w:rsidRPr="000E1337">
        <w:rPr>
          <w:rFonts w:asciiTheme="majorBidi" w:hAnsiTheme="majorBidi" w:cstheme="majorBidi"/>
          <w:sz w:val="20"/>
          <w:szCs w:val="20"/>
        </w:rPr>
        <w:br w:type="page"/>
      </w:r>
      <w:bookmarkStart w:id="11" w:name="_Hlk116672740"/>
      <w:bookmarkEnd w:id="1"/>
      <w:r w:rsidR="00B060E6" w:rsidRPr="000E1337">
        <w:rPr>
          <w:rFonts w:asciiTheme="majorBidi" w:hAnsiTheme="majorBidi" w:cstheme="majorBidi"/>
          <w:b/>
          <w:color w:val="000000"/>
          <w:sz w:val="24"/>
          <w:szCs w:val="24"/>
        </w:rPr>
        <w:lastRenderedPageBreak/>
        <w:t>References</w:t>
      </w:r>
      <w:bookmarkEnd w:id="11"/>
    </w:p>
    <w:p w14:paraId="3F64A53D" w14:textId="77777777" w:rsidR="000E1337" w:rsidRPr="008A707E" w:rsidRDefault="008B1361" w:rsidP="000E1337">
      <w:pPr>
        <w:pStyle w:val="a3"/>
        <w:rPr>
          <w:rFonts w:asciiTheme="majorBidi" w:hAnsiTheme="majorBidi" w:cstheme="majorBidi"/>
        </w:rPr>
      </w:pPr>
      <w:r w:rsidRPr="000E1337">
        <w:rPr>
          <w:rFonts w:asciiTheme="majorBidi" w:hAnsiTheme="majorBidi" w:cstheme="majorBidi"/>
        </w:rPr>
        <w:fldChar w:fldCharType="begin"/>
      </w:r>
      <w:r w:rsidR="000E1337" w:rsidRPr="000E1337">
        <w:rPr>
          <w:rFonts w:asciiTheme="majorBidi" w:hAnsiTheme="majorBidi" w:cstheme="majorBidi"/>
        </w:rPr>
        <w:instrText xml:space="preserve"> ADDIN ZOTERO_BIBL {"uncited":[],"omitted":[],"custom":[]} CSL_BIBLIOGRAPHY </w:instrText>
      </w:r>
      <w:r w:rsidRPr="000E1337">
        <w:rPr>
          <w:rFonts w:asciiTheme="majorBidi" w:hAnsiTheme="majorBidi" w:cstheme="majorBidi"/>
        </w:rPr>
        <w:fldChar w:fldCharType="separate"/>
      </w:r>
      <w:r w:rsidR="000E1337" w:rsidRPr="008A707E">
        <w:rPr>
          <w:rFonts w:asciiTheme="majorBidi" w:hAnsiTheme="majorBidi" w:cstheme="majorBidi"/>
        </w:rPr>
        <w:t>1. PubChem. Fentanyl [Internet]. [cited 2022 Oct 10]. Available from: https://pubchem.ncbi.nlm.nih.gov/compound/3345</w:t>
      </w:r>
    </w:p>
    <w:p w14:paraId="1323F1B3"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2. Gerhart JG, Carreño FO, Ford JL, Edginton AN, Perrin EM, Watt KM, et al. Use of physiologically</w:t>
      </w:r>
      <w:r w:rsidRPr="008A707E">
        <w:rPr>
          <w:rFonts w:asciiTheme="majorBidi" w:hAnsiTheme="majorBidi" w:cstheme="majorBidi" w:hint="eastAsia"/>
        </w:rPr>
        <w:t>‐</w:t>
      </w:r>
      <w:r w:rsidRPr="008A707E">
        <w:rPr>
          <w:rFonts w:asciiTheme="majorBidi" w:hAnsiTheme="majorBidi" w:cstheme="majorBidi"/>
        </w:rPr>
        <w:t>based pharmacokinetic modeling to inform dosing of the opioid analgesics fentanyl and methadone in children with obesity. CPT Pharmacomet Syst Pharmacol. 2022;11:778</w:t>
      </w:r>
      <w:r w:rsidRPr="008A707E">
        <w:rPr>
          <w:rFonts w:asciiTheme="majorBidi" w:hAnsiTheme="majorBidi" w:cstheme="majorBidi" w:hint="eastAsia"/>
        </w:rPr>
        <w:t>–</w:t>
      </w:r>
      <w:r w:rsidRPr="008A707E">
        <w:rPr>
          <w:rFonts w:asciiTheme="majorBidi" w:hAnsiTheme="majorBidi" w:cstheme="majorBidi"/>
        </w:rPr>
        <w:t xml:space="preserve">91. </w:t>
      </w:r>
    </w:p>
    <w:p w14:paraId="64FC2004" w14:textId="788102E9"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 Bista SR, Haywood A, Hardy J, Lobb M, Tapuni A, Norris R. Protein binding of fentanyl and its metabolite nor-fentanyl in human plasma, albumin and α-1 acid glycoprotein. Xenobiotica. 2015;45:207–12. </w:t>
      </w:r>
    </w:p>
    <w:p w14:paraId="376517F0"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 Björkman S. Reduction and lumping of physiologically based pharmacokinetic models: prediction of the disposition of fentanyl and pethidine in humans by successively simplified models. J Pharmacokinet Pharmacodyn. 2003;30:285–307. </w:t>
      </w:r>
    </w:p>
    <w:p w14:paraId="3C542DE6"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 Wu Y, Völler S, Flint RB, Simons SHP, Allegaert K, Fellman V, et al. Pre- and Postnatal Maturation are Important for Fentanyl Exposure in Preterm and Term Newborns: A Pooled Population Pharmacokinetic Study. Clin Pharmacokinet. 2022;61:401–12. </w:t>
      </w:r>
    </w:p>
    <w:p w14:paraId="0471B6FC"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6. Rodgers T, Leahy D, Rowland M. Physiologically based pharmacokinetic modeling 1: predicting the tissue distribution of moderate-to-strong bases. J Pharm Sci. 2005;94:1259–76. </w:t>
      </w:r>
    </w:p>
    <w:p w14:paraId="1985A0A4"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7. Saari TI, Laine K, Neuvonen M, Neuvonen PJ, Olkkola KT. Effect of voriconazole and fluconazole on the pharmacokinetics of intravenous fentanyl. Eur J Clin Pharmacol. 2008;64:25–30. </w:t>
      </w:r>
    </w:p>
    <w:p w14:paraId="367064CF" w14:textId="085998F0"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8. Shum S, Shen DD, Isoherranen N. Predicting Maternal-Fetal Disposition of Fentanyl Following Intravenous and Epidural Administration Using Physiologically Based Pharmacokinetic Modeling. Drug Metab Dispos. 2021;49:1003–15. </w:t>
      </w:r>
    </w:p>
    <w:p w14:paraId="10D819A4"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9. McClain DA, Hug CC. Intravenous fentanyl kinetics. Clin Pharmacol Ther. 1980;28:106–14. </w:t>
      </w:r>
    </w:p>
    <w:p w14:paraId="4D5C6425"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10. Williams ML, Kannankeril PJ, Breeyear JH, Edwards TL, Van Driest SL, Choi L. Effect of CYP3A5 and CYP3A4 Genetic Variants on Fentanyl Pharmacokinetics in a Pediatric Population. Clin Pharmacol Ther. 2022;111:896–908. </w:t>
      </w:r>
    </w:p>
    <w:p w14:paraId="6C7AC8CA"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11. Salem F, Johnson TN, Barter ZE, Leeder JS, Rostami-Hodjegan A. Age related changes in fractional elimination pathways for drugs: assessing the impact of variable ontogeny on metabolic drug-drug interactions. J Clin Pharmacol. 2013;53:857–65. </w:t>
      </w:r>
    </w:p>
    <w:p w14:paraId="3D75D60F" w14:textId="704CDF10"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12. Williams JA, Ring BJ, Cantrell VE, Jones DR, Eckstein J, Ruterbories K, et al. Comparative metabolic capabilities of CYP3A4, CYP3A5, and CYP3A7. Drug Metab Dispos. 2002;30:883–91. </w:t>
      </w:r>
    </w:p>
    <w:p w14:paraId="6CA1CDD8"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13. Olkkola KT, Palkama VJ, Neuvonen PJ. Ritonavir’s role in reducing fentanyl clearance and prolonging its half-life. Anesthesiology. 1999;91:681–5. </w:t>
      </w:r>
    </w:p>
    <w:p w14:paraId="1662D3DA"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14. Ziesenitz VC, König SK, Mahlke NS, Skopp G, Haefeli WE, Mikus G. Pharmacokinetic interaction of intravenous fentanyl with ketoconazole. J Clin Pharmacol. 2015;55:708–17. </w:t>
      </w:r>
    </w:p>
    <w:p w14:paraId="686619C0"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lastRenderedPageBreak/>
        <w:t xml:space="preserve">15. Ibrahim AE, Feldman J, Karim A, Kharasch ED. Simultaneous assessment of drug interactions with low- and high-extraction opioids: application to parecoxib effects on the pharmacokinetics and pharmacodynamics of fentanyl and alfentanil. Anesthesiology. 2003;98:853–61. </w:t>
      </w:r>
    </w:p>
    <w:p w14:paraId="2FF6C680"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16. Palkama VJ, Neuvonen PJ, Olkkola KT. The CYP 3A4 inhibitor itraconazole has no effect on the pharmacokinetics of i.v. fentanyl. Br J Anaesth. 1998;81:598–600. </w:t>
      </w:r>
    </w:p>
    <w:p w14:paraId="2929D79F"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17. Duthie DJ, McLaren AD, Nimmo WS. Pharmacokinetics of fentanyl during constant rate i.v. infusion for the relief of pain after surgery. Br J Anaesth. 1986;58:950–6. </w:t>
      </w:r>
    </w:p>
    <w:p w14:paraId="4541AE4D"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18. Loper KA, Ready LB, Downey M, Sandler AN, Nessly M, Rapp S, et al. Epidural and intravenous fentanyl infusions are clinically equivalent after knee surgery. Anesth Analg. 1990;70:72–5. </w:t>
      </w:r>
    </w:p>
    <w:p w14:paraId="03C89B04"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19. Salomäki TE, Laitinen JO, Nuutinen LS. A randomized double-blind comparison of epidural versus intravenous fentanyl infusion for analgesia after thoracotomy. Anesthesiology. 1991;75:790–5. </w:t>
      </w:r>
    </w:p>
    <w:p w14:paraId="41EF902A"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20. Sandler AN, Stringer D, Panos L, Badner N, Friedlander M, Koren G, et al. A randomized, double-blind comparison of lumbar epidural and intravenous fentanyl infusions for postthoracotomy pain relief. Analgesic, pharmacokinetic, and respiratory effects. Anesthesiology. 1992;77:626–34. </w:t>
      </w:r>
    </w:p>
    <w:p w14:paraId="1E7A7F70"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21. Glass PS, Estok P, Ginsberg B, Goldberg JS, Sladen RN. Use of patient-controlled analgesia to compare the efficacy of epidural to intravenous fentanyl administration. Anesth Analg. 1992;74:345–51. </w:t>
      </w:r>
    </w:p>
    <w:p w14:paraId="5C77BFE8" w14:textId="50166BA3"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22. Baxter AD, Laganière S, Samson B, Stewart J, Hull K, Goernert L. A comparison of lumbar epidural and intravenous fentanyl infusions for post-thoracotomy analgesia. Can J Anaesth. 1994;41:184–91. </w:t>
      </w:r>
    </w:p>
    <w:p w14:paraId="790A0769" w14:textId="1171EE98" w:rsidR="000E1337" w:rsidRPr="008A707E" w:rsidRDefault="000E1337" w:rsidP="000E1337">
      <w:pPr>
        <w:pStyle w:val="a3"/>
        <w:rPr>
          <w:rFonts w:asciiTheme="majorBidi" w:hAnsiTheme="majorBidi" w:cstheme="majorBidi"/>
        </w:rPr>
      </w:pPr>
      <w:r w:rsidRPr="008A707E">
        <w:rPr>
          <w:rFonts w:asciiTheme="majorBidi" w:hAnsiTheme="majorBidi" w:cstheme="majorBidi"/>
        </w:rPr>
        <w:t>23. Bernard J-M, Lagarde D, Souron R. Balanced Postoperative Analgesia: Effect of Intravenous Clonidine on Blood Gases and Pharmacokinetics of Intravenous Fentanyl. A</w:t>
      </w:r>
      <w:r w:rsidR="00740B12">
        <w:rPr>
          <w:rFonts w:asciiTheme="majorBidi" w:hAnsiTheme="majorBidi" w:cstheme="majorBidi"/>
        </w:rPr>
        <w:t>nesth</w:t>
      </w:r>
      <w:r w:rsidRPr="008A707E">
        <w:rPr>
          <w:rFonts w:asciiTheme="majorBidi" w:hAnsiTheme="majorBidi" w:cstheme="majorBidi"/>
        </w:rPr>
        <w:t xml:space="preserve"> A</w:t>
      </w:r>
      <w:r w:rsidR="00740B12">
        <w:rPr>
          <w:rFonts w:asciiTheme="majorBidi" w:hAnsiTheme="majorBidi" w:cstheme="majorBidi"/>
        </w:rPr>
        <w:t>nalg</w:t>
      </w:r>
      <w:r w:rsidRPr="008A707E">
        <w:rPr>
          <w:rFonts w:asciiTheme="majorBidi" w:hAnsiTheme="majorBidi" w:cstheme="majorBidi"/>
        </w:rPr>
        <w:t xml:space="preserve">. </w:t>
      </w:r>
      <w:r w:rsidR="00740B12">
        <w:rPr>
          <w:rFonts w:asciiTheme="majorBidi" w:hAnsiTheme="majorBidi" w:cstheme="majorBidi"/>
        </w:rPr>
        <w:t>1994;79</w:t>
      </w:r>
      <w:r w:rsidRPr="008A707E">
        <w:rPr>
          <w:rFonts w:asciiTheme="majorBidi" w:hAnsiTheme="majorBidi" w:cstheme="majorBidi"/>
        </w:rPr>
        <w:t>:</w:t>
      </w:r>
      <w:r w:rsidR="00740B12">
        <w:rPr>
          <w:rFonts w:asciiTheme="majorBidi" w:hAnsiTheme="majorBidi" w:cstheme="majorBidi"/>
        </w:rPr>
        <w:t>1126–32</w:t>
      </w:r>
      <w:r w:rsidRPr="008A707E">
        <w:rPr>
          <w:rFonts w:asciiTheme="majorBidi" w:hAnsiTheme="majorBidi" w:cstheme="majorBidi"/>
        </w:rPr>
        <w:t xml:space="preserve">. </w:t>
      </w:r>
    </w:p>
    <w:p w14:paraId="10CB4913"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24. Privado MS, Issy AM, Lanchote VL, Garcia JBS, Sakata RK. Epidural versus intravenous fentanyl for postoperative analgesia following orthopedic surgery: randomized controlled trial. Sao Paulo Med J. 2010;128:5–9. </w:t>
      </w:r>
    </w:p>
    <w:p w14:paraId="61BF102D"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25. Nozari A, Akeju O, Mirzakhani H, Eskandar E, Ma Z, Hossain MA, et al. Prolonged therapy with the anticonvulsant carbamazepine leads to increased plasma clearance of fentanyl. J Pharm Pharmacol. 2019;71:982–7. </w:t>
      </w:r>
    </w:p>
    <w:p w14:paraId="79DC89FA"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26. Varvel JR, Shafer SL, Hwang SS, Coen PA, Stanski DR. Absorption characteristics of transdermally administered fentanyl. Anesthesiology. 1989;70:928–34. </w:t>
      </w:r>
    </w:p>
    <w:p w14:paraId="1CA630C9"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27. Macleod DB, Habib AS, Ikeda K, Spyker DA, Cassella JV, Ho KY, et al. Inhaled fentanyl aerosol in healthy volunteers: pharmacokinetics and pharmacodynamics. Anesth Analg. 2012;115:1071–7. </w:t>
      </w:r>
    </w:p>
    <w:p w14:paraId="2EAA5754"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28. Streisand JB, Varvel JR, Stanski DR, Le Maire L, Ashburn MA, Hague BI, et al. Absorption and bioavailability of oral transmucosal fentanyl citrate. Anesthesiology. 1991;75:223–9. </w:t>
      </w:r>
    </w:p>
    <w:p w14:paraId="57E4EFDB"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29. Gourlay GK, Murphy TM, Plummer JL, Kowalski SR, Cherry DA, Cousins MJ. Pharmacokinetics of fentanyl in lumbar and cervical CSF following lumbar epidural and intravenous administration. Pain. 1989;38:253–9. </w:t>
      </w:r>
    </w:p>
    <w:p w14:paraId="04D28332"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30. Gupta SK, Southam MA, Hwang SS. Evaluation of diurnal variation in fentanyl clearance. J Clin Pharmacol. 1995;35:159–62. </w:t>
      </w:r>
    </w:p>
    <w:p w14:paraId="1AFFD874"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lastRenderedPageBreak/>
        <w:t xml:space="preserve">31. Lim CBS, Schug SA, Sunderland VB, Paech MJ, Liu Y. A phase I pharmacokinetic and bioavailability study of a sublingual fentanyl wafer in healthy volunteers. Anesth Analg. 2012;115:554–9. </w:t>
      </w:r>
    </w:p>
    <w:p w14:paraId="641F91F6"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32. Guinard JP, Carpenter RL, Chassot PG. Epidural and intravenous fentanyl produce equivalent effects during major surgery. Anesthesiology. 1995;82:377–82. </w:t>
      </w:r>
    </w:p>
    <w:p w14:paraId="2A2F7092" w14:textId="072C2B9A"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33. Vasisht N, Gever LN, Tagarro I, Finn AL. Single-Dose Pharmacokinetics of Fentanyl Buccal Soluble Film. Pain Med. 2010;11:1017–23. </w:t>
      </w:r>
    </w:p>
    <w:p w14:paraId="78FE6195"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34. Rauck RL, Oh DA, Singla N, Koch C, Parikh N, Nalamachu S, et al. Pharmacokinetics of Fentanyl Sublingual Spray in Opioid-Naïve Participants: Results of a Phase 1, Multiple Ascending Dose Study. Clin Drug Investig. 2018;38:715–26. </w:t>
      </w:r>
    </w:p>
    <w:p w14:paraId="51F29B72"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35. Hung OR, Whynot SC, Varvel JR, Shafer SL, Mezei M. Pharmacokinetics of inhaled liposome-encapsulated fentanyl. Anesthesiology. 1995;83:277–84. </w:t>
      </w:r>
    </w:p>
    <w:p w14:paraId="63424A3D"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36. Nimmo WS, Todd JG. Fentanyl by constant rate i.v. infusion for postoperative analgesia. Br J Anaesth. 1985;57:250–4. </w:t>
      </w:r>
    </w:p>
    <w:p w14:paraId="01270099"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37. Parikh N, Goskonda V, Chavan A, Dillaha L. Single-dose pharmacokinetics of fentanyl sublingual spray and oral transmucosal fentanyl citrate in healthy volunteers: a randomized crossover study. Clin Ther. 2013;35:236–43. </w:t>
      </w:r>
    </w:p>
    <w:p w14:paraId="504E996A"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38. Stoeckel H, Schüttler J, Magnussen H, Hengstmann JH. Plasma fentanyl concentrations and the occurrence of respiratory depression in volunteers. Br J Anaesth. 1982;54:1087–95. </w:t>
      </w:r>
    </w:p>
    <w:p w14:paraId="72605B50"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39. Shibutani K, Inchiosa MA, Sawada K, Bairamian M. Pharmacokinetic mass of fentanyl for postoperative analgesia in lean and obese patients†. Br J Anaesth. 2005;95:377–83. </w:t>
      </w:r>
    </w:p>
    <w:p w14:paraId="759BEF44"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40. Holley FO, van Steennis C. Postoperative analgesia with fentanyl: pharmacokinetics and pharmacodynamics of constant-rate i.v. and transdermal delivery. Br J Anaesth. 1988;60:608–13. </w:t>
      </w:r>
    </w:p>
    <w:p w14:paraId="7A36F06C"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41. Ellis DJ, Millar WL, Reisner LS. A randomized double-blind comparison of epidural versus intravenous fentanyl infusion for analgesia after cesarean section. Anesthesiology. 1990;72:981–6. </w:t>
      </w:r>
    </w:p>
    <w:p w14:paraId="28B24EA8"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42. Hudson RJ, Thomson IR, Cannon JE, Friesen RM, Meatherall RC. Pharmacokinetics of fentanyl in patients undergoing abdominal aortic surgery. Anesthesiology. 1986;64:334–8. </w:t>
      </w:r>
    </w:p>
    <w:p w14:paraId="5B803A67"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43. Bentley JB, Borel JD, Nenad RE, Gillespie TJ. Age and fentanyl pharmacokinetics. Anesth Analg. 1982;61:968–71. </w:t>
      </w:r>
    </w:p>
    <w:p w14:paraId="614D642C"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44. Rowbotham DJ, Wyld R, Nimmo WS. A disposable device for patient-controlled analgesia with fentanyl. Anaesthesia. 1989;44:922–4. </w:t>
      </w:r>
    </w:p>
    <w:p w14:paraId="7108D542"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45. Han T, Harmatz JS, Greenblatt DJ, Martyn JAJ. Fentanyl clearance and volume of distribution are increased in patients with major burns. J Clin Pharmacol. 2007;47:674–80. </w:t>
      </w:r>
    </w:p>
    <w:p w14:paraId="7AEA26AE"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46. Tanaka N, Naito T, Yagi T, Doi M, Sato S, Kawakami J. Impact of CYP3A5*3 on plasma exposure and urinary excretion of fentanyl and norfentanyl in the early postsurgical period. Ther Drug Monit. 2014;36:345–52. </w:t>
      </w:r>
    </w:p>
    <w:p w14:paraId="03DADC06" w14:textId="04C83A7B" w:rsidR="000E1337" w:rsidRPr="008A707E" w:rsidRDefault="000E1337" w:rsidP="000E1337">
      <w:pPr>
        <w:pStyle w:val="a3"/>
        <w:rPr>
          <w:rFonts w:asciiTheme="majorBidi" w:hAnsiTheme="majorBidi" w:cstheme="majorBidi"/>
        </w:rPr>
      </w:pPr>
      <w:r w:rsidRPr="008A707E">
        <w:rPr>
          <w:rFonts w:asciiTheme="majorBidi" w:hAnsiTheme="majorBidi" w:cstheme="majorBidi"/>
        </w:rPr>
        <w:t>47. Koehntop DE, Rodman JH, Brundage DM, Buckley JJ. Pharmacokinetics of Fentanyl in Neonates. A</w:t>
      </w:r>
      <w:r w:rsidR="00DE0A2E">
        <w:rPr>
          <w:rFonts w:asciiTheme="majorBidi" w:hAnsiTheme="majorBidi" w:cstheme="majorBidi"/>
        </w:rPr>
        <w:t>nesth</w:t>
      </w:r>
      <w:r w:rsidRPr="008A707E">
        <w:rPr>
          <w:rFonts w:asciiTheme="majorBidi" w:hAnsiTheme="majorBidi" w:cstheme="majorBidi"/>
        </w:rPr>
        <w:t xml:space="preserve"> A</w:t>
      </w:r>
      <w:r w:rsidR="00DE0A2E" w:rsidRPr="00FE238A">
        <w:rPr>
          <w:rFonts w:ascii="Times New Roman" w:hAnsi="Times New Roman" w:cs="Times New Roman"/>
        </w:rPr>
        <w:t>nalg</w:t>
      </w:r>
      <w:r w:rsidR="00DE0A2E">
        <w:rPr>
          <w:rFonts w:ascii="Times New Roman" w:hAnsi="Times New Roman" w:cs="Times New Roman"/>
        </w:rPr>
        <w:t>.</w:t>
      </w:r>
      <w:r w:rsidR="00DE0A2E" w:rsidRPr="00FE238A">
        <w:rPr>
          <w:rFonts w:ascii="Times New Roman" w:hAnsi="Times New Roman" w:cs="Times New Roman"/>
        </w:rPr>
        <w:t xml:space="preserve"> </w:t>
      </w:r>
      <w:r w:rsidR="00DE0A2E">
        <w:rPr>
          <w:rFonts w:ascii="Times New Roman" w:hAnsi="Times New Roman" w:cs="Times New Roman"/>
        </w:rPr>
        <w:t>1986</w:t>
      </w:r>
      <w:r w:rsidR="000A35BB">
        <w:rPr>
          <w:rFonts w:ascii="Times New Roman" w:hAnsi="Times New Roman" w:cs="Times New Roman"/>
        </w:rPr>
        <w:t>;</w:t>
      </w:r>
      <w:r w:rsidR="00DE0A2E" w:rsidRPr="00FE238A">
        <w:rPr>
          <w:rFonts w:ascii="Times New Roman" w:hAnsi="Times New Roman" w:cs="Times New Roman"/>
        </w:rPr>
        <w:t>65:227-232.</w:t>
      </w:r>
      <w:r w:rsidRPr="008A707E">
        <w:rPr>
          <w:rFonts w:asciiTheme="majorBidi" w:hAnsiTheme="majorBidi" w:cstheme="majorBidi"/>
        </w:rPr>
        <w:t xml:space="preserve"> </w:t>
      </w:r>
    </w:p>
    <w:p w14:paraId="7E377A90" w14:textId="44916F30" w:rsidR="000E1337" w:rsidRPr="008A707E" w:rsidRDefault="000E1337" w:rsidP="000E1337">
      <w:pPr>
        <w:pStyle w:val="a3"/>
        <w:rPr>
          <w:rFonts w:asciiTheme="majorBidi" w:hAnsiTheme="majorBidi" w:cstheme="majorBidi"/>
        </w:rPr>
      </w:pPr>
      <w:r w:rsidRPr="008A707E">
        <w:rPr>
          <w:rFonts w:asciiTheme="majorBidi" w:hAnsiTheme="majorBidi" w:cstheme="majorBidi"/>
        </w:rPr>
        <w:lastRenderedPageBreak/>
        <w:t xml:space="preserve">48. Singleton MA, Rosen JI, Fisher DM. Plasma concentrations of fentanyl in infants, children and adults. Can J Anaesth. 1987;34:152–5. </w:t>
      </w:r>
    </w:p>
    <w:p w14:paraId="3165E2D8"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49. Gruber EM, Laussen PC, Casta A, Zimmerman AA, Zurakowski D, Reid R, et al. Stress response in infants undergoing cardiac surgery: a randomized study of fentanyl bolus, fentanyl infusion, and fentanyl-midazolam infusion. Anesth Analg. 2001;92:882–90. </w:t>
      </w:r>
    </w:p>
    <w:p w14:paraId="2CBC4E1D"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50. Gauntlett IS, Fisher DM, Hertzka RE, Kuhls E, Spellman MJ, Rudolph C. Pharmacokinetics of fentanyl in neonatal humans and lambs: effects of age. Anesthesiology. 1988;69:683–7. </w:t>
      </w:r>
    </w:p>
    <w:p w14:paraId="4F0D799D"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51. Collins C, Koren G, Crean P, Klein J, Roy WL, MacLeod SM. Fentanyl pharmacokinetics and hemodynamic effects in preterm infants during ligation of patent ductus arteriosus. Anesth Analg. 1985;64:1078–80. </w:t>
      </w:r>
    </w:p>
    <w:p w14:paraId="52FF5606"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52. Saarenmaa E, Neuvonen PJ, Fellman V. Gestational age and birth weight effects on plasma clearance of fentanyl in newborn infants. J Pediatr. 2000;136:767–70. </w:t>
      </w:r>
    </w:p>
    <w:p w14:paraId="289403CA" w14:textId="55C345F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53. Norman E, Kindblom JM, Rane A, Berg A-C, Schubert U, Hallberg B, et al. Individual variations in fentanyl pharmacokinetics and pharmacodynamics in preterm infants. Acta Paediatr. 2019;108:1441–6. </w:t>
      </w:r>
    </w:p>
    <w:p w14:paraId="51622D88" w14:textId="0762A32A"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54. Roth B, Schlünder C, </w:t>
      </w:r>
      <w:r w:rsidR="00F76722" w:rsidRPr="00F76722">
        <w:rPr>
          <w:rFonts w:asciiTheme="majorBidi" w:hAnsiTheme="majorBidi" w:cstheme="majorBidi"/>
        </w:rPr>
        <w:t>Houben F</w:t>
      </w:r>
      <w:r w:rsidR="00F76722">
        <w:rPr>
          <w:rFonts w:asciiTheme="majorBidi" w:hAnsiTheme="majorBidi" w:cstheme="majorBidi"/>
        </w:rPr>
        <w:t xml:space="preserve">, </w:t>
      </w:r>
      <w:r w:rsidRPr="008A707E">
        <w:rPr>
          <w:rFonts w:asciiTheme="majorBidi" w:hAnsiTheme="majorBidi" w:cstheme="majorBidi"/>
        </w:rPr>
        <w:t>Günther M, Theisohn M. Analgesia and Sedation in Neonatal Intensive Care Using Fentanyl by Continuous Infusion</w:t>
      </w:r>
      <w:r w:rsidR="00F76722">
        <w:rPr>
          <w:rFonts w:asciiTheme="majorBidi" w:hAnsiTheme="majorBidi" w:cstheme="majorBidi"/>
        </w:rPr>
        <w:t xml:space="preserve">. </w:t>
      </w:r>
      <w:r w:rsidR="00F76722" w:rsidRPr="00F76722">
        <w:rPr>
          <w:rFonts w:asciiTheme="majorBidi" w:hAnsiTheme="majorBidi" w:cstheme="majorBidi"/>
        </w:rPr>
        <w:t>Dev Pharmacol Ther.</w:t>
      </w:r>
      <w:r w:rsidR="00F76722">
        <w:rPr>
          <w:rFonts w:asciiTheme="majorBidi" w:hAnsiTheme="majorBidi" w:cstheme="majorBidi"/>
        </w:rPr>
        <w:t xml:space="preserve"> 1991;17:121–7</w:t>
      </w:r>
      <w:r w:rsidRPr="008A707E">
        <w:rPr>
          <w:rFonts w:asciiTheme="majorBidi" w:hAnsiTheme="majorBidi" w:cstheme="majorBidi"/>
        </w:rPr>
        <w:t xml:space="preserve">. </w:t>
      </w:r>
    </w:p>
    <w:p w14:paraId="3E798962"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55. Stoeckel H, Hengstmann JH, Schüttler J. Pharmacokinetics of fentanyl as a possible explanation for recurrence of respiratory depression. Br J Anaesth. 1979;51:741–5. </w:t>
      </w:r>
    </w:p>
    <w:p w14:paraId="5798394F"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56. Hudson RJ, Thomson IR, Cannon JE, Friesen RM, Meatherall RC. Pharmacokinetics of fentanyl in patients undergoing abdominal aortic surgery. Anesthesiology. 1986;64:334–8. </w:t>
      </w:r>
    </w:p>
    <w:p w14:paraId="05DB7B32"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57. Sandier AN. Update on postoperative pain management. Can J Anaesth. 1992;39:R53–9. </w:t>
      </w:r>
    </w:p>
    <w:p w14:paraId="5011EB6E" w14:textId="77777777" w:rsidR="000E1337" w:rsidRPr="008A707E" w:rsidRDefault="000E1337" w:rsidP="000E1337">
      <w:pPr>
        <w:pStyle w:val="a3"/>
        <w:rPr>
          <w:rFonts w:asciiTheme="majorBidi" w:hAnsiTheme="majorBidi" w:cstheme="majorBidi"/>
        </w:rPr>
      </w:pPr>
      <w:r w:rsidRPr="008A707E">
        <w:rPr>
          <w:rFonts w:asciiTheme="majorBidi" w:hAnsiTheme="majorBidi" w:cstheme="majorBidi"/>
        </w:rPr>
        <w:t xml:space="preserve">58. Ziesenitz VC, Vaughns JD, Koch G, Mikus G, van den Anker JN. Pharmacokinetics of Fentanyl and Its Derivatives in Children: A Comprehensive Review. Clin Pharmacokinet. 2018;57:125–49. </w:t>
      </w:r>
    </w:p>
    <w:p w14:paraId="4FDCFE8F" w14:textId="3CAE91E5" w:rsidR="00025C6A" w:rsidRPr="000E1337" w:rsidRDefault="008B1361" w:rsidP="008B1361">
      <w:pPr>
        <w:pStyle w:val="a3"/>
        <w:rPr>
          <w:rFonts w:asciiTheme="majorBidi" w:hAnsiTheme="majorBidi" w:cstheme="majorBidi"/>
          <w:sz w:val="20"/>
        </w:rPr>
      </w:pPr>
      <w:r w:rsidRPr="000E1337">
        <w:rPr>
          <w:rFonts w:asciiTheme="majorBidi" w:hAnsiTheme="majorBidi" w:cstheme="majorBidi"/>
          <w:sz w:val="20"/>
        </w:rPr>
        <w:fldChar w:fldCharType="end"/>
      </w:r>
    </w:p>
    <w:p w14:paraId="4B27BBC4" w14:textId="577BF7BC" w:rsidR="001F2031" w:rsidRPr="000E1337" w:rsidRDefault="001F2031" w:rsidP="002406BD">
      <w:pPr>
        <w:spacing w:after="0" w:line="240" w:lineRule="auto"/>
        <w:rPr>
          <w:rFonts w:asciiTheme="majorBidi" w:hAnsiTheme="majorBidi" w:cstheme="majorBidi"/>
          <w:sz w:val="20"/>
          <w:szCs w:val="20"/>
        </w:rPr>
      </w:pPr>
    </w:p>
    <w:sectPr w:rsidR="001F2031" w:rsidRPr="000E1337" w:rsidSect="002343D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STIX-Regular">
    <w:altName w:val="Cambria"/>
    <w:panose1 w:val="020B0604020202020204"/>
    <w:charset w:val="00"/>
    <w:family w:val="roman"/>
    <w:notTrueType/>
    <w:pitch w:val="default"/>
  </w:font>
  <w:font w:name="AdvOT82c4f4c4+fb">
    <w:altName w:val="Cambria"/>
    <w:panose1 w:val="020B0604020202020204"/>
    <w:charset w:val="00"/>
    <w:family w:val="roman"/>
    <w:notTrueType/>
    <w:pitch w:val="default"/>
  </w:font>
  <w:font w:name="AdvOT82c4f4c4+22">
    <w:altName w:val="Cambria"/>
    <w:panose1 w:val="020B0604020202020204"/>
    <w:charset w:val="00"/>
    <w:family w:val="roman"/>
    <w:notTrueType/>
    <w:pitch w:val="default"/>
  </w:font>
  <w:font w:name="AdvOT82c4f4c4+20">
    <w:altName w:val="Cambria"/>
    <w:panose1 w:val="020B0604020202020204"/>
    <w:charset w:val="00"/>
    <w:family w:val="roman"/>
    <w:notTrueType/>
    <w:pitch w:val="default"/>
  </w:font>
  <w:font w:name="AdvP4C4E74">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ＭＳ Ｐゴシック">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E1A"/>
    <w:multiLevelType w:val="hybridMultilevel"/>
    <w:tmpl w:val="B380E97A"/>
    <w:lvl w:ilvl="0" w:tplc="774C389A">
      <w:start w:val="1"/>
      <w:numFmt w:val="decimal"/>
      <w:lvlText w:val="%1."/>
      <w:lvlJc w:val="left"/>
      <w:pPr>
        <w:tabs>
          <w:tab w:val="num" w:pos="720"/>
        </w:tabs>
        <w:ind w:left="720" w:hanging="360"/>
      </w:pPr>
    </w:lvl>
    <w:lvl w:ilvl="1" w:tplc="D82CAB48" w:tentative="1">
      <w:start w:val="1"/>
      <w:numFmt w:val="decimal"/>
      <w:lvlText w:val="%2."/>
      <w:lvlJc w:val="left"/>
      <w:pPr>
        <w:tabs>
          <w:tab w:val="num" w:pos="1440"/>
        </w:tabs>
        <w:ind w:left="1440" w:hanging="360"/>
      </w:pPr>
    </w:lvl>
    <w:lvl w:ilvl="2" w:tplc="5A026C62" w:tentative="1">
      <w:start w:val="1"/>
      <w:numFmt w:val="decimal"/>
      <w:lvlText w:val="%3."/>
      <w:lvlJc w:val="left"/>
      <w:pPr>
        <w:tabs>
          <w:tab w:val="num" w:pos="2160"/>
        </w:tabs>
        <w:ind w:left="2160" w:hanging="360"/>
      </w:pPr>
    </w:lvl>
    <w:lvl w:ilvl="3" w:tplc="51E8824A" w:tentative="1">
      <w:start w:val="1"/>
      <w:numFmt w:val="decimal"/>
      <w:lvlText w:val="%4."/>
      <w:lvlJc w:val="left"/>
      <w:pPr>
        <w:tabs>
          <w:tab w:val="num" w:pos="2880"/>
        </w:tabs>
        <w:ind w:left="2880" w:hanging="360"/>
      </w:pPr>
    </w:lvl>
    <w:lvl w:ilvl="4" w:tplc="DCA08E06" w:tentative="1">
      <w:start w:val="1"/>
      <w:numFmt w:val="decimal"/>
      <w:lvlText w:val="%5."/>
      <w:lvlJc w:val="left"/>
      <w:pPr>
        <w:tabs>
          <w:tab w:val="num" w:pos="3600"/>
        </w:tabs>
        <w:ind w:left="3600" w:hanging="360"/>
      </w:pPr>
    </w:lvl>
    <w:lvl w:ilvl="5" w:tplc="FA90EA34" w:tentative="1">
      <w:start w:val="1"/>
      <w:numFmt w:val="decimal"/>
      <w:lvlText w:val="%6."/>
      <w:lvlJc w:val="left"/>
      <w:pPr>
        <w:tabs>
          <w:tab w:val="num" w:pos="4320"/>
        </w:tabs>
        <w:ind w:left="4320" w:hanging="360"/>
      </w:pPr>
    </w:lvl>
    <w:lvl w:ilvl="6" w:tplc="4C3291F4" w:tentative="1">
      <w:start w:val="1"/>
      <w:numFmt w:val="decimal"/>
      <w:lvlText w:val="%7."/>
      <w:lvlJc w:val="left"/>
      <w:pPr>
        <w:tabs>
          <w:tab w:val="num" w:pos="5040"/>
        </w:tabs>
        <w:ind w:left="5040" w:hanging="360"/>
      </w:pPr>
    </w:lvl>
    <w:lvl w:ilvl="7" w:tplc="C5004318" w:tentative="1">
      <w:start w:val="1"/>
      <w:numFmt w:val="decimal"/>
      <w:lvlText w:val="%8."/>
      <w:lvlJc w:val="left"/>
      <w:pPr>
        <w:tabs>
          <w:tab w:val="num" w:pos="5760"/>
        </w:tabs>
        <w:ind w:left="5760" w:hanging="360"/>
      </w:pPr>
    </w:lvl>
    <w:lvl w:ilvl="8" w:tplc="424E02FE" w:tentative="1">
      <w:start w:val="1"/>
      <w:numFmt w:val="decimal"/>
      <w:lvlText w:val="%9."/>
      <w:lvlJc w:val="left"/>
      <w:pPr>
        <w:tabs>
          <w:tab w:val="num" w:pos="6480"/>
        </w:tabs>
        <w:ind w:left="6480" w:hanging="360"/>
      </w:pPr>
    </w:lvl>
  </w:abstractNum>
  <w:abstractNum w:abstractNumId="1" w15:restartNumberingAfterBreak="0">
    <w:nsid w:val="099D6D9E"/>
    <w:multiLevelType w:val="hybridMultilevel"/>
    <w:tmpl w:val="4D2E4E58"/>
    <w:lvl w:ilvl="0" w:tplc="DD00EF7E">
      <w:start w:val="1"/>
      <w:numFmt w:val="decimal"/>
      <w:lvlText w:val="%1."/>
      <w:lvlJc w:val="left"/>
      <w:pPr>
        <w:tabs>
          <w:tab w:val="num" w:pos="720"/>
        </w:tabs>
        <w:ind w:left="720" w:hanging="360"/>
      </w:pPr>
    </w:lvl>
    <w:lvl w:ilvl="1" w:tplc="5574A334" w:tentative="1">
      <w:start w:val="1"/>
      <w:numFmt w:val="decimal"/>
      <w:lvlText w:val="%2."/>
      <w:lvlJc w:val="left"/>
      <w:pPr>
        <w:tabs>
          <w:tab w:val="num" w:pos="1440"/>
        </w:tabs>
        <w:ind w:left="1440" w:hanging="360"/>
      </w:pPr>
    </w:lvl>
    <w:lvl w:ilvl="2" w:tplc="692C27B0" w:tentative="1">
      <w:start w:val="1"/>
      <w:numFmt w:val="decimal"/>
      <w:lvlText w:val="%3."/>
      <w:lvlJc w:val="left"/>
      <w:pPr>
        <w:tabs>
          <w:tab w:val="num" w:pos="2160"/>
        </w:tabs>
        <w:ind w:left="2160" w:hanging="360"/>
      </w:pPr>
    </w:lvl>
    <w:lvl w:ilvl="3" w:tplc="E0CC769C" w:tentative="1">
      <w:start w:val="1"/>
      <w:numFmt w:val="decimal"/>
      <w:lvlText w:val="%4."/>
      <w:lvlJc w:val="left"/>
      <w:pPr>
        <w:tabs>
          <w:tab w:val="num" w:pos="2880"/>
        </w:tabs>
        <w:ind w:left="2880" w:hanging="360"/>
      </w:pPr>
    </w:lvl>
    <w:lvl w:ilvl="4" w:tplc="9F367418" w:tentative="1">
      <w:start w:val="1"/>
      <w:numFmt w:val="decimal"/>
      <w:lvlText w:val="%5."/>
      <w:lvlJc w:val="left"/>
      <w:pPr>
        <w:tabs>
          <w:tab w:val="num" w:pos="3600"/>
        </w:tabs>
        <w:ind w:left="3600" w:hanging="360"/>
      </w:pPr>
    </w:lvl>
    <w:lvl w:ilvl="5" w:tplc="544EAE48" w:tentative="1">
      <w:start w:val="1"/>
      <w:numFmt w:val="decimal"/>
      <w:lvlText w:val="%6."/>
      <w:lvlJc w:val="left"/>
      <w:pPr>
        <w:tabs>
          <w:tab w:val="num" w:pos="4320"/>
        </w:tabs>
        <w:ind w:left="4320" w:hanging="360"/>
      </w:pPr>
    </w:lvl>
    <w:lvl w:ilvl="6" w:tplc="9F203E5A" w:tentative="1">
      <w:start w:val="1"/>
      <w:numFmt w:val="decimal"/>
      <w:lvlText w:val="%7."/>
      <w:lvlJc w:val="left"/>
      <w:pPr>
        <w:tabs>
          <w:tab w:val="num" w:pos="5040"/>
        </w:tabs>
        <w:ind w:left="5040" w:hanging="360"/>
      </w:pPr>
    </w:lvl>
    <w:lvl w:ilvl="7" w:tplc="795E66DA" w:tentative="1">
      <w:start w:val="1"/>
      <w:numFmt w:val="decimal"/>
      <w:lvlText w:val="%8."/>
      <w:lvlJc w:val="left"/>
      <w:pPr>
        <w:tabs>
          <w:tab w:val="num" w:pos="5760"/>
        </w:tabs>
        <w:ind w:left="5760" w:hanging="360"/>
      </w:pPr>
    </w:lvl>
    <w:lvl w:ilvl="8" w:tplc="48B82B4E" w:tentative="1">
      <w:start w:val="1"/>
      <w:numFmt w:val="decimal"/>
      <w:lvlText w:val="%9."/>
      <w:lvlJc w:val="left"/>
      <w:pPr>
        <w:tabs>
          <w:tab w:val="num" w:pos="6480"/>
        </w:tabs>
        <w:ind w:left="6480" w:hanging="360"/>
      </w:pPr>
    </w:lvl>
  </w:abstractNum>
  <w:abstractNum w:abstractNumId="2" w15:restartNumberingAfterBreak="0">
    <w:nsid w:val="19E52928"/>
    <w:multiLevelType w:val="multilevel"/>
    <w:tmpl w:val="329C1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BF3E86"/>
    <w:multiLevelType w:val="hybridMultilevel"/>
    <w:tmpl w:val="AB543F14"/>
    <w:lvl w:ilvl="0" w:tplc="630E92E0">
      <w:start w:val="1"/>
      <w:numFmt w:val="decimal"/>
      <w:lvlText w:val="%1."/>
      <w:lvlJc w:val="left"/>
      <w:pPr>
        <w:tabs>
          <w:tab w:val="num" w:pos="720"/>
        </w:tabs>
        <w:ind w:left="720" w:hanging="360"/>
      </w:pPr>
    </w:lvl>
    <w:lvl w:ilvl="1" w:tplc="3AC4CD9A" w:tentative="1">
      <w:start w:val="1"/>
      <w:numFmt w:val="decimal"/>
      <w:lvlText w:val="%2."/>
      <w:lvlJc w:val="left"/>
      <w:pPr>
        <w:tabs>
          <w:tab w:val="num" w:pos="1440"/>
        </w:tabs>
        <w:ind w:left="1440" w:hanging="360"/>
      </w:pPr>
    </w:lvl>
    <w:lvl w:ilvl="2" w:tplc="23E46320" w:tentative="1">
      <w:start w:val="1"/>
      <w:numFmt w:val="decimal"/>
      <w:lvlText w:val="%3."/>
      <w:lvlJc w:val="left"/>
      <w:pPr>
        <w:tabs>
          <w:tab w:val="num" w:pos="2160"/>
        </w:tabs>
        <w:ind w:left="2160" w:hanging="360"/>
      </w:pPr>
    </w:lvl>
    <w:lvl w:ilvl="3" w:tplc="442A4F20" w:tentative="1">
      <w:start w:val="1"/>
      <w:numFmt w:val="decimal"/>
      <w:lvlText w:val="%4."/>
      <w:lvlJc w:val="left"/>
      <w:pPr>
        <w:tabs>
          <w:tab w:val="num" w:pos="2880"/>
        </w:tabs>
        <w:ind w:left="2880" w:hanging="360"/>
      </w:pPr>
    </w:lvl>
    <w:lvl w:ilvl="4" w:tplc="0700D874" w:tentative="1">
      <w:start w:val="1"/>
      <w:numFmt w:val="decimal"/>
      <w:lvlText w:val="%5."/>
      <w:lvlJc w:val="left"/>
      <w:pPr>
        <w:tabs>
          <w:tab w:val="num" w:pos="3600"/>
        </w:tabs>
        <w:ind w:left="3600" w:hanging="360"/>
      </w:pPr>
    </w:lvl>
    <w:lvl w:ilvl="5" w:tplc="8D580C48" w:tentative="1">
      <w:start w:val="1"/>
      <w:numFmt w:val="decimal"/>
      <w:lvlText w:val="%6."/>
      <w:lvlJc w:val="left"/>
      <w:pPr>
        <w:tabs>
          <w:tab w:val="num" w:pos="4320"/>
        </w:tabs>
        <w:ind w:left="4320" w:hanging="360"/>
      </w:pPr>
    </w:lvl>
    <w:lvl w:ilvl="6" w:tplc="85F0DD28" w:tentative="1">
      <w:start w:val="1"/>
      <w:numFmt w:val="decimal"/>
      <w:lvlText w:val="%7."/>
      <w:lvlJc w:val="left"/>
      <w:pPr>
        <w:tabs>
          <w:tab w:val="num" w:pos="5040"/>
        </w:tabs>
        <w:ind w:left="5040" w:hanging="360"/>
      </w:pPr>
    </w:lvl>
    <w:lvl w:ilvl="7" w:tplc="D748A806" w:tentative="1">
      <w:start w:val="1"/>
      <w:numFmt w:val="decimal"/>
      <w:lvlText w:val="%8."/>
      <w:lvlJc w:val="left"/>
      <w:pPr>
        <w:tabs>
          <w:tab w:val="num" w:pos="5760"/>
        </w:tabs>
        <w:ind w:left="5760" w:hanging="360"/>
      </w:pPr>
    </w:lvl>
    <w:lvl w:ilvl="8" w:tplc="862243AA" w:tentative="1">
      <w:start w:val="1"/>
      <w:numFmt w:val="decimal"/>
      <w:lvlText w:val="%9."/>
      <w:lvlJc w:val="left"/>
      <w:pPr>
        <w:tabs>
          <w:tab w:val="num" w:pos="6480"/>
        </w:tabs>
        <w:ind w:left="6480" w:hanging="360"/>
      </w:pPr>
    </w:lvl>
  </w:abstractNum>
  <w:abstractNum w:abstractNumId="4" w15:restartNumberingAfterBreak="0">
    <w:nsid w:val="370D2C9D"/>
    <w:multiLevelType w:val="multilevel"/>
    <w:tmpl w:val="8FA0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3A2AA2"/>
    <w:multiLevelType w:val="hybridMultilevel"/>
    <w:tmpl w:val="7AEEA23C"/>
    <w:lvl w:ilvl="0" w:tplc="4C38633C">
      <w:start w:val="1"/>
      <w:numFmt w:val="decimal"/>
      <w:lvlText w:val="%1."/>
      <w:lvlJc w:val="left"/>
      <w:pPr>
        <w:tabs>
          <w:tab w:val="num" w:pos="720"/>
        </w:tabs>
        <w:ind w:left="720" w:hanging="360"/>
      </w:pPr>
    </w:lvl>
    <w:lvl w:ilvl="1" w:tplc="61CC3E7E" w:tentative="1">
      <w:start w:val="1"/>
      <w:numFmt w:val="decimal"/>
      <w:lvlText w:val="%2."/>
      <w:lvlJc w:val="left"/>
      <w:pPr>
        <w:tabs>
          <w:tab w:val="num" w:pos="1440"/>
        </w:tabs>
        <w:ind w:left="1440" w:hanging="360"/>
      </w:pPr>
    </w:lvl>
    <w:lvl w:ilvl="2" w:tplc="E16456B6" w:tentative="1">
      <w:start w:val="1"/>
      <w:numFmt w:val="decimal"/>
      <w:lvlText w:val="%3."/>
      <w:lvlJc w:val="left"/>
      <w:pPr>
        <w:tabs>
          <w:tab w:val="num" w:pos="2160"/>
        </w:tabs>
        <w:ind w:left="2160" w:hanging="360"/>
      </w:pPr>
    </w:lvl>
    <w:lvl w:ilvl="3" w:tplc="0F98BFAC" w:tentative="1">
      <w:start w:val="1"/>
      <w:numFmt w:val="decimal"/>
      <w:lvlText w:val="%4."/>
      <w:lvlJc w:val="left"/>
      <w:pPr>
        <w:tabs>
          <w:tab w:val="num" w:pos="2880"/>
        </w:tabs>
        <w:ind w:left="2880" w:hanging="360"/>
      </w:pPr>
    </w:lvl>
    <w:lvl w:ilvl="4" w:tplc="DE3C231C" w:tentative="1">
      <w:start w:val="1"/>
      <w:numFmt w:val="decimal"/>
      <w:lvlText w:val="%5."/>
      <w:lvlJc w:val="left"/>
      <w:pPr>
        <w:tabs>
          <w:tab w:val="num" w:pos="3600"/>
        </w:tabs>
        <w:ind w:left="3600" w:hanging="360"/>
      </w:pPr>
    </w:lvl>
    <w:lvl w:ilvl="5" w:tplc="741AA18A" w:tentative="1">
      <w:start w:val="1"/>
      <w:numFmt w:val="decimal"/>
      <w:lvlText w:val="%6."/>
      <w:lvlJc w:val="left"/>
      <w:pPr>
        <w:tabs>
          <w:tab w:val="num" w:pos="4320"/>
        </w:tabs>
        <w:ind w:left="4320" w:hanging="360"/>
      </w:pPr>
    </w:lvl>
    <w:lvl w:ilvl="6" w:tplc="D83C176C" w:tentative="1">
      <w:start w:val="1"/>
      <w:numFmt w:val="decimal"/>
      <w:lvlText w:val="%7."/>
      <w:lvlJc w:val="left"/>
      <w:pPr>
        <w:tabs>
          <w:tab w:val="num" w:pos="5040"/>
        </w:tabs>
        <w:ind w:left="5040" w:hanging="360"/>
      </w:pPr>
    </w:lvl>
    <w:lvl w:ilvl="7" w:tplc="ED16F00E" w:tentative="1">
      <w:start w:val="1"/>
      <w:numFmt w:val="decimal"/>
      <w:lvlText w:val="%8."/>
      <w:lvlJc w:val="left"/>
      <w:pPr>
        <w:tabs>
          <w:tab w:val="num" w:pos="5760"/>
        </w:tabs>
        <w:ind w:left="5760" w:hanging="360"/>
      </w:pPr>
    </w:lvl>
    <w:lvl w:ilvl="8" w:tplc="01A2085C" w:tentative="1">
      <w:start w:val="1"/>
      <w:numFmt w:val="decimal"/>
      <w:lvlText w:val="%9."/>
      <w:lvlJc w:val="left"/>
      <w:pPr>
        <w:tabs>
          <w:tab w:val="num" w:pos="6480"/>
        </w:tabs>
        <w:ind w:left="6480" w:hanging="360"/>
      </w:pPr>
    </w:lvl>
  </w:abstractNum>
  <w:abstractNum w:abstractNumId="6" w15:restartNumberingAfterBreak="0">
    <w:nsid w:val="47612736"/>
    <w:multiLevelType w:val="multilevel"/>
    <w:tmpl w:val="0B02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AB3547"/>
    <w:multiLevelType w:val="multilevel"/>
    <w:tmpl w:val="57B07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58419">
    <w:abstractNumId w:val="1"/>
  </w:num>
  <w:num w:numId="2" w16cid:durableId="1342513101">
    <w:abstractNumId w:val="5"/>
  </w:num>
  <w:num w:numId="3" w16cid:durableId="564605117">
    <w:abstractNumId w:val="3"/>
  </w:num>
  <w:num w:numId="4" w16cid:durableId="271935680">
    <w:abstractNumId w:val="0"/>
  </w:num>
  <w:num w:numId="5" w16cid:durableId="1023480124">
    <w:abstractNumId w:val="4"/>
  </w:num>
  <w:num w:numId="6" w16cid:durableId="621572101">
    <w:abstractNumId w:val="7"/>
  </w:num>
  <w:num w:numId="7" w16cid:durableId="1106726830">
    <w:abstractNumId w:val="6"/>
  </w:num>
  <w:num w:numId="8" w16cid:durableId="374551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xMjW2MDW0MLIwMbRQ0lEKTi0uzszPAykwqwUArkWpUywAAAA="/>
  </w:docVars>
  <w:rsids>
    <w:rsidRoot w:val="00AA3CBF"/>
    <w:rsid w:val="00007DBA"/>
    <w:rsid w:val="00013A20"/>
    <w:rsid w:val="00016A81"/>
    <w:rsid w:val="00020739"/>
    <w:rsid w:val="0002270D"/>
    <w:rsid w:val="00025C6A"/>
    <w:rsid w:val="0002617E"/>
    <w:rsid w:val="00027C77"/>
    <w:rsid w:val="00030F4E"/>
    <w:rsid w:val="00034E65"/>
    <w:rsid w:val="00036EEA"/>
    <w:rsid w:val="00037FDD"/>
    <w:rsid w:val="00043FD1"/>
    <w:rsid w:val="00046EB7"/>
    <w:rsid w:val="0004717B"/>
    <w:rsid w:val="00047190"/>
    <w:rsid w:val="00047891"/>
    <w:rsid w:val="00052BE5"/>
    <w:rsid w:val="000548EB"/>
    <w:rsid w:val="00055176"/>
    <w:rsid w:val="0005682D"/>
    <w:rsid w:val="00056FC9"/>
    <w:rsid w:val="00062861"/>
    <w:rsid w:val="000671B8"/>
    <w:rsid w:val="00070E99"/>
    <w:rsid w:val="00073178"/>
    <w:rsid w:val="00073701"/>
    <w:rsid w:val="00073BF0"/>
    <w:rsid w:val="00073D5E"/>
    <w:rsid w:val="0007693F"/>
    <w:rsid w:val="00082546"/>
    <w:rsid w:val="00082E62"/>
    <w:rsid w:val="000845A0"/>
    <w:rsid w:val="000851A2"/>
    <w:rsid w:val="000859DB"/>
    <w:rsid w:val="000911B1"/>
    <w:rsid w:val="00091386"/>
    <w:rsid w:val="00091AEA"/>
    <w:rsid w:val="000A2924"/>
    <w:rsid w:val="000A32E6"/>
    <w:rsid w:val="000A34EA"/>
    <w:rsid w:val="000A35BB"/>
    <w:rsid w:val="000A3942"/>
    <w:rsid w:val="000A3CFE"/>
    <w:rsid w:val="000B0C67"/>
    <w:rsid w:val="000B1300"/>
    <w:rsid w:val="000B242D"/>
    <w:rsid w:val="000B47AA"/>
    <w:rsid w:val="000B553F"/>
    <w:rsid w:val="000B5FC5"/>
    <w:rsid w:val="000C224C"/>
    <w:rsid w:val="000C42FA"/>
    <w:rsid w:val="000C52F2"/>
    <w:rsid w:val="000D15EA"/>
    <w:rsid w:val="000D3BA6"/>
    <w:rsid w:val="000D6641"/>
    <w:rsid w:val="000D66CC"/>
    <w:rsid w:val="000E10EF"/>
    <w:rsid w:val="000E1337"/>
    <w:rsid w:val="000E1EC0"/>
    <w:rsid w:val="000E6F3F"/>
    <w:rsid w:val="000F1356"/>
    <w:rsid w:val="000F2799"/>
    <w:rsid w:val="000F33B7"/>
    <w:rsid w:val="000F5C06"/>
    <w:rsid w:val="000F5DD3"/>
    <w:rsid w:val="000F618F"/>
    <w:rsid w:val="001000C4"/>
    <w:rsid w:val="00105770"/>
    <w:rsid w:val="001104E4"/>
    <w:rsid w:val="001213B5"/>
    <w:rsid w:val="00122120"/>
    <w:rsid w:val="001232F9"/>
    <w:rsid w:val="0012330F"/>
    <w:rsid w:val="001251D0"/>
    <w:rsid w:val="00125F80"/>
    <w:rsid w:val="00127159"/>
    <w:rsid w:val="00133BE7"/>
    <w:rsid w:val="00135E13"/>
    <w:rsid w:val="00135F3F"/>
    <w:rsid w:val="00137250"/>
    <w:rsid w:val="0013760C"/>
    <w:rsid w:val="00137963"/>
    <w:rsid w:val="00137B8F"/>
    <w:rsid w:val="00140669"/>
    <w:rsid w:val="001474F2"/>
    <w:rsid w:val="00151F02"/>
    <w:rsid w:val="0015200C"/>
    <w:rsid w:val="0015525B"/>
    <w:rsid w:val="001623B6"/>
    <w:rsid w:val="00165E91"/>
    <w:rsid w:val="00166A88"/>
    <w:rsid w:val="00172577"/>
    <w:rsid w:val="001726EA"/>
    <w:rsid w:val="00174276"/>
    <w:rsid w:val="00174559"/>
    <w:rsid w:val="00175201"/>
    <w:rsid w:val="00184A7E"/>
    <w:rsid w:val="0018729C"/>
    <w:rsid w:val="00187C2C"/>
    <w:rsid w:val="00191A31"/>
    <w:rsid w:val="001930C7"/>
    <w:rsid w:val="00193257"/>
    <w:rsid w:val="0019362F"/>
    <w:rsid w:val="001962A8"/>
    <w:rsid w:val="001964B6"/>
    <w:rsid w:val="00196C8B"/>
    <w:rsid w:val="001A5FE7"/>
    <w:rsid w:val="001A6861"/>
    <w:rsid w:val="001A72B1"/>
    <w:rsid w:val="001B0A98"/>
    <w:rsid w:val="001B0F7E"/>
    <w:rsid w:val="001B1446"/>
    <w:rsid w:val="001B3CF9"/>
    <w:rsid w:val="001B4D60"/>
    <w:rsid w:val="001B6A92"/>
    <w:rsid w:val="001C1E6E"/>
    <w:rsid w:val="001C732C"/>
    <w:rsid w:val="001C7C90"/>
    <w:rsid w:val="001D09DD"/>
    <w:rsid w:val="001D2715"/>
    <w:rsid w:val="001D2F01"/>
    <w:rsid w:val="001D6525"/>
    <w:rsid w:val="001E35E5"/>
    <w:rsid w:val="001E40DD"/>
    <w:rsid w:val="001E434A"/>
    <w:rsid w:val="001E496C"/>
    <w:rsid w:val="001E626F"/>
    <w:rsid w:val="001E7233"/>
    <w:rsid w:val="001F0909"/>
    <w:rsid w:val="001F1ACB"/>
    <w:rsid w:val="001F1F54"/>
    <w:rsid w:val="001F2031"/>
    <w:rsid w:val="001F3BAB"/>
    <w:rsid w:val="001F3BD9"/>
    <w:rsid w:val="001F4B64"/>
    <w:rsid w:val="001F7EDF"/>
    <w:rsid w:val="002000E1"/>
    <w:rsid w:val="0020133D"/>
    <w:rsid w:val="00202DC2"/>
    <w:rsid w:val="00202EE5"/>
    <w:rsid w:val="002034D7"/>
    <w:rsid w:val="00204B98"/>
    <w:rsid w:val="00205B62"/>
    <w:rsid w:val="002062A7"/>
    <w:rsid w:val="002102EC"/>
    <w:rsid w:val="00211E21"/>
    <w:rsid w:val="00213465"/>
    <w:rsid w:val="002140C0"/>
    <w:rsid w:val="00215D38"/>
    <w:rsid w:val="002232D5"/>
    <w:rsid w:val="002242E8"/>
    <w:rsid w:val="00224BCD"/>
    <w:rsid w:val="00233379"/>
    <w:rsid w:val="00233CD0"/>
    <w:rsid w:val="00233E35"/>
    <w:rsid w:val="0023424E"/>
    <w:rsid w:val="002343D9"/>
    <w:rsid w:val="00235AA2"/>
    <w:rsid w:val="002406BD"/>
    <w:rsid w:val="00241712"/>
    <w:rsid w:val="002436A7"/>
    <w:rsid w:val="00244A1D"/>
    <w:rsid w:val="0024567B"/>
    <w:rsid w:val="00245B69"/>
    <w:rsid w:val="002510B0"/>
    <w:rsid w:val="002533A9"/>
    <w:rsid w:val="002563AB"/>
    <w:rsid w:val="00256504"/>
    <w:rsid w:val="002578EB"/>
    <w:rsid w:val="002635DA"/>
    <w:rsid w:val="0026680D"/>
    <w:rsid w:val="002705CF"/>
    <w:rsid w:val="002729D3"/>
    <w:rsid w:val="00273B4D"/>
    <w:rsid w:val="0027498E"/>
    <w:rsid w:val="00276875"/>
    <w:rsid w:val="002778C7"/>
    <w:rsid w:val="002814CC"/>
    <w:rsid w:val="00282E7D"/>
    <w:rsid w:val="00284BC2"/>
    <w:rsid w:val="00285248"/>
    <w:rsid w:val="00287F3B"/>
    <w:rsid w:val="00292B00"/>
    <w:rsid w:val="00294B92"/>
    <w:rsid w:val="00297D2E"/>
    <w:rsid w:val="002A020E"/>
    <w:rsid w:val="002A1E1C"/>
    <w:rsid w:val="002A2B57"/>
    <w:rsid w:val="002A31C3"/>
    <w:rsid w:val="002A4E3B"/>
    <w:rsid w:val="002A6C56"/>
    <w:rsid w:val="002B35E5"/>
    <w:rsid w:val="002B37BC"/>
    <w:rsid w:val="002B4429"/>
    <w:rsid w:val="002B5F9A"/>
    <w:rsid w:val="002C0C7C"/>
    <w:rsid w:val="002C1A85"/>
    <w:rsid w:val="002C241D"/>
    <w:rsid w:val="002C27BF"/>
    <w:rsid w:val="002C39F4"/>
    <w:rsid w:val="002C54AB"/>
    <w:rsid w:val="002D20E5"/>
    <w:rsid w:val="002D50F7"/>
    <w:rsid w:val="002D6FD3"/>
    <w:rsid w:val="002D7D61"/>
    <w:rsid w:val="002E3445"/>
    <w:rsid w:val="002F0FE6"/>
    <w:rsid w:val="002F2BB8"/>
    <w:rsid w:val="002F429D"/>
    <w:rsid w:val="002F4C74"/>
    <w:rsid w:val="002F51B5"/>
    <w:rsid w:val="00300088"/>
    <w:rsid w:val="00302E31"/>
    <w:rsid w:val="00312696"/>
    <w:rsid w:val="00322E66"/>
    <w:rsid w:val="00322EA7"/>
    <w:rsid w:val="00333601"/>
    <w:rsid w:val="00334D59"/>
    <w:rsid w:val="003379D7"/>
    <w:rsid w:val="00345202"/>
    <w:rsid w:val="0035027A"/>
    <w:rsid w:val="00350E39"/>
    <w:rsid w:val="00351EE1"/>
    <w:rsid w:val="00354523"/>
    <w:rsid w:val="003553C5"/>
    <w:rsid w:val="003579E6"/>
    <w:rsid w:val="00360D58"/>
    <w:rsid w:val="0036160A"/>
    <w:rsid w:val="003657A4"/>
    <w:rsid w:val="00372887"/>
    <w:rsid w:val="00375A02"/>
    <w:rsid w:val="003818B1"/>
    <w:rsid w:val="00382696"/>
    <w:rsid w:val="0038399B"/>
    <w:rsid w:val="003861B1"/>
    <w:rsid w:val="00386771"/>
    <w:rsid w:val="00386E59"/>
    <w:rsid w:val="00387501"/>
    <w:rsid w:val="00390307"/>
    <w:rsid w:val="003907AA"/>
    <w:rsid w:val="00391005"/>
    <w:rsid w:val="00392EC2"/>
    <w:rsid w:val="0039320C"/>
    <w:rsid w:val="0039449D"/>
    <w:rsid w:val="003A1C68"/>
    <w:rsid w:val="003A234C"/>
    <w:rsid w:val="003A2553"/>
    <w:rsid w:val="003A2D68"/>
    <w:rsid w:val="003A3626"/>
    <w:rsid w:val="003A646D"/>
    <w:rsid w:val="003B49BB"/>
    <w:rsid w:val="003B4C27"/>
    <w:rsid w:val="003B73D4"/>
    <w:rsid w:val="003C2B42"/>
    <w:rsid w:val="003C711A"/>
    <w:rsid w:val="003C797D"/>
    <w:rsid w:val="003C7CB1"/>
    <w:rsid w:val="003C7D33"/>
    <w:rsid w:val="003D07E1"/>
    <w:rsid w:val="003D2FD0"/>
    <w:rsid w:val="003D36F3"/>
    <w:rsid w:val="003D5226"/>
    <w:rsid w:val="003D7E76"/>
    <w:rsid w:val="003E3347"/>
    <w:rsid w:val="003E58FF"/>
    <w:rsid w:val="003E7D99"/>
    <w:rsid w:val="003F72A4"/>
    <w:rsid w:val="00402C0A"/>
    <w:rsid w:val="0040688B"/>
    <w:rsid w:val="00407C35"/>
    <w:rsid w:val="00411250"/>
    <w:rsid w:val="0041361A"/>
    <w:rsid w:val="00414658"/>
    <w:rsid w:val="004227D6"/>
    <w:rsid w:val="004229FA"/>
    <w:rsid w:val="00422EC7"/>
    <w:rsid w:val="00424221"/>
    <w:rsid w:val="00430317"/>
    <w:rsid w:val="00433BFD"/>
    <w:rsid w:val="0043410A"/>
    <w:rsid w:val="0044053A"/>
    <w:rsid w:val="00441C7C"/>
    <w:rsid w:val="00442CFC"/>
    <w:rsid w:val="00444C10"/>
    <w:rsid w:val="0044728F"/>
    <w:rsid w:val="00447627"/>
    <w:rsid w:val="0045185B"/>
    <w:rsid w:val="00451A93"/>
    <w:rsid w:val="00452BB3"/>
    <w:rsid w:val="00454C85"/>
    <w:rsid w:val="004556D6"/>
    <w:rsid w:val="00455D6F"/>
    <w:rsid w:val="00456E63"/>
    <w:rsid w:val="00460397"/>
    <w:rsid w:val="00460C35"/>
    <w:rsid w:val="00464E33"/>
    <w:rsid w:val="0046616A"/>
    <w:rsid w:val="00466B99"/>
    <w:rsid w:val="004679A2"/>
    <w:rsid w:val="00473EFE"/>
    <w:rsid w:val="00476776"/>
    <w:rsid w:val="00476E44"/>
    <w:rsid w:val="00477C8F"/>
    <w:rsid w:val="00481A23"/>
    <w:rsid w:val="00481F70"/>
    <w:rsid w:val="00487E9B"/>
    <w:rsid w:val="004901E1"/>
    <w:rsid w:val="00496AB9"/>
    <w:rsid w:val="004976AF"/>
    <w:rsid w:val="004A2319"/>
    <w:rsid w:val="004A2650"/>
    <w:rsid w:val="004A2E11"/>
    <w:rsid w:val="004A64E4"/>
    <w:rsid w:val="004A712E"/>
    <w:rsid w:val="004A7A28"/>
    <w:rsid w:val="004B258B"/>
    <w:rsid w:val="004B3068"/>
    <w:rsid w:val="004B66CC"/>
    <w:rsid w:val="004B6ED0"/>
    <w:rsid w:val="004C4380"/>
    <w:rsid w:val="004C7C33"/>
    <w:rsid w:val="004D2DDE"/>
    <w:rsid w:val="004D3CAF"/>
    <w:rsid w:val="004D55DF"/>
    <w:rsid w:val="004E07D5"/>
    <w:rsid w:val="004E5734"/>
    <w:rsid w:val="004E576C"/>
    <w:rsid w:val="004E691B"/>
    <w:rsid w:val="004F089F"/>
    <w:rsid w:val="004F180E"/>
    <w:rsid w:val="004F440D"/>
    <w:rsid w:val="004F7C5C"/>
    <w:rsid w:val="00500BB4"/>
    <w:rsid w:val="00502B41"/>
    <w:rsid w:val="00503187"/>
    <w:rsid w:val="00504383"/>
    <w:rsid w:val="00506493"/>
    <w:rsid w:val="00510A3A"/>
    <w:rsid w:val="00517686"/>
    <w:rsid w:val="00521B88"/>
    <w:rsid w:val="00522B3E"/>
    <w:rsid w:val="00522F8B"/>
    <w:rsid w:val="00523FEC"/>
    <w:rsid w:val="005326E1"/>
    <w:rsid w:val="00534A76"/>
    <w:rsid w:val="00537908"/>
    <w:rsid w:val="0054153E"/>
    <w:rsid w:val="005430D3"/>
    <w:rsid w:val="00544C0D"/>
    <w:rsid w:val="00545DD4"/>
    <w:rsid w:val="005467B5"/>
    <w:rsid w:val="00547C24"/>
    <w:rsid w:val="00552132"/>
    <w:rsid w:val="00552F4F"/>
    <w:rsid w:val="00554736"/>
    <w:rsid w:val="00561BE7"/>
    <w:rsid w:val="005637BF"/>
    <w:rsid w:val="00566344"/>
    <w:rsid w:val="005664BA"/>
    <w:rsid w:val="0057283A"/>
    <w:rsid w:val="005746E2"/>
    <w:rsid w:val="00575487"/>
    <w:rsid w:val="00575E39"/>
    <w:rsid w:val="00575FC8"/>
    <w:rsid w:val="00580745"/>
    <w:rsid w:val="00582989"/>
    <w:rsid w:val="00583803"/>
    <w:rsid w:val="00584456"/>
    <w:rsid w:val="00587E4C"/>
    <w:rsid w:val="00590859"/>
    <w:rsid w:val="005919A5"/>
    <w:rsid w:val="00592391"/>
    <w:rsid w:val="00593D62"/>
    <w:rsid w:val="00595741"/>
    <w:rsid w:val="00596CA3"/>
    <w:rsid w:val="005976CB"/>
    <w:rsid w:val="005A01C3"/>
    <w:rsid w:val="005A1874"/>
    <w:rsid w:val="005A6B38"/>
    <w:rsid w:val="005A7360"/>
    <w:rsid w:val="005B0D9C"/>
    <w:rsid w:val="005B21A6"/>
    <w:rsid w:val="005B5047"/>
    <w:rsid w:val="005B6AD5"/>
    <w:rsid w:val="005B7387"/>
    <w:rsid w:val="005C097B"/>
    <w:rsid w:val="005C3AA2"/>
    <w:rsid w:val="005D200E"/>
    <w:rsid w:val="005D219F"/>
    <w:rsid w:val="005D545E"/>
    <w:rsid w:val="005D71B1"/>
    <w:rsid w:val="005E19CE"/>
    <w:rsid w:val="005E1B61"/>
    <w:rsid w:val="005E7B16"/>
    <w:rsid w:val="005F1FF0"/>
    <w:rsid w:val="005F3569"/>
    <w:rsid w:val="005F4A86"/>
    <w:rsid w:val="005F6063"/>
    <w:rsid w:val="005F642C"/>
    <w:rsid w:val="005F6DB3"/>
    <w:rsid w:val="006002EF"/>
    <w:rsid w:val="00602370"/>
    <w:rsid w:val="00602BC2"/>
    <w:rsid w:val="00602FBB"/>
    <w:rsid w:val="00603258"/>
    <w:rsid w:val="00605E4C"/>
    <w:rsid w:val="00606C98"/>
    <w:rsid w:val="0060734E"/>
    <w:rsid w:val="00610E03"/>
    <w:rsid w:val="00611D38"/>
    <w:rsid w:val="00612F1E"/>
    <w:rsid w:val="00613357"/>
    <w:rsid w:val="00615D99"/>
    <w:rsid w:val="00616939"/>
    <w:rsid w:val="006219D0"/>
    <w:rsid w:val="00622B06"/>
    <w:rsid w:val="006254F3"/>
    <w:rsid w:val="00625AD2"/>
    <w:rsid w:val="00630268"/>
    <w:rsid w:val="00632FD5"/>
    <w:rsid w:val="00634581"/>
    <w:rsid w:val="00643E61"/>
    <w:rsid w:val="00645535"/>
    <w:rsid w:val="0064634D"/>
    <w:rsid w:val="006549AA"/>
    <w:rsid w:val="0065625B"/>
    <w:rsid w:val="00656ADD"/>
    <w:rsid w:val="006614AB"/>
    <w:rsid w:val="00662D00"/>
    <w:rsid w:val="00666451"/>
    <w:rsid w:val="00666CD4"/>
    <w:rsid w:val="00667398"/>
    <w:rsid w:val="00670EEF"/>
    <w:rsid w:val="00673728"/>
    <w:rsid w:val="006812F1"/>
    <w:rsid w:val="006830AE"/>
    <w:rsid w:val="0068352F"/>
    <w:rsid w:val="006868BE"/>
    <w:rsid w:val="00687AAC"/>
    <w:rsid w:val="0069101D"/>
    <w:rsid w:val="0069258E"/>
    <w:rsid w:val="00694D59"/>
    <w:rsid w:val="006A144F"/>
    <w:rsid w:val="006A338A"/>
    <w:rsid w:val="006A3711"/>
    <w:rsid w:val="006A4D79"/>
    <w:rsid w:val="006A540B"/>
    <w:rsid w:val="006A70C2"/>
    <w:rsid w:val="006A775F"/>
    <w:rsid w:val="006B4D1A"/>
    <w:rsid w:val="006B7EC7"/>
    <w:rsid w:val="006C2E16"/>
    <w:rsid w:val="006C3476"/>
    <w:rsid w:val="006C3482"/>
    <w:rsid w:val="006C647F"/>
    <w:rsid w:val="006D0047"/>
    <w:rsid w:val="006D207C"/>
    <w:rsid w:val="006D2651"/>
    <w:rsid w:val="006D49AE"/>
    <w:rsid w:val="006D65E6"/>
    <w:rsid w:val="006D7444"/>
    <w:rsid w:val="006E02E7"/>
    <w:rsid w:val="006E5D5B"/>
    <w:rsid w:val="006E7AF0"/>
    <w:rsid w:val="006F0F11"/>
    <w:rsid w:val="006F2E25"/>
    <w:rsid w:val="006F32E2"/>
    <w:rsid w:val="006F44D5"/>
    <w:rsid w:val="006F6046"/>
    <w:rsid w:val="0070200C"/>
    <w:rsid w:val="00705B78"/>
    <w:rsid w:val="0070745F"/>
    <w:rsid w:val="0071315E"/>
    <w:rsid w:val="00713DEF"/>
    <w:rsid w:val="00715464"/>
    <w:rsid w:val="007154EB"/>
    <w:rsid w:val="00723807"/>
    <w:rsid w:val="00734281"/>
    <w:rsid w:val="00734309"/>
    <w:rsid w:val="00735362"/>
    <w:rsid w:val="00740B12"/>
    <w:rsid w:val="00741237"/>
    <w:rsid w:val="00741D9F"/>
    <w:rsid w:val="00743C54"/>
    <w:rsid w:val="00744867"/>
    <w:rsid w:val="007508C0"/>
    <w:rsid w:val="00753213"/>
    <w:rsid w:val="00754875"/>
    <w:rsid w:val="00756006"/>
    <w:rsid w:val="00764E3C"/>
    <w:rsid w:val="007676D0"/>
    <w:rsid w:val="00770533"/>
    <w:rsid w:val="00771FD3"/>
    <w:rsid w:val="0077234C"/>
    <w:rsid w:val="00772498"/>
    <w:rsid w:val="00783D72"/>
    <w:rsid w:val="00784574"/>
    <w:rsid w:val="00792CE4"/>
    <w:rsid w:val="00792D06"/>
    <w:rsid w:val="00794D84"/>
    <w:rsid w:val="00796CBD"/>
    <w:rsid w:val="0079707E"/>
    <w:rsid w:val="007A0DBC"/>
    <w:rsid w:val="007A398F"/>
    <w:rsid w:val="007A5102"/>
    <w:rsid w:val="007A5592"/>
    <w:rsid w:val="007A634A"/>
    <w:rsid w:val="007A6593"/>
    <w:rsid w:val="007A7B56"/>
    <w:rsid w:val="007B1CB5"/>
    <w:rsid w:val="007B4A64"/>
    <w:rsid w:val="007B5E8C"/>
    <w:rsid w:val="007B5F4D"/>
    <w:rsid w:val="007B60CB"/>
    <w:rsid w:val="007C5BDA"/>
    <w:rsid w:val="007D05BA"/>
    <w:rsid w:val="007D0C7F"/>
    <w:rsid w:val="007D11BB"/>
    <w:rsid w:val="007D165E"/>
    <w:rsid w:val="007D5347"/>
    <w:rsid w:val="007E0F28"/>
    <w:rsid w:val="007E292B"/>
    <w:rsid w:val="007E2944"/>
    <w:rsid w:val="007E31E8"/>
    <w:rsid w:val="007E61C3"/>
    <w:rsid w:val="007E68AB"/>
    <w:rsid w:val="007F2575"/>
    <w:rsid w:val="007F62D0"/>
    <w:rsid w:val="00800670"/>
    <w:rsid w:val="0080600D"/>
    <w:rsid w:val="008062E1"/>
    <w:rsid w:val="00810A75"/>
    <w:rsid w:val="00811E26"/>
    <w:rsid w:val="0081244D"/>
    <w:rsid w:val="0082044A"/>
    <w:rsid w:val="00822697"/>
    <w:rsid w:val="00822D8C"/>
    <w:rsid w:val="00823FB1"/>
    <w:rsid w:val="008244F2"/>
    <w:rsid w:val="0082770F"/>
    <w:rsid w:val="008319F1"/>
    <w:rsid w:val="00831E23"/>
    <w:rsid w:val="00834771"/>
    <w:rsid w:val="00834EED"/>
    <w:rsid w:val="008378CA"/>
    <w:rsid w:val="00840F19"/>
    <w:rsid w:val="00843688"/>
    <w:rsid w:val="0084389B"/>
    <w:rsid w:val="00850B7C"/>
    <w:rsid w:val="00854BA5"/>
    <w:rsid w:val="00856947"/>
    <w:rsid w:val="00857927"/>
    <w:rsid w:val="008620D4"/>
    <w:rsid w:val="008650BB"/>
    <w:rsid w:val="00866BEF"/>
    <w:rsid w:val="00870211"/>
    <w:rsid w:val="00870FA6"/>
    <w:rsid w:val="00871911"/>
    <w:rsid w:val="00871B6F"/>
    <w:rsid w:val="00871EB8"/>
    <w:rsid w:val="0087406C"/>
    <w:rsid w:val="0088481D"/>
    <w:rsid w:val="00884A4D"/>
    <w:rsid w:val="00890490"/>
    <w:rsid w:val="0089288A"/>
    <w:rsid w:val="00894986"/>
    <w:rsid w:val="00895F63"/>
    <w:rsid w:val="008A1D0D"/>
    <w:rsid w:val="008A330F"/>
    <w:rsid w:val="008A5295"/>
    <w:rsid w:val="008A5F94"/>
    <w:rsid w:val="008A703A"/>
    <w:rsid w:val="008A707E"/>
    <w:rsid w:val="008A7843"/>
    <w:rsid w:val="008B0B8F"/>
    <w:rsid w:val="008B1361"/>
    <w:rsid w:val="008B3519"/>
    <w:rsid w:val="008B4482"/>
    <w:rsid w:val="008B69D2"/>
    <w:rsid w:val="008B6D06"/>
    <w:rsid w:val="008B7D28"/>
    <w:rsid w:val="008C2067"/>
    <w:rsid w:val="008C3724"/>
    <w:rsid w:val="008C4BFE"/>
    <w:rsid w:val="008D1665"/>
    <w:rsid w:val="008D58F4"/>
    <w:rsid w:val="008D79CA"/>
    <w:rsid w:val="008D7A42"/>
    <w:rsid w:val="008E1B29"/>
    <w:rsid w:val="008E2572"/>
    <w:rsid w:val="008E2B14"/>
    <w:rsid w:val="008E52FB"/>
    <w:rsid w:val="008E5954"/>
    <w:rsid w:val="008F17A1"/>
    <w:rsid w:val="008F2249"/>
    <w:rsid w:val="008F5039"/>
    <w:rsid w:val="008F6FFC"/>
    <w:rsid w:val="0090021B"/>
    <w:rsid w:val="0090141E"/>
    <w:rsid w:val="00901708"/>
    <w:rsid w:val="0090382F"/>
    <w:rsid w:val="00917760"/>
    <w:rsid w:val="00917B4E"/>
    <w:rsid w:val="009206BE"/>
    <w:rsid w:val="009215CA"/>
    <w:rsid w:val="009259D8"/>
    <w:rsid w:val="009269E6"/>
    <w:rsid w:val="00926FDA"/>
    <w:rsid w:val="009306D9"/>
    <w:rsid w:val="009308E7"/>
    <w:rsid w:val="0093218B"/>
    <w:rsid w:val="00932B5F"/>
    <w:rsid w:val="009348AA"/>
    <w:rsid w:val="00935D66"/>
    <w:rsid w:val="00935D9A"/>
    <w:rsid w:val="009379B2"/>
    <w:rsid w:val="0094076E"/>
    <w:rsid w:val="00941A77"/>
    <w:rsid w:val="0094338D"/>
    <w:rsid w:val="009435DD"/>
    <w:rsid w:val="00943843"/>
    <w:rsid w:val="00944C09"/>
    <w:rsid w:val="00944D73"/>
    <w:rsid w:val="00944DB9"/>
    <w:rsid w:val="00945334"/>
    <w:rsid w:val="00946719"/>
    <w:rsid w:val="009508BB"/>
    <w:rsid w:val="0095314D"/>
    <w:rsid w:val="00956CAD"/>
    <w:rsid w:val="00965B64"/>
    <w:rsid w:val="00967E70"/>
    <w:rsid w:val="00970D77"/>
    <w:rsid w:val="009776DA"/>
    <w:rsid w:val="0098044B"/>
    <w:rsid w:val="00980743"/>
    <w:rsid w:val="00982863"/>
    <w:rsid w:val="00985445"/>
    <w:rsid w:val="0098577A"/>
    <w:rsid w:val="00987F6F"/>
    <w:rsid w:val="00990DC3"/>
    <w:rsid w:val="009911A1"/>
    <w:rsid w:val="00991C25"/>
    <w:rsid w:val="00994618"/>
    <w:rsid w:val="00994EAA"/>
    <w:rsid w:val="009A01E1"/>
    <w:rsid w:val="009A25B1"/>
    <w:rsid w:val="009A25F3"/>
    <w:rsid w:val="009A2692"/>
    <w:rsid w:val="009A42C6"/>
    <w:rsid w:val="009A6116"/>
    <w:rsid w:val="009B349C"/>
    <w:rsid w:val="009B6AA7"/>
    <w:rsid w:val="009B7C9C"/>
    <w:rsid w:val="009C5C3E"/>
    <w:rsid w:val="009C7B4B"/>
    <w:rsid w:val="009D04F2"/>
    <w:rsid w:val="009D4DA0"/>
    <w:rsid w:val="009D7CFA"/>
    <w:rsid w:val="009E3FCB"/>
    <w:rsid w:val="009E4AD9"/>
    <w:rsid w:val="009E73F4"/>
    <w:rsid w:val="009E7752"/>
    <w:rsid w:val="009F048C"/>
    <w:rsid w:val="009F4CC6"/>
    <w:rsid w:val="009F6999"/>
    <w:rsid w:val="00A00418"/>
    <w:rsid w:val="00A011F5"/>
    <w:rsid w:val="00A074B5"/>
    <w:rsid w:val="00A11F12"/>
    <w:rsid w:val="00A12457"/>
    <w:rsid w:val="00A12E8E"/>
    <w:rsid w:val="00A140FD"/>
    <w:rsid w:val="00A144B3"/>
    <w:rsid w:val="00A24A0C"/>
    <w:rsid w:val="00A31276"/>
    <w:rsid w:val="00A33CD2"/>
    <w:rsid w:val="00A365E3"/>
    <w:rsid w:val="00A44809"/>
    <w:rsid w:val="00A477E4"/>
    <w:rsid w:val="00A47C20"/>
    <w:rsid w:val="00A555B9"/>
    <w:rsid w:val="00A60014"/>
    <w:rsid w:val="00A60FEC"/>
    <w:rsid w:val="00A6425D"/>
    <w:rsid w:val="00A65E25"/>
    <w:rsid w:val="00A663A8"/>
    <w:rsid w:val="00A73381"/>
    <w:rsid w:val="00A73AA2"/>
    <w:rsid w:val="00A74307"/>
    <w:rsid w:val="00A74EA9"/>
    <w:rsid w:val="00A74F22"/>
    <w:rsid w:val="00A74F93"/>
    <w:rsid w:val="00A75E91"/>
    <w:rsid w:val="00A77A82"/>
    <w:rsid w:val="00A80370"/>
    <w:rsid w:val="00A81418"/>
    <w:rsid w:val="00A81DF4"/>
    <w:rsid w:val="00A84005"/>
    <w:rsid w:val="00A907B7"/>
    <w:rsid w:val="00A90CFA"/>
    <w:rsid w:val="00A966D1"/>
    <w:rsid w:val="00A97EF8"/>
    <w:rsid w:val="00AA0808"/>
    <w:rsid w:val="00AA1EF8"/>
    <w:rsid w:val="00AA2047"/>
    <w:rsid w:val="00AA2C13"/>
    <w:rsid w:val="00AA3CBF"/>
    <w:rsid w:val="00AA4A54"/>
    <w:rsid w:val="00AB1ADF"/>
    <w:rsid w:val="00AB2596"/>
    <w:rsid w:val="00AB2956"/>
    <w:rsid w:val="00AB42C3"/>
    <w:rsid w:val="00AB508C"/>
    <w:rsid w:val="00AC1166"/>
    <w:rsid w:val="00AC44C6"/>
    <w:rsid w:val="00AC6C0C"/>
    <w:rsid w:val="00AC6FA9"/>
    <w:rsid w:val="00AD3941"/>
    <w:rsid w:val="00AD43B5"/>
    <w:rsid w:val="00AD5B34"/>
    <w:rsid w:val="00AD608A"/>
    <w:rsid w:val="00AE18F7"/>
    <w:rsid w:val="00AE230F"/>
    <w:rsid w:val="00AE3E85"/>
    <w:rsid w:val="00AE7EFA"/>
    <w:rsid w:val="00AF04BD"/>
    <w:rsid w:val="00AF1927"/>
    <w:rsid w:val="00AF29CA"/>
    <w:rsid w:val="00AF33B5"/>
    <w:rsid w:val="00B0553F"/>
    <w:rsid w:val="00B060E6"/>
    <w:rsid w:val="00B10E71"/>
    <w:rsid w:val="00B11090"/>
    <w:rsid w:val="00B1499C"/>
    <w:rsid w:val="00B16BEF"/>
    <w:rsid w:val="00B16F84"/>
    <w:rsid w:val="00B17508"/>
    <w:rsid w:val="00B218C7"/>
    <w:rsid w:val="00B21C03"/>
    <w:rsid w:val="00B21CFA"/>
    <w:rsid w:val="00B2578C"/>
    <w:rsid w:val="00B25BDE"/>
    <w:rsid w:val="00B264C5"/>
    <w:rsid w:val="00B267A2"/>
    <w:rsid w:val="00B275AF"/>
    <w:rsid w:val="00B3100D"/>
    <w:rsid w:val="00B33717"/>
    <w:rsid w:val="00B34F9C"/>
    <w:rsid w:val="00B34FCA"/>
    <w:rsid w:val="00B35885"/>
    <w:rsid w:val="00B36A24"/>
    <w:rsid w:val="00B41ABC"/>
    <w:rsid w:val="00B41F4E"/>
    <w:rsid w:val="00B42EDC"/>
    <w:rsid w:val="00B44265"/>
    <w:rsid w:val="00B45EB6"/>
    <w:rsid w:val="00B506AF"/>
    <w:rsid w:val="00B506E8"/>
    <w:rsid w:val="00B5227E"/>
    <w:rsid w:val="00B52C9C"/>
    <w:rsid w:val="00B5482A"/>
    <w:rsid w:val="00B56022"/>
    <w:rsid w:val="00B56C76"/>
    <w:rsid w:val="00B57C05"/>
    <w:rsid w:val="00B65756"/>
    <w:rsid w:val="00B7038D"/>
    <w:rsid w:val="00B706AB"/>
    <w:rsid w:val="00B71148"/>
    <w:rsid w:val="00B71EBF"/>
    <w:rsid w:val="00B723AB"/>
    <w:rsid w:val="00B73009"/>
    <w:rsid w:val="00B73263"/>
    <w:rsid w:val="00B76907"/>
    <w:rsid w:val="00B80B29"/>
    <w:rsid w:val="00B81791"/>
    <w:rsid w:val="00B820CB"/>
    <w:rsid w:val="00B832DC"/>
    <w:rsid w:val="00B875DB"/>
    <w:rsid w:val="00B876D9"/>
    <w:rsid w:val="00B90C2B"/>
    <w:rsid w:val="00B9229C"/>
    <w:rsid w:val="00BA06B8"/>
    <w:rsid w:val="00BA173B"/>
    <w:rsid w:val="00BA1FFD"/>
    <w:rsid w:val="00BA25FB"/>
    <w:rsid w:val="00BA41CC"/>
    <w:rsid w:val="00BA769D"/>
    <w:rsid w:val="00BB057D"/>
    <w:rsid w:val="00BB15FF"/>
    <w:rsid w:val="00BB4BE0"/>
    <w:rsid w:val="00BB5A53"/>
    <w:rsid w:val="00BC06D6"/>
    <w:rsid w:val="00BC2F81"/>
    <w:rsid w:val="00BC46D9"/>
    <w:rsid w:val="00BC5E04"/>
    <w:rsid w:val="00BD287B"/>
    <w:rsid w:val="00BD3055"/>
    <w:rsid w:val="00BD5F89"/>
    <w:rsid w:val="00BD6965"/>
    <w:rsid w:val="00BD70F6"/>
    <w:rsid w:val="00BF0AEE"/>
    <w:rsid w:val="00BF138B"/>
    <w:rsid w:val="00BF3EBC"/>
    <w:rsid w:val="00BF4701"/>
    <w:rsid w:val="00BF6660"/>
    <w:rsid w:val="00BF6EF0"/>
    <w:rsid w:val="00BF720A"/>
    <w:rsid w:val="00BF735F"/>
    <w:rsid w:val="00BF753E"/>
    <w:rsid w:val="00C13210"/>
    <w:rsid w:val="00C1452A"/>
    <w:rsid w:val="00C172AE"/>
    <w:rsid w:val="00C20041"/>
    <w:rsid w:val="00C200F9"/>
    <w:rsid w:val="00C20327"/>
    <w:rsid w:val="00C20B96"/>
    <w:rsid w:val="00C23A8F"/>
    <w:rsid w:val="00C24F5B"/>
    <w:rsid w:val="00C30408"/>
    <w:rsid w:val="00C304AC"/>
    <w:rsid w:val="00C30A5E"/>
    <w:rsid w:val="00C32B51"/>
    <w:rsid w:val="00C33A52"/>
    <w:rsid w:val="00C34204"/>
    <w:rsid w:val="00C34CF4"/>
    <w:rsid w:val="00C3659D"/>
    <w:rsid w:val="00C37A47"/>
    <w:rsid w:val="00C40B56"/>
    <w:rsid w:val="00C41808"/>
    <w:rsid w:val="00C41C7C"/>
    <w:rsid w:val="00C4280D"/>
    <w:rsid w:val="00C43532"/>
    <w:rsid w:val="00C50ECC"/>
    <w:rsid w:val="00C5489C"/>
    <w:rsid w:val="00C607E6"/>
    <w:rsid w:val="00C64C11"/>
    <w:rsid w:val="00C66D5F"/>
    <w:rsid w:val="00C7345C"/>
    <w:rsid w:val="00C77182"/>
    <w:rsid w:val="00C81D0D"/>
    <w:rsid w:val="00C84131"/>
    <w:rsid w:val="00C90C4E"/>
    <w:rsid w:val="00C91172"/>
    <w:rsid w:val="00C926C7"/>
    <w:rsid w:val="00C92DE1"/>
    <w:rsid w:val="00CB0972"/>
    <w:rsid w:val="00CB3A5A"/>
    <w:rsid w:val="00CB69A2"/>
    <w:rsid w:val="00CC0F25"/>
    <w:rsid w:val="00CC10DD"/>
    <w:rsid w:val="00CC4B8C"/>
    <w:rsid w:val="00CC50FA"/>
    <w:rsid w:val="00CC5BA2"/>
    <w:rsid w:val="00CC7799"/>
    <w:rsid w:val="00CC7A7D"/>
    <w:rsid w:val="00CD246F"/>
    <w:rsid w:val="00CE18F5"/>
    <w:rsid w:val="00CE2796"/>
    <w:rsid w:val="00CE5D39"/>
    <w:rsid w:val="00CF1F86"/>
    <w:rsid w:val="00CF2FA0"/>
    <w:rsid w:val="00CF45F0"/>
    <w:rsid w:val="00CF5693"/>
    <w:rsid w:val="00D00368"/>
    <w:rsid w:val="00D04D02"/>
    <w:rsid w:val="00D054EA"/>
    <w:rsid w:val="00D06EB6"/>
    <w:rsid w:val="00D125B3"/>
    <w:rsid w:val="00D246C8"/>
    <w:rsid w:val="00D24F9B"/>
    <w:rsid w:val="00D264A6"/>
    <w:rsid w:val="00D278F6"/>
    <w:rsid w:val="00D30B96"/>
    <w:rsid w:val="00D317F6"/>
    <w:rsid w:val="00D3234E"/>
    <w:rsid w:val="00D33218"/>
    <w:rsid w:val="00D33CF7"/>
    <w:rsid w:val="00D349A3"/>
    <w:rsid w:val="00D36BAF"/>
    <w:rsid w:val="00D36C17"/>
    <w:rsid w:val="00D3785F"/>
    <w:rsid w:val="00D40770"/>
    <w:rsid w:val="00D42984"/>
    <w:rsid w:val="00D43F9A"/>
    <w:rsid w:val="00D456D1"/>
    <w:rsid w:val="00D4596A"/>
    <w:rsid w:val="00D474C2"/>
    <w:rsid w:val="00D47A34"/>
    <w:rsid w:val="00D47E7E"/>
    <w:rsid w:val="00D50155"/>
    <w:rsid w:val="00D50CE0"/>
    <w:rsid w:val="00D556BD"/>
    <w:rsid w:val="00D60BAF"/>
    <w:rsid w:val="00D64302"/>
    <w:rsid w:val="00D6513C"/>
    <w:rsid w:val="00D653FF"/>
    <w:rsid w:val="00D70FC7"/>
    <w:rsid w:val="00D72886"/>
    <w:rsid w:val="00D736EE"/>
    <w:rsid w:val="00D77762"/>
    <w:rsid w:val="00D77952"/>
    <w:rsid w:val="00D801D9"/>
    <w:rsid w:val="00D95498"/>
    <w:rsid w:val="00DA00C4"/>
    <w:rsid w:val="00DA116E"/>
    <w:rsid w:val="00DA1A7E"/>
    <w:rsid w:val="00DA22CE"/>
    <w:rsid w:val="00DA3BE1"/>
    <w:rsid w:val="00DA4D98"/>
    <w:rsid w:val="00DA7BD8"/>
    <w:rsid w:val="00DB00C9"/>
    <w:rsid w:val="00DB414B"/>
    <w:rsid w:val="00DC3B2D"/>
    <w:rsid w:val="00DC3EC7"/>
    <w:rsid w:val="00DC436C"/>
    <w:rsid w:val="00DC51EE"/>
    <w:rsid w:val="00DC67ED"/>
    <w:rsid w:val="00DD172C"/>
    <w:rsid w:val="00DD1B5F"/>
    <w:rsid w:val="00DD1C77"/>
    <w:rsid w:val="00DD3236"/>
    <w:rsid w:val="00DD5366"/>
    <w:rsid w:val="00DD5AC6"/>
    <w:rsid w:val="00DD6453"/>
    <w:rsid w:val="00DD6C66"/>
    <w:rsid w:val="00DD6D2F"/>
    <w:rsid w:val="00DE0719"/>
    <w:rsid w:val="00DE0A2E"/>
    <w:rsid w:val="00DE2693"/>
    <w:rsid w:val="00DE282A"/>
    <w:rsid w:val="00DE456B"/>
    <w:rsid w:val="00DF07B2"/>
    <w:rsid w:val="00DF0A18"/>
    <w:rsid w:val="00DF7982"/>
    <w:rsid w:val="00E04D57"/>
    <w:rsid w:val="00E053D5"/>
    <w:rsid w:val="00E05FB2"/>
    <w:rsid w:val="00E10793"/>
    <w:rsid w:val="00E13FB6"/>
    <w:rsid w:val="00E15935"/>
    <w:rsid w:val="00E20FE2"/>
    <w:rsid w:val="00E21216"/>
    <w:rsid w:val="00E2281A"/>
    <w:rsid w:val="00E25FCA"/>
    <w:rsid w:val="00E26CD8"/>
    <w:rsid w:val="00E26E0E"/>
    <w:rsid w:val="00E27517"/>
    <w:rsid w:val="00E301A4"/>
    <w:rsid w:val="00E31BD2"/>
    <w:rsid w:val="00E44293"/>
    <w:rsid w:val="00E44F31"/>
    <w:rsid w:val="00E50E43"/>
    <w:rsid w:val="00E51AF5"/>
    <w:rsid w:val="00E52012"/>
    <w:rsid w:val="00E554E6"/>
    <w:rsid w:val="00E64550"/>
    <w:rsid w:val="00E64E66"/>
    <w:rsid w:val="00E65C16"/>
    <w:rsid w:val="00E66FDE"/>
    <w:rsid w:val="00E7175D"/>
    <w:rsid w:val="00E72DA5"/>
    <w:rsid w:val="00E73BDE"/>
    <w:rsid w:val="00E7718D"/>
    <w:rsid w:val="00E84A4A"/>
    <w:rsid w:val="00E91511"/>
    <w:rsid w:val="00E922BD"/>
    <w:rsid w:val="00E9320D"/>
    <w:rsid w:val="00E93BE4"/>
    <w:rsid w:val="00E95574"/>
    <w:rsid w:val="00E96250"/>
    <w:rsid w:val="00EA0E73"/>
    <w:rsid w:val="00EA2C55"/>
    <w:rsid w:val="00EA5B8A"/>
    <w:rsid w:val="00EB4295"/>
    <w:rsid w:val="00EB4A81"/>
    <w:rsid w:val="00EB7B67"/>
    <w:rsid w:val="00EC1BA2"/>
    <w:rsid w:val="00EC1F11"/>
    <w:rsid w:val="00EC609E"/>
    <w:rsid w:val="00EC772E"/>
    <w:rsid w:val="00ED0527"/>
    <w:rsid w:val="00ED194A"/>
    <w:rsid w:val="00ED2AA3"/>
    <w:rsid w:val="00ED2AC3"/>
    <w:rsid w:val="00ED462E"/>
    <w:rsid w:val="00ED62AC"/>
    <w:rsid w:val="00ED6508"/>
    <w:rsid w:val="00ED7DE0"/>
    <w:rsid w:val="00EE3CA1"/>
    <w:rsid w:val="00EE60C4"/>
    <w:rsid w:val="00EE7F15"/>
    <w:rsid w:val="00EF0036"/>
    <w:rsid w:val="00EF1D42"/>
    <w:rsid w:val="00EF2374"/>
    <w:rsid w:val="00EF3CA4"/>
    <w:rsid w:val="00EF5C10"/>
    <w:rsid w:val="00EF74CE"/>
    <w:rsid w:val="00EF775D"/>
    <w:rsid w:val="00F020E9"/>
    <w:rsid w:val="00F030D2"/>
    <w:rsid w:val="00F031B4"/>
    <w:rsid w:val="00F054C0"/>
    <w:rsid w:val="00F07E97"/>
    <w:rsid w:val="00F07EFB"/>
    <w:rsid w:val="00F1090F"/>
    <w:rsid w:val="00F13466"/>
    <w:rsid w:val="00F139A7"/>
    <w:rsid w:val="00F1470B"/>
    <w:rsid w:val="00F20489"/>
    <w:rsid w:val="00F20D95"/>
    <w:rsid w:val="00F22467"/>
    <w:rsid w:val="00F332D4"/>
    <w:rsid w:val="00F402CD"/>
    <w:rsid w:val="00F451DB"/>
    <w:rsid w:val="00F45919"/>
    <w:rsid w:val="00F45F7F"/>
    <w:rsid w:val="00F50B8B"/>
    <w:rsid w:val="00F51D10"/>
    <w:rsid w:val="00F60AA0"/>
    <w:rsid w:val="00F60B61"/>
    <w:rsid w:val="00F6255A"/>
    <w:rsid w:val="00F62CA1"/>
    <w:rsid w:val="00F63172"/>
    <w:rsid w:val="00F70FFA"/>
    <w:rsid w:val="00F71FFE"/>
    <w:rsid w:val="00F76722"/>
    <w:rsid w:val="00F770E9"/>
    <w:rsid w:val="00F805AD"/>
    <w:rsid w:val="00F81343"/>
    <w:rsid w:val="00F91ED3"/>
    <w:rsid w:val="00F9214A"/>
    <w:rsid w:val="00F92772"/>
    <w:rsid w:val="00F95179"/>
    <w:rsid w:val="00F96797"/>
    <w:rsid w:val="00F974C1"/>
    <w:rsid w:val="00FA24AA"/>
    <w:rsid w:val="00FA3A0B"/>
    <w:rsid w:val="00FA53B2"/>
    <w:rsid w:val="00FA5A9C"/>
    <w:rsid w:val="00FA703B"/>
    <w:rsid w:val="00FB1580"/>
    <w:rsid w:val="00FB1CA6"/>
    <w:rsid w:val="00FB4B39"/>
    <w:rsid w:val="00FB5A4B"/>
    <w:rsid w:val="00FC1BB6"/>
    <w:rsid w:val="00FC385C"/>
    <w:rsid w:val="00FC3C1A"/>
    <w:rsid w:val="00FC3CB7"/>
    <w:rsid w:val="00FC3DDC"/>
    <w:rsid w:val="00FC41B5"/>
    <w:rsid w:val="00FC4966"/>
    <w:rsid w:val="00FD0107"/>
    <w:rsid w:val="00FD04CE"/>
    <w:rsid w:val="00FD0E95"/>
    <w:rsid w:val="00FD6BD6"/>
    <w:rsid w:val="00FD7030"/>
    <w:rsid w:val="00FD7259"/>
    <w:rsid w:val="00FE24B9"/>
    <w:rsid w:val="00FE35D7"/>
    <w:rsid w:val="00FF0491"/>
    <w:rsid w:val="00FF07EF"/>
    <w:rsid w:val="00FF0EC0"/>
    <w:rsid w:val="00FF14A2"/>
    <w:rsid w:val="00FF4C55"/>
    <w:rsid w:val="00FF79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289D1B"/>
  <w15:docId w15:val="{567F740C-30A3-44D6-948E-72EC5DF6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3A23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502B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ibliography"/>
    <w:basedOn w:val="a"/>
    <w:next w:val="a"/>
    <w:uiPriority w:val="37"/>
    <w:unhideWhenUsed/>
    <w:rsid w:val="006C3482"/>
    <w:pPr>
      <w:spacing w:after="240" w:line="240" w:lineRule="auto"/>
    </w:pPr>
  </w:style>
  <w:style w:type="paragraph" w:styleId="a4">
    <w:name w:val="Balloon Text"/>
    <w:basedOn w:val="a"/>
    <w:link w:val="a5"/>
    <w:uiPriority w:val="99"/>
    <w:semiHidden/>
    <w:unhideWhenUsed/>
    <w:rsid w:val="00070E99"/>
    <w:pPr>
      <w:spacing w:after="0" w:line="240" w:lineRule="auto"/>
    </w:pPr>
    <w:rPr>
      <w:rFonts w:ascii="ＭＳ 明朝" w:eastAsia="ＭＳ 明朝"/>
      <w:sz w:val="18"/>
      <w:szCs w:val="18"/>
    </w:rPr>
  </w:style>
  <w:style w:type="character" w:customStyle="1" w:styleId="a5">
    <w:name w:val="吹き出し (文字)"/>
    <w:basedOn w:val="a0"/>
    <w:link w:val="a4"/>
    <w:uiPriority w:val="99"/>
    <w:semiHidden/>
    <w:rsid w:val="00070E99"/>
    <w:rPr>
      <w:rFonts w:ascii="ＭＳ 明朝" w:eastAsia="ＭＳ 明朝"/>
      <w:sz w:val="18"/>
      <w:szCs w:val="18"/>
    </w:rPr>
  </w:style>
  <w:style w:type="character" w:styleId="a6">
    <w:name w:val="annotation reference"/>
    <w:basedOn w:val="a0"/>
    <w:uiPriority w:val="99"/>
    <w:semiHidden/>
    <w:unhideWhenUsed/>
    <w:rsid w:val="00070E99"/>
    <w:rPr>
      <w:sz w:val="18"/>
      <w:szCs w:val="18"/>
    </w:rPr>
  </w:style>
  <w:style w:type="paragraph" w:styleId="a7">
    <w:name w:val="annotation text"/>
    <w:basedOn w:val="a"/>
    <w:link w:val="a8"/>
    <w:uiPriority w:val="99"/>
    <w:unhideWhenUsed/>
    <w:rsid w:val="00070E99"/>
  </w:style>
  <w:style w:type="character" w:customStyle="1" w:styleId="a8">
    <w:name w:val="コメント文字列 (文字)"/>
    <w:basedOn w:val="a0"/>
    <w:link w:val="a7"/>
    <w:uiPriority w:val="99"/>
    <w:rsid w:val="00070E99"/>
  </w:style>
  <w:style w:type="paragraph" w:styleId="a9">
    <w:name w:val="annotation subject"/>
    <w:basedOn w:val="a7"/>
    <w:next w:val="a7"/>
    <w:link w:val="aa"/>
    <w:uiPriority w:val="99"/>
    <w:semiHidden/>
    <w:unhideWhenUsed/>
    <w:rsid w:val="00070E99"/>
    <w:rPr>
      <w:b/>
      <w:bCs/>
    </w:rPr>
  </w:style>
  <w:style w:type="character" w:customStyle="1" w:styleId="aa">
    <w:name w:val="コメント内容 (文字)"/>
    <w:basedOn w:val="a8"/>
    <w:link w:val="a9"/>
    <w:uiPriority w:val="99"/>
    <w:semiHidden/>
    <w:rsid w:val="00070E99"/>
    <w:rPr>
      <w:b/>
      <w:bCs/>
    </w:rPr>
  </w:style>
  <w:style w:type="paragraph" w:styleId="ab">
    <w:name w:val="Revision"/>
    <w:hidden/>
    <w:uiPriority w:val="99"/>
    <w:semiHidden/>
    <w:rsid w:val="00AB508C"/>
    <w:pPr>
      <w:spacing w:after="0" w:line="240" w:lineRule="auto"/>
    </w:pPr>
  </w:style>
  <w:style w:type="table" w:styleId="21">
    <w:name w:val="Plain Table 2"/>
    <w:basedOn w:val="a1"/>
    <w:uiPriority w:val="42"/>
    <w:rsid w:val="00452BB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
    <w:name w:val="Grid Table 1 Light"/>
    <w:basedOn w:val="a1"/>
    <w:uiPriority w:val="46"/>
    <w:rsid w:val="00452B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a0"/>
    <w:rsid w:val="00D95498"/>
    <w:rPr>
      <w:rFonts w:ascii="STIX-Regular" w:hAnsi="STIX-Regular" w:hint="default"/>
      <w:b w:val="0"/>
      <w:bCs w:val="0"/>
      <w:i w:val="0"/>
      <w:iCs w:val="0"/>
      <w:color w:val="000000"/>
      <w:sz w:val="18"/>
      <w:szCs w:val="18"/>
    </w:rPr>
  </w:style>
  <w:style w:type="character" w:styleId="ac">
    <w:name w:val="Hyperlink"/>
    <w:basedOn w:val="a0"/>
    <w:uiPriority w:val="99"/>
    <w:unhideWhenUsed/>
    <w:rsid w:val="00E52012"/>
    <w:rPr>
      <w:color w:val="0563C1"/>
      <w:u w:val="single"/>
    </w:rPr>
  </w:style>
  <w:style w:type="character" w:customStyle="1" w:styleId="red-underline">
    <w:name w:val="red-underline"/>
    <w:basedOn w:val="a0"/>
    <w:rsid w:val="00300088"/>
  </w:style>
  <w:style w:type="paragraph" w:customStyle="1" w:styleId="root-block-node">
    <w:name w:val="root-block-node"/>
    <w:basedOn w:val="a"/>
    <w:rsid w:val="00D317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a0"/>
    <w:rsid w:val="009B349C"/>
    <w:rPr>
      <w:rFonts w:ascii="AdvOT82c4f4c4+fb" w:hAnsi="AdvOT82c4f4c4+fb" w:hint="default"/>
      <w:b w:val="0"/>
      <w:bCs w:val="0"/>
      <w:i w:val="0"/>
      <w:iCs w:val="0"/>
      <w:color w:val="000000"/>
      <w:sz w:val="16"/>
      <w:szCs w:val="16"/>
    </w:rPr>
  </w:style>
  <w:style w:type="character" w:customStyle="1" w:styleId="fontstyle31">
    <w:name w:val="fontstyle31"/>
    <w:basedOn w:val="a0"/>
    <w:rsid w:val="009B349C"/>
    <w:rPr>
      <w:rFonts w:ascii="AdvOT82c4f4c4+22" w:hAnsi="AdvOT82c4f4c4+22" w:hint="default"/>
      <w:b w:val="0"/>
      <w:bCs w:val="0"/>
      <w:i w:val="0"/>
      <w:iCs w:val="0"/>
      <w:color w:val="000000"/>
      <w:sz w:val="16"/>
      <w:szCs w:val="16"/>
    </w:rPr>
  </w:style>
  <w:style w:type="character" w:customStyle="1" w:styleId="fontstyle41">
    <w:name w:val="fontstyle41"/>
    <w:basedOn w:val="a0"/>
    <w:rsid w:val="009B349C"/>
    <w:rPr>
      <w:rFonts w:ascii="AdvOT82c4f4c4+20" w:hAnsi="AdvOT82c4f4c4+20" w:hint="default"/>
      <w:b w:val="0"/>
      <w:bCs w:val="0"/>
      <w:i w:val="0"/>
      <w:iCs w:val="0"/>
      <w:color w:val="000000"/>
      <w:sz w:val="16"/>
      <w:szCs w:val="16"/>
    </w:rPr>
  </w:style>
  <w:style w:type="character" w:customStyle="1" w:styleId="fontstyle51">
    <w:name w:val="fontstyle51"/>
    <w:basedOn w:val="a0"/>
    <w:rsid w:val="009B349C"/>
    <w:rPr>
      <w:rFonts w:ascii="AdvP4C4E74" w:hAnsi="AdvP4C4E74" w:hint="default"/>
      <w:b w:val="0"/>
      <w:bCs w:val="0"/>
      <w:i w:val="0"/>
      <w:iCs w:val="0"/>
      <w:color w:val="000000"/>
      <w:sz w:val="16"/>
      <w:szCs w:val="16"/>
    </w:rPr>
  </w:style>
  <w:style w:type="table" w:styleId="5">
    <w:name w:val="Plain Table 5"/>
    <w:basedOn w:val="a1"/>
    <w:uiPriority w:val="45"/>
    <w:rsid w:val="002A31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d">
    <w:name w:val="List Paragraph"/>
    <w:basedOn w:val="a"/>
    <w:uiPriority w:val="34"/>
    <w:qFormat/>
    <w:rsid w:val="00FD0107"/>
    <w:pPr>
      <w:spacing w:after="0" w:line="240" w:lineRule="auto"/>
      <w:ind w:left="720"/>
      <w:contextualSpacing/>
    </w:pPr>
    <w:rPr>
      <w:rFonts w:ascii="Times New Roman" w:hAnsi="Times New Roman" w:cs="Times New Roman"/>
      <w:sz w:val="24"/>
      <w:szCs w:val="24"/>
    </w:rPr>
  </w:style>
  <w:style w:type="character" w:customStyle="1" w:styleId="muitypography-root">
    <w:name w:val="muitypography-root"/>
    <w:basedOn w:val="a0"/>
    <w:rsid w:val="00810A75"/>
  </w:style>
  <w:style w:type="table" w:styleId="ae">
    <w:name w:val="Table Grid"/>
    <w:basedOn w:val="a1"/>
    <w:uiPriority w:val="39"/>
    <w:rsid w:val="00D45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6549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a1">
    <w:name w:val="oa1"/>
    <w:basedOn w:val="a"/>
    <w:rsid w:val="006549A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oa2">
    <w:name w:val="oa2"/>
    <w:basedOn w:val="a"/>
    <w:rsid w:val="006549A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oa3">
    <w:name w:val="oa3"/>
    <w:basedOn w:val="a"/>
    <w:rsid w:val="006549AA"/>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oa4">
    <w:name w:val="oa4"/>
    <w:basedOn w:val="a"/>
    <w:rsid w:val="006549A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oa5">
    <w:name w:val="oa5"/>
    <w:basedOn w:val="a"/>
    <w:rsid w:val="006549A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oa6">
    <w:name w:val="oa6"/>
    <w:basedOn w:val="a"/>
    <w:rsid w:val="006549A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Web">
    <w:name w:val="Normal (Web)"/>
    <w:basedOn w:val="a"/>
    <w:uiPriority w:val="99"/>
    <w:semiHidden/>
    <w:unhideWhenUsed/>
    <w:rsid w:val="006549AA"/>
    <w:pPr>
      <w:spacing w:before="100" w:beforeAutospacing="1" w:after="100" w:afterAutospacing="1" w:line="240" w:lineRule="auto"/>
    </w:pPr>
    <w:rPr>
      <w:rFonts w:ascii="Times New Roman" w:eastAsia="Times New Roman" w:hAnsi="Times New Roman" w:cs="Times New Roman"/>
      <w:sz w:val="24"/>
      <w:szCs w:val="24"/>
    </w:rPr>
  </w:style>
  <w:style w:type="table" w:styleId="af">
    <w:name w:val="Grid Table Light"/>
    <w:basedOn w:val="a1"/>
    <w:uiPriority w:val="40"/>
    <w:rsid w:val="00322EA7"/>
    <w:pPr>
      <w:spacing w:after="0" w:line="240" w:lineRule="auto"/>
    </w:pPr>
    <w:rPr>
      <w:kern w:val="2"/>
      <w:sz w:val="21"/>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0">
    <w:name w:val="見出し 4 (文字)"/>
    <w:basedOn w:val="a0"/>
    <w:link w:val="4"/>
    <w:uiPriority w:val="9"/>
    <w:semiHidden/>
    <w:rsid w:val="00502B41"/>
    <w:rPr>
      <w:rFonts w:asciiTheme="majorHAnsi" w:eastAsiaTheme="majorEastAsia" w:hAnsiTheme="majorHAnsi" w:cstheme="majorBidi"/>
      <w:i/>
      <w:iCs/>
      <w:color w:val="2F5496" w:themeColor="accent1" w:themeShade="BF"/>
    </w:rPr>
  </w:style>
  <w:style w:type="character" w:styleId="af0">
    <w:name w:val="Unresolved Mention"/>
    <w:basedOn w:val="a0"/>
    <w:uiPriority w:val="99"/>
    <w:rsid w:val="00E64E66"/>
    <w:rPr>
      <w:color w:val="605E5C"/>
      <w:shd w:val="clear" w:color="auto" w:fill="E1DFDD"/>
    </w:rPr>
  </w:style>
  <w:style w:type="paragraph" w:customStyle="1" w:styleId="EndNoteBibliography">
    <w:name w:val="EndNote Bibliography"/>
    <w:basedOn w:val="a"/>
    <w:link w:val="EndNoteBibliographyChar"/>
    <w:rsid w:val="001232F9"/>
    <w:pPr>
      <w:bidi/>
      <w:spacing w:after="200" w:line="240" w:lineRule="auto"/>
      <w:jc w:val="both"/>
    </w:pPr>
    <w:rPr>
      <w:rFonts w:ascii="Calibri" w:eastAsiaTheme="minorHAnsi" w:hAnsi="Calibri" w:cs="Calibri"/>
      <w:noProof/>
      <w:lang w:eastAsia="en-US"/>
    </w:rPr>
  </w:style>
  <w:style w:type="character" w:customStyle="1" w:styleId="EndNoteBibliographyChar">
    <w:name w:val="EndNote Bibliography Char"/>
    <w:basedOn w:val="a0"/>
    <w:link w:val="EndNoteBibliography"/>
    <w:rsid w:val="001232F9"/>
    <w:rPr>
      <w:rFonts w:ascii="Calibri" w:eastAsiaTheme="minorHAnsi" w:hAnsi="Calibri" w:cs="Calibri"/>
      <w:noProof/>
      <w:lang w:eastAsia="en-US"/>
    </w:rPr>
  </w:style>
  <w:style w:type="character" w:customStyle="1" w:styleId="20">
    <w:name w:val="見出し 2 (文字)"/>
    <w:basedOn w:val="a0"/>
    <w:link w:val="2"/>
    <w:uiPriority w:val="9"/>
    <w:semiHidden/>
    <w:rsid w:val="003A234C"/>
    <w:rPr>
      <w:rFonts w:asciiTheme="majorHAnsi" w:eastAsiaTheme="majorEastAsia" w:hAnsiTheme="majorHAnsi" w:cstheme="majorBidi"/>
      <w:color w:val="2F5496" w:themeColor="accent1" w:themeShade="BF"/>
      <w:sz w:val="26"/>
      <w:szCs w:val="26"/>
    </w:rPr>
  </w:style>
  <w:style w:type="character" w:customStyle="1" w:styleId="whitespace-nowrap">
    <w:name w:val="whitespace-nowrap"/>
    <w:basedOn w:val="a0"/>
    <w:rsid w:val="008E52FB"/>
  </w:style>
  <w:style w:type="paragraph" w:customStyle="1" w:styleId="paperauthor">
    <w:name w:val="paper_author"/>
    <w:basedOn w:val="a"/>
    <w:rsid w:val="001E40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perorganisation">
    <w:name w:val="paper_organisation"/>
    <w:basedOn w:val="a"/>
    <w:rsid w:val="001E40DD"/>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FollowedHyperlink"/>
    <w:basedOn w:val="a0"/>
    <w:uiPriority w:val="99"/>
    <w:semiHidden/>
    <w:unhideWhenUsed/>
    <w:rsid w:val="001E40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810">
      <w:bodyDiv w:val="1"/>
      <w:marLeft w:val="0"/>
      <w:marRight w:val="0"/>
      <w:marTop w:val="0"/>
      <w:marBottom w:val="0"/>
      <w:divBdr>
        <w:top w:val="none" w:sz="0" w:space="0" w:color="auto"/>
        <w:left w:val="none" w:sz="0" w:space="0" w:color="auto"/>
        <w:bottom w:val="none" w:sz="0" w:space="0" w:color="auto"/>
        <w:right w:val="none" w:sz="0" w:space="0" w:color="auto"/>
      </w:divBdr>
    </w:div>
    <w:div w:id="19934095">
      <w:bodyDiv w:val="1"/>
      <w:marLeft w:val="0"/>
      <w:marRight w:val="0"/>
      <w:marTop w:val="0"/>
      <w:marBottom w:val="0"/>
      <w:divBdr>
        <w:top w:val="none" w:sz="0" w:space="0" w:color="auto"/>
        <w:left w:val="none" w:sz="0" w:space="0" w:color="auto"/>
        <w:bottom w:val="none" w:sz="0" w:space="0" w:color="auto"/>
        <w:right w:val="none" w:sz="0" w:space="0" w:color="auto"/>
      </w:divBdr>
    </w:div>
    <w:div w:id="35080887">
      <w:bodyDiv w:val="1"/>
      <w:marLeft w:val="0"/>
      <w:marRight w:val="0"/>
      <w:marTop w:val="0"/>
      <w:marBottom w:val="0"/>
      <w:divBdr>
        <w:top w:val="none" w:sz="0" w:space="0" w:color="auto"/>
        <w:left w:val="none" w:sz="0" w:space="0" w:color="auto"/>
        <w:bottom w:val="none" w:sz="0" w:space="0" w:color="auto"/>
        <w:right w:val="none" w:sz="0" w:space="0" w:color="auto"/>
      </w:divBdr>
    </w:div>
    <w:div w:id="40448696">
      <w:bodyDiv w:val="1"/>
      <w:marLeft w:val="0"/>
      <w:marRight w:val="0"/>
      <w:marTop w:val="0"/>
      <w:marBottom w:val="0"/>
      <w:divBdr>
        <w:top w:val="none" w:sz="0" w:space="0" w:color="auto"/>
        <w:left w:val="none" w:sz="0" w:space="0" w:color="auto"/>
        <w:bottom w:val="none" w:sz="0" w:space="0" w:color="auto"/>
        <w:right w:val="none" w:sz="0" w:space="0" w:color="auto"/>
      </w:divBdr>
    </w:div>
    <w:div w:id="62678272">
      <w:bodyDiv w:val="1"/>
      <w:marLeft w:val="0"/>
      <w:marRight w:val="0"/>
      <w:marTop w:val="0"/>
      <w:marBottom w:val="0"/>
      <w:divBdr>
        <w:top w:val="none" w:sz="0" w:space="0" w:color="auto"/>
        <w:left w:val="none" w:sz="0" w:space="0" w:color="auto"/>
        <w:bottom w:val="none" w:sz="0" w:space="0" w:color="auto"/>
        <w:right w:val="none" w:sz="0" w:space="0" w:color="auto"/>
      </w:divBdr>
    </w:div>
    <w:div w:id="63533618">
      <w:bodyDiv w:val="1"/>
      <w:marLeft w:val="0"/>
      <w:marRight w:val="0"/>
      <w:marTop w:val="0"/>
      <w:marBottom w:val="0"/>
      <w:divBdr>
        <w:top w:val="none" w:sz="0" w:space="0" w:color="auto"/>
        <w:left w:val="none" w:sz="0" w:space="0" w:color="auto"/>
        <w:bottom w:val="none" w:sz="0" w:space="0" w:color="auto"/>
        <w:right w:val="none" w:sz="0" w:space="0" w:color="auto"/>
      </w:divBdr>
    </w:div>
    <w:div w:id="147671356">
      <w:bodyDiv w:val="1"/>
      <w:marLeft w:val="0"/>
      <w:marRight w:val="0"/>
      <w:marTop w:val="0"/>
      <w:marBottom w:val="0"/>
      <w:divBdr>
        <w:top w:val="none" w:sz="0" w:space="0" w:color="auto"/>
        <w:left w:val="none" w:sz="0" w:space="0" w:color="auto"/>
        <w:bottom w:val="none" w:sz="0" w:space="0" w:color="auto"/>
        <w:right w:val="none" w:sz="0" w:space="0" w:color="auto"/>
      </w:divBdr>
      <w:divsChild>
        <w:div w:id="1360625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414656">
      <w:bodyDiv w:val="1"/>
      <w:marLeft w:val="0"/>
      <w:marRight w:val="0"/>
      <w:marTop w:val="0"/>
      <w:marBottom w:val="0"/>
      <w:divBdr>
        <w:top w:val="none" w:sz="0" w:space="0" w:color="auto"/>
        <w:left w:val="none" w:sz="0" w:space="0" w:color="auto"/>
        <w:bottom w:val="none" w:sz="0" w:space="0" w:color="auto"/>
        <w:right w:val="none" w:sz="0" w:space="0" w:color="auto"/>
      </w:divBdr>
    </w:div>
    <w:div w:id="153839816">
      <w:bodyDiv w:val="1"/>
      <w:marLeft w:val="0"/>
      <w:marRight w:val="0"/>
      <w:marTop w:val="0"/>
      <w:marBottom w:val="0"/>
      <w:divBdr>
        <w:top w:val="none" w:sz="0" w:space="0" w:color="auto"/>
        <w:left w:val="none" w:sz="0" w:space="0" w:color="auto"/>
        <w:bottom w:val="none" w:sz="0" w:space="0" w:color="auto"/>
        <w:right w:val="none" w:sz="0" w:space="0" w:color="auto"/>
      </w:divBdr>
    </w:div>
    <w:div w:id="180508577">
      <w:bodyDiv w:val="1"/>
      <w:marLeft w:val="0"/>
      <w:marRight w:val="0"/>
      <w:marTop w:val="0"/>
      <w:marBottom w:val="0"/>
      <w:divBdr>
        <w:top w:val="none" w:sz="0" w:space="0" w:color="auto"/>
        <w:left w:val="none" w:sz="0" w:space="0" w:color="auto"/>
        <w:bottom w:val="none" w:sz="0" w:space="0" w:color="auto"/>
        <w:right w:val="none" w:sz="0" w:space="0" w:color="auto"/>
      </w:divBdr>
      <w:divsChild>
        <w:div w:id="52581549">
          <w:marLeft w:val="0"/>
          <w:marRight w:val="0"/>
          <w:marTop w:val="0"/>
          <w:marBottom w:val="0"/>
          <w:divBdr>
            <w:top w:val="single" w:sz="2" w:space="0" w:color="E5E7EB"/>
            <w:left w:val="single" w:sz="2" w:space="0" w:color="E5E7EB"/>
            <w:bottom w:val="single" w:sz="2" w:space="0" w:color="E5E7EB"/>
            <w:right w:val="single" w:sz="2" w:space="0" w:color="E5E7EB"/>
          </w:divBdr>
        </w:div>
        <w:div w:id="16665820">
          <w:marLeft w:val="0"/>
          <w:marRight w:val="0"/>
          <w:marTop w:val="0"/>
          <w:marBottom w:val="0"/>
          <w:divBdr>
            <w:top w:val="single" w:sz="2" w:space="0" w:color="E5E7EB"/>
            <w:left w:val="single" w:sz="2" w:space="0" w:color="E5E7EB"/>
            <w:bottom w:val="single" w:sz="2" w:space="0" w:color="E5E7EB"/>
            <w:right w:val="single" w:sz="2" w:space="0" w:color="E5E7EB"/>
          </w:divBdr>
        </w:div>
        <w:div w:id="326058388">
          <w:marLeft w:val="0"/>
          <w:marRight w:val="0"/>
          <w:marTop w:val="0"/>
          <w:marBottom w:val="0"/>
          <w:divBdr>
            <w:top w:val="single" w:sz="2" w:space="0" w:color="E5E7EB"/>
            <w:left w:val="single" w:sz="2" w:space="0" w:color="E5E7EB"/>
            <w:bottom w:val="single" w:sz="2" w:space="0" w:color="E5E7EB"/>
            <w:right w:val="single" w:sz="2" w:space="0" w:color="E5E7EB"/>
          </w:divBdr>
        </w:div>
        <w:div w:id="825770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8466298">
      <w:bodyDiv w:val="1"/>
      <w:marLeft w:val="0"/>
      <w:marRight w:val="0"/>
      <w:marTop w:val="0"/>
      <w:marBottom w:val="0"/>
      <w:divBdr>
        <w:top w:val="none" w:sz="0" w:space="0" w:color="auto"/>
        <w:left w:val="none" w:sz="0" w:space="0" w:color="auto"/>
        <w:bottom w:val="none" w:sz="0" w:space="0" w:color="auto"/>
        <w:right w:val="none" w:sz="0" w:space="0" w:color="auto"/>
      </w:divBdr>
    </w:div>
    <w:div w:id="275723485">
      <w:bodyDiv w:val="1"/>
      <w:marLeft w:val="0"/>
      <w:marRight w:val="0"/>
      <w:marTop w:val="0"/>
      <w:marBottom w:val="0"/>
      <w:divBdr>
        <w:top w:val="none" w:sz="0" w:space="0" w:color="auto"/>
        <w:left w:val="none" w:sz="0" w:space="0" w:color="auto"/>
        <w:bottom w:val="none" w:sz="0" w:space="0" w:color="auto"/>
        <w:right w:val="none" w:sz="0" w:space="0" w:color="auto"/>
      </w:divBdr>
    </w:div>
    <w:div w:id="379523806">
      <w:bodyDiv w:val="1"/>
      <w:marLeft w:val="0"/>
      <w:marRight w:val="0"/>
      <w:marTop w:val="0"/>
      <w:marBottom w:val="0"/>
      <w:divBdr>
        <w:top w:val="none" w:sz="0" w:space="0" w:color="auto"/>
        <w:left w:val="none" w:sz="0" w:space="0" w:color="auto"/>
        <w:bottom w:val="none" w:sz="0" w:space="0" w:color="auto"/>
        <w:right w:val="none" w:sz="0" w:space="0" w:color="auto"/>
      </w:divBdr>
      <w:divsChild>
        <w:div w:id="75132619">
          <w:marLeft w:val="0"/>
          <w:marRight w:val="0"/>
          <w:marTop w:val="0"/>
          <w:marBottom w:val="0"/>
          <w:divBdr>
            <w:top w:val="single" w:sz="2" w:space="0" w:color="E5E7EB"/>
            <w:left w:val="single" w:sz="2" w:space="0" w:color="E5E7EB"/>
            <w:bottom w:val="single" w:sz="2" w:space="0" w:color="E5E7EB"/>
            <w:right w:val="single" w:sz="2" w:space="0" w:color="E5E7EB"/>
          </w:divBdr>
        </w:div>
        <w:div w:id="736245168">
          <w:marLeft w:val="0"/>
          <w:marRight w:val="0"/>
          <w:marTop w:val="0"/>
          <w:marBottom w:val="0"/>
          <w:divBdr>
            <w:top w:val="single" w:sz="2" w:space="0" w:color="E5E7EB"/>
            <w:left w:val="single" w:sz="2" w:space="0" w:color="E5E7EB"/>
            <w:bottom w:val="single" w:sz="2" w:space="0" w:color="E5E7EB"/>
            <w:right w:val="single" w:sz="2" w:space="0" w:color="E5E7EB"/>
          </w:divBdr>
        </w:div>
        <w:div w:id="398987840">
          <w:marLeft w:val="0"/>
          <w:marRight w:val="0"/>
          <w:marTop w:val="0"/>
          <w:marBottom w:val="0"/>
          <w:divBdr>
            <w:top w:val="single" w:sz="2" w:space="0" w:color="E5E7EB"/>
            <w:left w:val="single" w:sz="2" w:space="0" w:color="E5E7EB"/>
            <w:bottom w:val="single" w:sz="2" w:space="0" w:color="E5E7EB"/>
            <w:right w:val="single" w:sz="2" w:space="0" w:color="E5E7EB"/>
          </w:divBdr>
        </w:div>
        <w:div w:id="212234986">
          <w:marLeft w:val="0"/>
          <w:marRight w:val="0"/>
          <w:marTop w:val="0"/>
          <w:marBottom w:val="0"/>
          <w:divBdr>
            <w:top w:val="single" w:sz="2" w:space="0" w:color="E5E7EB"/>
            <w:left w:val="single" w:sz="2" w:space="0" w:color="E5E7EB"/>
            <w:bottom w:val="single" w:sz="2" w:space="0" w:color="E5E7EB"/>
            <w:right w:val="single" w:sz="2" w:space="0" w:color="E5E7EB"/>
          </w:divBdr>
        </w:div>
        <w:div w:id="912550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3816505">
      <w:bodyDiv w:val="1"/>
      <w:marLeft w:val="0"/>
      <w:marRight w:val="0"/>
      <w:marTop w:val="0"/>
      <w:marBottom w:val="0"/>
      <w:divBdr>
        <w:top w:val="none" w:sz="0" w:space="0" w:color="auto"/>
        <w:left w:val="none" w:sz="0" w:space="0" w:color="auto"/>
        <w:bottom w:val="none" w:sz="0" w:space="0" w:color="auto"/>
        <w:right w:val="none" w:sz="0" w:space="0" w:color="auto"/>
      </w:divBdr>
    </w:div>
    <w:div w:id="433137718">
      <w:bodyDiv w:val="1"/>
      <w:marLeft w:val="0"/>
      <w:marRight w:val="0"/>
      <w:marTop w:val="0"/>
      <w:marBottom w:val="0"/>
      <w:divBdr>
        <w:top w:val="none" w:sz="0" w:space="0" w:color="auto"/>
        <w:left w:val="none" w:sz="0" w:space="0" w:color="auto"/>
        <w:bottom w:val="none" w:sz="0" w:space="0" w:color="auto"/>
        <w:right w:val="none" w:sz="0" w:space="0" w:color="auto"/>
      </w:divBdr>
    </w:div>
    <w:div w:id="468666177">
      <w:bodyDiv w:val="1"/>
      <w:marLeft w:val="0"/>
      <w:marRight w:val="0"/>
      <w:marTop w:val="0"/>
      <w:marBottom w:val="0"/>
      <w:divBdr>
        <w:top w:val="none" w:sz="0" w:space="0" w:color="auto"/>
        <w:left w:val="none" w:sz="0" w:space="0" w:color="auto"/>
        <w:bottom w:val="none" w:sz="0" w:space="0" w:color="auto"/>
        <w:right w:val="none" w:sz="0" w:space="0" w:color="auto"/>
      </w:divBdr>
    </w:div>
    <w:div w:id="492838314">
      <w:bodyDiv w:val="1"/>
      <w:marLeft w:val="0"/>
      <w:marRight w:val="0"/>
      <w:marTop w:val="0"/>
      <w:marBottom w:val="0"/>
      <w:divBdr>
        <w:top w:val="none" w:sz="0" w:space="0" w:color="auto"/>
        <w:left w:val="none" w:sz="0" w:space="0" w:color="auto"/>
        <w:bottom w:val="none" w:sz="0" w:space="0" w:color="auto"/>
        <w:right w:val="none" w:sz="0" w:space="0" w:color="auto"/>
      </w:divBdr>
    </w:div>
    <w:div w:id="500583407">
      <w:bodyDiv w:val="1"/>
      <w:marLeft w:val="0"/>
      <w:marRight w:val="0"/>
      <w:marTop w:val="0"/>
      <w:marBottom w:val="0"/>
      <w:divBdr>
        <w:top w:val="none" w:sz="0" w:space="0" w:color="auto"/>
        <w:left w:val="none" w:sz="0" w:space="0" w:color="auto"/>
        <w:bottom w:val="none" w:sz="0" w:space="0" w:color="auto"/>
        <w:right w:val="none" w:sz="0" w:space="0" w:color="auto"/>
      </w:divBdr>
    </w:div>
    <w:div w:id="517160587">
      <w:bodyDiv w:val="1"/>
      <w:marLeft w:val="0"/>
      <w:marRight w:val="0"/>
      <w:marTop w:val="0"/>
      <w:marBottom w:val="0"/>
      <w:divBdr>
        <w:top w:val="none" w:sz="0" w:space="0" w:color="auto"/>
        <w:left w:val="none" w:sz="0" w:space="0" w:color="auto"/>
        <w:bottom w:val="none" w:sz="0" w:space="0" w:color="auto"/>
        <w:right w:val="none" w:sz="0" w:space="0" w:color="auto"/>
      </w:divBdr>
    </w:div>
    <w:div w:id="557862209">
      <w:bodyDiv w:val="1"/>
      <w:marLeft w:val="0"/>
      <w:marRight w:val="0"/>
      <w:marTop w:val="0"/>
      <w:marBottom w:val="0"/>
      <w:divBdr>
        <w:top w:val="none" w:sz="0" w:space="0" w:color="auto"/>
        <w:left w:val="none" w:sz="0" w:space="0" w:color="auto"/>
        <w:bottom w:val="none" w:sz="0" w:space="0" w:color="auto"/>
        <w:right w:val="none" w:sz="0" w:space="0" w:color="auto"/>
      </w:divBdr>
    </w:div>
    <w:div w:id="621232922">
      <w:bodyDiv w:val="1"/>
      <w:marLeft w:val="0"/>
      <w:marRight w:val="0"/>
      <w:marTop w:val="0"/>
      <w:marBottom w:val="0"/>
      <w:divBdr>
        <w:top w:val="none" w:sz="0" w:space="0" w:color="auto"/>
        <w:left w:val="none" w:sz="0" w:space="0" w:color="auto"/>
        <w:bottom w:val="none" w:sz="0" w:space="0" w:color="auto"/>
        <w:right w:val="none" w:sz="0" w:space="0" w:color="auto"/>
      </w:divBdr>
    </w:div>
    <w:div w:id="630018596">
      <w:bodyDiv w:val="1"/>
      <w:marLeft w:val="0"/>
      <w:marRight w:val="0"/>
      <w:marTop w:val="0"/>
      <w:marBottom w:val="0"/>
      <w:divBdr>
        <w:top w:val="none" w:sz="0" w:space="0" w:color="auto"/>
        <w:left w:val="none" w:sz="0" w:space="0" w:color="auto"/>
        <w:bottom w:val="none" w:sz="0" w:space="0" w:color="auto"/>
        <w:right w:val="none" w:sz="0" w:space="0" w:color="auto"/>
      </w:divBdr>
    </w:div>
    <w:div w:id="647366289">
      <w:bodyDiv w:val="1"/>
      <w:marLeft w:val="0"/>
      <w:marRight w:val="0"/>
      <w:marTop w:val="0"/>
      <w:marBottom w:val="0"/>
      <w:divBdr>
        <w:top w:val="none" w:sz="0" w:space="0" w:color="auto"/>
        <w:left w:val="none" w:sz="0" w:space="0" w:color="auto"/>
        <w:bottom w:val="none" w:sz="0" w:space="0" w:color="auto"/>
        <w:right w:val="none" w:sz="0" w:space="0" w:color="auto"/>
      </w:divBdr>
    </w:div>
    <w:div w:id="650520578">
      <w:bodyDiv w:val="1"/>
      <w:marLeft w:val="0"/>
      <w:marRight w:val="0"/>
      <w:marTop w:val="0"/>
      <w:marBottom w:val="0"/>
      <w:divBdr>
        <w:top w:val="none" w:sz="0" w:space="0" w:color="auto"/>
        <w:left w:val="none" w:sz="0" w:space="0" w:color="auto"/>
        <w:bottom w:val="none" w:sz="0" w:space="0" w:color="auto"/>
        <w:right w:val="none" w:sz="0" w:space="0" w:color="auto"/>
      </w:divBdr>
      <w:divsChild>
        <w:div w:id="8053944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2129720">
      <w:bodyDiv w:val="1"/>
      <w:marLeft w:val="0"/>
      <w:marRight w:val="0"/>
      <w:marTop w:val="0"/>
      <w:marBottom w:val="0"/>
      <w:divBdr>
        <w:top w:val="none" w:sz="0" w:space="0" w:color="auto"/>
        <w:left w:val="none" w:sz="0" w:space="0" w:color="auto"/>
        <w:bottom w:val="none" w:sz="0" w:space="0" w:color="auto"/>
        <w:right w:val="none" w:sz="0" w:space="0" w:color="auto"/>
      </w:divBdr>
      <w:divsChild>
        <w:div w:id="355620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6708832">
      <w:bodyDiv w:val="1"/>
      <w:marLeft w:val="0"/>
      <w:marRight w:val="0"/>
      <w:marTop w:val="0"/>
      <w:marBottom w:val="0"/>
      <w:divBdr>
        <w:top w:val="none" w:sz="0" w:space="0" w:color="auto"/>
        <w:left w:val="none" w:sz="0" w:space="0" w:color="auto"/>
        <w:bottom w:val="none" w:sz="0" w:space="0" w:color="auto"/>
        <w:right w:val="none" w:sz="0" w:space="0" w:color="auto"/>
      </w:divBdr>
    </w:div>
    <w:div w:id="688410359">
      <w:bodyDiv w:val="1"/>
      <w:marLeft w:val="0"/>
      <w:marRight w:val="0"/>
      <w:marTop w:val="0"/>
      <w:marBottom w:val="0"/>
      <w:divBdr>
        <w:top w:val="none" w:sz="0" w:space="0" w:color="auto"/>
        <w:left w:val="none" w:sz="0" w:space="0" w:color="auto"/>
        <w:bottom w:val="none" w:sz="0" w:space="0" w:color="auto"/>
        <w:right w:val="none" w:sz="0" w:space="0" w:color="auto"/>
      </w:divBdr>
    </w:div>
    <w:div w:id="693842357">
      <w:bodyDiv w:val="1"/>
      <w:marLeft w:val="0"/>
      <w:marRight w:val="0"/>
      <w:marTop w:val="0"/>
      <w:marBottom w:val="0"/>
      <w:divBdr>
        <w:top w:val="none" w:sz="0" w:space="0" w:color="auto"/>
        <w:left w:val="none" w:sz="0" w:space="0" w:color="auto"/>
        <w:bottom w:val="none" w:sz="0" w:space="0" w:color="auto"/>
        <w:right w:val="none" w:sz="0" w:space="0" w:color="auto"/>
      </w:divBdr>
    </w:div>
    <w:div w:id="720635435">
      <w:bodyDiv w:val="1"/>
      <w:marLeft w:val="0"/>
      <w:marRight w:val="0"/>
      <w:marTop w:val="0"/>
      <w:marBottom w:val="0"/>
      <w:divBdr>
        <w:top w:val="none" w:sz="0" w:space="0" w:color="auto"/>
        <w:left w:val="none" w:sz="0" w:space="0" w:color="auto"/>
        <w:bottom w:val="none" w:sz="0" w:space="0" w:color="auto"/>
        <w:right w:val="none" w:sz="0" w:space="0" w:color="auto"/>
      </w:divBdr>
    </w:div>
    <w:div w:id="737168674">
      <w:bodyDiv w:val="1"/>
      <w:marLeft w:val="0"/>
      <w:marRight w:val="0"/>
      <w:marTop w:val="0"/>
      <w:marBottom w:val="0"/>
      <w:divBdr>
        <w:top w:val="none" w:sz="0" w:space="0" w:color="auto"/>
        <w:left w:val="none" w:sz="0" w:space="0" w:color="auto"/>
        <w:bottom w:val="none" w:sz="0" w:space="0" w:color="auto"/>
        <w:right w:val="none" w:sz="0" w:space="0" w:color="auto"/>
      </w:divBdr>
      <w:divsChild>
        <w:div w:id="801064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2331934">
      <w:bodyDiv w:val="1"/>
      <w:marLeft w:val="0"/>
      <w:marRight w:val="0"/>
      <w:marTop w:val="0"/>
      <w:marBottom w:val="0"/>
      <w:divBdr>
        <w:top w:val="none" w:sz="0" w:space="0" w:color="auto"/>
        <w:left w:val="none" w:sz="0" w:space="0" w:color="auto"/>
        <w:bottom w:val="none" w:sz="0" w:space="0" w:color="auto"/>
        <w:right w:val="none" w:sz="0" w:space="0" w:color="auto"/>
      </w:divBdr>
    </w:div>
    <w:div w:id="745152465">
      <w:bodyDiv w:val="1"/>
      <w:marLeft w:val="0"/>
      <w:marRight w:val="0"/>
      <w:marTop w:val="0"/>
      <w:marBottom w:val="0"/>
      <w:divBdr>
        <w:top w:val="none" w:sz="0" w:space="0" w:color="auto"/>
        <w:left w:val="none" w:sz="0" w:space="0" w:color="auto"/>
        <w:bottom w:val="none" w:sz="0" w:space="0" w:color="auto"/>
        <w:right w:val="none" w:sz="0" w:space="0" w:color="auto"/>
      </w:divBdr>
    </w:div>
    <w:div w:id="762267815">
      <w:bodyDiv w:val="1"/>
      <w:marLeft w:val="0"/>
      <w:marRight w:val="0"/>
      <w:marTop w:val="0"/>
      <w:marBottom w:val="0"/>
      <w:divBdr>
        <w:top w:val="none" w:sz="0" w:space="0" w:color="auto"/>
        <w:left w:val="none" w:sz="0" w:space="0" w:color="auto"/>
        <w:bottom w:val="none" w:sz="0" w:space="0" w:color="auto"/>
        <w:right w:val="none" w:sz="0" w:space="0" w:color="auto"/>
      </w:divBdr>
    </w:div>
    <w:div w:id="762991309">
      <w:bodyDiv w:val="1"/>
      <w:marLeft w:val="0"/>
      <w:marRight w:val="0"/>
      <w:marTop w:val="0"/>
      <w:marBottom w:val="0"/>
      <w:divBdr>
        <w:top w:val="none" w:sz="0" w:space="0" w:color="auto"/>
        <w:left w:val="none" w:sz="0" w:space="0" w:color="auto"/>
        <w:bottom w:val="none" w:sz="0" w:space="0" w:color="auto"/>
        <w:right w:val="none" w:sz="0" w:space="0" w:color="auto"/>
      </w:divBdr>
    </w:div>
    <w:div w:id="768935751">
      <w:bodyDiv w:val="1"/>
      <w:marLeft w:val="0"/>
      <w:marRight w:val="0"/>
      <w:marTop w:val="0"/>
      <w:marBottom w:val="0"/>
      <w:divBdr>
        <w:top w:val="none" w:sz="0" w:space="0" w:color="auto"/>
        <w:left w:val="none" w:sz="0" w:space="0" w:color="auto"/>
        <w:bottom w:val="none" w:sz="0" w:space="0" w:color="auto"/>
        <w:right w:val="none" w:sz="0" w:space="0" w:color="auto"/>
      </w:divBdr>
    </w:div>
    <w:div w:id="794519545">
      <w:bodyDiv w:val="1"/>
      <w:marLeft w:val="0"/>
      <w:marRight w:val="0"/>
      <w:marTop w:val="0"/>
      <w:marBottom w:val="0"/>
      <w:divBdr>
        <w:top w:val="none" w:sz="0" w:space="0" w:color="auto"/>
        <w:left w:val="none" w:sz="0" w:space="0" w:color="auto"/>
        <w:bottom w:val="none" w:sz="0" w:space="0" w:color="auto"/>
        <w:right w:val="none" w:sz="0" w:space="0" w:color="auto"/>
      </w:divBdr>
    </w:div>
    <w:div w:id="832992908">
      <w:bodyDiv w:val="1"/>
      <w:marLeft w:val="0"/>
      <w:marRight w:val="0"/>
      <w:marTop w:val="0"/>
      <w:marBottom w:val="0"/>
      <w:divBdr>
        <w:top w:val="none" w:sz="0" w:space="0" w:color="auto"/>
        <w:left w:val="none" w:sz="0" w:space="0" w:color="auto"/>
        <w:bottom w:val="none" w:sz="0" w:space="0" w:color="auto"/>
        <w:right w:val="none" w:sz="0" w:space="0" w:color="auto"/>
      </w:divBdr>
    </w:div>
    <w:div w:id="855845495">
      <w:bodyDiv w:val="1"/>
      <w:marLeft w:val="0"/>
      <w:marRight w:val="0"/>
      <w:marTop w:val="0"/>
      <w:marBottom w:val="0"/>
      <w:divBdr>
        <w:top w:val="none" w:sz="0" w:space="0" w:color="auto"/>
        <w:left w:val="none" w:sz="0" w:space="0" w:color="auto"/>
        <w:bottom w:val="none" w:sz="0" w:space="0" w:color="auto"/>
        <w:right w:val="none" w:sz="0" w:space="0" w:color="auto"/>
      </w:divBdr>
    </w:div>
    <w:div w:id="862278732">
      <w:bodyDiv w:val="1"/>
      <w:marLeft w:val="0"/>
      <w:marRight w:val="0"/>
      <w:marTop w:val="0"/>
      <w:marBottom w:val="0"/>
      <w:divBdr>
        <w:top w:val="none" w:sz="0" w:space="0" w:color="auto"/>
        <w:left w:val="none" w:sz="0" w:space="0" w:color="auto"/>
        <w:bottom w:val="none" w:sz="0" w:space="0" w:color="auto"/>
        <w:right w:val="none" w:sz="0" w:space="0" w:color="auto"/>
      </w:divBdr>
    </w:div>
    <w:div w:id="945112608">
      <w:bodyDiv w:val="1"/>
      <w:marLeft w:val="0"/>
      <w:marRight w:val="0"/>
      <w:marTop w:val="0"/>
      <w:marBottom w:val="0"/>
      <w:divBdr>
        <w:top w:val="none" w:sz="0" w:space="0" w:color="auto"/>
        <w:left w:val="none" w:sz="0" w:space="0" w:color="auto"/>
        <w:bottom w:val="none" w:sz="0" w:space="0" w:color="auto"/>
        <w:right w:val="none" w:sz="0" w:space="0" w:color="auto"/>
      </w:divBdr>
    </w:div>
    <w:div w:id="974141231">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sChild>
        <w:div w:id="1907915664">
          <w:marLeft w:val="0"/>
          <w:marRight w:val="0"/>
          <w:marTop w:val="0"/>
          <w:marBottom w:val="0"/>
          <w:divBdr>
            <w:top w:val="single" w:sz="2" w:space="0" w:color="E5E7EB"/>
            <w:left w:val="single" w:sz="2" w:space="0" w:color="E5E7EB"/>
            <w:bottom w:val="single" w:sz="2" w:space="0" w:color="E5E7EB"/>
            <w:right w:val="single" w:sz="2" w:space="0" w:color="E5E7EB"/>
          </w:divBdr>
        </w:div>
        <w:div w:id="463813790">
          <w:marLeft w:val="0"/>
          <w:marRight w:val="0"/>
          <w:marTop w:val="0"/>
          <w:marBottom w:val="0"/>
          <w:divBdr>
            <w:top w:val="single" w:sz="2" w:space="0" w:color="E5E7EB"/>
            <w:left w:val="single" w:sz="2" w:space="0" w:color="E5E7EB"/>
            <w:bottom w:val="single" w:sz="2" w:space="0" w:color="E5E7EB"/>
            <w:right w:val="single" w:sz="2" w:space="0" w:color="E5E7EB"/>
          </w:divBdr>
        </w:div>
        <w:div w:id="30887618">
          <w:marLeft w:val="0"/>
          <w:marRight w:val="0"/>
          <w:marTop w:val="0"/>
          <w:marBottom w:val="0"/>
          <w:divBdr>
            <w:top w:val="single" w:sz="2" w:space="0" w:color="E5E7EB"/>
            <w:left w:val="single" w:sz="2" w:space="0" w:color="E5E7EB"/>
            <w:bottom w:val="single" w:sz="2" w:space="0" w:color="E5E7EB"/>
            <w:right w:val="single" w:sz="2" w:space="0" w:color="E5E7EB"/>
          </w:divBdr>
        </w:div>
        <w:div w:id="1963687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4236468">
      <w:bodyDiv w:val="1"/>
      <w:marLeft w:val="0"/>
      <w:marRight w:val="0"/>
      <w:marTop w:val="0"/>
      <w:marBottom w:val="0"/>
      <w:divBdr>
        <w:top w:val="none" w:sz="0" w:space="0" w:color="auto"/>
        <w:left w:val="none" w:sz="0" w:space="0" w:color="auto"/>
        <w:bottom w:val="none" w:sz="0" w:space="0" w:color="auto"/>
        <w:right w:val="none" w:sz="0" w:space="0" w:color="auto"/>
      </w:divBdr>
    </w:div>
    <w:div w:id="1026836205">
      <w:bodyDiv w:val="1"/>
      <w:marLeft w:val="0"/>
      <w:marRight w:val="0"/>
      <w:marTop w:val="0"/>
      <w:marBottom w:val="0"/>
      <w:divBdr>
        <w:top w:val="none" w:sz="0" w:space="0" w:color="auto"/>
        <w:left w:val="none" w:sz="0" w:space="0" w:color="auto"/>
        <w:bottom w:val="none" w:sz="0" w:space="0" w:color="auto"/>
        <w:right w:val="none" w:sz="0" w:space="0" w:color="auto"/>
      </w:divBdr>
    </w:div>
    <w:div w:id="1044794095">
      <w:bodyDiv w:val="1"/>
      <w:marLeft w:val="0"/>
      <w:marRight w:val="0"/>
      <w:marTop w:val="0"/>
      <w:marBottom w:val="0"/>
      <w:divBdr>
        <w:top w:val="none" w:sz="0" w:space="0" w:color="auto"/>
        <w:left w:val="none" w:sz="0" w:space="0" w:color="auto"/>
        <w:bottom w:val="none" w:sz="0" w:space="0" w:color="auto"/>
        <w:right w:val="none" w:sz="0" w:space="0" w:color="auto"/>
      </w:divBdr>
    </w:div>
    <w:div w:id="1068572548">
      <w:bodyDiv w:val="1"/>
      <w:marLeft w:val="0"/>
      <w:marRight w:val="0"/>
      <w:marTop w:val="0"/>
      <w:marBottom w:val="0"/>
      <w:divBdr>
        <w:top w:val="none" w:sz="0" w:space="0" w:color="auto"/>
        <w:left w:val="none" w:sz="0" w:space="0" w:color="auto"/>
        <w:bottom w:val="none" w:sz="0" w:space="0" w:color="auto"/>
        <w:right w:val="none" w:sz="0" w:space="0" w:color="auto"/>
      </w:divBdr>
    </w:div>
    <w:div w:id="1077289014">
      <w:bodyDiv w:val="1"/>
      <w:marLeft w:val="0"/>
      <w:marRight w:val="0"/>
      <w:marTop w:val="0"/>
      <w:marBottom w:val="0"/>
      <w:divBdr>
        <w:top w:val="none" w:sz="0" w:space="0" w:color="auto"/>
        <w:left w:val="none" w:sz="0" w:space="0" w:color="auto"/>
        <w:bottom w:val="none" w:sz="0" w:space="0" w:color="auto"/>
        <w:right w:val="none" w:sz="0" w:space="0" w:color="auto"/>
      </w:divBdr>
    </w:div>
    <w:div w:id="1106778487">
      <w:bodyDiv w:val="1"/>
      <w:marLeft w:val="0"/>
      <w:marRight w:val="0"/>
      <w:marTop w:val="0"/>
      <w:marBottom w:val="0"/>
      <w:divBdr>
        <w:top w:val="none" w:sz="0" w:space="0" w:color="auto"/>
        <w:left w:val="none" w:sz="0" w:space="0" w:color="auto"/>
        <w:bottom w:val="none" w:sz="0" w:space="0" w:color="auto"/>
        <w:right w:val="none" w:sz="0" w:space="0" w:color="auto"/>
      </w:divBdr>
    </w:div>
    <w:div w:id="1107697442">
      <w:bodyDiv w:val="1"/>
      <w:marLeft w:val="0"/>
      <w:marRight w:val="0"/>
      <w:marTop w:val="0"/>
      <w:marBottom w:val="0"/>
      <w:divBdr>
        <w:top w:val="none" w:sz="0" w:space="0" w:color="auto"/>
        <w:left w:val="none" w:sz="0" w:space="0" w:color="auto"/>
        <w:bottom w:val="none" w:sz="0" w:space="0" w:color="auto"/>
        <w:right w:val="none" w:sz="0" w:space="0" w:color="auto"/>
      </w:divBdr>
    </w:div>
    <w:div w:id="1137452001">
      <w:bodyDiv w:val="1"/>
      <w:marLeft w:val="0"/>
      <w:marRight w:val="0"/>
      <w:marTop w:val="0"/>
      <w:marBottom w:val="0"/>
      <w:divBdr>
        <w:top w:val="none" w:sz="0" w:space="0" w:color="auto"/>
        <w:left w:val="none" w:sz="0" w:space="0" w:color="auto"/>
        <w:bottom w:val="none" w:sz="0" w:space="0" w:color="auto"/>
        <w:right w:val="none" w:sz="0" w:space="0" w:color="auto"/>
      </w:divBdr>
    </w:div>
    <w:div w:id="1151020010">
      <w:bodyDiv w:val="1"/>
      <w:marLeft w:val="0"/>
      <w:marRight w:val="0"/>
      <w:marTop w:val="0"/>
      <w:marBottom w:val="0"/>
      <w:divBdr>
        <w:top w:val="none" w:sz="0" w:space="0" w:color="auto"/>
        <w:left w:val="none" w:sz="0" w:space="0" w:color="auto"/>
        <w:bottom w:val="none" w:sz="0" w:space="0" w:color="auto"/>
        <w:right w:val="none" w:sz="0" w:space="0" w:color="auto"/>
      </w:divBdr>
    </w:div>
    <w:div w:id="1168517696">
      <w:bodyDiv w:val="1"/>
      <w:marLeft w:val="0"/>
      <w:marRight w:val="0"/>
      <w:marTop w:val="0"/>
      <w:marBottom w:val="0"/>
      <w:divBdr>
        <w:top w:val="none" w:sz="0" w:space="0" w:color="auto"/>
        <w:left w:val="none" w:sz="0" w:space="0" w:color="auto"/>
        <w:bottom w:val="none" w:sz="0" w:space="0" w:color="auto"/>
        <w:right w:val="none" w:sz="0" w:space="0" w:color="auto"/>
      </w:divBdr>
    </w:div>
    <w:div w:id="1176581614">
      <w:bodyDiv w:val="1"/>
      <w:marLeft w:val="0"/>
      <w:marRight w:val="0"/>
      <w:marTop w:val="0"/>
      <w:marBottom w:val="0"/>
      <w:divBdr>
        <w:top w:val="none" w:sz="0" w:space="0" w:color="auto"/>
        <w:left w:val="none" w:sz="0" w:space="0" w:color="auto"/>
        <w:bottom w:val="none" w:sz="0" w:space="0" w:color="auto"/>
        <w:right w:val="none" w:sz="0" w:space="0" w:color="auto"/>
      </w:divBdr>
    </w:div>
    <w:div w:id="1230264466">
      <w:bodyDiv w:val="1"/>
      <w:marLeft w:val="0"/>
      <w:marRight w:val="0"/>
      <w:marTop w:val="0"/>
      <w:marBottom w:val="0"/>
      <w:divBdr>
        <w:top w:val="none" w:sz="0" w:space="0" w:color="auto"/>
        <w:left w:val="none" w:sz="0" w:space="0" w:color="auto"/>
        <w:bottom w:val="none" w:sz="0" w:space="0" w:color="auto"/>
        <w:right w:val="none" w:sz="0" w:space="0" w:color="auto"/>
      </w:divBdr>
    </w:div>
    <w:div w:id="1246307017">
      <w:bodyDiv w:val="1"/>
      <w:marLeft w:val="0"/>
      <w:marRight w:val="0"/>
      <w:marTop w:val="0"/>
      <w:marBottom w:val="0"/>
      <w:divBdr>
        <w:top w:val="none" w:sz="0" w:space="0" w:color="auto"/>
        <w:left w:val="none" w:sz="0" w:space="0" w:color="auto"/>
        <w:bottom w:val="none" w:sz="0" w:space="0" w:color="auto"/>
        <w:right w:val="none" w:sz="0" w:space="0" w:color="auto"/>
      </w:divBdr>
    </w:div>
    <w:div w:id="1300257513">
      <w:bodyDiv w:val="1"/>
      <w:marLeft w:val="0"/>
      <w:marRight w:val="0"/>
      <w:marTop w:val="0"/>
      <w:marBottom w:val="0"/>
      <w:divBdr>
        <w:top w:val="none" w:sz="0" w:space="0" w:color="auto"/>
        <w:left w:val="none" w:sz="0" w:space="0" w:color="auto"/>
        <w:bottom w:val="none" w:sz="0" w:space="0" w:color="auto"/>
        <w:right w:val="none" w:sz="0" w:space="0" w:color="auto"/>
      </w:divBdr>
    </w:div>
    <w:div w:id="1301572652">
      <w:bodyDiv w:val="1"/>
      <w:marLeft w:val="0"/>
      <w:marRight w:val="0"/>
      <w:marTop w:val="0"/>
      <w:marBottom w:val="0"/>
      <w:divBdr>
        <w:top w:val="none" w:sz="0" w:space="0" w:color="auto"/>
        <w:left w:val="none" w:sz="0" w:space="0" w:color="auto"/>
        <w:bottom w:val="none" w:sz="0" w:space="0" w:color="auto"/>
        <w:right w:val="none" w:sz="0" w:space="0" w:color="auto"/>
      </w:divBdr>
    </w:div>
    <w:div w:id="1318267907">
      <w:bodyDiv w:val="1"/>
      <w:marLeft w:val="0"/>
      <w:marRight w:val="0"/>
      <w:marTop w:val="0"/>
      <w:marBottom w:val="0"/>
      <w:divBdr>
        <w:top w:val="none" w:sz="0" w:space="0" w:color="auto"/>
        <w:left w:val="none" w:sz="0" w:space="0" w:color="auto"/>
        <w:bottom w:val="none" w:sz="0" w:space="0" w:color="auto"/>
        <w:right w:val="none" w:sz="0" w:space="0" w:color="auto"/>
      </w:divBdr>
    </w:div>
    <w:div w:id="1327704893">
      <w:bodyDiv w:val="1"/>
      <w:marLeft w:val="0"/>
      <w:marRight w:val="0"/>
      <w:marTop w:val="0"/>
      <w:marBottom w:val="0"/>
      <w:divBdr>
        <w:top w:val="none" w:sz="0" w:space="0" w:color="auto"/>
        <w:left w:val="none" w:sz="0" w:space="0" w:color="auto"/>
        <w:bottom w:val="none" w:sz="0" w:space="0" w:color="auto"/>
        <w:right w:val="none" w:sz="0" w:space="0" w:color="auto"/>
      </w:divBdr>
    </w:div>
    <w:div w:id="1328287758">
      <w:bodyDiv w:val="1"/>
      <w:marLeft w:val="0"/>
      <w:marRight w:val="0"/>
      <w:marTop w:val="0"/>
      <w:marBottom w:val="0"/>
      <w:divBdr>
        <w:top w:val="none" w:sz="0" w:space="0" w:color="auto"/>
        <w:left w:val="none" w:sz="0" w:space="0" w:color="auto"/>
        <w:bottom w:val="none" w:sz="0" w:space="0" w:color="auto"/>
        <w:right w:val="none" w:sz="0" w:space="0" w:color="auto"/>
      </w:divBdr>
    </w:div>
    <w:div w:id="1331063596">
      <w:bodyDiv w:val="1"/>
      <w:marLeft w:val="0"/>
      <w:marRight w:val="0"/>
      <w:marTop w:val="0"/>
      <w:marBottom w:val="0"/>
      <w:divBdr>
        <w:top w:val="none" w:sz="0" w:space="0" w:color="auto"/>
        <w:left w:val="none" w:sz="0" w:space="0" w:color="auto"/>
        <w:bottom w:val="none" w:sz="0" w:space="0" w:color="auto"/>
        <w:right w:val="none" w:sz="0" w:space="0" w:color="auto"/>
      </w:divBdr>
    </w:div>
    <w:div w:id="1371342160">
      <w:bodyDiv w:val="1"/>
      <w:marLeft w:val="0"/>
      <w:marRight w:val="0"/>
      <w:marTop w:val="0"/>
      <w:marBottom w:val="0"/>
      <w:divBdr>
        <w:top w:val="none" w:sz="0" w:space="0" w:color="auto"/>
        <w:left w:val="none" w:sz="0" w:space="0" w:color="auto"/>
        <w:bottom w:val="none" w:sz="0" w:space="0" w:color="auto"/>
        <w:right w:val="none" w:sz="0" w:space="0" w:color="auto"/>
      </w:divBdr>
    </w:div>
    <w:div w:id="1383166852">
      <w:bodyDiv w:val="1"/>
      <w:marLeft w:val="0"/>
      <w:marRight w:val="0"/>
      <w:marTop w:val="0"/>
      <w:marBottom w:val="0"/>
      <w:divBdr>
        <w:top w:val="none" w:sz="0" w:space="0" w:color="auto"/>
        <w:left w:val="none" w:sz="0" w:space="0" w:color="auto"/>
        <w:bottom w:val="none" w:sz="0" w:space="0" w:color="auto"/>
        <w:right w:val="none" w:sz="0" w:space="0" w:color="auto"/>
      </w:divBdr>
      <w:divsChild>
        <w:div w:id="619147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0808713">
      <w:bodyDiv w:val="1"/>
      <w:marLeft w:val="0"/>
      <w:marRight w:val="0"/>
      <w:marTop w:val="0"/>
      <w:marBottom w:val="0"/>
      <w:divBdr>
        <w:top w:val="none" w:sz="0" w:space="0" w:color="auto"/>
        <w:left w:val="none" w:sz="0" w:space="0" w:color="auto"/>
        <w:bottom w:val="none" w:sz="0" w:space="0" w:color="auto"/>
        <w:right w:val="none" w:sz="0" w:space="0" w:color="auto"/>
      </w:divBdr>
    </w:div>
    <w:div w:id="1433357746">
      <w:bodyDiv w:val="1"/>
      <w:marLeft w:val="0"/>
      <w:marRight w:val="0"/>
      <w:marTop w:val="0"/>
      <w:marBottom w:val="0"/>
      <w:divBdr>
        <w:top w:val="none" w:sz="0" w:space="0" w:color="auto"/>
        <w:left w:val="none" w:sz="0" w:space="0" w:color="auto"/>
        <w:bottom w:val="none" w:sz="0" w:space="0" w:color="auto"/>
        <w:right w:val="none" w:sz="0" w:space="0" w:color="auto"/>
      </w:divBdr>
    </w:div>
    <w:div w:id="1469856861">
      <w:bodyDiv w:val="1"/>
      <w:marLeft w:val="0"/>
      <w:marRight w:val="0"/>
      <w:marTop w:val="0"/>
      <w:marBottom w:val="0"/>
      <w:divBdr>
        <w:top w:val="none" w:sz="0" w:space="0" w:color="auto"/>
        <w:left w:val="none" w:sz="0" w:space="0" w:color="auto"/>
        <w:bottom w:val="none" w:sz="0" w:space="0" w:color="auto"/>
        <w:right w:val="none" w:sz="0" w:space="0" w:color="auto"/>
      </w:divBdr>
    </w:div>
    <w:div w:id="1484352545">
      <w:bodyDiv w:val="1"/>
      <w:marLeft w:val="0"/>
      <w:marRight w:val="0"/>
      <w:marTop w:val="0"/>
      <w:marBottom w:val="0"/>
      <w:divBdr>
        <w:top w:val="none" w:sz="0" w:space="0" w:color="auto"/>
        <w:left w:val="none" w:sz="0" w:space="0" w:color="auto"/>
        <w:bottom w:val="none" w:sz="0" w:space="0" w:color="auto"/>
        <w:right w:val="none" w:sz="0" w:space="0" w:color="auto"/>
      </w:divBdr>
    </w:div>
    <w:div w:id="1531453375">
      <w:bodyDiv w:val="1"/>
      <w:marLeft w:val="0"/>
      <w:marRight w:val="0"/>
      <w:marTop w:val="0"/>
      <w:marBottom w:val="0"/>
      <w:divBdr>
        <w:top w:val="none" w:sz="0" w:space="0" w:color="auto"/>
        <w:left w:val="none" w:sz="0" w:space="0" w:color="auto"/>
        <w:bottom w:val="none" w:sz="0" w:space="0" w:color="auto"/>
        <w:right w:val="none" w:sz="0" w:space="0" w:color="auto"/>
      </w:divBdr>
    </w:div>
    <w:div w:id="1577519905">
      <w:bodyDiv w:val="1"/>
      <w:marLeft w:val="0"/>
      <w:marRight w:val="0"/>
      <w:marTop w:val="0"/>
      <w:marBottom w:val="0"/>
      <w:divBdr>
        <w:top w:val="none" w:sz="0" w:space="0" w:color="auto"/>
        <w:left w:val="none" w:sz="0" w:space="0" w:color="auto"/>
        <w:bottom w:val="none" w:sz="0" w:space="0" w:color="auto"/>
        <w:right w:val="none" w:sz="0" w:space="0" w:color="auto"/>
      </w:divBdr>
    </w:div>
    <w:div w:id="1584952184">
      <w:bodyDiv w:val="1"/>
      <w:marLeft w:val="0"/>
      <w:marRight w:val="0"/>
      <w:marTop w:val="0"/>
      <w:marBottom w:val="0"/>
      <w:divBdr>
        <w:top w:val="none" w:sz="0" w:space="0" w:color="auto"/>
        <w:left w:val="none" w:sz="0" w:space="0" w:color="auto"/>
        <w:bottom w:val="none" w:sz="0" w:space="0" w:color="auto"/>
        <w:right w:val="none" w:sz="0" w:space="0" w:color="auto"/>
      </w:divBdr>
    </w:div>
    <w:div w:id="1614945603">
      <w:bodyDiv w:val="1"/>
      <w:marLeft w:val="0"/>
      <w:marRight w:val="0"/>
      <w:marTop w:val="0"/>
      <w:marBottom w:val="0"/>
      <w:divBdr>
        <w:top w:val="none" w:sz="0" w:space="0" w:color="auto"/>
        <w:left w:val="none" w:sz="0" w:space="0" w:color="auto"/>
        <w:bottom w:val="none" w:sz="0" w:space="0" w:color="auto"/>
        <w:right w:val="none" w:sz="0" w:space="0" w:color="auto"/>
      </w:divBdr>
    </w:div>
    <w:div w:id="1623422287">
      <w:bodyDiv w:val="1"/>
      <w:marLeft w:val="0"/>
      <w:marRight w:val="0"/>
      <w:marTop w:val="0"/>
      <w:marBottom w:val="0"/>
      <w:divBdr>
        <w:top w:val="none" w:sz="0" w:space="0" w:color="auto"/>
        <w:left w:val="none" w:sz="0" w:space="0" w:color="auto"/>
        <w:bottom w:val="none" w:sz="0" w:space="0" w:color="auto"/>
        <w:right w:val="none" w:sz="0" w:space="0" w:color="auto"/>
      </w:divBdr>
    </w:div>
    <w:div w:id="1647005617">
      <w:bodyDiv w:val="1"/>
      <w:marLeft w:val="0"/>
      <w:marRight w:val="0"/>
      <w:marTop w:val="0"/>
      <w:marBottom w:val="0"/>
      <w:divBdr>
        <w:top w:val="none" w:sz="0" w:space="0" w:color="auto"/>
        <w:left w:val="none" w:sz="0" w:space="0" w:color="auto"/>
        <w:bottom w:val="none" w:sz="0" w:space="0" w:color="auto"/>
        <w:right w:val="none" w:sz="0" w:space="0" w:color="auto"/>
      </w:divBdr>
    </w:div>
    <w:div w:id="1658533946">
      <w:bodyDiv w:val="1"/>
      <w:marLeft w:val="0"/>
      <w:marRight w:val="0"/>
      <w:marTop w:val="0"/>
      <w:marBottom w:val="0"/>
      <w:divBdr>
        <w:top w:val="none" w:sz="0" w:space="0" w:color="auto"/>
        <w:left w:val="none" w:sz="0" w:space="0" w:color="auto"/>
        <w:bottom w:val="none" w:sz="0" w:space="0" w:color="auto"/>
        <w:right w:val="none" w:sz="0" w:space="0" w:color="auto"/>
      </w:divBdr>
    </w:div>
    <w:div w:id="1665934484">
      <w:bodyDiv w:val="1"/>
      <w:marLeft w:val="0"/>
      <w:marRight w:val="0"/>
      <w:marTop w:val="0"/>
      <w:marBottom w:val="0"/>
      <w:divBdr>
        <w:top w:val="none" w:sz="0" w:space="0" w:color="auto"/>
        <w:left w:val="none" w:sz="0" w:space="0" w:color="auto"/>
        <w:bottom w:val="none" w:sz="0" w:space="0" w:color="auto"/>
        <w:right w:val="none" w:sz="0" w:space="0" w:color="auto"/>
      </w:divBdr>
    </w:div>
    <w:div w:id="1695381979">
      <w:bodyDiv w:val="1"/>
      <w:marLeft w:val="0"/>
      <w:marRight w:val="0"/>
      <w:marTop w:val="0"/>
      <w:marBottom w:val="0"/>
      <w:divBdr>
        <w:top w:val="none" w:sz="0" w:space="0" w:color="auto"/>
        <w:left w:val="none" w:sz="0" w:space="0" w:color="auto"/>
        <w:bottom w:val="none" w:sz="0" w:space="0" w:color="auto"/>
        <w:right w:val="none" w:sz="0" w:space="0" w:color="auto"/>
      </w:divBdr>
    </w:div>
    <w:div w:id="1727994122">
      <w:bodyDiv w:val="1"/>
      <w:marLeft w:val="0"/>
      <w:marRight w:val="0"/>
      <w:marTop w:val="0"/>
      <w:marBottom w:val="0"/>
      <w:divBdr>
        <w:top w:val="none" w:sz="0" w:space="0" w:color="auto"/>
        <w:left w:val="none" w:sz="0" w:space="0" w:color="auto"/>
        <w:bottom w:val="none" w:sz="0" w:space="0" w:color="auto"/>
        <w:right w:val="none" w:sz="0" w:space="0" w:color="auto"/>
      </w:divBdr>
    </w:div>
    <w:div w:id="1772896919">
      <w:bodyDiv w:val="1"/>
      <w:marLeft w:val="0"/>
      <w:marRight w:val="0"/>
      <w:marTop w:val="0"/>
      <w:marBottom w:val="0"/>
      <w:divBdr>
        <w:top w:val="none" w:sz="0" w:space="0" w:color="auto"/>
        <w:left w:val="none" w:sz="0" w:space="0" w:color="auto"/>
        <w:bottom w:val="none" w:sz="0" w:space="0" w:color="auto"/>
        <w:right w:val="none" w:sz="0" w:space="0" w:color="auto"/>
      </w:divBdr>
      <w:divsChild>
        <w:div w:id="1833176181">
          <w:marLeft w:val="0"/>
          <w:marRight w:val="0"/>
          <w:marTop w:val="0"/>
          <w:marBottom w:val="0"/>
          <w:divBdr>
            <w:top w:val="single" w:sz="2" w:space="0" w:color="E5E7EB"/>
            <w:left w:val="single" w:sz="2" w:space="0" w:color="E5E7EB"/>
            <w:bottom w:val="single" w:sz="2" w:space="0" w:color="E5E7EB"/>
            <w:right w:val="single" w:sz="2" w:space="0" w:color="E5E7EB"/>
          </w:divBdr>
        </w:div>
        <w:div w:id="1612860927">
          <w:marLeft w:val="0"/>
          <w:marRight w:val="0"/>
          <w:marTop w:val="0"/>
          <w:marBottom w:val="0"/>
          <w:divBdr>
            <w:top w:val="single" w:sz="2" w:space="0" w:color="E5E7EB"/>
            <w:left w:val="single" w:sz="2" w:space="0" w:color="E5E7EB"/>
            <w:bottom w:val="single" w:sz="2" w:space="0" w:color="E5E7EB"/>
            <w:right w:val="single" w:sz="2" w:space="0" w:color="E5E7EB"/>
          </w:divBdr>
        </w:div>
        <w:div w:id="1371805423">
          <w:marLeft w:val="0"/>
          <w:marRight w:val="0"/>
          <w:marTop w:val="0"/>
          <w:marBottom w:val="0"/>
          <w:divBdr>
            <w:top w:val="single" w:sz="2" w:space="0" w:color="E5E7EB"/>
            <w:left w:val="single" w:sz="2" w:space="0" w:color="E5E7EB"/>
            <w:bottom w:val="single" w:sz="2" w:space="0" w:color="E5E7EB"/>
            <w:right w:val="single" w:sz="2" w:space="0" w:color="E5E7EB"/>
          </w:divBdr>
        </w:div>
        <w:div w:id="600573646">
          <w:marLeft w:val="0"/>
          <w:marRight w:val="0"/>
          <w:marTop w:val="0"/>
          <w:marBottom w:val="0"/>
          <w:divBdr>
            <w:top w:val="single" w:sz="2" w:space="0" w:color="E5E7EB"/>
            <w:left w:val="single" w:sz="2" w:space="0" w:color="E5E7EB"/>
            <w:bottom w:val="single" w:sz="2" w:space="0" w:color="E5E7EB"/>
            <w:right w:val="single" w:sz="2" w:space="0" w:color="E5E7EB"/>
          </w:divBdr>
        </w:div>
        <w:div w:id="1612931148">
          <w:marLeft w:val="0"/>
          <w:marRight w:val="0"/>
          <w:marTop w:val="0"/>
          <w:marBottom w:val="0"/>
          <w:divBdr>
            <w:top w:val="single" w:sz="2" w:space="0" w:color="E5E7EB"/>
            <w:left w:val="single" w:sz="2" w:space="0" w:color="E5E7EB"/>
            <w:bottom w:val="single" w:sz="2" w:space="0" w:color="E5E7EB"/>
            <w:right w:val="single" w:sz="2" w:space="0" w:color="E5E7EB"/>
          </w:divBdr>
        </w:div>
        <w:div w:id="734738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8009180">
      <w:bodyDiv w:val="1"/>
      <w:marLeft w:val="0"/>
      <w:marRight w:val="0"/>
      <w:marTop w:val="0"/>
      <w:marBottom w:val="0"/>
      <w:divBdr>
        <w:top w:val="none" w:sz="0" w:space="0" w:color="auto"/>
        <w:left w:val="none" w:sz="0" w:space="0" w:color="auto"/>
        <w:bottom w:val="none" w:sz="0" w:space="0" w:color="auto"/>
        <w:right w:val="none" w:sz="0" w:space="0" w:color="auto"/>
      </w:divBdr>
    </w:div>
    <w:div w:id="1830899708">
      <w:bodyDiv w:val="1"/>
      <w:marLeft w:val="0"/>
      <w:marRight w:val="0"/>
      <w:marTop w:val="0"/>
      <w:marBottom w:val="0"/>
      <w:divBdr>
        <w:top w:val="none" w:sz="0" w:space="0" w:color="auto"/>
        <w:left w:val="none" w:sz="0" w:space="0" w:color="auto"/>
        <w:bottom w:val="none" w:sz="0" w:space="0" w:color="auto"/>
        <w:right w:val="none" w:sz="0" w:space="0" w:color="auto"/>
      </w:divBdr>
    </w:div>
    <w:div w:id="1850946727">
      <w:bodyDiv w:val="1"/>
      <w:marLeft w:val="0"/>
      <w:marRight w:val="0"/>
      <w:marTop w:val="0"/>
      <w:marBottom w:val="0"/>
      <w:divBdr>
        <w:top w:val="none" w:sz="0" w:space="0" w:color="auto"/>
        <w:left w:val="none" w:sz="0" w:space="0" w:color="auto"/>
        <w:bottom w:val="none" w:sz="0" w:space="0" w:color="auto"/>
        <w:right w:val="none" w:sz="0" w:space="0" w:color="auto"/>
      </w:divBdr>
    </w:div>
    <w:div w:id="1868980379">
      <w:bodyDiv w:val="1"/>
      <w:marLeft w:val="0"/>
      <w:marRight w:val="0"/>
      <w:marTop w:val="0"/>
      <w:marBottom w:val="0"/>
      <w:divBdr>
        <w:top w:val="none" w:sz="0" w:space="0" w:color="auto"/>
        <w:left w:val="none" w:sz="0" w:space="0" w:color="auto"/>
        <w:bottom w:val="none" w:sz="0" w:space="0" w:color="auto"/>
        <w:right w:val="none" w:sz="0" w:space="0" w:color="auto"/>
      </w:divBdr>
    </w:div>
    <w:div w:id="1869642512">
      <w:bodyDiv w:val="1"/>
      <w:marLeft w:val="0"/>
      <w:marRight w:val="0"/>
      <w:marTop w:val="0"/>
      <w:marBottom w:val="0"/>
      <w:divBdr>
        <w:top w:val="none" w:sz="0" w:space="0" w:color="auto"/>
        <w:left w:val="none" w:sz="0" w:space="0" w:color="auto"/>
        <w:bottom w:val="none" w:sz="0" w:space="0" w:color="auto"/>
        <w:right w:val="none" w:sz="0" w:space="0" w:color="auto"/>
      </w:divBdr>
    </w:div>
    <w:div w:id="1877037478">
      <w:bodyDiv w:val="1"/>
      <w:marLeft w:val="0"/>
      <w:marRight w:val="0"/>
      <w:marTop w:val="0"/>
      <w:marBottom w:val="0"/>
      <w:divBdr>
        <w:top w:val="none" w:sz="0" w:space="0" w:color="auto"/>
        <w:left w:val="none" w:sz="0" w:space="0" w:color="auto"/>
        <w:bottom w:val="none" w:sz="0" w:space="0" w:color="auto"/>
        <w:right w:val="none" w:sz="0" w:space="0" w:color="auto"/>
      </w:divBdr>
    </w:div>
    <w:div w:id="1891960370">
      <w:bodyDiv w:val="1"/>
      <w:marLeft w:val="0"/>
      <w:marRight w:val="0"/>
      <w:marTop w:val="0"/>
      <w:marBottom w:val="0"/>
      <w:divBdr>
        <w:top w:val="none" w:sz="0" w:space="0" w:color="auto"/>
        <w:left w:val="none" w:sz="0" w:space="0" w:color="auto"/>
        <w:bottom w:val="none" w:sz="0" w:space="0" w:color="auto"/>
        <w:right w:val="none" w:sz="0" w:space="0" w:color="auto"/>
      </w:divBdr>
    </w:div>
    <w:div w:id="1996102216">
      <w:bodyDiv w:val="1"/>
      <w:marLeft w:val="0"/>
      <w:marRight w:val="0"/>
      <w:marTop w:val="0"/>
      <w:marBottom w:val="0"/>
      <w:divBdr>
        <w:top w:val="none" w:sz="0" w:space="0" w:color="auto"/>
        <w:left w:val="none" w:sz="0" w:space="0" w:color="auto"/>
        <w:bottom w:val="none" w:sz="0" w:space="0" w:color="auto"/>
        <w:right w:val="none" w:sz="0" w:space="0" w:color="auto"/>
      </w:divBdr>
    </w:div>
    <w:div w:id="2038385805">
      <w:bodyDiv w:val="1"/>
      <w:marLeft w:val="0"/>
      <w:marRight w:val="0"/>
      <w:marTop w:val="0"/>
      <w:marBottom w:val="0"/>
      <w:divBdr>
        <w:top w:val="none" w:sz="0" w:space="0" w:color="auto"/>
        <w:left w:val="none" w:sz="0" w:space="0" w:color="auto"/>
        <w:bottom w:val="none" w:sz="0" w:space="0" w:color="auto"/>
        <w:right w:val="none" w:sz="0" w:space="0" w:color="auto"/>
      </w:divBdr>
    </w:div>
    <w:div w:id="2052916979">
      <w:bodyDiv w:val="1"/>
      <w:marLeft w:val="0"/>
      <w:marRight w:val="0"/>
      <w:marTop w:val="0"/>
      <w:marBottom w:val="0"/>
      <w:divBdr>
        <w:top w:val="none" w:sz="0" w:space="0" w:color="auto"/>
        <w:left w:val="none" w:sz="0" w:space="0" w:color="auto"/>
        <w:bottom w:val="none" w:sz="0" w:space="0" w:color="auto"/>
        <w:right w:val="none" w:sz="0" w:space="0" w:color="auto"/>
      </w:divBdr>
    </w:div>
    <w:div w:id="2078935878">
      <w:bodyDiv w:val="1"/>
      <w:marLeft w:val="0"/>
      <w:marRight w:val="0"/>
      <w:marTop w:val="0"/>
      <w:marBottom w:val="0"/>
      <w:divBdr>
        <w:top w:val="none" w:sz="0" w:space="0" w:color="auto"/>
        <w:left w:val="none" w:sz="0" w:space="0" w:color="auto"/>
        <w:bottom w:val="none" w:sz="0" w:space="0" w:color="auto"/>
        <w:right w:val="none" w:sz="0" w:space="0" w:color="auto"/>
      </w:divBdr>
    </w:div>
    <w:div w:id="2093232661">
      <w:bodyDiv w:val="1"/>
      <w:marLeft w:val="0"/>
      <w:marRight w:val="0"/>
      <w:marTop w:val="0"/>
      <w:marBottom w:val="0"/>
      <w:divBdr>
        <w:top w:val="none" w:sz="0" w:space="0" w:color="auto"/>
        <w:left w:val="none" w:sz="0" w:space="0" w:color="auto"/>
        <w:bottom w:val="none" w:sz="0" w:space="0" w:color="auto"/>
        <w:right w:val="none" w:sz="0" w:space="0" w:color="auto"/>
      </w:divBdr>
    </w:div>
    <w:div w:id="2114277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numbering" Target="numbering.xml"/><Relationship Id="rId7" Type="http://schemas.openxmlformats.org/officeDocument/2006/relationships/hyperlink" Target="mailto:yamakz@okayama-u.ac.jp" TargetMode="External"/><Relationship Id="rId12" Type="http://schemas.openxmlformats.org/officeDocument/2006/relationships/image" Target="media/image5.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tyles" Target="style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itefull-cache xmlns="urn:writefull-cache:Suggestions">{"suggestions":{},"typeOfAccount":"freemium"}</writefull-cache>
</file>

<file path=customXml/itemProps1.xml><?xml version="1.0" encoding="utf-8"?>
<ds:datastoreItem xmlns:ds="http://schemas.openxmlformats.org/officeDocument/2006/customXml" ds:itemID="{98EA8E26-D6D1-7742-A3AD-C731BC0B89A6}">
  <ds:schemaRefs>
    <ds:schemaRef ds:uri="http://schemas.openxmlformats.org/officeDocument/2006/bibliography"/>
  </ds:schemaRefs>
</ds:datastoreItem>
</file>

<file path=customXml/itemProps2.xml><?xml version="1.0" encoding="utf-8"?>
<ds:datastoreItem xmlns:ds="http://schemas.openxmlformats.org/officeDocument/2006/customXml" ds:itemID="{033C5AB0-631A-4917-9033-C3599AE8F8E7}">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38120</Words>
  <Characters>217290</Characters>
  <Application>Microsoft Office Word</Application>
  <DocSecurity>0</DocSecurity>
  <Lines>1810</Lines>
  <Paragraphs>509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Mahdy Walaa</dc:creator>
  <cp:keywords/>
  <dc:description/>
  <cp:lastModifiedBy>山本 和宏</cp:lastModifiedBy>
  <cp:revision>4</cp:revision>
  <cp:lastPrinted>2024-03-05T22:01:00Z</cp:lastPrinted>
  <dcterms:created xsi:type="dcterms:W3CDTF">2025-08-15T14:49:00Z</dcterms:created>
  <dcterms:modified xsi:type="dcterms:W3CDTF">2025-09-22T00:13:00Z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id="NzKo45Wf"/&gt;&lt;style id="http://www.zotero.org/styles/clinical-pharmacokinetics" hasBibliography="1" bibliographyStyleHasBeenSet="1"/&gt;&lt;prefs&gt;&lt;pref name="fieldType" value="Field"/&gt;&lt;pref name="automat</vt:lpwstr>
  </property>
  <property fmtid="{D5CDD505-2E9C-101B-9397-08002B2CF9AE}" pid="3" name="ZOTERO_PREF_2">
    <vt:lpwstr>icJournalAbbreviations" value="true"/&gt;&lt;pref name="delayCitationUpdates" value="true"/&gt;&lt;pref name="dontAskDelayCitationUpdates" value="true"/&gt;&lt;/prefs&gt;&lt;/data&gt;</vt:lpwstr>
  </property>
</Properties>
</file>