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6B2E4" w14:textId="1D0F721A" w:rsidR="004E39D6" w:rsidRDefault="00E32CDA" w:rsidP="004E39D6">
      <w:pPr>
        <w:rPr>
          <w:rFonts w:asciiTheme="majorHAnsi" w:eastAsiaTheme="majorEastAsia" w:hAnsiTheme="majorHAnsi" w:cstheme="majorBidi"/>
          <w:color w:val="0F4761" w:themeColor="accent1" w:themeShade="BF"/>
          <w:sz w:val="40"/>
          <w:szCs w:val="40"/>
          <w:lang w:val="en-US"/>
        </w:rPr>
      </w:pPr>
      <w:r w:rsidRPr="00E32CDA">
        <w:rPr>
          <w:rFonts w:asciiTheme="majorHAnsi" w:eastAsiaTheme="majorEastAsia" w:hAnsiTheme="majorHAnsi" w:cstheme="majorBidi"/>
          <w:color w:val="0F4761" w:themeColor="accent1" w:themeShade="BF"/>
          <w:sz w:val="40"/>
          <w:szCs w:val="40"/>
          <w:lang w:val="en-US"/>
        </w:rPr>
        <w:t xml:space="preserve">Comparing the predictive performance of machine learning models with a newly developed population pharmacokinetic model for busulfan in </w:t>
      </w:r>
      <w:proofErr w:type="spellStart"/>
      <w:r w:rsidRPr="00E32CDA">
        <w:rPr>
          <w:rFonts w:asciiTheme="majorHAnsi" w:eastAsiaTheme="majorEastAsia" w:hAnsiTheme="majorHAnsi" w:cstheme="majorBidi"/>
          <w:color w:val="0F4761" w:themeColor="accent1" w:themeShade="BF"/>
          <w:sz w:val="40"/>
          <w:szCs w:val="40"/>
          <w:lang w:val="en-US"/>
        </w:rPr>
        <w:t>paediatric</w:t>
      </w:r>
      <w:proofErr w:type="spellEnd"/>
      <w:r w:rsidRPr="00E32CDA">
        <w:rPr>
          <w:rFonts w:asciiTheme="majorHAnsi" w:eastAsiaTheme="majorEastAsia" w:hAnsiTheme="majorHAnsi" w:cstheme="majorBidi"/>
          <w:color w:val="0F4761" w:themeColor="accent1" w:themeShade="BF"/>
          <w:sz w:val="40"/>
          <w:szCs w:val="40"/>
          <w:lang w:val="en-US"/>
        </w:rPr>
        <w:t xml:space="preserve"> patients</w:t>
      </w:r>
    </w:p>
    <w:p w14:paraId="6499068F" w14:textId="77777777" w:rsidR="00E32CDA" w:rsidRDefault="00E32CDA" w:rsidP="004E39D6">
      <w:pPr>
        <w:rPr>
          <w:lang w:val="en-US"/>
        </w:rPr>
      </w:pPr>
    </w:p>
    <w:p w14:paraId="1AE7A840" w14:textId="2C976B28" w:rsidR="004E39D6" w:rsidRDefault="004E39D6" w:rsidP="004E39D6">
      <w:pPr>
        <w:rPr>
          <w:b/>
          <w:bCs/>
          <w:lang w:val="en-GB"/>
        </w:rPr>
      </w:pPr>
      <w:r w:rsidRPr="00BD1806">
        <w:rPr>
          <w:b/>
          <w:bCs/>
          <w:lang w:val="en-GB"/>
        </w:rPr>
        <w:t xml:space="preserve">Clinical Pharmacokinetics </w:t>
      </w:r>
    </w:p>
    <w:p w14:paraId="5D811938" w14:textId="6C07D6A1" w:rsidR="00E82085" w:rsidRPr="00E82085" w:rsidRDefault="00E82085" w:rsidP="004E39D6">
      <w:pPr>
        <w:rPr>
          <w:b/>
          <w:bCs/>
          <w:lang w:val="en-GB"/>
        </w:rPr>
      </w:pPr>
      <w:r>
        <w:rPr>
          <w:b/>
          <w:bCs/>
          <w:lang w:val="en-GB"/>
        </w:rPr>
        <w:t>Supplementary Material 3</w:t>
      </w:r>
    </w:p>
    <w:p w14:paraId="110EB628" w14:textId="77777777" w:rsidR="00E82085" w:rsidRPr="004E39D6" w:rsidRDefault="00E82085" w:rsidP="004E39D6">
      <w:pPr>
        <w:rPr>
          <w:lang w:val="en-US"/>
        </w:rPr>
      </w:pPr>
    </w:p>
    <w:p w14:paraId="3563A153" w14:textId="77777777" w:rsidR="00A208FB" w:rsidRPr="00A208FB" w:rsidRDefault="00A208FB" w:rsidP="00A208FB">
      <w:pPr>
        <w:rPr>
          <w:sz w:val="20"/>
          <w:szCs w:val="20"/>
          <w:lang w:val="en-US"/>
        </w:rPr>
      </w:pPr>
      <w:r w:rsidRPr="00A208FB">
        <w:rPr>
          <w:sz w:val="20"/>
          <w:szCs w:val="20"/>
          <w:lang w:val="en-US"/>
        </w:rPr>
        <w:t>Tianwu Yang</w:t>
      </w:r>
      <w:r w:rsidRPr="00A208FB">
        <w:rPr>
          <w:sz w:val="20"/>
          <w:szCs w:val="20"/>
          <w:vertAlign w:val="superscript"/>
          <w:lang w:val="en-US"/>
        </w:rPr>
        <w:t xml:space="preserve">1 </w:t>
      </w:r>
      <w:r w:rsidRPr="00A208FB">
        <w:rPr>
          <w:sz w:val="20"/>
          <w:szCs w:val="20"/>
          <w:lang w:val="en-US"/>
        </w:rPr>
        <w:t>(ORCID: 0009-0005-0856-4497), Maria Thastrup</w:t>
      </w:r>
      <w:r w:rsidRPr="00A208FB">
        <w:rPr>
          <w:sz w:val="20"/>
          <w:szCs w:val="20"/>
          <w:vertAlign w:val="superscript"/>
          <w:lang w:val="en-US"/>
        </w:rPr>
        <w:t>2</w:t>
      </w:r>
      <w:r w:rsidRPr="00A208FB">
        <w:rPr>
          <w:sz w:val="20"/>
          <w:szCs w:val="20"/>
          <w:lang w:val="en-US"/>
        </w:rPr>
        <w:t xml:space="preserve"> (ORCID: 0000-0001-9950-5911), Tania Nicole Masmas</w:t>
      </w:r>
      <w:r w:rsidRPr="00A208FB">
        <w:rPr>
          <w:sz w:val="20"/>
          <w:szCs w:val="20"/>
          <w:vertAlign w:val="superscript"/>
          <w:lang w:val="en-US"/>
        </w:rPr>
        <w:t>2</w:t>
      </w:r>
      <w:r w:rsidRPr="00A208FB">
        <w:rPr>
          <w:sz w:val="20"/>
          <w:szCs w:val="20"/>
          <w:lang w:val="en-US"/>
        </w:rPr>
        <w:t xml:space="preserve"> (ORCID: 0000-0003-1604-422X), Hilde Hylland Uhlving</w:t>
      </w:r>
      <w:r w:rsidRPr="00A208FB">
        <w:rPr>
          <w:sz w:val="20"/>
          <w:szCs w:val="20"/>
          <w:vertAlign w:val="superscript"/>
          <w:lang w:val="en-US"/>
        </w:rPr>
        <w:t>2</w:t>
      </w:r>
      <w:r w:rsidRPr="00A208FB">
        <w:rPr>
          <w:sz w:val="20"/>
          <w:szCs w:val="20"/>
          <w:lang w:val="en-US"/>
        </w:rPr>
        <w:t xml:space="preserve"> (ORCID: 0000-0003-0389-3767), Jacob Nersting</w:t>
      </w:r>
      <w:r w:rsidRPr="00A208FB">
        <w:rPr>
          <w:sz w:val="20"/>
          <w:szCs w:val="20"/>
          <w:vertAlign w:val="superscript"/>
          <w:lang w:val="en-US"/>
        </w:rPr>
        <w:t>2</w:t>
      </w:r>
      <w:r w:rsidRPr="00A208FB">
        <w:rPr>
          <w:sz w:val="20"/>
          <w:szCs w:val="20"/>
          <w:lang w:val="en-US"/>
        </w:rPr>
        <w:t xml:space="preserve"> (ORCID: 0000-0001-9144-7972), Malene Johanne Petersen</w:t>
      </w:r>
      <w:r w:rsidRPr="00A208FB">
        <w:rPr>
          <w:sz w:val="20"/>
          <w:szCs w:val="20"/>
          <w:vertAlign w:val="superscript"/>
          <w:lang w:val="en-US"/>
        </w:rPr>
        <w:t xml:space="preserve">2 </w:t>
      </w:r>
      <w:r w:rsidRPr="00A208FB">
        <w:rPr>
          <w:sz w:val="20"/>
          <w:szCs w:val="20"/>
          <w:lang w:val="en-US"/>
        </w:rPr>
        <w:t>(ORCID: 0000-0002-0531-8531), Anna Sofie Buhl Rasmussen</w:t>
      </w:r>
      <w:r w:rsidRPr="00A208FB">
        <w:rPr>
          <w:sz w:val="20"/>
          <w:szCs w:val="20"/>
          <w:vertAlign w:val="superscript"/>
          <w:lang w:val="en-US"/>
        </w:rPr>
        <w:t>2</w:t>
      </w:r>
      <w:r w:rsidRPr="00A208FB">
        <w:rPr>
          <w:sz w:val="20"/>
          <w:szCs w:val="20"/>
          <w:lang w:val="en-US"/>
        </w:rPr>
        <w:t xml:space="preserve"> (ORCID: 0000-0002-4997-2914), Kjeld Schmiegelow*</w:t>
      </w:r>
      <w:r w:rsidRPr="00A208FB">
        <w:rPr>
          <w:sz w:val="20"/>
          <w:szCs w:val="20"/>
          <w:vertAlign w:val="superscript"/>
          <w:lang w:val="en-US"/>
        </w:rPr>
        <w:t>2, 3</w:t>
      </w:r>
      <w:r w:rsidRPr="00A208FB">
        <w:rPr>
          <w:sz w:val="20"/>
          <w:szCs w:val="20"/>
          <w:lang w:val="en-US"/>
        </w:rPr>
        <w:t xml:space="preserve"> (ORCID: 0000-0002-0829-4993), Trine Meldgaard Lund*</w:t>
      </w:r>
      <w:r w:rsidRPr="00A208FB">
        <w:rPr>
          <w:sz w:val="20"/>
          <w:szCs w:val="20"/>
          <w:vertAlign w:val="superscript"/>
          <w:lang w:val="en-US"/>
        </w:rPr>
        <w:t xml:space="preserve">1 </w:t>
      </w:r>
      <w:r w:rsidRPr="00A208FB">
        <w:rPr>
          <w:sz w:val="20"/>
          <w:szCs w:val="20"/>
          <w:lang w:val="en-US"/>
        </w:rPr>
        <w:t>(ORCID: 0000-0001-8598-2880)</w:t>
      </w:r>
    </w:p>
    <w:p w14:paraId="4A30C352" w14:textId="77777777" w:rsidR="00A208FB" w:rsidRPr="004E39D6" w:rsidRDefault="00A208FB" w:rsidP="00A208FB">
      <w:pPr>
        <w:rPr>
          <w:sz w:val="20"/>
          <w:szCs w:val="20"/>
          <w:lang w:val="en-GB"/>
        </w:rPr>
      </w:pPr>
      <w:r w:rsidRPr="00A208FB">
        <w:rPr>
          <w:sz w:val="20"/>
          <w:szCs w:val="20"/>
          <w:vertAlign w:val="superscript"/>
          <w:lang w:val="en-US"/>
        </w:rPr>
        <w:t>1</w:t>
      </w:r>
      <w:r w:rsidRPr="00A208FB">
        <w:rPr>
          <w:sz w:val="20"/>
          <w:szCs w:val="20"/>
          <w:lang w:val="en-US"/>
        </w:rPr>
        <w:t xml:space="preserve"> Department of Drug </w:t>
      </w:r>
      <w:r w:rsidRPr="004E39D6">
        <w:rPr>
          <w:sz w:val="20"/>
          <w:szCs w:val="20"/>
          <w:lang w:val="en-GB"/>
        </w:rPr>
        <w:t>Design and Pharmacology, University of Copenhagen, Denmark</w:t>
      </w:r>
    </w:p>
    <w:p w14:paraId="4BC1F648" w14:textId="77777777" w:rsidR="00A208FB" w:rsidRPr="00A208FB" w:rsidRDefault="00A208FB" w:rsidP="00A208FB">
      <w:pPr>
        <w:rPr>
          <w:sz w:val="20"/>
          <w:szCs w:val="20"/>
          <w:lang w:val="en-US"/>
        </w:rPr>
      </w:pPr>
      <w:r w:rsidRPr="004E39D6">
        <w:rPr>
          <w:sz w:val="20"/>
          <w:szCs w:val="20"/>
          <w:vertAlign w:val="superscript"/>
          <w:lang w:val="en-GB"/>
        </w:rPr>
        <w:t>2</w:t>
      </w:r>
      <w:r w:rsidRPr="004E39D6">
        <w:rPr>
          <w:sz w:val="20"/>
          <w:szCs w:val="20"/>
          <w:lang w:val="en-GB"/>
        </w:rPr>
        <w:t xml:space="preserve"> Department of Paediatrics and Adolescent</w:t>
      </w:r>
      <w:r w:rsidRPr="00A208FB">
        <w:rPr>
          <w:sz w:val="20"/>
          <w:szCs w:val="20"/>
          <w:lang w:val="en-US"/>
        </w:rPr>
        <w:t xml:space="preserve"> Medicine, Copenhagen University Hospital, Rigshospitalet, Denmark</w:t>
      </w:r>
    </w:p>
    <w:p w14:paraId="6B120BA9" w14:textId="77777777" w:rsidR="00A208FB" w:rsidRPr="00A208FB" w:rsidRDefault="00A208FB" w:rsidP="00A208FB">
      <w:pPr>
        <w:rPr>
          <w:sz w:val="20"/>
          <w:szCs w:val="20"/>
          <w:lang w:val="en-US"/>
        </w:rPr>
      </w:pPr>
      <w:r w:rsidRPr="00A208FB">
        <w:rPr>
          <w:sz w:val="20"/>
          <w:szCs w:val="20"/>
          <w:vertAlign w:val="superscript"/>
          <w:lang w:val="en-US"/>
        </w:rPr>
        <w:t>3</w:t>
      </w:r>
      <w:r w:rsidRPr="00A208FB">
        <w:rPr>
          <w:sz w:val="20"/>
          <w:szCs w:val="20"/>
          <w:lang w:val="en-US"/>
        </w:rPr>
        <w:t xml:space="preserve"> Institute of Clinical Medicine, Faculty of Medicine, University of Copenhagen, Copenhagen, Denmark</w:t>
      </w:r>
    </w:p>
    <w:p w14:paraId="2E5634A0" w14:textId="77777777" w:rsidR="00A208FB" w:rsidRPr="00A208FB" w:rsidRDefault="00A208FB" w:rsidP="00A208FB">
      <w:pPr>
        <w:rPr>
          <w:sz w:val="20"/>
          <w:szCs w:val="20"/>
          <w:lang w:val="en-US"/>
        </w:rPr>
      </w:pPr>
      <w:r w:rsidRPr="00A208FB">
        <w:rPr>
          <w:sz w:val="20"/>
          <w:szCs w:val="20"/>
          <w:lang w:val="en-US"/>
        </w:rPr>
        <w:t>* Shared last authorship</w:t>
      </w:r>
    </w:p>
    <w:p w14:paraId="3C2DBD0F" w14:textId="77777777" w:rsidR="00A208FB" w:rsidRPr="00A208FB" w:rsidRDefault="00A208FB" w:rsidP="00A208FB">
      <w:pPr>
        <w:rPr>
          <w:lang w:val="en-US"/>
        </w:rPr>
      </w:pPr>
    </w:p>
    <w:p w14:paraId="41BAC79C" w14:textId="77777777" w:rsidR="00A208FB" w:rsidRPr="00A208FB" w:rsidRDefault="00A208FB" w:rsidP="00A208FB">
      <w:pPr>
        <w:rPr>
          <w:rFonts w:cs="Times New Roman"/>
          <w:sz w:val="20"/>
          <w:szCs w:val="20"/>
          <w:lang w:val="en-US"/>
        </w:rPr>
      </w:pPr>
      <w:r w:rsidRPr="00A208FB">
        <w:rPr>
          <w:rFonts w:cs="Times New Roman"/>
          <w:b/>
          <w:sz w:val="20"/>
          <w:szCs w:val="20"/>
          <w:lang w:val="en-US"/>
        </w:rPr>
        <w:t>Corresponding author:</w:t>
      </w:r>
      <w:r w:rsidRPr="00A208FB">
        <w:rPr>
          <w:rFonts w:cs="Times New Roman"/>
          <w:b/>
          <w:sz w:val="20"/>
          <w:szCs w:val="20"/>
          <w:lang w:val="en-US"/>
        </w:rPr>
        <w:br/>
      </w:r>
      <w:r w:rsidRPr="00A208FB">
        <w:rPr>
          <w:rFonts w:cs="Times New Roman"/>
          <w:sz w:val="20"/>
          <w:szCs w:val="20"/>
          <w:lang w:val="en-US"/>
        </w:rPr>
        <w:t>Trine Meldgaard Lund</w:t>
      </w:r>
      <w:r w:rsidRPr="00A208FB">
        <w:rPr>
          <w:rFonts w:cs="Times New Roman"/>
          <w:sz w:val="20"/>
          <w:szCs w:val="20"/>
          <w:lang w:val="en-US"/>
        </w:rPr>
        <w:br/>
        <w:t xml:space="preserve">Address: Department of Drug Design and Pharmacology, Faculty of Health and Medical Sciences, University of Copenhagen, </w:t>
      </w:r>
      <w:proofErr w:type="spellStart"/>
      <w:r w:rsidRPr="00A208FB">
        <w:rPr>
          <w:rFonts w:cs="Times New Roman"/>
          <w:sz w:val="20"/>
          <w:szCs w:val="20"/>
          <w:lang w:val="en-US"/>
        </w:rPr>
        <w:t>Universitetsparken</w:t>
      </w:r>
      <w:proofErr w:type="spellEnd"/>
      <w:r w:rsidRPr="00A208FB">
        <w:rPr>
          <w:rFonts w:cs="Times New Roman"/>
          <w:sz w:val="20"/>
          <w:szCs w:val="20"/>
          <w:lang w:val="en-US"/>
        </w:rPr>
        <w:t xml:space="preserve"> 2, 2100 Copenhagen, Denmark</w:t>
      </w:r>
      <w:r w:rsidRPr="00A208FB">
        <w:rPr>
          <w:rFonts w:cs="Times New Roman"/>
          <w:sz w:val="20"/>
          <w:szCs w:val="20"/>
          <w:lang w:val="en-US"/>
        </w:rPr>
        <w:br/>
        <w:t>E-mail: trine.lund@sund.ku.dk</w:t>
      </w:r>
      <w:r w:rsidRPr="00A208FB">
        <w:rPr>
          <w:rFonts w:cs="Times New Roman"/>
          <w:sz w:val="20"/>
          <w:szCs w:val="20"/>
          <w:lang w:val="en-US"/>
        </w:rPr>
        <w:br/>
        <w:t xml:space="preserve">Tel.: + 45 35 33 63 40 </w:t>
      </w:r>
    </w:p>
    <w:p w14:paraId="13A504B8" w14:textId="04F77174" w:rsidR="00A208FB" w:rsidRDefault="00A208FB">
      <w:pPr>
        <w:rPr>
          <w:b/>
          <w:bCs/>
          <w:lang w:val="en-US"/>
        </w:rPr>
      </w:pPr>
      <w:r>
        <w:rPr>
          <w:b/>
          <w:bCs/>
          <w:lang w:val="en-US"/>
        </w:rPr>
        <w:br w:type="page"/>
      </w:r>
    </w:p>
    <w:p w14:paraId="7834B3AB" w14:textId="6F868696" w:rsidR="003A6DF2" w:rsidRPr="00052AA1" w:rsidRDefault="003A6DF2">
      <w:pPr>
        <w:rPr>
          <w:b/>
          <w:bCs/>
          <w:lang w:val="en-US"/>
        </w:rPr>
      </w:pPr>
      <w:r w:rsidRPr="00052AA1">
        <w:rPr>
          <w:rFonts w:hint="eastAsia"/>
          <w:b/>
          <w:bCs/>
          <w:lang w:val="en-US"/>
        </w:rPr>
        <w:lastRenderedPageBreak/>
        <w:t>T</w:t>
      </w:r>
      <w:r w:rsidRPr="00052AA1">
        <w:rPr>
          <w:b/>
          <w:bCs/>
          <w:lang w:val="en-US"/>
        </w:rPr>
        <w:t>h</w:t>
      </w:r>
      <w:r w:rsidRPr="00052AA1">
        <w:rPr>
          <w:rFonts w:hint="eastAsia"/>
          <w:b/>
          <w:bCs/>
          <w:lang w:val="en-US"/>
        </w:rPr>
        <w:t xml:space="preserve">e shiny app </w:t>
      </w:r>
      <w:r w:rsidR="00EC40D3" w:rsidRPr="00052AA1">
        <w:rPr>
          <w:rFonts w:hint="eastAsia"/>
          <w:b/>
          <w:bCs/>
          <w:lang w:val="en-US"/>
        </w:rPr>
        <w:t>c</w:t>
      </w:r>
      <w:r w:rsidR="00EC40D3">
        <w:rPr>
          <w:b/>
          <w:bCs/>
          <w:lang w:val="en-US"/>
        </w:rPr>
        <w:t>an</w:t>
      </w:r>
      <w:r w:rsidR="00EC40D3" w:rsidRPr="00052AA1">
        <w:rPr>
          <w:rFonts w:hint="eastAsia"/>
          <w:b/>
          <w:bCs/>
          <w:lang w:val="en-US"/>
        </w:rPr>
        <w:t xml:space="preserve"> </w:t>
      </w:r>
      <w:r w:rsidRPr="00052AA1">
        <w:rPr>
          <w:rFonts w:hint="eastAsia"/>
          <w:b/>
          <w:bCs/>
          <w:lang w:val="en-US"/>
        </w:rPr>
        <w:t xml:space="preserve">be </w:t>
      </w:r>
      <w:r w:rsidRPr="00052AA1">
        <w:rPr>
          <w:b/>
          <w:bCs/>
          <w:lang w:val="en-US"/>
        </w:rPr>
        <w:t>found</w:t>
      </w:r>
      <w:r w:rsidRPr="00052AA1">
        <w:rPr>
          <w:rFonts w:hint="eastAsia"/>
          <w:b/>
          <w:bCs/>
          <w:lang w:val="en-US"/>
        </w:rPr>
        <w:t xml:space="preserve"> at:</w:t>
      </w:r>
    </w:p>
    <w:p w14:paraId="4DEB0C3A" w14:textId="1BE8403D" w:rsidR="003A6DF2" w:rsidRPr="003A6DF2" w:rsidRDefault="003A6DF2">
      <w:pPr>
        <w:rPr>
          <w:lang w:val="en-US"/>
        </w:rPr>
      </w:pPr>
      <w:r w:rsidRPr="003A6DF2">
        <w:rPr>
          <w:lang w:val="en-US"/>
        </w:rPr>
        <w:t>https://github.com/tian666-cpu/Busulfan-Shiny-popPK</w:t>
      </w:r>
    </w:p>
    <w:p w14:paraId="4FA4D645" w14:textId="77777777" w:rsidR="003A6DF2" w:rsidRPr="003A6DF2" w:rsidRDefault="003A6DF2">
      <w:pPr>
        <w:rPr>
          <w:lang w:val="en-US"/>
        </w:rPr>
      </w:pPr>
    </w:p>
    <w:p w14:paraId="3BC6E749" w14:textId="4D40F286" w:rsidR="00B05B7E" w:rsidRDefault="005951E9">
      <w:r w:rsidRPr="005951E9">
        <w:rPr>
          <w:noProof/>
        </w:rPr>
        <w:drawing>
          <wp:inline distT="0" distB="0" distL="0" distR="0" wp14:anchorId="7350C5D1" wp14:editId="79CB4588">
            <wp:extent cx="5731510" cy="2893060"/>
            <wp:effectExtent l="0" t="0" r="2540" b="2540"/>
            <wp:docPr id="1623817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17967" name=""/>
                    <pic:cNvPicPr/>
                  </pic:nvPicPr>
                  <pic:blipFill>
                    <a:blip r:embed="rId5"/>
                    <a:stretch>
                      <a:fillRect/>
                    </a:stretch>
                  </pic:blipFill>
                  <pic:spPr>
                    <a:xfrm>
                      <a:off x="0" y="0"/>
                      <a:ext cx="5731510" cy="2893060"/>
                    </a:xfrm>
                    <a:prstGeom prst="rect">
                      <a:avLst/>
                    </a:prstGeom>
                  </pic:spPr>
                </pic:pic>
              </a:graphicData>
            </a:graphic>
          </wp:inline>
        </w:drawing>
      </w:r>
    </w:p>
    <w:p w14:paraId="150F93B1" w14:textId="4A5DC1DD" w:rsidR="005951E9" w:rsidRDefault="005951E9" w:rsidP="005951E9">
      <w:pPr>
        <w:rPr>
          <w:lang w:val="en-US"/>
        </w:rPr>
      </w:pPr>
      <w:r w:rsidRPr="005951E9">
        <w:rPr>
          <w:lang w:val="en-US"/>
        </w:rPr>
        <w:t>Figure S3.1 The design of the Shiny app (“Bayesian” tab)</w:t>
      </w:r>
    </w:p>
    <w:p w14:paraId="5CD74ACF" w14:textId="77777777" w:rsidR="005951E9" w:rsidRDefault="005951E9" w:rsidP="005951E9">
      <w:pPr>
        <w:rPr>
          <w:lang w:val="en-US"/>
        </w:rPr>
      </w:pPr>
    </w:p>
    <w:p w14:paraId="475EF846" w14:textId="77777777" w:rsidR="005951E9" w:rsidRDefault="005951E9" w:rsidP="005951E9">
      <w:pPr>
        <w:rPr>
          <w:lang w:val="en-US"/>
        </w:rPr>
      </w:pPr>
    </w:p>
    <w:p w14:paraId="17C87FE1" w14:textId="28DE6B8A" w:rsidR="005951E9" w:rsidRDefault="005951E9" w:rsidP="005951E9">
      <w:pPr>
        <w:rPr>
          <w:lang w:val="en-US"/>
        </w:rPr>
      </w:pPr>
      <w:r w:rsidRPr="005951E9">
        <w:rPr>
          <w:noProof/>
        </w:rPr>
        <w:drawing>
          <wp:inline distT="0" distB="0" distL="0" distR="0" wp14:anchorId="77D0586F" wp14:editId="796E6BBF">
            <wp:extent cx="5731510" cy="2823210"/>
            <wp:effectExtent l="0" t="0" r="2540" b="0"/>
            <wp:docPr id="5" name="Picture 4">
              <a:extLst xmlns:a="http://schemas.openxmlformats.org/drawingml/2006/main">
                <a:ext uri="{FF2B5EF4-FFF2-40B4-BE49-F238E27FC236}">
                  <a16:creationId xmlns:a16="http://schemas.microsoft.com/office/drawing/2014/main" id="{9BE92940-2F0C-BA8D-57B3-3D20A39094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BE92940-2F0C-BA8D-57B3-3D20A3909463}"/>
                        </a:ext>
                      </a:extLst>
                    </pic:cNvPr>
                    <pic:cNvPicPr>
                      <a:picLocks noChangeAspect="1"/>
                    </pic:cNvPicPr>
                  </pic:nvPicPr>
                  <pic:blipFill>
                    <a:blip r:embed="rId6"/>
                    <a:srcRect b="12275"/>
                    <a:stretch>
                      <a:fillRect/>
                    </a:stretch>
                  </pic:blipFill>
                  <pic:spPr>
                    <a:xfrm>
                      <a:off x="0" y="0"/>
                      <a:ext cx="5731510" cy="2823210"/>
                    </a:xfrm>
                    <a:prstGeom prst="rect">
                      <a:avLst/>
                    </a:prstGeom>
                  </pic:spPr>
                </pic:pic>
              </a:graphicData>
            </a:graphic>
          </wp:inline>
        </w:drawing>
      </w:r>
    </w:p>
    <w:p w14:paraId="03104671" w14:textId="703197CC" w:rsidR="005951E9" w:rsidRDefault="005951E9" w:rsidP="005951E9">
      <w:pPr>
        <w:rPr>
          <w:lang w:val="en-GB"/>
        </w:rPr>
      </w:pPr>
      <w:r w:rsidRPr="005951E9">
        <w:rPr>
          <w:lang w:val="en-US"/>
        </w:rPr>
        <w:t>Figure S</w:t>
      </w:r>
      <w:r>
        <w:rPr>
          <w:lang w:val="en-US"/>
        </w:rPr>
        <w:t>3</w:t>
      </w:r>
      <w:r w:rsidRPr="005951E9">
        <w:rPr>
          <w:lang w:val="en-US"/>
        </w:rPr>
        <w:t xml:space="preserve">.2 </w:t>
      </w:r>
      <w:r w:rsidRPr="005951E9">
        <w:rPr>
          <w:lang w:val="en-GB"/>
        </w:rPr>
        <w:t>The design of the Shiny app (“First Dose” tab)</w:t>
      </w:r>
    </w:p>
    <w:p w14:paraId="178F3CE2" w14:textId="77777777" w:rsidR="005951E9" w:rsidRDefault="005951E9" w:rsidP="005951E9">
      <w:pPr>
        <w:rPr>
          <w:lang w:val="en-GB"/>
        </w:rPr>
      </w:pPr>
    </w:p>
    <w:p w14:paraId="697ACFBC" w14:textId="25DE023F" w:rsidR="005951E9" w:rsidRPr="005951E9" w:rsidRDefault="005951E9" w:rsidP="005951E9">
      <w:pPr>
        <w:rPr>
          <w:lang w:val="en-US"/>
        </w:rPr>
      </w:pPr>
      <w:r w:rsidRPr="005951E9">
        <w:rPr>
          <w:noProof/>
        </w:rPr>
        <w:lastRenderedPageBreak/>
        <w:drawing>
          <wp:inline distT="0" distB="0" distL="0" distR="0" wp14:anchorId="5108F909" wp14:editId="3EA7A8D8">
            <wp:extent cx="5731510" cy="2897505"/>
            <wp:effectExtent l="0" t="0" r="2540" b="0"/>
            <wp:docPr id="7" name="Picture 6">
              <a:extLst xmlns:a="http://schemas.openxmlformats.org/drawingml/2006/main">
                <a:ext uri="{FF2B5EF4-FFF2-40B4-BE49-F238E27FC236}">
                  <a16:creationId xmlns:a16="http://schemas.microsoft.com/office/drawing/2014/main" id="{38558E77-7689-0721-11FF-6CAAFE799D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8558E77-7689-0721-11FF-6CAAFE799DB3}"/>
                        </a:ext>
                      </a:extLst>
                    </pic:cNvPr>
                    <pic:cNvPicPr>
                      <a:picLocks noChangeAspect="1"/>
                    </pic:cNvPicPr>
                  </pic:nvPicPr>
                  <pic:blipFill>
                    <a:blip r:embed="rId7"/>
                    <a:stretch>
                      <a:fillRect/>
                    </a:stretch>
                  </pic:blipFill>
                  <pic:spPr>
                    <a:xfrm>
                      <a:off x="0" y="0"/>
                      <a:ext cx="5731510" cy="2897505"/>
                    </a:xfrm>
                    <a:prstGeom prst="rect">
                      <a:avLst/>
                    </a:prstGeom>
                  </pic:spPr>
                </pic:pic>
              </a:graphicData>
            </a:graphic>
          </wp:inline>
        </w:drawing>
      </w:r>
    </w:p>
    <w:p w14:paraId="7ED2E5BC" w14:textId="395AEEC9" w:rsidR="005951E9" w:rsidRPr="005951E9" w:rsidRDefault="005951E9" w:rsidP="005951E9">
      <w:pPr>
        <w:rPr>
          <w:lang w:val="en-US"/>
        </w:rPr>
      </w:pPr>
      <w:r w:rsidRPr="005951E9">
        <w:rPr>
          <w:lang w:val="en-US"/>
        </w:rPr>
        <w:t>Figure S</w:t>
      </w:r>
      <w:r>
        <w:rPr>
          <w:lang w:val="en-US"/>
        </w:rPr>
        <w:t>3</w:t>
      </w:r>
      <w:r w:rsidRPr="005951E9">
        <w:rPr>
          <w:lang w:val="en-US"/>
        </w:rPr>
        <w:t xml:space="preserve">.3 </w:t>
      </w:r>
      <w:r w:rsidRPr="005951E9">
        <w:rPr>
          <w:lang w:val="en-GB"/>
        </w:rPr>
        <w:t>The design of the Shiny app (“Plots” tab)</w:t>
      </w:r>
    </w:p>
    <w:p w14:paraId="0E9C7070" w14:textId="77777777" w:rsidR="00894FCF" w:rsidRDefault="00894FCF" w:rsidP="00894FCF">
      <w:pPr>
        <w:spacing w:line="360" w:lineRule="auto"/>
        <w:rPr>
          <w:lang w:val="en-GB"/>
        </w:rPr>
      </w:pPr>
    </w:p>
    <w:p w14:paraId="00BB31D4" w14:textId="7350AB4D" w:rsidR="00894FCF" w:rsidRPr="00894FCF" w:rsidRDefault="00894FCF" w:rsidP="00894FCF">
      <w:pPr>
        <w:spacing w:line="360" w:lineRule="auto"/>
        <w:rPr>
          <w:lang w:val="en-GB"/>
        </w:rPr>
      </w:pPr>
      <w:r>
        <w:rPr>
          <w:lang w:val="en-GB"/>
        </w:rPr>
        <w:t>The</w:t>
      </w:r>
      <w:r w:rsidRPr="00AC116F">
        <w:rPr>
          <w:lang w:val="en-GB"/>
        </w:rPr>
        <w:t xml:space="preserve"> open-sourced Shiny app was developed with R software (version 4.5.0). The MAP calculation was carried out by the package </w:t>
      </w:r>
      <w:proofErr w:type="spellStart"/>
      <w:r w:rsidRPr="00AC116F">
        <w:rPr>
          <w:i/>
          <w:iCs/>
          <w:lang w:val="en-GB"/>
        </w:rPr>
        <w:t>mapbayr</w:t>
      </w:r>
      <w:proofErr w:type="spellEnd"/>
      <w:r w:rsidRPr="00AC116F">
        <w:rPr>
          <w:lang w:val="en-GB"/>
        </w:rPr>
        <w:t xml:space="preserve">, and the </w:t>
      </w:r>
      <w:proofErr w:type="spellStart"/>
      <w:r w:rsidRPr="00AC116F">
        <w:rPr>
          <w:lang w:val="en-GB"/>
        </w:rPr>
        <w:t>popPK</w:t>
      </w:r>
      <w:proofErr w:type="spellEnd"/>
      <w:r w:rsidRPr="00AC116F">
        <w:rPr>
          <w:lang w:val="en-GB"/>
        </w:rPr>
        <w:t xml:space="preserve"> model was coded in </w:t>
      </w:r>
      <w:proofErr w:type="spellStart"/>
      <w:r w:rsidRPr="00AC116F">
        <w:rPr>
          <w:i/>
          <w:iCs/>
          <w:lang w:val="en-GB"/>
        </w:rPr>
        <w:t>mrgsolve</w:t>
      </w:r>
      <w:proofErr w:type="spellEnd"/>
      <w:r w:rsidRPr="00AC116F">
        <w:rPr>
          <w:lang w:val="en-GB"/>
        </w:rPr>
        <w:t>.</w:t>
      </w:r>
    </w:p>
    <w:p w14:paraId="6857CECA" w14:textId="77777777" w:rsidR="00894FCF" w:rsidRDefault="00894FCF" w:rsidP="005951E9">
      <w:pPr>
        <w:rPr>
          <w:lang w:val="en-US"/>
        </w:rPr>
      </w:pPr>
    </w:p>
    <w:p w14:paraId="05223390" w14:textId="776C3F07" w:rsidR="005951E9" w:rsidRPr="005951E9" w:rsidRDefault="00894FCF" w:rsidP="005951E9">
      <w:pPr>
        <w:rPr>
          <w:lang w:val="en-US"/>
        </w:rPr>
      </w:pPr>
      <w:r>
        <w:rPr>
          <w:lang w:val="en-US"/>
        </w:rPr>
        <w:t>The</w:t>
      </w:r>
      <w:r w:rsidR="005951E9" w:rsidRPr="005951E9">
        <w:rPr>
          <w:lang w:val="en-US"/>
        </w:rPr>
        <w:t xml:space="preserve"> Shiny app was developed for easy implementation of our </w:t>
      </w:r>
      <w:proofErr w:type="spellStart"/>
      <w:r w:rsidR="005951E9" w:rsidRPr="005951E9">
        <w:rPr>
          <w:lang w:val="en-US"/>
        </w:rPr>
        <w:t>popPK</w:t>
      </w:r>
      <w:proofErr w:type="spellEnd"/>
      <w:r w:rsidR="005951E9" w:rsidRPr="005951E9">
        <w:rPr>
          <w:lang w:val="en-US"/>
        </w:rPr>
        <w:t xml:space="preserve"> model in clinical settings (Figure </w:t>
      </w:r>
      <w:r w:rsidR="005951E9">
        <w:rPr>
          <w:lang w:val="en-US"/>
        </w:rPr>
        <w:t>S3.1</w:t>
      </w:r>
      <w:r w:rsidR="005951E9" w:rsidRPr="005951E9">
        <w:rPr>
          <w:lang w:val="en-US"/>
        </w:rPr>
        <w:t xml:space="preserve">). The upper left side of the user interface is the module for registering basic information, including the current infusion schedule and target, as well as patient demographics and covariates. For our model (“Yang et al. (2025)”), the patient's total body weight is compulsory. The lower left side is where the user inputs the infusion information, including the dosage regimen and TDM sample observations. On the right side, there were subtabs: “First Dose”, “Bayesian”, and “Plots”. Figure </w:t>
      </w:r>
      <w:r w:rsidR="005951E9">
        <w:rPr>
          <w:lang w:val="en-US"/>
        </w:rPr>
        <w:t xml:space="preserve">S3.1 </w:t>
      </w:r>
      <w:r w:rsidR="005951E9" w:rsidRPr="005951E9">
        <w:rPr>
          <w:lang w:val="en-US"/>
        </w:rPr>
        <w:t>shows an example result of the “Bayesian” tab. After the user enters all the required information on the left side (including Basic information and Infusion information) and clicks the button “Calculate the Bayesian forecasting”, the result of predicted CL and suggested dose for the upcoming infusion will be shown. The “Plots” tab shows summary plots of the corresponding Bayesian forecasting in the “Bayesian” tab (Figures S</w:t>
      </w:r>
      <w:r w:rsidR="005951E9">
        <w:rPr>
          <w:lang w:val="en-US"/>
        </w:rPr>
        <w:t>3</w:t>
      </w:r>
      <w:r w:rsidR="005951E9" w:rsidRPr="005951E9">
        <w:rPr>
          <w:lang w:val="en-US"/>
        </w:rPr>
        <w:t>.</w:t>
      </w:r>
      <w:r w:rsidR="005951E9">
        <w:rPr>
          <w:lang w:val="en-US"/>
        </w:rPr>
        <w:t>2</w:t>
      </w:r>
      <w:r w:rsidR="005951E9" w:rsidRPr="005951E9">
        <w:rPr>
          <w:lang w:val="en-US"/>
        </w:rPr>
        <w:t xml:space="preserve"> and S</w:t>
      </w:r>
      <w:r w:rsidR="005951E9">
        <w:rPr>
          <w:lang w:val="en-US"/>
        </w:rPr>
        <w:t>3</w:t>
      </w:r>
      <w:r w:rsidR="005951E9" w:rsidRPr="005951E9">
        <w:rPr>
          <w:lang w:val="en-US"/>
        </w:rPr>
        <w:t>.</w:t>
      </w:r>
      <w:r w:rsidR="005951E9">
        <w:rPr>
          <w:lang w:val="en-US"/>
        </w:rPr>
        <w:t>3</w:t>
      </w:r>
      <w:r w:rsidR="005951E9" w:rsidRPr="005951E9">
        <w:rPr>
          <w:lang w:val="en-US"/>
        </w:rPr>
        <w:t xml:space="preserve">). The “First Dose” tab is like the “Post Hoc” tab, where the user only needs to register the basic information (covariates), and the suggested dose, based on </w:t>
      </w:r>
      <w:r w:rsidR="005951E9" w:rsidRPr="005951E9">
        <w:rPr>
          <w:i/>
          <w:iCs/>
          <w:lang w:val="en-US"/>
        </w:rPr>
        <w:t>a priori</w:t>
      </w:r>
      <w:r w:rsidR="005951E9" w:rsidRPr="005951E9">
        <w:rPr>
          <w:lang w:val="en-US"/>
        </w:rPr>
        <w:t xml:space="preserve"> estimates for the first infusion, will be shown on the right side. A report for clinicians can be downloaded by clicking the "Save Report" button.</w:t>
      </w:r>
    </w:p>
    <w:p w14:paraId="7A21FE35" w14:textId="77777777" w:rsidR="005951E9" w:rsidRPr="005951E9" w:rsidRDefault="005951E9">
      <w:pPr>
        <w:rPr>
          <w:lang w:val="en-US"/>
        </w:rPr>
      </w:pPr>
    </w:p>
    <w:sectPr w:rsidR="005951E9" w:rsidRPr="005951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0C"/>
    <w:rsid w:val="0002260D"/>
    <w:rsid w:val="000235BF"/>
    <w:rsid w:val="00052AA1"/>
    <w:rsid w:val="00055883"/>
    <w:rsid w:val="0006269C"/>
    <w:rsid w:val="00063FF2"/>
    <w:rsid w:val="0007265A"/>
    <w:rsid w:val="000C0919"/>
    <w:rsid w:val="0013273B"/>
    <w:rsid w:val="001460B6"/>
    <w:rsid w:val="00170637"/>
    <w:rsid w:val="00184506"/>
    <w:rsid w:val="00184C7C"/>
    <w:rsid w:val="001A1307"/>
    <w:rsid w:val="001C4B03"/>
    <w:rsid w:val="001C4C10"/>
    <w:rsid w:val="001C797C"/>
    <w:rsid w:val="001E76EF"/>
    <w:rsid w:val="0021122D"/>
    <w:rsid w:val="0021421F"/>
    <w:rsid w:val="00222054"/>
    <w:rsid w:val="002228EF"/>
    <w:rsid w:val="00225698"/>
    <w:rsid w:val="00231407"/>
    <w:rsid w:val="002341E3"/>
    <w:rsid w:val="002409EC"/>
    <w:rsid w:val="002548EC"/>
    <w:rsid w:val="00260513"/>
    <w:rsid w:val="00283814"/>
    <w:rsid w:val="002B2AC1"/>
    <w:rsid w:val="002B5193"/>
    <w:rsid w:val="00302B27"/>
    <w:rsid w:val="003135B0"/>
    <w:rsid w:val="00332825"/>
    <w:rsid w:val="00341DBE"/>
    <w:rsid w:val="00353F86"/>
    <w:rsid w:val="00354A15"/>
    <w:rsid w:val="0039671A"/>
    <w:rsid w:val="003A6DF2"/>
    <w:rsid w:val="00403682"/>
    <w:rsid w:val="00416F3E"/>
    <w:rsid w:val="00467E17"/>
    <w:rsid w:val="004731BC"/>
    <w:rsid w:val="00491F54"/>
    <w:rsid w:val="004D74B1"/>
    <w:rsid w:val="004E39D6"/>
    <w:rsid w:val="004E574B"/>
    <w:rsid w:val="004F424E"/>
    <w:rsid w:val="00520B8B"/>
    <w:rsid w:val="00536FCD"/>
    <w:rsid w:val="00544598"/>
    <w:rsid w:val="00563E7E"/>
    <w:rsid w:val="005741EA"/>
    <w:rsid w:val="00591950"/>
    <w:rsid w:val="005951E9"/>
    <w:rsid w:val="005978D9"/>
    <w:rsid w:val="005F1497"/>
    <w:rsid w:val="005F7C6C"/>
    <w:rsid w:val="006177B6"/>
    <w:rsid w:val="006522A9"/>
    <w:rsid w:val="006633D7"/>
    <w:rsid w:val="006902CE"/>
    <w:rsid w:val="00693A3A"/>
    <w:rsid w:val="006A2F53"/>
    <w:rsid w:val="006A49EB"/>
    <w:rsid w:val="006B1984"/>
    <w:rsid w:val="006C00BC"/>
    <w:rsid w:val="006F6585"/>
    <w:rsid w:val="007168DA"/>
    <w:rsid w:val="0072783F"/>
    <w:rsid w:val="007341B1"/>
    <w:rsid w:val="0073773D"/>
    <w:rsid w:val="00737F5D"/>
    <w:rsid w:val="0075632B"/>
    <w:rsid w:val="007633FA"/>
    <w:rsid w:val="007863DE"/>
    <w:rsid w:val="007A4810"/>
    <w:rsid w:val="007A597B"/>
    <w:rsid w:val="007E5F06"/>
    <w:rsid w:val="0080394C"/>
    <w:rsid w:val="008046A7"/>
    <w:rsid w:val="008077D3"/>
    <w:rsid w:val="00813679"/>
    <w:rsid w:val="008259D4"/>
    <w:rsid w:val="00825A14"/>
    <w:rsid w:val="00825DA2"/>
    <w:rsid w:val="00835E33"/>
    <w:rsid w:val="00874918"/>
    <w:rsid w:val="00884E9B"/>
    <w:rsid w:val="00894FCF"/>
    <w:rsid w:val="008B08FE"/>
    <w:rsid w:val="008E6865"/>
    <w:rsid w:val="008F241D"/>
    <w:rsid w:val="00907AD9"/>
    <w:rsid w:val="00955E39"/>
    <w:rsid w:val="00972D6E"/>
    <w:rsid w:val="00993069"/>
    <w:rsid w:val="009A4D2A"/>
    <w:rsid w:val="009C5272"/>
    <w:rsid w:val="00A208FB"/>
    <w:rsid w:val="00A219E0"/>
    <w:rsid w:val="00A31C0C"/>
    <w:rsid w:val="00A36344"/>
    <w:rsid w:val="00A43F34"/>
    <w:rsid w:val="00A52541"/>
    <w:rsid w:val="00A527BB"/>
    <w:rsid w:val="00A5665C"/>
    <w:rsid w:val="00A6757C"/>
    <w:rsid w:val="00A708DF"/>
    <w:rsid w:val="00A77132"/>
    <w:rsid w:val="00A97CC9"/>
    <w:rsid w:val="00B03EE7"/>
    <w:rsid w:val="00B05B7E"/>
    <w:rsid w:val="00B137D9"/>
    <w:rsid w:val="00B26FDD"/>
    <w:rsid w:val="00B4539B"/>
    <w:rsid w:val="00B50BDD"/>
    <w:rsid w:val="00B65CE8"/>
    <w:rsid w:val="00B76376"/>
    <w:rsid w:val="00B76D56"/>
    <w:rsid w:val="00B96FE0"/>
    <w:rsid w:val="00BB4BDD"/>
    <w:rsid w:val="00BD1806"/>
    <w:rsid w:val="00BD18DC"/>
    <w:rsid w:val="00BE57FC"/>
    <w:rsid w:val="00BF23DC"/>
    <w:rsid w:val="00BF5C70"/>
    <w:rsid w:val="00BF5FDC"/>
    <w:rsid w:val="00C20817"/>
    <w:rsid w:val="00C30CC5"/>
    <w:rsid w:val="00C721AE"/>
    <w:rsid w:val="00C80884"/>
    <w:rsid w:val="00C85202"/>
    <w:rsid w:val="00CC021B"/>
    <w:rsid w:val="00CD4882"/>
    <w:rsid w:val="00CF6483"/>
    <w:rsid w:val="00D73498"/>
    <w:rsid w:val="00D740BA"/>
    <w:rsid w:val="00D809D5"/>
    <w:rsid w:val="00D84C2E"/>
    <w:rsid w:val="00DB73EC"/>
    <w:rsid w:val="00DC5FA0"/>
    <w:rsid w:val="00DF16CB"/>
    <w:rsid w:val="00E15FAF"/>
    <w:rsid w:val="00E32CDA"/>
    <w:rsid w:val="00E41C75"/>
    <w:rsid w:val="00E82085"/>
    <w:rsid w:val="00EC40D3"/>
    <w:rsid w:val="00EE33E7"/>
    <w:rsid w:val="00F33635"/>
    <w:rsid w:val="00F43458"/>
    <w:rsid w:val="00F51F8A"/>
    <w:rsid w:val="00F8788D"/>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367AA"/>
  <w15:chartTrackingRefBased/>
  <w15:docId w15:val="{3A9C9011-9AD3-4978-B72E-88ED38B2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C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C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1C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1C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C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C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C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C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C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C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C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C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C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C0C"/>
    <w:rPr>
      <w:rFonts w:eastAsiaTheme="majorEastAsia" w:cstheme="majorBidi"/>
      <w:color w:val="272727" w:themeColor="text1" w:themeTint="D8"/>
    </w:rPr>
  </w:style>
  <w:style w:type="paragraph" w:styleId="Title">
    <w:name w:val="Title"/>
    <w:basedOn w:val="Normal"/>
    <w:next w:val="Normal"/>
    <w:link w:val="TitleChar"/>
    <w:uiPriority w:val="10"/>
    <w:qFormat/>
    <w:rsid w:val="00A31C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C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C0C"/>
    <w:pPr>
      <w:spacing w:before="160"/>
      <w:jc w:val="center"/>
    </w:pPr>
    <w:rPr>
      <w:i/>
      <w:iCs/>
      <w:color w:val="404040" w:themeColor="text1" w:themeTint="BF"/>
    </w:rPr>
  </w:style>
  <w:style w:type="character" w:customStyle="1" w:styleId="QuoteChar">
    <w:name w:val="Quote Char"/>
    <w:basedOn w:val="DefaultParagraphFont"/>
    <w:link w:val="Quote"/>
    <w:uiPriority w:val="29"/>
    <w:rsid w:val="00A31C0C"/>
    <w:rPr>
      <w:i/>
      <w:iCs/>
      <w:color w:val="404040" w:themeColor="text1" w:themeTint="BF"/>
    </w:rPr>
  </w:style>
  <w:style w:type="paragraph" w:styleId="ListParagraph">
    <w:name w:val="List Paragraph"/>
    <w:basedOn w:val="Normal"/>
    <w:uiPriority w:val="34"/>
    <w:qFormat/>
    <w:rsid w:val="00A31C0C"/>
    <w:pPr>
      <w:ind w:left="720"/>
      <w:contextualSpacing/>
    </w:pPr>
  </w:style>
  <w:style w:type="character" w:styleId="IntenseEmphasis">
    <w:name w:val="Intense Emphasis"/>
    <w:basedOn w:val="DefaultParagraphFont"/>
    <w:uiPriority w:val="21"/>
    <w:qFormat/>
    <w:rsid w:val="00A31C0C"/>
    <w:rPr>
      <w:i/>
      <w:iCs/>
      <w:color w:val="0F4761" w:themeColor="accent1" w:themeShade="BF"/>
    </w:rPr>
  </w:style>
  <w:style w:type="paragraph" w:styleId="IntenseQuote">
    <w:name w:val="Intense Quote"/>
    <w:basedOn w:val="Normal"/>
    <w:next w:val="Normal"/>
    <w:link w:val="IntenseQuoteChar"/>
    <w:uiPriority w:val="30"/>
    <w:qFormat/>
    <w:rsid w:val="00A31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C0C"/>
    <w:rPr>
      <w:i/>
      <w:iCs/>
      <w:color w:val="0F4761" w:themeColor="accent1" w:themeShade="BF"/>
    </w:rPr>
  </w:style>
  <w:style w:type="character" w:styleId="IntenseReference">
    <w:name w:val="Intense Reference"/>
    <w:basedOn w:val="DefaultParagraphFont"/>
    <w:uiPriority w:val="32"/>
    <w:qFormat/>
    <w:rsid w:val="00A31C0C"/>
    <w:rPr>
      <w:b/>
      <w:bCs/>
      <w:smallCaps/>
      <w:color w:val="0F4761" w:themeColor="accent1" w:themeShade="BF"/>
      <w:spacing w:val="5"/>
    </w:rPr>
  </w:style>
  <w:style w:type="paragraph" w:styleId="Revision">
    <w:name w:val="Revision"/>
    <w:hidden/>
    <w:uiPriority w:val="99"/>
    <w:semiHidden/>
    <w:rsid w:val="00EC40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733BA-A103-4B08-BB9C-65CC8758B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427</Words>
  <Characters>2599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Copenhagen</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Tianwu Yang</dc:creator>
  <cp:keywords/>
  <dc:description/>
  <cp:lastModifiedBy>Tianwu Yang</cp:lastModifiedBy>
  <cp:revision>12</cp:revision>
  <dcterms:created xsi:type="dcterms:W3CDTF">2026-03-30T12:47:00Z</dcterms:created>
  <dcterms:modified xsi:type="dcterms:W3CDTF">2026-03-31T13:08:00Z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GrammarlyDocumentId">
    <vt:lpwstr>89604fee-b9f0-4d60-9375-c256a50a0f7f</vt:lpwstr>
  </property>
  <property fmtid="{D5CDD505-2E9C-101B-9397-08002B2CF9AE}" pid="4" name="sdDocumentDate">
    <vt:lpwstr>46111</vt:lpwstr>
  </property>
  <property fmtid="{D5CDD505-2E9C-101B-9397-08002B2CF9AE}" pid="5" name="SD_IntegrationInfoAdded">
    <vt:bool>true</vt:bool>
  </property>
</Properties>
</file>