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215" w:rsidRPr="009078A9" w:rsidRDefault="00D20215" w:rsidP="00D20215">
      <w:pPr>
        <w:autoSpaceDE w:val="0"/>
        <w:autoSpaceDN w:val="0"/>
        <w:adjustRightInd w:val="0"/>
        <w:spacing w:after="0" w:line="360" w:lineRule="auto"/>
        <w:jc w:val="center"/>
        <w:rPr>
          <w:rFonts w:ascii="Arial" w:hAnsi="Arial" w:cs="Arial"/>
          <w:b/>
          <w:bCs/>
          <w:color w:val="000000"/>
          <w:lang w:val="en-NZ"/>
        </w:rPr>
      </w:pPr>
      <w:r>
        <w:rPr>
          <w:rFonts w:ascii="Arial" w:hAnsi="Arial" w:cs="Arial"/>
          <w:b/>
          <w:bCs/>
          <w:color w:val="000000"/>
          <w:lang w:val="en-NZ"/>
        </w:rPr>
        <w:t>Pharmacological t</w:t>
      </w:r>
      <w:r w:rsidRPr="009078A9">
        <w:rPr>
          <w:rFonts w:ascii="Arial" w:hAnsi="Arial" w:cs="Arial"/>
          <w:b/>
          <w:bCs/>
          <w:color w:val="000000"/>
          <w:lang w:val="en-NZ"/>
        </w:rPr>
        <w:t xml:space="preserve">reatment of </w:t>
      </w:r>
      <w:r>
        <w:rPr>
          <w:rFonts w:ascii="Arial" w:hAnsi="Arial" w:cs="Arial"/>
          <w:b/>
          <w:bCs/>
          <w:color w:val="000000"/>
          <w:lang w:val="en-NZ"/>
        </w:rPr>
        <w:t>m</w:t>
      </w:r>
      <w:r w:rsidRPr="009078A9">
        <w:rPr>
          <w:rFonts w:ascii="Arial" w:hAnsi="Arial" w:cs="Arial"/>
          <w:b/>
          <w:bCs/>
          <w:color w:val="000000"/>
          <w:lang w:val="en-NZ"/>
        </w:rPr>
        <w:t>ethamphetamine</w:t>
      </w:r>
      <w:r>
        <w:rPr>
          <w:rFonts w:ascii="Arial" w:hAnsi="Arial" w:cs="Arial"/>
          <w:b/>
          <w:bCs/>
          <w:color w:val="000000"/>
          <w:lang w:val="en-NZ"/>
        </w:rPr>
        <w:t xml:space="preserve"> / amphetamine</w:t>
      </w:r>
      <w:r w:rsidRPr="009078A9">
        <w:rPr>
          <w:rFonts w:ascii="Arial" w:hAnsi="Arial" w:cs="Arial"/>
          <w:b/>
          <w:bCs/>
          <w:color w:val="000000"/>
          <w:lang w:val="en-NZ"/>
        </w:rPr>
        <w:t xml:space="preserve"> </w:t>
      </w:r>
      <w:r>
        <w:rPr>
          <w:rFonts w:ascii="Arial" w:hAnsi="Arial" w:cs="Arial"/>
          <w:b/>
          <w:bCs/>
          <w:color w:val="000000"/>
          <w:lang w:val="en-NZ"/>
        </w:rPr>
        <w:t>d</w:t>
      </w:r>
      <w:r w:rsidRPr="009078A9">
        <w:rPr>
          <w:rFonts w:ascii="Arial" w:hAnsi="Arial" w:cs="Arial"/>
          <w:b/>
          <w:bCs/>
          <w:color w:val="000000"/>
          <w:lang w:val="en-NZ"/>
        </w:rPr>
        <w:t>ependence</w:t>
      </w:r>
      <w:r>
        <w:rPr>
          <w:rFonts w:ascii="Arial" w:hAnsi="Arial" w:cs="Arial"/>
          <w:b/>
          <w:bCs/>
          <w:color w:val="000000"/>
          <w:lang w:val="en-NZ"/>
        </w:rPr>
        <w:t xml:space="preserve">: </w:t>
      </w:r>
      <w:r w:rsidR="00D900AC">
        <w:rPr>
          <w:rFonts w:ascii="Arial" w:hAnsi="Arial" w:cs="Arial"/>
          <w:b/>
          <w:bCs/>
          <w:color w:val="000000"/>
          <w:lang w:val="en-NZ"/>
        </w:rPr>
        <w:t>a systematic review</w:t>
      </w:r>
    </w:p>
    <w:p w:rsidR="00D20215" w:rsidRPr="009078A9" w:rsidRDefault="00D20215" w:rsidP="00D20215">
      <w:pPr>
        <w:spacing w:line="360" w:lineRule="auto"/>
        <w:jc w:val="center"/>
        <w:rPr>
          <w:rFonts w:ascii="Arial" w:hAnsi="Arial" w:cs="Arial"/>
        </w:rPr>
      </w:pPr>
    </w:p>
    <w:p w:rsidR="00D20215" w:rsidRPr="009078A9" w:rsidRDefault="00D20215" w:rsidP="00D20215">
      <w:pPr>
        <w:spacing w:line="360" w:lineRule="auto"/>
        <w:jc w:val="center"/>
        <w:rPr>
          <w:rFonts w:ascii="Arial" w:hAnsi="Arial" w:cs="Arial"/>
          <w:vertAlign w:val="superscript"/>
        </w:rPr>
      </w:pPr>
      <w:r w:rsidRPr="009078A9">
        <w:rPr>
          <w:rFonts w:ascii="Arial" w:hAnsi="Arial" w:cs="Arial"/>
          <w:b/>
        </w:rPr>
        <w:t>Krista J Siefried</w:t>
      </w:r>
      <w:r w:rsidRPr="009078A9">
        <w:rPr>
          <w:rFonts w:ascii="Arial" w:hAnsi="Arial" w:cs="Arial"/>
        </w:rPr>
        <w:t xml:space="preserve"> (ORCID: </w:t>
      </w:r>
      <w:r w:rsidRPr="009078A9">
        <w:rPr>
          <w:rFonts w:ascii="Arial" w:eastAsia="Times New Roman" w:hAnsi="Arial" w:cs="Arial"/>
          <w:shd w:val="clear" w:color="auto" w:fill="FFFFFF"/>
        </w:rPr>
        <w:t>0000-0002-6534-3325</w:t>
      </w:r>
      <w:r w:rsidRPr="009078A9">
        <w:rPr>
          <w:rFonts w:ascii="Arial" w:hAnsi="Arial" w:cs="Arial"/>
        </w:rPr>
        <w:t>)</w:t>
      </w:r>
      <w:r w:rsidRPr="009078A9">
        <w:rPr>
          <w:rFonts w:ascii="Arial" w:hAnsi="Arial" w:cs="Arial"/>
          <w:vertAlign w:val="superscript"/>
        </w:rPr>
        <w:t>1</w:t>
      </w:r>
      <w:proofErr w:type="gramStart"/>
      <w:r w:rsidRPr="009078A9">
        <w:rPr>
          <w:rFonts w:ascii="Arial" w:hAnsi="Arial" w:cs="Arial"/>
          <w:vertAlign w:val="superscript"/>
        </w:rPr>
        <w:t>,2,3</w:t>
      </w:r>
      <w:proofErr w:type="gramEnd"/>
      <w:r w:rsidRPr="009078A9">
        <w:rPr>
          <w:rFonts w:ascii="Arial" w:hAnsi="Arial" w:cs="Arial"/>
        </w:rPr>
        <w:t xml:space="preserve">; </w:t>
      </w:r>
      <w:r>
        <w:rPr>
          <w:rFonts w:ascii="Arial" w:hAnsi="Arial" w:cs="Arial"/>
          <w:b/>
        </w:rPr>
        <w:t>Liam S</w:t>
      </w:r>
      <w:r w:rsidRPr="009078A9">
        <w:rPr>
          <w:rFonts w:ascii="Arial" w:hAnsi="Arial" w:cs="Arial"/>
          <w:b/>
        </w:rPr>
        <w:t xml:space="preserve"> Acheson</w:t>
      </w:r>
      <w:r w:rsidRPr="009078A9">
        <w:rPr>
          <w:rFonts w:ascii="Arial" w:hAnsi="Arial" w:cs="Arial"/>
        </w:rPr>
        <w:t xml:space="preserve"> (ORCID: </w:t>
      </w:r>
      <w:r w:rsidRPr="009078A9">
        <w:rPr>
          <w:rFonts w:ascii="Arial" w:eastAsia="Times New Roman" w:hAnsi="Arial" w:cs="Arial"/>
          <w:shd w:val="clear" w:color="auto" w:fill="FFFFFF"/>
        </w:rPr>
        <w:t>0000-0002-2343-5504</w:t>
      </w:r>
      <w:r w:rsidRPr="009078A9">
        <w:rPr>
          <w:rFonts w:ascii="Arial" w:hAnsi="Arial" w:cs="Arial"/>
        </w:rPr>
        <w:t>)</w:t>
      </w:r>
      <w:r w:rsidRPr="008755E2">
        <w:rPr>
          <w:rFonts w:ascii="Arial" w:hAnsi="Arial" w:cs="Arial"/>
          <w:vertAlign w:val="superscript"/>
        </w:rPr>
        <w:t>2</w:t>
      </w:r>
      <w:r w:rsidRPr="009078A9">
        <w:rPr>
          <w:rFonts w:ascii="Arial" w:hAnsi="Arial" w:cs="Arial"/>
        </w:rPr>
        <w:t xml:space="preserve">; </w:t>
      </w:r>
      <w:r w:rsidRPr="009078A9">
        <w:rPr>
          <w:rFonts w:ascii="Arial" w:hAnsi="Arial" w:cs="Arial"/>
          <w:b/>
        </w:rPr>
        <w:t xml:space="preserve">Nicholas Lintzeris </w:t>
      </w:r>
      <w:r w:rsidRPr="009078A9">
        <w:rPr>
          <w:rFonts w:ascii="Arial" w:hAnsi="Arial" w:cs="Arial"/>
        </w:rPr>
        <w:t>(ORCID:</w:t>
      </w:r>
      <w:r w:rsidRPr="009078A9">
        <w:rPr>
          <w:rFonts w:ascii="Arial" w:hAnsi="Arial" w:cs="Arial"/>
          <w:b/>
        </w:rPr>
        <w:t xml:space="preserve"> </w:t>
      </w:r>
      <w:r w:rsidRPr="009078A9">
        <w:rPr>
          <w:rFonts w:ascii="Arial" w:eastAsia="Times New Roman" w:hAnsi="Arial" w:cs="Arial"/>
          <w:shd w:val="clear" w:color="auto" w:fill="FFFFFF"/>
        </w:rPr>
        <w:t>0000-0001-5229-8257</w:t>
      </w:r>
      <w:r w:rsidRPr="009078A9">
        <w:rPr>
          <w:rFonts w:ascii="Arial" w:eastAsia="Times New Roman" w:hAnsi="Arial" w:cs="Arial"/>
        </w:rPr>
        <w:t>)</w:t>
      </w:r>
      <w:r w:rsidRPr="009078A9">
        <w:rPr>
          <w:rFonts w:ascii="Arial" w:eastAsia="Times New Roman" w:hAnsi="Arial" w:cs="Arial"/>
          <w:vertAlign w:val="superscript"/>
        </w:rPr>
        <w:t>4,</w:t>
      </w:r>
      <w:r w:rsidRPr="009078A9">
        <w:rPr>
          <w:rFonts w:ascii="Arial" w:hAnsi="Arial" w:cs="Arial"/>
          <w:vertAlign w:val="superscript"/>
        </w:rPr>
        <w:t>5</w:t>
      </w:r>
      <w:r>
        <w:rPr>
          <w:rFonts w:ascii="Arial" w:hAnsi="Arial" w:cs="Arial"/>
          <w:vertAlign w:val="superscript"/>
        </w:rPr>
        <w:t>,6</w:t>
      </w:r>
      <w:r w:rsidRPr="009078A9">
        <w:rPr>
          <w:rFonts w:ascii="Arial" w:hAnsi="Arial" w:cs="Arial"/>
        </w:rPr>
        <w:t xml:space="preserve">; </w:t>
      </w:r>
      <w:r w:rsidRPr="009078A9">
        <w:rPr>
          <w:rFonts w:ascii="Arial" w:hAnsi="Arial" w:cs="Arial"/>
          <w:b/>
        </w:rPr>
        <w:t>Nadine Ezard</w:t>
      </w:r>
      <w:r w:rsidRPr="009078A9">
        <w:rPr>
          <w:rFonts w:ascii="Arial" w:hAnsi="Arial" w:cs="Arial"/>
        </w:rPr>
        <w:t xml:space="preserve"> (ORCID: </w:t>
      </w:r>
      <w:r w:rsidRPr="009078A9">
        <w:rPr>
          <w:rFonts w:ascii="Arial" w:eastAsia="Times New Roman" w:hAnsi="Arial" w:cs="Arial"/>
          <w:shd w:val="clear" w:color="auto" w:fill="FFFFFF"/>
        </w:rPr>
        <w:t>0000-0002-7495-8305)</w:t>
      </w:r>
      <w:r w:rsidRPr="009078A9">
        <w:rPr>
          <w:rFonts w:ascii="Arial" w:hAnsi="Arial" w:cs="Arial"/>
          <w:vertAlign w:val="superscript"/>
        </w:rPr>
        <w:t>1,2,3</w:t>
      </w:r>
      <w:r>
        <w:rPr>
          <w:rFonts w:ascii="Arial" w:hAnsi="Arial" w:cs="Arial"/>
          <w:vertAlign w:val="superscript"/>
        </w:rPr>
        <w:t>,6</w:t>
      </w:r>
    </w:p>
    <w:p w:rsidR="00D20215" w:rsidRPr="009078A9" w:rsidRDefault="00D20215" w:rsidP="00D20215">
      <w:pPr>
        <w:spacing w:line="360" w:lineRule="auto"/>
        <w:rPr>
          <w:rFonts w:ascii="Arial" w:hAnsi="Arial" w:cs="Arial"/>
          <w:bCs/>
        </w:rPr>
      </w:pPr>
      <w:r w:rsidRPr="009078A9">
        <w:rPr>
          <w:rFonts w:ascii="Arial" w:hAnsi="Arial" w:cs="Arial"/>
          <w:bCs/>
          <w:vertAlign w:val="superscript"/>
        </w:rPr>
        <w:t>1</w:t>
      </w:r>
      <w:r w:rsidRPr="009078A9">
        <w:rPr>
          <w:rFonts w:ascii="Arial" w:hAnsi="Arial" w:cs="Arial"/>
          <w:bCs/>
        </w:rPr>
        <w:t xml:space="preserve"> </w:t>
      </w:r>
      <w:r w:rsidRPr="009078A9">
        <w:rPr>
          <w:rFonts w:ascii="Arial" w:hAnsi="Arial" w:cs="Arial"/>
        </w:rPr>
        <w:t>The National Centre for Clinical Research on Emerging Drugs (NCCRED)</w:t>
      </w:r>
      <w:r w:rsidRPr="009078A9">
        <w:rPr>
          <w:rFonts w:ascii="Arial" w:hAnsi="Arial" w:cs="Arial"/>
          <w:bCs/>
        </w:rPr>
        <w:t xml:space="preserve">, Sydney, </w:t>
      </w:r>
      <w:r>
        <w:rPr>
          <w:rFonts w:ascii="Arial" w:hAnsi="Arial" w:cs="Arial"/>
          <w:bCs/>
        </w:rPr>
        <w:t xml:space="preserve">New South Wales, </w:t>
      </w:r>
      <w:r w:rsidRPr="009078A9">
        <w:rPr>
          <w:rFonts w:ascii="Arial" w:hAnsi="Arial" w:cs="Arial"/>
          <w:bCs/>
        </w:rPr>
        <w:t>Australia</w:t>
      </w:r>
    </w:p>
    <w:p w:rsidR="00D20215" w:rsidRPr="009078A9" w:rsidRDefault="00D20215" w:rsidP="00D20215">
      <w:pPr>
        <w:spacing w:line="360" w:lineRule="auto"/>
        <w:rPr>
          <w:rFonts w:ascii="Arial" w:hAnsi="Arial" w:cs="Arial"/>
          <w:bCs/>
        </w:rPr>
      </w:pPr>
      <w:r w:rsidRPr="009078A9">
        <w:rPr>
          <w:rFonts w:ascii="Arial" w:hAnsi="Arial" w:cs="Arial"/>
          <w:vertAlign w:val="superscript"/>
        </w:rPr>
        <w:t xml:space="preserve">2 </w:t>
      </w:r>
      <w:r w:rsidRPr="009078A9">
        <w:rPr>
          <w:rFonts w:ascii="Arial" w:hAnsi="Arial" w:cs="Arial"/>
          <w:bCs/>
        </w:rPr>
        <w:t>St Vincent’s Hospital Alcohol and Drug Service, Sydney,</w:t>
      </w:r>
      <w:r>
        <w:rPr>
          <w:rFonts w:ascii="Arial" w:hAnsi="Arial" w:cs="Arial"/>
          <w:bCs/>
        </w:rPr>
        <w:t xml:space="preserve"> New South Wales,</w:t>
      </w:r>
      <w:r w:rsidRPr="009078A9">
        <w:rPr>
          <w:rFonts w:ascii="Arial" w:hAnsi="Arial" w:cs="Arial"/>
          <w:bCs/>
        </w:rPr>
        <w:t xml:space="preserve"> Australia</w:t>
      </w:r>
      <w:r w:rsidRPr="009078A9">
        <w:rPr>
          <w:rFonts w:ascii="Arial" w:hAnsi="Arial" w:cs="Arial"/>
        </w:rPr>
        <w:t xml:space="preserve"> </w:t>
      </w:r>
    </w:p>
    <w:p w:rsidR="00D20215" w:rsidRPr="009078A9" w:rsidRDefault="00D20215" w:rsidP="00D20215">
      <w:pPr>
        <w:spacing w:line="360" w:lineRule="auto"/>
        <w:rPr>
          <w:rFonts w:ascii="Arial" w:hAnsi="Arial" w:cs="Arial"/>
          <w:bCs/>
        </w:rPr>
      </w:pPr>
      <w:r w:rsidRPr="009078A9">
        <w:rPr>
          <w:rFonts w:ascii="Arial" w:hAnsi="Arial" w:cs="Arial"/>
          <w:bCs/>
          <w:vertAlign w:val="superscript"/>
        </w:rPr>
        <w:t>3</w:t>
      </w:r>
      <w:r w:rsidRPr="009078A9">
        <w:rPr>
          <w:rFonts w:ascii="Arial" w:hAnsi="Arial" w:cs="Arial"/>
          <w:bCs/>
        </w:rPr>
        <w:t xml:space="preserve"> The University of New South Wales,</w:t>
      </w:r>
      <w:r>
        <w:rPr>
          <w:rFonts w:ascii="Arial" w:hAnsi="Arial" w:cs="Arial"/>
          <w:bCs/>
        </w:rPr>
        <w:t xml:space="preserve"> National Drug and Alcohol Research Centre (NDARC),</w:t>
      </w:r>
      <w:r w:rsidRPr="009078A9">
        <w:rPr>
          <w:rFonts w:ascii="Arial" w:hAnsi="Arial" w:cs="Arial"/>
          <w:bCs/>
        </w:rPr>
        <w:t xml:space="preserve"> Sydney, </w:t>
      </w:r>
      <w:r>
        <w:rPr>
          <w:rFonts w:ascii="Arial" w:hAnsi="Arial" w:cs="Arial"/>
          <w:bCs/>
        </w:rPr>
        <w:t xml:space="preserve">New South Wales, </w:t>
      </w:r>
      <w:r w:rsidRPr="009078A9">
        <w:rPr>
          <w:rFonts w:ascii="Arial" w:hAnsi="Arial" w:cs="Arial"/>
          <w:bCs/>
        </w:rPr>
        <w:t>Australia</w:t>
      </w:r>
    </w:p>
    <w:p w:rsidR="00D20215" w:rsidRPr="009078A9" w:rsidRDefault="00D20215" w:rsidP="00D20215">
      <w:pPr>
        <w:spacing w:line="360" w:lineRule="auto"/>
        <w:rPr>
          <w:rFonts w:ascii="Arial" w:hAnsi="Arial" w:cs="Arial"/>
          <w:color w:val="000000"/>
        </w:rPr>
      </w:pPr>
      <w:r w:rsidRPr="009078A9">
        <w:rPr>
          <w:rFonts w:ascii="Arial" w:hAnsi="Arial" w:cs="Arial"/>
          <w:color w:val="000000"/>
          <w:vertAlign w:val="superscript"/>
        </w:rPr>
        <w:t>4</w:t>
      </w:r>
      <w:r w:rsidRPr="009078A9">
        <w:rPr>
          <w:rFonts w:ascii="Arial" w:hAnsi="Arial" w:cs="Arial"/>
          <w:color w:val="000000"/>
        </w:rPr>
        <w:t xml:space="preserve"> The University of Sydney, </w:t>
      </w:r>
      <w:r>
        <w:rPr>
          <w:rFonts w:ascii="Arial" w:hAnsi="Arial" w:cs="Arial"/>
          <w:color w:val="000000"/>
        </w:rPr>
        <w:t xml:space="preserve">Division of Addiction Medicine, Faculty of Medicine and Health, </w:t>
      </w:r>
      <w:r w:rsidRPr="009078A9">
        <w:rPr>
          <w:rFonts w:ascii="Arial" w:hAnsi="Arial" w:cs="Arial"/>
          <w:color w:val="000000"/>
        </w:rPr>
        <w:t xml:space="preserve">Sydney, </w:t>
      </w:r>
      <w:r>
        <w:rPr>
          <w:rFonts w:ascii="Arial" w:hAnsi="Arial" w:cs="Arial"/>
          <w:color w:val="000000"/>
        </w:rPr>
        <w:t xml:space="preserve">New South Wales, </w:t>
      </w:r>
      <w:r w:rsidRPr="009078A9">
        <w:rPr>
          <w:rFonts w:ascii="Arial" w:hAnsi="Arial" w:cs="Arial"/>
          <w:color w:val="000000"/>
        </w:rPr>
        <w:t xml:space="preserve">Australia </w:t>
      </w:r>
    </w:p>
    <w:p w:rsidR="00D20215" w:rsidRDefault="00D20215" w:rsidP="00D20215">
      <w:pPr>
        <w:spacing w:line="360" w:lineRule="auto"/>
        <w:rPr>
          <w:rFonts w:ascii="Arial" w:hAnsi="Arial" w:cs="Arial"/>
          <w:color w:val="000000"/>
        </w:rPr>
      </w:pPr>
      <w:r w:rsidRPr="009078A9">
        <w:rPr>
          <w:rFonts w:ascii="Arial" w:hAnsi="Arial" w:cs="Arial"/>
          <w:color w:val="000000"/>
          <w:vertAlign w:val="superscript"/>
        </w:rPr>
        <w:t>5</w:t>
      </w:r>
      <w:r w:rsidRPr="009078A9">
        <w:rPr>
          <w:rFonts w:ascii="Arial" w:hAnsi="Arial" w:cs="Arial"/>
          <w:color w:val="000000"/>
        </w:rPr>
        <w:t xml:space="preserve"> South Eastern Sydney Local Health District, </w:t>
      </w:r>
      <w:r>
        <w:rPr>
          <w:rFonts w:ascii="Arial" w:hAnsi="Arial" w:cs="Arial"/>
          <w:color w:val="000000"/>
        </w:rPr>
        <w:t xml:space="preserve">Drug and Alcohol Services, </w:t>
      </w:r>
      <w:r w:rsidRPr="009078A9">
        <w:rPr>
          <w:rFonts w:ascii="Arial" w:hAnsi="Arial" w:cs="Arial"/>
          <w:color w:val="000000"/>
        </w:rPr>
        <w:t xml:space="preserve">Sydney, </w:t>
      </w:r>
      <w:r>
        <w:rPr>
          <w:rFonts w:ascii="Arial" w:hAnsi="Arial" w:cs="Arial"/>
          <w:color w:val="000000"/>
        </w:rPr>
        <w:t xml:space="preserve">New South Wales, </w:t>
      </w:r>
      <w:r w:rsidRPr="009078A9">
        <w:rPr>
          <w:rFonts w:ascii="Arial" w:hAnsi="Arial" w:cs="Arial"/>
          <w:color w:val="000000"/>
        </w:rPr>
        <w:t>Australia</w:t>
      </w:r>
    </w:p>
    <w:p w:rsidR="00D20215" w:rsidRPr="009078A9" w:rsidRDefault="00D20215" w:rsidP="00D20215">
      <w:pPr>
        <w:spacing w:line="360" w:lineRule="auto"/>
        <w:rPr>
          <w:rFonts w:ascii="Arial" w:hAnsi="Arial" w:cs="Arial"/>
          <w:color w:val="000000"/>
        </w:rPr>
      </w:pPr>
      <w:r w:rsidRPr="00F5199F">
        <w:rPr>
          <w:rFonts w:ascii="Arial" w:hAnsi="Arial" w:cs="Arial"/>
          <w:color w:val="000000"/>
          <w:vertAlign w:val="superscript"/>
        </w:rPr>
        <w:t>6</w:t>
      </w:r>
      <w:r>
        <w:rPr>
          <w:rFonts w:ascii="Arial" w:hAnsi="Arial" w:cs="Arial"/>
          <w:color w:val="000000"/>
        </w:rPr>
        <w:t>N</w:t>
      </w:r>
      <w:r w:rsidR="00D900AC">
        <w:rPr>
          <w:rFonts w:ascii="Arial" w:hAnsi="Arial" w:cs="Arial"/>
          <w:color w:val="000000"/>
        </w:rPr>
        <w:t xml:space="preserve">ew </w:t>
      </w:r>
      <w:r>
        <w:rPr>
          <w:rFonts w:ascii="Arial" w:hAnsi="Arial" w:cs="Arial"/>
          <w:color w:val="000000"/>
        </w:rPr>
        <w:t>S</w:t>
      </w:r>
      <w:r w:rsidR="00D900AC">
        <w:rPr>
          <w:rFonts w:ascii="Arial" w:hAnsi="Arial" w:cs="Arial"/>
          <w:color w:val="000000"/>
        </w:rPr>
        <w:t xml:space="preserve">outh </w:t>
      </w:r>
      <w:r>
        <w:rPr>
          <w:rFonts w:ascii="Arial" w:hAnsi="Arial" w:cs="Arial"/>
          <w:color w:val="000000"/>
        </w:rPr>
        <w:t>W</w:t>
      </w:r>
      <w:r w:rsidR="00D900AC">
        <w:rPr>
          <w:rFonts w:ascii="Arial" w:hAnsi="Arial" w:cs="Arial"/>
          <w:color w:val="000000"/>
        </w:rPr>
        <w:t>ales</w:t>
      </w:r>
      <w:r>
        <w:rPr>
          <w:rFonts w:ascii="Arial" w:hAnsi="Arial" w:cs="Arial"/>
          <w:color w:val="000000"/>
        </w:rPr>
        <w:t xml:space="preserve"> Drug and Alcohol Clinical Research and Improvement Network (DACRIN), Sydney, N</w:t>
      </w:r>
      <w:r w:rsidR="00D900AC">
        <w:rPr>
          <w:rFonts w:ascii="Arial" w:hAnsi="Arial" w:cs="Arial"/>
          <w:color w:val="000000"/>
        </w:rPr>
        <w:t xml:space="preserve">ew </w:t>
      </w:r>
      <w:r>
        <w:rPr>
          <w:rFonts w:ascii="Arial" w:hAnsi="Arial" w:cs="Arial"/>
          <w:color w:val="000000"/>
        </w:rPr>
        <w:t>S</w:t>
      </w:r>
      <w:r w:rsidR="00D900AC">
        <w:rPr>
          <w:rFonts w:ascii="Arial" w:hAnsi="Arial" w:cs="Arial"/>
          <w:color w:val="000000"/>
        </w:rPr>
        <w:t xml:space="preserve">outh </w:t>
      </w:r>
      <w:r>
        <w:rPr>
          <w:rFonts w:ascii="Arial" w:hAnsi="Arial" w:cs="Arial"/>
          <w:color w:val="000000"/>
        </w:rPr>
        <w:t>W</w:t>
      </w:r>
      <w:r w:rsidR="00D900AC">
        <w:rPr>
          <w:rFonts w:ascii="Arial" w:hAnsi="Arial" w:cs="Arial"/>
          <w:color w:val="000000"/>
        </w:rPr>
        <w:t>ales</w:t>
      </w:r>
      <w:r>
        <w:rPr>
          <w:rFonts w:ascii="Arial" w:hAnsi="Arial" w:cs="Arial"/>
          <w:color w:val="000000"/>
        </w:rPr>
        <w:t>, Australia</w:t>
      </w:r>
    </w:p>
    <w:p w:rsidR="00D20215" w:rsidRPr="009078A9" w:rsidRDefault="00D20215" w:rsidP="00D20215">
      <w:pPr>
        <w:spacing w:line="360" w:lineRule="auto"/>
        <w:rPr>
          <w:rFonts w:ascii="Arial" w:hAnsi="Arial" w:cs="Arial"/>
          <w:b/>
        </w:rPr>
      </w:pPr>
    </w:p>
    <w:p w:rsidR="00D20215" w:rsidRPr="009078A9" w:rsidRDefault="00D20215" w:rsidP="00D20215">
      <w:pPr>
        <w:spacing w:line="360" w:lineRule="auto"/>
        <w:rPr>
          <w:rFonts w:ascii="Arial" w:hAnsi="Arial" w:cs="Arial"/>
          <w:bCs/>
        </w:rPr>
      </w:pPr>
      <w:r w:rsidRPr="009078A9">
        <w:rPr>
          <w:rFonts w:ascii="Arial" w:hAnsi="Arial" w:cs="Arial"/>
          <w:b/>
          <w:bCs/>
        </w:rPr>
        <w:t>Corresponding author</w:t>
      </w:r>
      <w:r w:rsidRPr="009078A9">
        <w:rPr>
          <w:rFonts w:ascii="Arial" w:hAnsi="Arial" w:cs="Arial"/>
          <w:bCs/>
        </w:rPr>
        <w:t xml:space="preserve">: </w:t>
      </w:r>
      <w:bookmarkStart w:id="0" w:name="_GoBack"/>
      <w:bookmarkEnd w:id="0"/>
    </w:p>
    <w:p w:rsidR="00D20215" w:rsidRPr="009078A9" w:rsidRDefault="00D20215" w:rsidP="00D20215">
      <w:pPr>
        <w:spacing w:line="360" w:lineRule="auto"/>
        <w:rPr>
          <w:rFonts w:ascii="Arial" w:hAnsi="Arial" w:cs="Arial"/>
          <w:bCs/>
        </w:rPr>
      </w:pPr>
      <w:r>
        <w:rPr>
          <w:rFonts w:ascii="Arial" w:hAnsi="Arial" w:cs="Arial"/>
          <w:bCs/>
        </w:rPr>
        <w:t>Dr Krista J Siefried</w:t>
      </w:r>
    </w:p>
    <w:p w:rsidR="00D20215" w:rsidRPr="009078A9" w:rsidRDefault="00D20215" w:rsidP="00D20215">
      <w:pPr>
        <w:spacing w:line="360" w:lineRule="auto"/>
        <w:rPr>
          <w:rFonts w:ascii="Arial" w:hAnsi="Arial" w:cs="Arial"/>
          <w:bCs/>
        </w:rPr>
      </w:pPr>
      <w:proofErr w:type="gramStart"/>
      <w:r>
        <w:rPr>
          <w:rFonts w:ascii="Arial" w:hAnsi="Arial" w:cs="Arial"/>
          <w:bCs/>
        </w:rPr>
        <w:t>c/o</w:t>
      </w:r>
      <w:proofErr w:type="gramEnd"/>
      <w:r>
        <w:rPr>
          <w:rFonts w:ascii="Arial" w:hAnsi="Arial" w:cs="Arial"/>
          <w:bCs/>
        </w:rPr>
        <w:t xml:space="preserve"> St Vincent’s Hospital Alcohol and Drug Service</w:t>
      </w:r>
    </w:p>
    <w:p w:rsidR="00D20215" w:rsidRPr="009078A9" w:rsidRDefault="00D20215" w:rsidP="00D20215">
      <w:pPr>
        <w:spacing w:line="360" w:lineRule="auto"/>
        <w:rPr>
          <w:rFonts w:ascii="Arial" w:hAnsi="Arial" w:cs="Arial"/>
          <w:bCs/>
        </w:rPr>
      </w:pPr>
      <w:r>
        <w:rPr>
          <w:rFonts w:ascii="Arial" w:hAnsi="Arial" w:cs="Arial"/>
          <w:bCs/>
        </w:rPr>
        <w:t xml:space="preserve">390 Victoria St </w:t>
      </w:r>
    </w:p>
    <w:p w:rsidR="00D20215" w:rsidRPr="009078A9" w:rsidRDefault="00D20215" w:rsidP="00D20215">
      <w:pPr>
        <w:spacing w:line="360" w:lineRule="auto"/>
        <w:rPr>
          <w:rFonts w:ascii="Arial" w:hAnsi="Arial" w:cs="Arial"/>
          <w:bCs/>
        </w:rPr>
      </w:pPr>
      <w:r>
        <w:rPr>
          <w:rFonts w:ascii="Arial" w:hAnsi="Arial" w:cs="Arial"/>
          <w:bCs/>
        </w:rPr>
        <w:t>Darlinghurst</w:t>
      </w:r>
      <w:r w:rsidRPr="009078A9">
        <w:rPr>
          <w:rFonts w:ascii="Arial" w:hAnsi="Arial" w:cs="Arial"/>
          <w:bCs/>
        </w:rPr>
        <w:t>, New South Wales, 2010</w:t>
      </w:r>
    </w:p>
    <w:p w:rsidR="00D20215" w:rsidRPr="009078A9" w:rsidRDefault="00D20215" w:rsidP="00D20215">
      <w:pPr>
        <w:spacing w:line="360" w:lineRule="auto"/>
        <w:rPr>
          <w:rFonts w:ascii="Arial" w:hAnsi="Arial" w:cs="Arial"/>
          <w:bCs/>
        </w:rPr>
      </w:pPr>
      <w:r w:rsidRPr="009078A9">
        <w:rPr>
          <w:rFonts w:ascii="Arial" w:hAnsi="Arial" w:cs="Arial"/>
          <w:bCs/>
        </w:rPr>
        <w:t xml:space="preserve">Email: </w:t>
      </w:r>
      <w:r>
        <w:rPr>
          <w:rFonts w:ascii="Arial" w:hAnsi="Arial" w:cs="Arial"/>
          <w:bCs/>
        </w:rPr>
        <w:t>Krista.Siefried@svha.org.au</w:t>
      </w:r>
    </w:p>
    <w:p w:rsidR="00D20215" w:rsidRPr="009078A9" w:rsidRDefault="00D20215" w:rsidP="00D20215">
      <w:pPr>
        <w:spacing w:line="360" w:lineRule="auto"/>
        <w:rPr>
          <w:rFonts w:ascii="Arial" w:hAnsi="Arial" w:cs="Arial"/>
          <w:bCs/>
        </w:rPr>
      </w:pPr>
      <w:r w:rsidRPr="009078A9">
        <w:rPr>
          <w:rFonts w:ascii="Arial" w:hAnsi="Arial" w:cs="Arial"/>
          <w:bCs/>
        </w:rPr>
        <w:t xml:space="preserve">Phone: +61 2 </w:t>
      </w:r>
      <w:r>
        <w:rPr>
          <w:rFonts w:ascii="Arial" w:hAnsi="Arial" w:cs="Arial"/>
          <w:bCs/>
        </w:rPr>
        <w:t>8382 1667</w:t>
      </w:r>
    </w:p>
    <w:p w:rsidR="000A57D6" w:rsidRDefault="000A57D6">
      <w:pPr>
        <w:rPr>
          <w:rFonts w:ascii="Arial" w:hAnsi="Arial" w:cs="Arial"/>
          <w:b/>
        </w:rPr>
      </w:pPr>
    </w:p>
    <w:p w:rsidR="000A57D6" w:rsidRDefault="000A57D6">
      <w:pPr>
        <w:rPr>
          <w:rFonts w:ascii="Arial" w:hAnsi="Arial" w:cs="Arial"/>
          <w:b/>
        </w:rPr>
        <w:sectPr w:rsidR="000A57D6" w:rsidSect="000A57D6">
          <w:footerReference w:type="default" r:id="rId7"/>
          <w:pgSz w:w="11906" w:h="16838"/>
          <w:pgMar w:top="1440" w:right="1440" w:bottom="1440" w:left="1440" w:header="708" w:footer="708" w:gutter="0"/>
          <w:cols w:space="708"/>
          <w:docGrid w:linePitch="360"/>
        </w:sectPr>
      </w:pPr>
    </w:p>
    <w:p w:rsidR="000A57D6" w:rsidRDefault="000A57D6">
      <w:pPr>
        <w:rPr>
          <w:rFonts w:ascii="Arial" w:hAnsi="Arial" w:cs="Arial"/>
          <w:b/>
        </w:rPr>
      </w:pPr>
      <w:r>
        <w:rPr>
          <w:rFonts w:ascii="Arial" w:hAnsi="Arial" w:cs="Arial"/>
          <w:b/>
        </w:rPr>
        <w:lastRenderedPageBreak/>
        <w:t>Supplementary Table 1: Reviewed Studies (Extended)</w:t>
      </w:r>
    </w:p>
    <w:tbl>
      <w:tblPr>
        <w:tblStyle w:val="TableGrid1"/>
        <w:tblW w:w="15593" w:type="dxa"/>
        <w:tblInd w:w="-856" w:type="dxa"/>
        <w:tblLayout w:type="fixed"/>
        <w:tblCellMar>
          <w:left w:w="0" w:type="dxa"/>
          <w:right w:w="0" w:type="dxa"/>
        </w:tblCellMar>
        <w:tblLook w:val="04A0" w:firstRow="1" w:lastRow="0" w:firstColumn="1" w:lastColumn="0" w:noHBand="0" w:noVBand="1"/>
      </w:tblPr>
      <w:tblGrid>
        <w:gridCol w:w="1550"/>
        <w:gridCol w:w="2815"/>
        <w:gridCol w:w="2166"/>
        <w:gridCol w:w="2058"/>
        <w:gridCol w:w="1970"/>
        <w:gridCol w:w="1654"/>
        <w:gridCol w:w="3273"/>
        <w:gridCol w:w="107"/>
      </w:tblGrid>
      <w:tr w:rsidR="000A57D6" w:rsidRPr="00E048F6" w:rsidTr="001349A1">
        <w:trPr>
          <w:gridAfter w:val="1"/>
          <w:wAfter w:w="108" w:type="dxa"/>
          <w:trHeight w:val="227"/>
        </w:trPr>
        <w:tc>
          <w:tcPr>
            <w:tcW w:w="15593" w:type="dxa"/>
            <w:gridSpan w:val="7"/>
            <w:shd w:val="clear" w:color="auto" w:fill="auto"/>
          </w:tcPr>
          <w:p w:rsidR="000A57D6" w:rsidRPr="00E048F6" w:rsidRDefault="000A57D6" w:rsidP="001349A1">
            <w:pPr>
              <w:rPr>
                <w:rFonts w:ascii="Times New Roman" w:hAnsi="Times New Roman" w:cs="Times New Roman"/>
                <w:b/>
                <w:sz w:val="16"/>
                <w:szCs w:val="16"/>
              </w:rPr>
            </w:pPr>
            <w:r w:rsidRPr="00E048F6">
              <w:rPr>
                <w:rFonts w:ascii="Times New Roman" w:hAnsi="Times New Roman" w:cs="Times New Roman"/>
                <w:b/>
                <w:sz w:val="16"/>
                <w:szCs w:val="16"/>
              </w:rPr>
              <w:t>Ahmadi et al. Comparing the effect of buprenorphine and methadone in the reduction of methamphetamine craving: a randomised clinical trial. 2017</w:t>
            </w:r>
          </w:p>
        </w:tc>
      </w:tr>
      <w:tr w:rsidR="000A57D6" w:rsidRPr="00E048F6" w:rsidTr="001349A1">
        <w:trPr>
          <w:gridAfter w:val="1"/>
          <w:wAfter w:w="108" w:type="dxa"/>
          <w:trHeight w:val="362"/>
        </w:trPr>
        <w:tc>
          <w:tcPr>
            <w:tcW w:w="1560"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auto"/>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Inclusion: MA dependence and withdrawal (DSM-V); male; daily MA use for prior 6 months</w:t>
            </w:r>
            <w:r>
              <w:rPr>
                <w:rFonts w:ascii="Times New Roman" w:hAnsi="Times New Roman" w:cs="Times New Roman"/>
                <w:sz w:val="16"/>
                <w:szCs w:val="16"/>
              </w:rPr>
              <w:t xml:space="preserve">, </w:t>
            </w:r>
            <w:r w:rsidRPr="00E048F6">
              <w:rPr>
                <w:rFonts w:ascii="Times New Roman" w:hAnsi="Times New Roman" w:cs="Times New Roman"/>
                <w:sz w:val="16"/>
                <w:szCs w:val="16"/>
              </w:rPr>
              <w:t>discontinuation just prior to study enrolment. Exclusion: Primary diagnosis other than MUD; or major medical problem</w:t>
            </w:r>
          </w:p>
        </w:tc>
      </w:tr>
      <w:tr w:rsidR="000A57D6" w:rsidRPr="00E048F6" w:rsidTr="001349A1">
        <w:trPr>
          <w:gridAfter w:val="1"/>
          <w:wAfter w:w="108" w:type="dxa"/>
          <w:trHeight w:val="268"/>
        </w:trPr>
        <w:tc>
          <w:tcPr>
            <w:tcW w:w="1560"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auto"/>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DB, 2 treatment arms, no control</w:t>
            </w:r>
          </w:p>
        </w:tc>
        <w:tc>
          <w:tcPr>
            <w:tcW w:w="2835"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40 / 40</w:t>
            </w:r>
          </w:p>
        </w:tc>
        <w:tc>
          <w:tcPr>
            <w:tcW w:w="2181"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inpatient; withdrawal; Iran</w:t>
            </w:r>
          </w:p>
        </w:tc>
        <w:tc>
          <w:tcPr>
            <w:tcW w:w="2072"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buprenorphine versus methadone (1:1)</w:t>
            </w:r>
          </w:p>
        </w:tc>
        <w:tc>
          <w:tcPr>
            <w:tcW w:w="1984"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See comments</w:t>
            </w:r>
          </w:p>
        </w:tc>
        <w:tc>
          <w:tcPr>
            <w:tcW w:w="1665"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17 days</w:t>
            </w:r>
          </w:p>
        </w:tc>
        <w:tc>
          <w:tcPr>
            <w:tcW w:w="3296"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Vice Chancellery Shiraz University Iran</w:t>
            </w:r>
          </w:p>
        </w:tc>
      </w:tr>
      <w:tr w:rsidR="000A57D6" w:rsidRPr="00E048F6" w:rsidTr="001349A1">
        <w:trPr>
          <w:gridAfter w:val="1"/>
          <w:wAfter w:w="108" w:type="dxa"/>
          <w:trHeight w:val="268"/>
        </w:trPr>
        <w:tc>
          <w:tcPr>
            <w:tcW w:w="1560"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w:t>
            </w:r>
            <w:r>
              <w:rPr>
                <w:rFonts w:ascii="Times New Roman" w:hAnsi="Times New Roman" w:cs="Times New Roman"/>
                <w:b/>
                <w:bCs/>
                <w:sz w:val="16"/>
                <w:szCs w:val="16"/>
              </w:rPr>
              <w:t xml:space="preserve"> (</w:t>
            </w:r>
            <w:r w:rsidRPr="00E048F6">
              <w:rPr>
                <w:rFonts w:ascii="Times New Roman" w:hAnsi="Times New Roman" w:cs="Times New Roman"/>
                <w:b/>
                <w:bCs/>
                <w:sz w:val="16"/>
                <w:szCs w:val="16"/>
              </w:rPr>
              <w:t>measures</w:t>
            </w:r>
            <w:r>
              <w:rPr>
                <w:rFonts w:ascii="Times New Roman" w:hAnsi="Times New Roman" w:cs="Times New Roman"/>
                <w:b/>
                <w:bCs/>
                <w:sz w:val="16"/>
                <w:szCs w:val="16"/>
              </w:rPr>
              <w:t>)</w:t>
            </w:r>
          </w:p>
        </w:tc>
        <w:tc>
          <w:tcPr>
            <w:tcW w:w="14033" w:type="dxa"/>
            <w:gridSpan w:val="6"/>
            <w:shd w:val="clear" w:color="auto" w:fill="auto"/>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Primary: Cravings (10-point VAS). Secondary: Abstinence and retention in treatment (UDS; count of days admitted)</w:t>
            </w:r>
          </w:p>
        </w:tc>
      </w:tr>
      <w:tr w:rsidR="000A57D6" w:rsidRPr="00E048F6" w:rsidTr="001349A1">
        <w:trPr>
          <w:gridAfter w:val="1"/>
          <w:wAfter w:w="108" w:type="dxa"/>
          <w:trHeight w:val="252"/>
        </w:trPr>
        <w:tc>
          <w:tcPr>
            <w:tcW w:w="1560"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auto"/>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MA craving was significantly reduced in the buprenorphine arm from days 10 - 14 only. Secondary:  All p</w:t>
            </w:r>
            <w:r>
              <w:rPr>
                <w:rFonts w:ascii="Times New Roman" w:hAnsi="Times New Roman" w:cs="Times New Roman"/>
                <w:sz w:val="16"/>
                <w:szCs w:val="16"/>
              </w:rPr>
              <w:t>articipants</w:t>
            </w:r>
            <w:r w:rsidRPr="00E048F6">
              <w:rPr>
                <w:rFonts w:ascii="Times New Roman" w:hAnsi="Times New Roman" w:cs="Times New Roman"/>
                <w:sz w:val="16"/>
                <w:szCs w:val="16"/>
              </w:rPr>
              <w:t xml:space="preserve"> completed and remained abstinent through the trial</w:t>
            </w:r>
            <w:r>
              <w:rPr>
                <w:rFonts w:ascii="Times New Roman" w:hAnsi="Times New Roman" w:cs="Times New Roman"/>
                <w:sz w:val="16"/>
                <w:szCs w:val="16"/>
              </w:rPr>
              <w:t>.</w:t>
            </w:r>
          </w:p>
        </w:tc>
      </w:tr>
      <w:tr w:rsidR="000A57D6" w:rsidRPr="00E048F6" w:rsidTr="001349A1">
        <w:trPr>
          <w:gridAfter w:val="1"/>
          <w:wAfter w:w="108" w:type="dxa"/>
          <w:trHeight w:val="268"/>
        </w:trPr>
        <w:tc>
          <w:tcPr>
            <w:tcW w:w="1560" w:type="dxa"/>
            <w:shd w:val="clear" w:color="auto" w:fill="auto"/>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auto"/>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Investigators stipulated no other interventions allowed during the study period but did not clarify whether this included psychosocial therapies. Cravings during withdrawal may not be reflective of long term outcomes; however, all participants remained in withdrawal/abstinent (MA negative UDS), and craving reduction over time would be anticipated. No standard of care or placebo control arm. Short study period in controlled environment, and no follow-up makes it difficult to know if the medication was effective. Some of the authors' conclusions were over-stated.</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hAnsi="Times New Roman" w:cs="Times New Roman"/>
                <w:b/>
                <w:sz w:val="16"/>
                <w:szCs w:val="16"/>
              </w:rPr>
            </w:pPr>
            <w:r w:rsidRPr="00E048F6">
              <w:rPr>
                <w:rFonts w:ascii="Times New Roman" w:hAnsi="Times New Roman" w:cs="Times New Roman"/>
                <w:b/>
                <w:sz w:val="16"/>
                <w:szCs w:val="16"/>
              </w:rPr>
              <w:t>Anderson et al. Modafinil for the treatment of methamphetamine dependence. 2012</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 xml:space="preserve">Inclusion: ≥18 years; MA dependence (DSM-IV); one MA+ UDS in the 3-weeks prior to randomisation; at least 4 baseline UDS. Exclusion: dependence on another substance other than MA/marijuana/nicotine; pregnancy; medication contraindicated with modafinil; serious medical illness including AIDS and Stage I HTN; psychiatric disorder requiring medication; </w:t>
            </w:r>
            <w:r w:rsidR="00DA20C6">
              <w:rPr>
                <w:rFonts w:ascii="Times New Roman" w:hAnsi="Times New Roman" w:cs="Times New Roman"/>
                <w:sz w:val="16"/>
                <w:szCs w:val="16"/>
              </w:rPr>
              <w:t>court-mandated UDS as part of treatment</w:t>
            </w:r>
            <w:r w:rsidRPr="00E048F6">
              <w:rPr>
                <w:rFonts w:ascii="Times New Roman" w:hAnsi="Times New Roman" w:cs="Times New Roman"/>
                <w:sz w:val="16"/>
                <w:szCs w:val="16"/>
              </w:rPr>
              <w:t xml:space="preserve"> for MA dependence.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210 / 210</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outpatient; 8 sites; USA</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modafinil</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Matrix Institute manual-guided CBT Motivational Enhancement 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12 weeks</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sz w:val="16"/>
                <w:szCs w:val="16"/>
              </w:rPr>
              <w:t>NIDA Contract # Y1-DA-4006-01</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 xml:space="preserve">Outcomes </w:t>
            </w:r>
            <w:r>
              <w:rPr>
                <w:rFonts w:ascii="Times New Roman" w:hAnsi="Times New Roman" w:cs="Times New Roman"/>
                <w:b/>
                <w:bCs/>
                <w:sz w:val="16"/>
                <w:szCs w:val="16"/>
              </w:rPr>
              <w:t>(</w:t>
            </w:r>
            <w:r w:rsidRPr="00E048F6">
              <w:rPr>
                <w:rFonts w:ascii="Times New Roman" w:hAnsi="Times New Roman" w:cs="Times New Roman"/>
                <w:b/>
                <w:bCs/>
                <w:sz w:val="16"/>
                <w:szCs w:val="16"/>
              </w:rPr>
              <w:t>measures</w:t>
            </w:r>
            <w:r>
              <w:rPr>
                <w:rFonts w:ascii="Times New Roman" w:hAnsi="Times New Roman" w:cs="Times New Roman"/>
                <w:b/>
                <w:bCs/>
                <w:sz w:val="16"/>
                <w:szCs w:val="16"/>
              </w:rPr>
              <w:t>)</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Primary: Efficacy (MA non-use weeks). Secondary: quantitative MA use; "terminal abstinence"; Addiction Severity; Clinical Impression; Cravings; HIV risk; ADHD diagnosis/improvement; depression; impulsiveness; executive functioning and other cognitive abilities; medication compliance (UDS for MA; count of abstinent participants; ASI-Lite; CGI - observer and self (CGI-O and CGI-S), BSCS, HIV Risk-Taking behaviour Scale)</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There was no difference in treatment arms on MA non-use weeks. Pattern recognition memory was improved in the modafinil arm, however. No other differences were observed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hAnsi="Times New Roman" w:cs="Times New Roman"/>
                <w:sz w:val="16"/>
                <w:szCs w:val="16"/>
              </w:rPr>
              <w:t xml:space="preserve">Only 50% of participants randomised to modafinil were taking the drug as measured in urine. Post-hoc analysis demonstrated significant difference in longest duration of abstinence or maximum number of consecutive </w:t>
            </w:r>
            <w:r>
              <w:rPr>
                <w:rFonts w:ascii="Times New Roman" w:hAnsi="Times New Roman" w:cs="Times New Roman"/>
                <w:sz w:val="16"/>
                <w:szCs w:val="16"/>
              </w:rPr>
              <w:t>MA</w:t>
            </w:r>
            <w:r w:rsidRPr="00E048F6">
              <w:rPr>
                <w:rFonts w:ascii="Times New Roman" w:hAnsi="Times New Roman" w:cs="Times New Roman"/>
                <w:sz w:val="16"/>
                <w:szCs w:val="16"/>
              </w:rPr>
              <w:t xml:space="preserve"> non-use days between those with top-quartile compliance (&gt;85% of urines modafinil+) and the rest of participants allocated to modafinil (did not include PBO group). Modafinil compliance was also associated with better retention. In all groups there was an increase in MA-abstinent weeks over time, suggesting some factor (i.e. aside from study drug) was associated with a decrease in MA use. NIDA had a "major role in the study design, in the analysis and the interpretation of data, and in the writing and submission of this manuscript for publication".</w:t>
            </w:r>
          </w:p>
        </w:tc>
      </w:tr>
      <w:tr w:rsidR="000A57D6" w:rsidRPr="00E048F6" w:rsidTr="001349A1">
        <w:trPr>
          <w:trHeight w:val="227"/>
        </w:trPr>
        <w:tc>
          <w:tcPr>
            <w:tcW w:w="15593" w:type="dxa"/>
            <w:gridSpan w:val="8"/>
          </w:tcPr>
          <w:p w:rsidR="000A57D6" w:rsidRPr="00E048F6" w:rsidRDefault="000A57D6" w:rsidP="001349A1">
            <w:pPr>
              <w:rPr>
                <w:rFonts w:ascii="Times New Roman" w:hAnsi="Times New Roman" w:cs="Times New Roman"/>
                <w:b/>
                <w:sz w:val="16"/>
                <w:szCs w:val="16"/>
              </w:rPr>
            </w:pPr>
            <w:r w:rsidRPr="00E048F6">
              <w:rPr>
                <w:rFonts w:ascii="Times New Roman" w:eastAsia="Times New Roman" w:hAnsi="Times New Roman" w:cs="Times New Roman"/>
                <w:b/>
                <w:color w:val="000000"/>
                <w:sz w:val="16"/>
                <w:szCs w:val="16"/>
                <w:lang w:eastAsia="en-AU"/>
              </w:rPr>
              <w:t>Anderson et al. Bupropion for the treatment of methamphetamine dependence in non-daily users: A randomised, double-blind placebo controlled trial. 2015</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MA dependent; 1 MA+ UDS (waived later in protocol for n=20 with no MA+ UDS); ≤29/30 days MA use prior to consent. Exclusion: uncontrolled HTN; history LOC&gt;5 min; unstable DM; some ARVs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204 / 204</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12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SR</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NIH NIDA (N01DA-05-8857)</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 xml:space="preserve">Outcomes </w:t>
            </w:r>
            <w:r>
              <w:rPr>
                <w:rFonts w:ascii="Times New Roman" w:hAnsi="Times New Roman" w:cs="Times New Roman"/>
                <w:b/>
                <w:bCs/>
                <w:sz w:val="16"/>
                <w:szCs w:val="16"/>
              </w:rPr>
              <w:t>(</w:t>
            </w:r>
            <w:r w:rsidRPr="00E048F6">
              <w:rPr>
                <w:rFonts w:ascii="Times New Roman" w:hAnsi="Times New Roman" w:cs="Times New Roman"/>
                <w:b/>
                <w:bCs/>
                <w:sz w:val="16"/>
                <w:szCs w:val="16"/>
              </w:rPr>
              <w:t>measures</w:t>
            </w:r>
            <w:r>
              <w:rPr>
                <w:rFonts w:ascii="Times New Roman" w:hAnsi="Times New Roman" w:cs="Times New Roman"/>
                <w:b/>
                <w:bCs/>
                <w:sz w:val="16"/>
                <w:szCs w:val="16"/>
              </w:rPr>
              <w:t>)</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Primary: End of treatment abstinence (UDS for MA + amph). Secondary: Safety (VS, ECG, SAE)</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Bupropion did not significantly decrease MA use as compared to PBO. No difference between study arms on VS/ECG; safety profile of bupropion similar to that of product label. Adherence was 47%.</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Eligibility criteria referred to another study reported by authors (Elkashef et al 2008). The authors acknowledge that the CBT delivered per protocol is more than TAU. The concomitant psychosocial therapy may have contributed to the PBO effect. A protocol amendment waiving inclusion criteria of MA+ UDS lead to 20 participants enrolled (evenly split between PBO and RX) with no MA/amph on UDS at screening or throughout study period. Their inclusion bumped the overall success rate in both arms higher.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hAnsi="Times New Roman" w:cs="Times New Roman"/>
                <w:b/>
                <w:color w:val="000000"/>
                <w:sz w:val="16"/>
                <w:szCs w:val="16"/>
              </w:rPr>
            </w:pPr>
            <w:r w:rsidRPr="00E048F6">
              <w:rPr>
                <w:rFonts w:ascii="Times New Roman" w:hAnsi="Times New Roman" w:cs="Times New Roman"/>
                <w:b/>
                <w:color w:val="000000"/>
                <w:sz w:val="16"/>
                <w:szCs w:val="16"/>
              </w:rPr>
              <w:t>Briones et al. Varenicline treatment for methamphetamine dependence: A randomised, double-blind phase II clinical trial. 2018</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lastRenderedPageBreak/>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color w:val="000000"/>
                <w:sz w:val="16"/>
                <w:szCs w:val="16"/>
              </w:rPr>
            </w:pPr>
            <w:r w:rsidRPr="00E048F6">
              <w:rPr>
                <w:rFonts w:ascii="Times New Roman" w:hAnsi="Times New Roman" w:cs="Times New Roman"/>
                <w:color w:val="000000"/>
                <w:sz w:val="16"/>
                <w:szCs w:val="16"/>
              </w:rPr>
              <w:t>Inclusion: ≥18 years; MA dependent (DSM-IV); MA+ UDS at any time during screening; treatment seeking; not pregnant or lactating. Exclusion: Medical condition that may influence study participation; current or PMH of CV disease; SBP&gt;160mmHg or DBP&gt;100mmHg at ≥2 screening visits; PMH angioedema; renal impairment; current neurological disorder; current major psychiatric disorder; PMH attempted suicide past 10 years or suicidal ideation in past year; current dependence on cocaine/opiates/alcohol/benzodiazepines; sensitivity to varenicline or medications contraindicated with varenicline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52 / 52</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inpatient </w:t>
            </w:r>
            <w:r>
              <w:rPr>
                <w:rFonts w:ascii="Times New Roman" w:eastAsia="Times New Roman" w:hAnsi="Times New Roman" w:cs="Times New Roman"/>
                <w:color w:val="000000"/>
                <w:sz w:val="16"/>
                <w:szCs w:val="16"/>
                <w:lang w:eastAsia="en-AU"/>
              </w:rPr>
              <w:t xml:space="preserve">withdrawal </w:t>
            </w:r>
            <w:r w:rsidRPr="00E048F6">
              <w:rPr>
                <w:rFonts w:ascii="Times New Roman" w:eastAsia="Times New Roman" w:hAnsi="Times New Roman" w:cs="Times New Roman"/>
                <w:color w:val="000000"/>
                <w:sz w:val="16"/>
                <w:szCs w:val="16"/>
                <w:lang w:eastAsia="en-AU"/>
              </w:rPr>
              <w:t xml:space="preserve">(4 days) </w:t>
            </w:r>
            <w:r>
              <w:rPr>
                <w:rFonts w:ascii="Times New Roman" w:eastAsia="Times New Roman" w:hAnsi="Times New Roman" w:cs="Times New Roman"/>
                <w:color w:val="000000"/>
                <w:sz w:val="16"/>
                <w:szCs w:val="16"/>
                <w:lang w:eastAsia="en-AU"/>
              </w:rPr>
              <w:t>(n=</w:t>
            </w:r>
            <w:r w:rsidRPr="00E048F6">
              <w:rPr>
                <w:rFonts w:ascii="Times New Roman" w:eastAsia="Times New Roman" w:hAnsi="Times New Roman" w:cs="Times New Roman"/>
                <w:color w:val="000000"/>
                <w:sz w:val="16"/>
                <w:szCs w:val="16"/>
                <w:lang w:eastAsia="en-AU"/>
              </w:rPr>
              <w:t>18</w:t>
            </w:r>
            <w:r>
              <w:rPr>
                <w:rFonts w:ascii="Times New Roman" w:eastAsia="Times New Roman" w:hAnsi="Times New Roman" w:cs="Times New Roman"/>
                <w:color w:val="000000"/>
                <w:sz w:val="16"/>
                <w:szCs w:val="16"/>
                <w:lang w:eastAsia="en-AU"/>
              </w:rPr>
              <w:t>)</w:t>
            </w:r>
            <w:r w:rsidRPr="00E048F6">
              <w:rPr>
                <w:rFonts w:ascii="Times New Roman" w:eastAsia="Times New Roman" w:hAnsi="Times New Roman" w:cs="Times New Roman"/>
                <w:color w:val="000000"/>
                <w:sz w:val="16"/>
                <w:szCs w:val="16"/>
                <w:lang w:eastAsia="en-AU"/>
              </w:rPr>
              <w:t xml:space="preserve"> then outpatient; all other participants outpatient</w:t>
            </w:r>
            <w:r>
              <w:rPr>
                <w:rFonts w:ascii="Times New Roman" w:eastAsia="Times New Roman" w:hAnsi="Times New Roman" w:cs="Times New Roman"/>
                <w:color w:val="000000"/>
                <w:sz w:val="16"/>
                <w:szCs w:val="16"/>
                <w:lang w:eastAsia="en-AU"/>
              </w:rPr>
              <w:t xml:space="preserve"> </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varenicline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9 weeks</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NIDA (R01DA030577)</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Primary: End-of-treatment abstinence; treatment effectiveness score (UDS for MA; number of MA free weeks during treatment). Secondary: Time-to-relapse amongst those who achieved abstinence; weekly number of cigarettes in smoker subgroup (UDS for MA, timeline follow back; count of cigarettes)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No significant difference between treatment groups (by OR, IRR, and Bayes factor) on MA end of treatment abstinence or treatment effectiveness score. Varenicline did not impact relapse in those who achieved abstinence as compared to placebo; varenicline was associated with a significant reduction in cigarette use as compared to placebo (p=0.007).</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Original sample size estimates required n=90; however poor recruitment halt</w:t>
            </w:r>
            <w:r>
              <w:rPr>
                <w:rFonts w:ascii="Times New Roman" w:eastAsia="Times New Roman" w:hAnsi="Times New Roman" w:cs="Times New Roman"/>
                <w:color w:val="000000"/>
                <w:sz w:val="16"/>
                <w:szCs w:val="16"/>
                <w:lang w:eastAsia="en-AU"/>
              </w:rPr>
              <w:t>ed</w:t>
            </w:r>
            <w:r w:rsidRPr="00E048F6">
              <w:rPr>
                <w:rFonts w:ascii="Times New Roman" w:eastAsia="Times New Roman" w:hAnsi="Times New Roman" w:cs="Times New Roman"/>
                <w:color w:val="000000"/>
                <w:sz w:val="16"/>
                <w:szCs w:val="16"/>
                <w:lang w:eastAsia="en-AU"/>
              </w:rPr>
              <w:t xml:space="preserve"> study at n=52. No significant effect between outpatient and inpatient subgroups, however the study was designed to measure this effect.</w:t>
            </w:r>
          </w:p>
        </w:tc>
      </w:tr>
      <w:tr w:rsidR="000A57D6" w:rsidRPr="00E048F6" w:rsidTr="001349A1">
        <w:trPr>
          <w:trHeight w:val="227"/>
        </w:trPr>
        <w:tc>
          <w:tcPr>
            <w:tcW w:w="15593" w:type="dxa"/>
            <w:gridSpan w:val="8"/>
          </w:tcPr>
          <w:p w:rsidR="000A57D6" w:rsidRPr="00E048F6" w:rsidRDefault="000A57D6" w:rsidP="001349A1">
            <w:pPr>
              <w:rPr>
                <w:rFonts w:ascii="Times New Roman" w:hAnsi="Times New Roman" w:cs="Times New Roman"/>
                <w:b/>
                <w:sz w:val="16"/>
                <w:szCs w:val="16"/>
              </w:rPr>
            </w:pPr>
            <w:r w:rsidRPr="00E048F6">
              <w:rPr>
                <w:rFonts w:ascii="Times New Roman" w:eastAsia="Times New Roman" w:hAnsi="Times New Roman" w:cs="Times New Roman"/>
                <w:b/>
                <w:color w:val="000000"/>
                <w:sz w:val="16"/>
                <w:szCs w:val="16"/>
                <w:lang w:eastAsia="en-AU"/>
              </w:rPr>
              <w:t>Coffin et al. Apriprazole for the treatment of methamphetamine dependence: a randomised, double-blind, placebo-controlled trial. 2012</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18-60 yrs (increased from 50 at Month 17 of study); MA dependent (DSM-IV); Rx seeking; MA+ UDS; no acute medical or psychiatric illness; baseline safety laboratory results indicate no clinically significant abnormalities. Exclusion: Current major depression; bipolar disorder; history of psychiatric medication in prior 4 weeks; HIV+ also required CD4&gt;200 or excluded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90 / 90</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aripiprazole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motivational interviewing techniques</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NIDA (R01 DA023387-01)</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Primary: Reduction in MA use (UDS for MA). Secondary: Adherence; sexual risk behaviour; craving and depression (MEMS caps, self-report; Centre for Epidemiologic studies Depression Scale (CES-D)</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Aripiprazole showed no significant difference as compared to PBO in terms of risk of positive MA UDS or in subsequent sensitivity analyses. No differences in secondary outcomes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High retention rates (91% of weekly visits completed, 78% of weekly counselling visits completed). 5 sensitivity analyses conducted however none of those changed the outcomes. 3 month follow-up not reported on.</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hAnsi="Times New Roman" w:cs="Times New Roman"/>
                <w:b/>
                <w:sz w:val="16"/>
                <w:szCs w:val="16"/>
              </w:rPr>
            </w:pPr>
            <w:r w:rsidRPr="00E048F6">
              <w:rPr>
                <w:rFonts w:ascii="Times New Roman" w:eastAsia="Times New Roman" w:hAnsi="Times New Roman" w:cs="Times New Roman"/>
                <w:b/>
                <w:color w:val="000000"/>
                <w:sz w:val="16"/>
                <w:szCs w:val="16"/>
                <w:lang w:eastAsia="en-AU"/>
              </w:rPr>
              <w:t>Coffin et al. Extended-release naltrexone for methamphetamine dependence among men who have sex with men: a randomised placebo-control trial. 2017</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dependent (DSM-IV); RX seeking; born/identifying male; men who have anal sex with men while using MA in prior 6 months; MA+ UDS; HIV+ also required CD4&gt;200 or CD4 100-199 with UDVL. Exclusion: Psychiatric condition judged by investigator as unsafe for participation; current use of opioids</w:t>
            </w:r>
            <w:r>
              <w:rPr>
                <w:rFonts w:ascii="Times New Roman" w:eastAsia="Times New Roman" w:hAnsi="Times New Roman" w:cs="Times New Roman"/>
                <w:color w:val="000000"/>
                <w:sz w:val="16"/>
                <w:szCs w:val="16"/>
                <w:lang w:eastAsia="en-AU"/>
              </w:rPr>
              <w:t>/</w:t>
            </w:r>
            <w:r w:rsidRPr="00E048F6">
              <w:rPr>
                <w:rFonts w:ascii="Times New Roman" w:eastAsia="Times New Roman" w:hAnsi="Times New Roman" w:cs="Times New Roman"/>
                <w:color w:val="000000"/>
                <w:sz w:val="16"/>
                <w:szCs w:val="16"/>
                <w:lang w:eastAsia="en-AU"/>
              </w:rPr>
              <w:t xml:space="preserve">opioid+ UDS; alcohol dependence; ALT/AST ≥5 x ULN; thrombocytopenia/coagulation disorder; eGFR&lt;50ml/min; intolerance/hypersensitivity to naltrexone; acute/chronic illness expected to interfere with participation; pending legal proceedings </w:t>
            </w:r>
            <w:r>
              <w:rPr>
                <w:rFonts w:ascii="Times New Roman" w:eastAsia="Times New Roman" w:hAnsi="Times New Roman" w:cs="Times New Roman"/>
                <w:color w:val="000000"/>
                <w:sz w:val="16"/>
                <w:szCs w:val="16"/>
                <w:lang w:eastAsia="en-AU"/>
              </w:rPr>
              <w:t>(</w:t>
            </w:r>
            <w:r w:rsidRPr="00E048F6">
              <w:rPr>
                <w:rFonts w:ascii="Times New Roman" w:eastAsia="Times New Roman" w:hAnsi="Times New Roman" w:cs="Times New Roman"/>
                <w:color w:val="000000"/>
                <w:sz w:val="16"/>
                <w:szCs w:val="16"/>
                <w:lang w:eastAsia="en-AU"/>
              </w:rPr>
              <w:t>high risk of incarceration</w:t>
            </w:r>
            <w:r>
              <w:rPr>
                <w:rFonts w:ascii="Times New Roman" w:eastAsia="Times New Roman" w:hAnsi="Times New Roman" w:cs="Times New Roman"/>
                <w:color w:val="000000"/>
                <w:sz w:val="16"/>
                <w:szCs w:val="16"/>
                <w:lang w:eastAsia="en-AU"/>
              </w:rPr>
              <w:t>)</w:t>
            </w:r>
            <w:r w:rsidRPr="00E048F6">
              <w:rPr>
                <w:rFonts w:ascii="Times New Roman" w:eastAsia="Times New Roman" w:hAnsi="Times New Roman" w:cs="Times New Roman"/>
                <w:color w:val="000000"/>
                <w:sz w:val="16"/>
                <w:szCs w:val="16"/>
                <w:lang w:eastAsia="en-AU"/>
              </w:rPr>
              <w:t>; participation in</w:t>
            </w:r>
            <w:r>
              <w:rPr>
                <w:rFonts w:ascii="Times New Roman" w:eastAsia="Times New Roman" w:hAnsi="Times New Roman" w:cs="Times New Roman"/>
                <w:color w:val="000000"/>
                <w:sz w:val="16"/>
                <w:szCs w:val="16"/>
                <w:lang w:eastAsia="en-AU"/>
              </w:rPr>
              <w:t xml:space="preserve"> </w:t>
            </w:r>
            <w:r w:rsidRPr="00E048F6">
              <w:rPr>
                <w:rFonts w:ascii="Times New Roman" w:eastAsia="Times New Roman" w:hAnsi="Times New Roman" w:cs="Times New Roman"/>
                <w:color w:val="000000"/>
                <w:sz w:val="16"/>
                <w:szCs w:val="16"/>
                <w:lang w:eastAsia="en-AU"/>
              </w:rPr>
              <w:t>other study</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100 / 100</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naltrexone ER</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motivational interviewing techniques</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Drug provided by Alkermes Inc.; other funding by NIDA (R01DA031678)</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Change in MA use (UDS for MA, concentration). Secondary: HIV risk behaviours; study injections administered; safety; cravings; Severity of Dependence; Depression; psychological distress (ACASI, n male partners +/- MA use, episodes anal sex +/- protection; AEs; VAS; SDS; CES-D, PHQ-2</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ITT analysis using GEE demonstrated similar (non-significant) risk of MA+ UDS in both arms. Five sensitivity analyses were completed. Cravings (VAS), SDS, and CES-D decreased overall but NSS between arms.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 xml:space="preserve">Participants randomised to NTX were more likely to use MA by rectal route, and more likely to use MA during sex (p&lt;0.01).  High retention rates (mean weekly visit completion = 90%; trial completion 94% and 92%), which the authors attributed to the injection site and reduction in injection side effects.  </w:t>
            </w:r>
          </w:p>
        </w:tc>
      </w:tr>
      <w:tr w:rsidR="000A57D6" w:rsidRPr="00E048F6" w:rsidTr="001349A1">
        <w:trPr>
          <w:trHeight w:val="227"/>
        </w:trPr>
        <w:tc>
          <w:tcPr>
            <w:tcW w:w="15593" w:type="dxa"/>
            <w:gridSpan w:val="8"/>
          </w:tcPr>
          <w:p w:rsidR="000A57D6" w:rsidRPr="00E048F6" w:rsidRDefault="000A57D6" w:rsidP="001349A1">
            <w:pPr>
              <w:rPr>
                <w:rFonts w:ascii="Times New Roman" w:hAnsi="Times New Roman" w:cs="Times New Roman"/>
                <w:b/>
                <w:sz w:val="16"/>
                <w:szCs w:val="16"/>
              </w:rPr>
            </w:pPr>
            <w:r w:rsidRPr="00E048F6">
              <w:rPr>
                <w:rFonts w:ascii="Times New Roman" w:eastAsia="Times New Roman" w:hAnsi="Times New Roman" w:cs="Times New Roman"/>
                <w:b/>
                <w:color w:val="000000"/>
                <w:sz w:val="16"/>
                <w:szCs w:val="16"/>
                <w:lang w:eastAsia="en-AU"/>
              </w:rPr>
              <w:t>Colfax et al. Mirtazapine to reduce methamphetamine use: A randomized controlled trial. 2011</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18-60 yrs; MA dependent (DSM-IV); sexually active MSM (anal sex in prior 3 months while using MA); RX seeking; MA+ UDS; no acute mental/physical illness; baseline safety labs with no apparent abnormalities. Exclusion: Current major depression (SCID); history of antidepressant use in the past 4 weeks; CD4&lt;200 if HIV+</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tcPr>
          <w:p w:rsidR="000A57D6" w:rsidRPr="00E048F6" w:rsidRDefault="000A57D6" w:rsidP="001349A1">
            <w:pP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 xml:space="preserve">Pharmacotherapy </w:t>
            </w:r>
          </w:p>
        </w:tc>
        <w:tc>
          <w:tcPr>
            <w:tcW w:w="1984" w:type="dxa"/>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 xml:space="preserve">Duration treatment </w:t>
            </w:r>
          </w:p>
        </w:tc>
        <w:tc>
          <w:tcPr>
            <w:tcW w:w="3296" w:type="dxa"/>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60 / 60</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mirtazapine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motivational interviewing techniques</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NIH NIDA (R01-DA022155)</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Reduction in MA use (UDS for MA, concentration and count). Secondary: Study medication adherence; sexual risk behaviour; depression (MEMS cap, ACTG adherence questionnaire; ACASI; CES-D)</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ITT analysis using GEE indicated the risk of testing MA+ on UDS decreased faster in the mirtazapine arm than the PBO arm (RR 0.57 p=0.02). Remained significant in sensitivity analyses. Most sexual risk behaviours analysed decreased faster in mirtazapine arm than PBO (p&lt;0.05). No other differences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lastRenderedPageBreak/>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Participants randomised to mirtazapine arm were more likely to be motivated to participate in the trial to receive counselling services and had a higher number of unprotected receptive anal sex partners than those randomised to PBO. High retention rates - 85% of follow-up visits were completed; however low adherence (&lt;50%). Participants randomised to mirtazapine were more likely to report significant reduction in sexual risk behaviour - also associated with negative MA UDS. Stated funder had no role in the study design.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hAnsi="Times New Roman" w:cs="Times New Roman"/>
                <w:b/>
                <w:sz w:val="16"/>
                <w:szCs w:val="16"/>
              </w:rPr>
            </w:pPr>
            <w:r w:rsidRPr="00E048F6">
              <w:rPr>
                <w:rFonts w:ascii="Times New Roman" w:eastAsia="Times New Roman" w:hAnsi="Times New Roman" w:cs="Times New Roman"/>
                <w:b/>
                <w:color w:val="000000"/>
                <w:sz w:val="16"/>
                <w:szCs w:val="16"/>
                <w:lang w:eastAsia="en-AU"/>
              </w:rPr>
              <w:t>Cruickshank et al. A placebo-controlled trial of mirtazapine for the management of methamphetamine withdrawal. 2008</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Inclusion: 18-65 yrs; ATS dependence (DSM-IV); reported use of AMPH/MA in prior 72 hours. Exclusion: pregnancy or breastfeeding; medical condition for which mirtazapine contraindicated; psychiatric instability; known hypersensitivity or adverse reaction to mirtazapine; significant risk of withdrawal from other drugs; currently receiving antidepressant medication; referred for treatment through the justice system</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31 / 31</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2 sites; withdrawal; Australia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mirtazapine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Narrative therapy counselling</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14 days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Study drug provided by Organon Australia Pty Ltd.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Retention in study (duration of retention). Secondary: MA withdrawal; sleep; psychiatric morbidity; depression; severity of dependence; average number of drug use occasions during the past month (ASCA; Athens Insomnia Scale (AIS-5); BSI-GSI; Depression Anxiety Stress Scale (DASS); SDS; OTI)</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 significant difference between treatment arms on dropout rates or mean duration of retention. No differences in secondary outcomes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Clinical studies of mirtazapine for depression have shown full antidepressant effects are reached after 6-8 weeks of daily dosing. This 14-day study period many not have been long enough to demonstrate an effect. </w:t>
            </w:r>
          </w:p>
        </w:tc>
      </w:tr>
      <w:tr w:rsidR="000A57D6" w:rsidRPr="00E048F6" w:rsidTr="001349A1">
        <w:trPr>
          <w:trHeight w:val="227"/>
        </w:trPr>
        <w:tc>
          <w:tcPr>
            <w:tcW w:w="15593" w:type="dxa"/>
            <w:gridSpan w:val="8"/>
          </w:tcPr>
          <w:p w:rsidR="000A57D6" w:rsidRPr="00E048F6" w:rsidRDefault="000A57D6" w:rsidP="001349A1">
            <w:pPr>
              <w:rPr>
                <w:rFonts w:ascii="Times New Roman" w:hAnsi="Times New Roman" w:cs="Times New Roman"/>
                <w:b/>
                <w:sz w:val="16"/>
                <w:szCs w:val="16"/>
              </w:rPr>
            </w:pPr>
            <w:r w:rsidRPr="00E048F6">
              <w:rPr>
                <w:rFonts w:ascii="Times New Roman" w:eastAsia="Times New Roman" w:hAnsi="Times New Roman" w:cs="Times New Roman"/>
                <w:b/>
                <w:sz w:val="16"/>
                <w:szCs w:val="16"/>
                <w:lang w:eastAsia="en-AU"/>
              </w:rPr>
              <w:t>Elkashef et al. Topiramate for the treatment of methamphetamine addiction: a multi-center placebo-controlled trial. 2012</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 yrs; MA dependent (DSM-IV); ≥1 MA+ UDS (&gt;500ng/ml) Exclusion: medical illness; psychiatric condition requiring ongoing medication; pregnancy/lactation; renal impairment; court-mandated drug abuse treatment</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140 / 140</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8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topiramate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Brief behavioural compliance enhancement treatment (BBCET)</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13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NIDA/DVA (Y1-DA4006)</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Primary: Abstinence: negative "</w:t>
            </w:r>
            <w:r>
              <w:rPr>
                <w:rFonts w:ascii="Times New Roman" w:eastAsia="Times New Roman" w:hAnsi="Times New Roman" w:cs="Times New Roman"/>
                <w:color w:val="000000"/>
                <w:sz w:val="16"/>
                <w:szCs w:val="16"/>
                <w:lang w:eastAsia="en-AU"/>
              </w:rPr>
              <w:t>MA</w:t>
            </w:r>
            <w:r w:rsidRPr="00E048F6">
              <w:rPr>
                <w:rFonts w:ascii="Times New Roman" w:eastAsia="Times New Roman" w:hAnsi="Times New Roman" w:cs="Times New Roman"/>
                <w:color w:val="000000"/>
                <w:sz w:val="16"/>
                <w:szCs w:val="16"/>
                <w:lang w:eastAsia="en-AU"/>
              </w:rPr>
              <w:t xml:space="preserve"> use weeks" during study Weeks 6-12 (UDS for MA). Secondary: MA use reduction; abstinence; relapse for participants with negative MA UDS at Baseline; psychological effects of treatment; adherence (UDS for MA; CGI-O, CGI-S; BSCS, ASI-Lite, Montgomery Asperger Depression Rating Scale (MADRS); pill count)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hAnsi="Times New Roman" w:cs="Times New Roman"/>
                <w:sz w:val="16"/>
                <w:szCs w:val="16"/>
              </w:rPr>
            </w:pPr>
            <w:r w:rsidRPr="00E048F6">
              <w:rPr>
                <w:rFonts w:ascii="Times New Roman" w:eastAsia="Times New Roman" w:hAnsi="Times New Roman" w:cs="Times New Roman"/>
                <w:color w:val="000000"/>
                <w:sz w:val="16"/>
                <w:szCs w:val="16"/>
                <w:lang w:eastAsia="en-AU"/>
              </w:rPr>
              <w:t>Topiramate did not improve abstinence from MA, including after sensitivity analysis. MA use reduction may however improve significantly as a function of time, more effective in those abstinent at trials outset. CGI-O improved in trial arm.</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Several post-hoc analyses were conducted including underlying alcohol dependence built into model (NSS); severity of MA use based on UDS (negative MA UDS at baseline - more likely to sustain topiramate treatment effect at Weeks 6-12 [p=0.02]); topiramate versus PBO reduced MA use over time in those who were MA UDS abstinent at baseline; [topiramate versus PBO reduced MA use over time (see secondary results)]; and dose of medication achieved - only 6 participants achieved/maintained target dose of study drug during all 49 days of study treatment in Weeks 6-12. This study was also reported by Ma et al (2012) who used a latent variable analysis for the primary and secondary outcomes during Weeks 6-12 and Weeks 1-12 (adjusted for age, sex, ethnicity). This analysis identified a two-group difference in the response to topiramate; with one group of responders who achieved significant reduction of </w:t>
            </w:r>
            <w:r>
              <w:rPr>
                <w:rFonts w:ascii="Times New Roman" w:eastAsia="Times New Roman" w:hAnsi="Times New Roman" w:cs="Times New Roman"/>
                <w:color w:val="000000"/>
                <w:sz w:val="16"/>
                <w:szCs w:val="16"/>
                <w:lang w:eastAsia="en-AU"/>
              </w:rPr>
              <w:t>MA</w:t>
            </w:r>
            <w:r w:rsidRPr="00E048F6">
              <w:rPr>
                <w:rFonts w:ascii="Times New Roman" w:eastAsia="Times New Roman" w:hAnsi="Times New Roman" w:cs="Times New Roman"/>
                <w:color w:val="000000"/>
                <w:sz w:val="16"/>
                <w:szCs w:val="16"/>
                <w:lang w:eastAsia="en-AU"/>
              </w:rPr>
              <w:t xml:space="preserve"> use being most likely to be in the topiramate study arm.</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 xml:space="preserve">Elkashef et al. Bupropion for the treatment of </w:t>
            </w:r>
            <w:r w:rsidR="00DA20C6">
              <w:rPr>
                <w:rFonts w:ascii="Times New Roman" w:eastAsia="Times New Roman" w:hAnsi="Times New Roman" w:cs="Times New Roman"/>
                <w:b/>
                <w:color w:val="000000"/>
                <w:sz w:val="16"/>
                <w:szCs w:val="16"/>
                <w:lang w:eastAsia="en-AU"/>
              </w:rPr>
              <w:t>methamphetamine dependence. 2008</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dependent (DSM-IV). Exclusion: serious medical illness; seizure disorder; pregnancy or lactation; psychiatric disorders requiring ongoing medication; court-mandated drug abuse treatment</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156 / not clear</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5 sites;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SR</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derived from Matrix Model</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(N01-DA-0-8804; N-01-DA-3-8824)</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Weekly abstinence from MA (UDS for MA). Secondary: MA use; self-report of daily MA use; changes in addiction severity; changes in craving; changes in depression and anxiety (UDS, timeline follow back; ASI-Lite; BSCS; Hamilton Depression rating scale (HAM-D))</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did not significantly decrease MA use as compared to PBO. Subgroup analysis of low use participants (&lt;18 days use out of the last 30) showed efficacy. No other differences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Investigators planned multiple analyses to assess outcomes based on stratification factors. In the subgroup with lower MA use at baseline (≤</w:t>
            </w:r>
            <w:r w:rsidR="00DA20C6" w:rsidRPr="00E048F6">
              <w:rPr>
                <w:rFonts w:ascii="Times New Roman" w:eastAsia="Times New Roman" w:hAnsi="Times New Roman" w:cs="Times New Roman"/>
                <w:color w:val="000000"/>
                <w:sz w:val="16"/>
                <w:szCs w:val="16"/>
                <w:lang w:eastAsia="en-AU"/>
              </w:rPr>
              <w:t>18 days</w:t>
            </w:r>
            <w:r w:rsidRPr="00E048F6">
              <w:rPr>
                <w:rFonts w:ascii="Times New Roman" w:eastAsia="Times New Roman" w:hAnsi="Times New Roman" w:cs="Times New Roman"/>
                <w:color w:val="000000"/>
                <w:sz w:val="16"/>
                <w:szCs w:val="16"/>
                <w:lang w:eastAsia="en-AU"/>
              </w:rPr>
              <w:t xml:space="preserve"> of prior 30) bupropion increased weekly periods of MA abstinence as compared to PBO (p=0.03). At the end of the study treatment, the bupropion group had 16% more participants with a MA-free week than PBO. In the male participants only, participants randomised to bupropion demonstrated a higher rate of increase in proportion of participants with a MA-free week as compared to PBO (p=0.04). More sophisticated stats allowing for adjustment with the Bonferroni method of Holm assessed all of the stratified factors (gender, baseline use, depression) in each possible combination and determined that two subgroups were significantly more likely to have an MA-free week: male depressed and non-depressed participants with low baseline use (OR 1.39 and OR 1.34 p=&lt;0.001), and non-depressed female participants with low baseline use (OR=1.27, p=0.02)</w:t>
            </w:r>
          </w:p>
        </w:tc>
      </w:tr>
      <w:tr w:rsidR="000A57D6" w:rsidRPr="00E048F6" w:rsidTr="001349A1">
        <w:trPr>
          <w:trHeight w:val="362"/>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lastRenderedPageBreak/>
              <w:t>Farahzadi et al. Riluzole for treatment of men with methamphetamine dependence: A randomised, double-blind, placebo-controlled clinical trial. 2019</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18-65 yrs; MA dependent (DSM-IV). Exclusion: hypersensitivity to riluzole; history of: chronic liver disease; elevated LFTs; interstitial lung disease; or: neutropenia; serious medical / neurological disorder; comorbid psychiatric disorders; positive UDS for other substances; AUD; family history of early age CV disease in first degree relative; baseline VS/lab/ECG significantly abnormal; cigarette smoking &gt;3 days per week (interacts with riluzole levels); concomitant psychotropic medications / contraindicated with riluzole.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86 / 74</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Iran</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riluzole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Matrix Model</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funded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Retention in treatment; end of treatment abstinence (count of cumulative weekly visits; UDS for MA). Secondary: Dependence severity; withdrawal symptoms; cravings; depression (ASSA; AWQ; Stimulant Craving Questionnaire (STCQ); VAS; HAM-D)</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 Rates of MA+ UDS were significantly lower in the riluzole arm (=1) than PBO (=9) at Week 12 only (p=0.004). Secondary outcome scores were improved on all measures in the riluzole arm as compared to PBO. Highest effect sizes were observed for: ASSA, AWQ, VAS, STCQ, and HAM-D.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Addiction Severity Index (ASI) was used to characterise baseline severity of dependence. 86 participants were randomised but only 74 attended the first post-baseline visit and were maintained for ITT analyses. Need more studies around dose-finding as this study used the dose approved for use in ALS.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Galloway et al. A randomised, placebo-controlled trial of sustained-release dextroamphetamine for treatment of methamphetamine addiction. 2011</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18-50 yrs; MA dependent (DSM-IV); treatment seeking; ≥1 MA+ UDS during screening. Exclusion: serious medical illness; pregnancy; use of investigational medication in prior 30 days; court mandated drug abuse treatment; attendance in drug or alcohol abuse treatment in prior 30 days; current alcohol, opiate, or sedative-hypnotic dependence disorder requiring medical detoxification; presence of severe PTSD, mania or hypermania within  prior 90 days; lifetime history of schizophrenia</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60 / 51</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dextroamphetamine SR</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Manual-based individual motivational enhancement therapy sessions</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NIH grant P50 DA018179</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Safety; efficacy (SAEs; Number of MA abstinence events). Secondary: MA use; Cravings; withdrawal; adherence (Timeline follow back; VAS 100mm; AWQ; Desires for Alcohol Questionnaire; pill count</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N</w:t>
            </w:r>
            <w:r w:rsidRPr="00E048F6">
              <w:rPr>
                <w:rFonts w:ascii="Times New Roman" w:eastAsia="Times New Roman" w:hAnsi="Times New Roman" w:cs="Times New Roman"/>
                <w:color w:val="000000"/>
                <w:sz w:val="16"/>
                <w:szCs w:val="16"/>
                <w:lang w:eastAsia="en-AU"/>
              </w:rPr>
              <w:t xml:space="preserve">o statistically significant difference </w:t>
            </w:r>
            <w:r w:rsidR="00DA20C6">
              <w:rPr>
                <w:rFonts w:ascii="Times New Roman" w:eastAsia="Times New Roman" w:hAnsi="Times New Roman" w:cs="Times New Roman"/>
                <w:color w:val="000000"/>
                <w:sz w:val="16"/>
                <w:szCs w:val="16"/>
                <w:lang w:eastAsia="en-AU"/>
              </w:rPr>
              <w:t>between</w:t>
            </w:r>
            <w:r w:rsidRPr="00E048F6">
              <w:rPr>
                <w:rFonts w:ascii="Times New Roman" w:eastAsia="Times New Roman" w:hAnsi="Times New Roman" w:cs="Times New Roman"/>
                <w:color w:val="000000"/>
                <w:sz w:val="16"/>
                <w:szCs w:val="16"/>
                <w:lang w:eastAsia="en-AU"/>
              </w:rPr>
              <w:t xml:space="preserve"> dextroamphetamine as compared to PBO on measures of MA use. Dextroamphetamine significantly reduced withdrawal and cravings as compared to PBO; no difference in attendance or adherence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NSS difference in adverse events between the two study arms. NSS difference in heart rate or BP. Clinically significant ECG abnormalities were NSS different between the two groups (1 in dextroamphetamine arm and 2 in PBO arm). Difference in cravings disappeared after Week 5.</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Galloway et al. Imipramine for the treatment of cocaine and methamphetamine dependence. 1995</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cocaine or MA dependent (DSM-IIIR); 17-66 years. Exclusion: presence of another psychoactive substance use disorder of equal or greater severity than the cocaine/MA dependence; contraindications to imipramine [mainly pregnancy or ECG conduction defects]; significant psychiatric comorbidity [principally major depression and schizophrenia].</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imipramine 10 mg OD control</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183 / 183</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imipramine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Intensive drug abuse counselling, psychiatric care</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up to 180 days of RX</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(R018-06145)</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Retention in care (duration of retention). Secondary: Drug use; craving; depression (UDS of MA + cocaine, self-report; VAS 100mm; BDI)</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Survival analysis for retention in treatment indicated higher dose of imipramine was associated with enhanced retention in treatment: (p=0.0015). Increased retention in treatment was associated with greater median number of clinical contacts (p=0.0019). No differences in secondary outcomes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183 participants: 151 were cocaine dependent and 32 were MA dependent. Control was 10 mg of active imipramine. This was for 4 reasons: increase acceptance by prospective participants; increase acceptance by program staff; increase blinding efficacy by providing a dose which may induce some side effects; because 10 mg was not anticipated to result in efficacy. High cut-off value for urinalysis detection of MA/cocaine may have impacted on the ability to detect between-group differences. Short retention in treatment and duration of adherence to study drug.</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Grant et al. A double-blind, placebo controlled study of N-acetyl cysteine plus naltrexone for methamphetamine dependence. 2010</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18-65 yrs;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dependent (DSM-IV); MA main form of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used. Exclusion: unstable medical illness (HIV allowed); current pregnancy or inadequate contraception; suicidal thought; history bipolar disorder; dementia; psychotic disorder; previous treatment with NAC or naltrexone; abnormal liver function tests at screening; current opiate use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31 / 31</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N-acetyl cysteine + naltrexone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None</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Internal department funds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lastRenderedPageBreak/>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Cravings (Penn Craving Scale modified for MA). Secondary: MA use; global state; depression; anxiety; disability; quality of life (UDS for MA; CGI-S; HAM-D; Hamilton Anxiety rating scale (HAM-A), Sheehan Disability Scale, Quality of Life Inventory (QoLI))</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Neither cravings nor MA use were different between treatment arms. There was no difference in secondary outcomes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Neither drug cravings nor drug use significantly improved in those assigned to active treatment as compared to PBO. First double-blind, placebo-controlled RCT for a combined therapy of a glutamatergic + a dopaminergic agent. Small sample size limits study power. Although not entirely clear, psychosocial therapy is listed as a limitation, so presume that this study involved no psychosocial therapy.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Heinzerling et al. Randomised, double-blind, placebo-controlled trial of modafinil for the treatment of methamphetamine dependence. 2010</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 yrs; MA dependence (DSM-IV); not pregnancy or lactating and effective birth control; treatment seeking. Exclusion: medical condition that may interfere with safe study participation; a current neurological disorder or major psychiatric disorder not due to substance abuse; prior 30 day history suicidal ideation/attempts; medication contraindicated with modafinil; current dependence on cocaine, opiates, alcohol, benzodiazepines; alcohol dependence in prior 3 years; cardiac abnormalities; history narcolepsy; sensitivity to modafinil; or any other circumstances judged by the investigators to potentially compromise participant safety.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71 / 71</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2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modafinil</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and Contingency Management (CM)</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P50 DA 18185</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(UDS for MA). Secondary: Treatment retention; MA cravings; depressive symptoms; safety cigarette smoking (participant count; VAS; BDI; SAEs; cigarette count)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 use was NSS different between the study arms. No difference in secondary outcomes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 the GEE model, baseline frequency of use (higher relative to lower baseline use) AND CBT attendance but NOT treatment arm were associated with the probability of MA-free UDS across the 12 week treatment period (p&lt;0.001).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Heinzerling et al. Pilot randomised trial of bupropion for adolescent methamphetamine abuse/dependence. 2013</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14-21 yrs; MA dependent (DSM-IV); English speaking; not pregnancy/lactating. Exclusion: unstable medical condition; major psychiatric disorder not due to SUD other than ADHD; suicide attempt in past year or current suicidal ideation; taking bupropion or medications contraindicated with bupropion; cocaine/opiate/alcohol/benzodiazepine dependence; taking medication for ADHD; seizures/serious head injury; anorexia/bulimia; weight&lt;50kg; uncontrolled HTN; sensitivity to bupropion; any other issue that may compromise safety</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19 / 19</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adolescent;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SR</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group drug counselling sessions</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5 R21 DA26531</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Feasibility of enrolling participants; the safety and tolerability of bupropion (participant count; SAEs). Secondary: Retention and Treatment Effectiveness Score (UDS)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Studies of bupropion in MA dependent adolescents not feasible with the current study design. TES was significantly higher in the PBO arm; retention favoured the PBO arm but was NSS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Only 19 of a targeted 30 participants were randomised. Exclusion criteria may have increased the challenge to recruit (e.g. psychiatric comorbidity is high amongst adolescents using MA). The sample was not balanced between the two arms, in that the bupropion arm had significantly higher participants with dependence, higher craving scores, marijuana use, conduct disorder, ADHD and depressive symptoms.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Heinzerling et al. Randomised, placebo-controlled trial of baclofen and gabapentin for the treatment of methamphetamine dependence. 2006</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 years; MA dependent (DSM-IV); not pregnant/lactating. Exclusion: a medical condition judged to have potential to compromise participation;  current neurologic or major psychiatric disorder not due to substance use;  medication contraindicated with study drug; current drug dependence (except nicotine); history alcohol dependence in prior 3 years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88 / 88</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 active study arms: baclofen and gabapentin</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manual-driven group relapse prevention sessions</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16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1 P50 DA 18185</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(UDS for MA). Secondary: Treatment retention; Addiction severity; depressive symptoms; cravings; safety (participant count; ASI-Lite; BDI; VAS 100mm; SAEs</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NSS difference between study arms. No difference in secondary outcomes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 post-hoc analyses there was a significant treatment effect for baclofen (and not gabapentin) relative to PBO among participants taking higher percentage of study medication (by self-report). The study also demonstrated that 3/week group psychosocial counselling attendance was associated with probability of providing an MA free UDS.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Heinzerling et al. Randomised, placebo-controlled trial of bupropion in methamphetamine-dependent participants with less than daily methamphetamine use. 2014</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 years; MA dependent (DSM-IV); treatment-seeking; MA use on 29 or fewer of the past 30 days at baseline (TLFB); willing to comply with genotyping; not pregnant/lactating. Exclusion: a medical condition that may interfere with safe study participation; current neurological disorder / major psychiatric disorder not due to substance abuse; medical history which would make compliance difficult; past 30 days history of suicide attempt or suicidal ideation; medication contraindicated with bupropion; current dependence on cocaine / opiates / alcohol or benzodiazepines; history of alcohol dependence in prior 3 years; history </w:t>
            </w:r>
            <w:r w:rsidRPr="00E048F6">
              <w:rPr>
                <w:rFonts w:ascii="Times New Roman" w:eastAsia="Times New Roman" w:hAnsi="Times New Roman" w:cs="Times New Roman"/>
                <w:color w:val="000000"/>
                <w:sz w:val="16"/>
                <w:szCs w:val="16"/>
                <w:lang w:eastAsia="en-AU"/>
              </w:rPr>
              <w:lastRenderedPageBreak/>
              <w:t>of seizure disorder; medical condition or history of medical condition (e.g. head injury / medication that reduces seizure threshold) that would increase risk of seizures; history anorexia / bulimia; uncontrolled HTN; sensitivity to bupropion; participation in other clinical trials involving medications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lastRenderedPageBreak/>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84 / 84</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SR</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manual based CBT</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K23 DA023558; NIDA T32 DA026400; Burroughs Welcome Fund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End-of-treatment abstinence (UDS for MA). Secondary: TES; treatment retention (UDS for MA; participant count)</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No difference in EOT abstinence between study arms. Mean TES was significantly higher for bupropion than placebo; NSS difference between arms in retention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Post hoc analysis included plasma samples for bupropion levels at Week </w:t>
            </w:r>
            <w:r w:rsidR="00DA20C6" w:rsidRPr="00E048F6">
              <w:rPr>
                <w:rFonts w:ascii="Times New Roman" w:eastAsia="Times New Roman" w:hAnsi="Times New Roman" w:cs="Times New Roman"/>
                <w:color w:val="000000"/>
                <w:sz w:val="16"/>
                <w:szCs w:val="16"/>
                <w:lang w:eastAsia="en-AU"/>
              </w:rPr>
              <w:t>6 -</w:t>
            </w:r>
            <w:r w:rsidRPr="00E048F6">
              <w:rPr>
                <w:rFonts w:ascii="Times New Roman" w:eastAsia="Times New Roman" w:hAnsi="Times New Roman" w:cs="Times New Roman"/>
                <w:color w:val="000000"/>
                <w:sz w:val="16"/>
                <w:szCs w:val="16"/>
                <w:lang w:eastAsia="en-AU"/>
              </w:rPr>
              <w:t xml:space="preserve"> 32% of participants randomised to bupropion were deemed adherent by plasma. In these participants, the proportion with EOT MA abstinence, mean TES, and mean days retained were all significantly higher compared to non-adherent participants. However, these analyses were conducted on a small subset of the sample given that only 32% (13/41) of bupropion participants were adherent by plasma levels.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Jayaram-Lindström et al. Naltrexone for the treatment of amphetamine dependence: A randomised, placebo-controlled trial. 2008</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20-65 yrs;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dependent (DSM-IV); used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on at least 12 days of the past 12 weeks. Exclusion: Any other SUD excluding nicotine; history of major psychiatric disorder; current psychiatric condition requiring medication; use of opioid medication or illegal opiates in the past month; current use of benzodiazepines; traces of any illicit substances in the urine; serious somatic disease; LFT derangement; pregnancy / lactation</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80 / 80</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single-site;  Sweden</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naltrexone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manual-based relapse prevention therapy</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Swedish Science Council grant ID: 2005-6721.</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Abstinence (UDS for amph). Secondary: Retention; adherence; self-report drug consumption; craving; LFTs, safety (participant count; UDS for 6-b-naltrexol, pill count; timeline follow back; VAS 7 point; blood screen; SAE's)</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During treatment the naltrexone group had a significantly higher mean number of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-negative urine samples as compared to PBO. Self-reported amph use reduced in treatment arm. From week 4 onwards craving was reduced in treatment arm. No other differences.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Enrolled only once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negative on UDS. Secondary "completer" analysis was conducted on the primary outcome measure using the same statistical method on those participants who provided at least 16 of the total 24 urine samples. In this analysis the naltrexone group had a significantly higher mean number of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negative UDS than the PBO group. However, there was a decrease in the mean number of negative UDS in both arms as an effect of time in treatment. Continuous abstinence rates in both the ITT and the "completer" analyses demonstrated a difference in continuous abstinence rates between the two arms - favouring the naltrexone arm. The higher the adherence to naltrexone the higher the abstinence rates within the naltrexone arm (p&lt;0.05). Predominantly </w:t>
            </w:r>
            <w:r>
              <w:rPr>
                <w:rFonts w:ascii="Times New Roman" w:eastAsia="Times New Roman" w:hAnsi="Times New Roman" w:cs="Times New Roman"/>
                <w:color w:val="000000"/>
                <w:sz w:val="16"/>
                <w:szCs w:val="16"/>
                <w:lang w:eastAsia="en-AU"/>
              </w:rPr>
              <w:t xml:space="preserve">AMPH </w:t>
            </w:r>
            <w:r w:rsidRPr="00E048F6">
              <w:rPr>
                <w:rFonts w:ascii="Times New Roman" w:eastAsia="Times New Roman" w:hAnsi="Times New Roman" w:cs="Times New Roman"/>
                <w:color w:val="000000"/>
                <w:sz w:val="16"/>
                <w:szCs w:val="16"/>
                <w:lang w:eastAsia="en-AU"/>
              </w:rPr>
              <w:t xml:space="preserve">using population, only 16% of positive UDS displayed a high concentration of MA. 50 mg OD was a lower dose of naltrexone than other studies reviewed here.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Jittiwutikan et al. Amineptine in the treatment of amphetamine withdrawal: A placebo-controlled, randomised, double-blind study. 1997</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15-65 yrs; </w:t>
            </w:r>
            <w:r>
              <w:rPr>
                <w:rFonts w:ascii="Times New Roman" w:eastAsia="Times New Roman" w:hAnsi="Times New Roman" w:cs="Times New Roman"/>
                <w:color w:val="000000"/>
                <w:sz w:val="16"/>
                <w:szCs w:val="16"/>
                <w:lang w:eastAsia="en-AU"/>
              </w:rPr>
              <w:t xml:space="preserve">AMPH </w:t>
            </w:r>
            <w:r w:rsidRPr="00E048F6">
              <w:rPr>
                <w:rFonts w:ascii="Times New Roman" w:eastAsia="Times New Roman" w:hAnsi="Times New Roman" w:cs="Times New Roman"/>
                <w:color w:val="000000"/>
                <w:sz w:val="16"/>
                <w:szCs w:val="16"/>
                <w:lang w:eastAsia="en-AU"/>
              </w:rPr>
              <w:t xml:space="preserve">withdrawal (DSM-IV);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UDS to confirm diagnosis. Exclusion: People who had stopped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for more than 5 days; UDS+ for opiates; psychotic symptoms; serious physical illness; pregnancy / breast feeding; history of amineptine abuse or allergy to amineptine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30 / 29</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inpatient; withdrawal; Thailand</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amineptine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none stated</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14 days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stated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Craving, depressed meed, no energy, sick feeling (The questionnaire for evaluating cocaine Craving and Related Responses [4 20cm VASs). Secondary: Global state (CGI)</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Participants in the amineptine arm were significantly less depressed (at Day 7 only) in the Day 7 completer analysis; and significantly less feeling sick at Day 14. NSS difference between arms on cravings or energy. CGI scored improved at day 14 in treatment arm.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Open to enrolment by males and females however only 1 female (3.3%) was enrolled.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Johnson et al. A preliminary randomised, double-blind, placebo-controlled study of the safety and efficacy of ondansetron in the treatment of methamphetamine dependence. 2008</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 yrs; MA dependence (DSM-IV); minimum 4 UDS in 2-week baseline period and at least one MA+; treatment-seeking; good physical health. Exclusion: Current dependence on any psychoactive substance except MA, nicotine, marijuana; physiological dependence on alcohol or a sedative-hypnotic; current diagnoses of anxiety/affective/psychotic disorders; court-mandated substance abuse treatment; pregnant; taking psychotropic medication that could interfere with ondansetron; opiate substitutes within 2 months enrolment; asthmatic; AIDS.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150 / 150</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6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ondansetron</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Group CBT sessions</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N01DA-9-8101; N01DA-0-8804</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lastRenderedPageBreak/>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Primary: Weekly abstinence; MA urine concentration  level; self-reported non-MA use days; success  of achieving at least 3 consecutive weeks of MA abstinence (UDS for MA, self-report, count of MA free weeks). Secondary: Clinical severity of MA dependence; withdrawal, craving; study retention (CGI-O, CGI-S, ASI-Lite; </w:t>
            </w:r>
            <w:r>
              <w:rPr>
                <w:rFonts w:ascii="Times New Roman" w:eastAsia="Times New Roman" w:hAnsi="Times New Roman" w:cs="Times New Roman"/>
                <w:color w:val="000000"/>
                <w:sz w:val="16"/>
                <w:szCs w:val="16"/>
                <w:lang w:eastAsia="en-AU"/>
              </w:rPr>
              <w:t>MA</w:t>
            </w:r>
            <w:r w:rsidRPr="00E048F6">
              <w:rPr>
                <w:rFonts w:ascii="Times New Roman" w:eastAsia="Times New Roman" w:hAnsi="Times New Roman" w:cs="Times New Roman"/>
                <w:color w:val="000000"/>
                <w:sz w:val="16"/>
                <w:szCs w:val="16"/>
                <w:lang w:eastAsia="en-AU"/>
              </w:rPr>
              <w:t xml:space="preserve"> withdrawal questionnaire (MAWQ - designed for this study); BSCS; participant count)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 statistically significant difference in the slopes between each of the 4 study arms. No difference in any secondary measures apart from ASI-Lite, however differences disappeared after correcting for multiple comparisons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AE's / SAE's more likely in the PBO arm than any of the treatment arms. Authors discussed limitations in their findings given the short half-life of ondansetron / need for BID dosing and high adherence; that higher doses may have been more effective.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sz w:val="16"/>
                <w:szCs w:val="16"/>
                <w:lang w:eastAsia="en-AU"/>
              </w:rPr>
            </w:pPr>
            <w:r w:rsidRPr="00E048F6">
              <w:rPr>
                <w:rFonts w:ascii="Times New Roman" w:eastAsia="Times New Roman" w:hAnsi="Times New Roman" w:cs="Times New Roman"/>
                <w:b/>
                <w:sz w:val="16"/>
                <w:szCs w:val="16"/>
                <w:lang w:eastAsia="en-AU"/>
              </w:rPr>
              <w:t>Kohno et al. A preliminary randomised clinical trial of naltrexone reduces striatal resting state functional connectivity in people with methamphetamine use disorder. 2018</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 xml:space="preserve">Inclusion: 18-55 yrs; MA dependence (DSM-IV); no other substance dependence (except nicotine); no history of psychiatric disorder except depression and/or PTSD; AST/ALT &lt;5 x ULN; right handed; free of drugs and alcohol &gt;72 hours prior to study assessments. Exclusion: opioid use in last 30 days; opioid dependence in last 5 years; sensitivity to naltrexone / </w:t>
            </w:r>
            <w:r w:rsidR="00DA20C6" w:rsidRPr="00E048F6">
              <w:rPr>
                <w:rFonts w:ascii="Times New Roman" w:eastAsia="Times New Roman" w:hAnsi="Times New Roman" w:cs="Times New Roman"/>
                <w:sz w:val="16"/>
                <w:szCs w:val="16"/>
                <w:lang w:eastAsia="en-AU"/>
              </w:rPr>
              <w:t>diluent</w:t>
            </w:r>
            <w:r w:rsidRPr="00E048F6">
              <w:rPr>
                <w:rFonts w:ascii="Times New Roman" w:eastAsia="Times New Roman" w:hAnsi="Times New Roman" w:cs="Times New Roman"/>
                <w:sz w:val="16"/>
                <w:szCs w:val="16"/>
                <w:lang w:eastAsia="en-AU"/>
              </w:rPr>
              <w:t xml:space="preserve"> components; pregnancy; MRI contraindications; serious medical illness in past 30 days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52 / 37</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outpatient;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naltrexone extended release  (XR-NTX)</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none</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4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Alkermes supplied study drug. NIH NIDA.</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Primary: MRI analyses not relevant to this review. Secondary: MA use and cravings (ASI-Lite; VAS 100mm)</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 xml:space="preserve">Significant time x treatment interaction for the XR-NTX arm achieving a greater reduction in MA use as compared to PBO. NSS difference in cravings between the study arms.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 xml:space="preserve">The secondary outcomes are relevant to our review. Very low baseline MA use compared to other studies reviewed here.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Kongaskon et al. Mirtazapine in amphetamine detoxification: a placebo-controlled pilot study. 2005</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18-65 yrs;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dependent (DSM-IV). Exclusion: serious cardiac, hepatic, or renal disease; high level suicidal ideation; history severe drug reactions; allergy to study drug</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Unclear blinding,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20 / not clear</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withdrawal; enrolled through Ministry of Justice; Thailand</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mirtazapine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none</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14 days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Organon provided financial support and study drug; Ministry of Justice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Efficacy; safety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Withdrawal Questionnaire (AWQ); SAEs). Secondary: Depression (MADRS)</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Median AWQ scores between baseline and Day 3 and Baseline and Day 14 demonstrated significant differences between the two treatment groups, favouring mirtazapine. No SAE's reported. No difference in secondary outcomes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Very small sample size; only two data points.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Lee et al. A pilot randomised controlled trial of modafinil during acute methamphetamine withdrawal: Feasibility, tolerability and clinical outcomes. 2013</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dependent (DSM-IV); had used MA in the 48 hours prior to admission. Exclusion: dependence on another substance other than MA/cannabis/nicotine; active psychosis or major depression; significant medical conditions; previous diagnosis of ADHD or narcolepsy; previous adverse reaction to modafinil; treated with modafinil or dexamphetamine in the previous month; pregnant / breast feeding</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20 / 19</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withdrawal; inpatient; 2 sites; Australia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modafinil</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none</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7 days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Australian Government Department of Health and Ageing</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Primary: Study feasibility; retention in treatment; severity of withdrawal (count of days as inpatient; AWQ,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Cessation Symptom Assessment (ACSA),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Selective Severity Assessment (ASSA)). Secondary: Cravings; sleep; physiological measures (VAS 100mm; St. Mary's Sleep Questionnaire, vitals)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 difference between study arms for retention. Withdrawal severity decreased over the study period in both treatment arms, however there was no difference between the study arms. No differences in secondary outcomes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One participant determined to be ineligible after study completion and removed from analysis, so although n=20 randomised n=19 analysed. Treatment arms had different drug use histories. Although the investigators reported on efficacy measures beyond feasibility, the sample size is too small to draw conclusions.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Ling et al. Sustained-release methylphenidate in a randomised trial of treatment of methamphetamine use disorder. 2014</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18-59 yrs; MA dependent (DSM-IV). Exclusion: PMH seizures / brain injury; sensitivity/previous adverse reaction to methylphenidate; any medical/neurological/psychiatric condition that would make study compliance difficult or unsafe; first-degree relatives with early cardiovascular morbidity/mortality; pregnant or breastfeeding; prescribed medications contraindicated with study drug</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lastRenderedPageBreak/>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110  / 110</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2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methylphenidate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motivational incentives</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14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NIH NIDA D01-DA025-084 / U01-DA013045 / K24-DA16170; study drug provided by Janssen Pharmaceuticals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for the last 30 days of the trial (self-report, 2 weeks prior and each visit during treatment). Secondary: MA use; retention; craving; AE's; other drug use; treatment compliance; treatment satisfaction (UDS for MA; VAS; Craving Questionnaire-Now (CQ-Now); dose logs; proportion completing treatment)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There was no difference between arms in self-reported days of MA use in the last 30 days. The reduction in MA use from baseline to Week 10 was significantly greater for the treatment arm as compared to PBO. CQ-Now cravings were significantly greater in the PBO arm than the treatment arm at Week 10 and Week 14 but NSS on VAS. PBO had higher marijuana UDS at week 10. No other differences.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Instead of follow-up, study design had all participants on a 4-week PBO for final study period</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Ling et al. Double-blind placebo-controlled evaluation of the PROMETA protocol for methamphetamine dependence. 2011</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 18 years; MA abuse or dependent (DSM-IV); treatment seeking; MA use on at least 4 days of the prior 30; neither pregnant nor breastfeeding. Exclusion: Current dependence on any psychoactive substance except MA, alcohol, nicotine, or marijuana; requiring medical detoxification from alcohol; psychiatric/neurological disorders involving seizures; loss of consciousness or dementia; suicidal ideation; uncontrolled HTN; significant heart disease or other disorder that could significantly alter metabolism of study drug; clinically significant abnormal laboratory values; benzo use within 15 days of treatment; AIDS; active TB; allergy or sensitivity to study drug/drugs; treatment with "Prometa" protocol within the prior 12 months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 + active hydroxyzine</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120 / 111</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 inpatient and 1 outpatient sites;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flumazenil, gabapentin, hydroxyzine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manual-based CBT</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40 days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unrestricted funding provided by Hythium Inc.</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Abstinence from MA (UDS for MA). Secondary: MA use; craving; treatment retention; safety (self-report, UDS for MA; ASI; BSCS; participant count, SAEs)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No difference between active treatment arm as compared to PBO on MA use to the end of the infusion phase, the end of the medication phase, or study end. Placebo showed greater retention only if not age controlled. No other differences.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The "Prometa" protocol combined medications targeting dopamine, glutamate, and GABA neurotransmitter function, along with psychosocial treatment targeting withdrawal symptoms, relapse prevention, and reduction of drug cravings. Also assessed by Urschel et al (below)</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Longo et al. Randomised controlled trial of dexamphetamine maintenance for the treatment of methamphetamine dependence. 2009</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MA dependent (DSM-IV); positive UDS for MA and use of MA on 3/more days/week in prior 12 months. Exclusion: dependent on other drugs (except nicotine); insufficient hair length for analysis; significant psychiatric or medical conditions; pregnancy; antipsychotic or antidepressant medications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49 / 49</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then community pharmacies; Australia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dexamphetamine SR</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Standard psychotherapies including 4-session CBT</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16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South Australian government</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degree of dependence over time; treatment retention (self-report and hair analysis for MA; Leeds Dependence Questionnaire (LDQ)). Secondary: withdrawal (AWQ)</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Post-hoc analysis demonstrated a significantly lower level of dependence in the dexamphetamine arm; retention was higher amongst the dexamphetamine arm as compared to PBO (p=0.014). Reduced withdrawal symptoms in treatment arm. No other differences.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Higher retention in treatment arm as compared to PBO. Interesting study design involving community pharmacies.</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Miles et al. Extended-release methylphenidate for treatment of amphetamine/methamphetamine dependence: A randomised, double-blind, placebo-controlled trial. 2013</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dependent (DSM-IV); MA/amph+ UDS at entry; no physical contraindications to methylphenidate. Exclusion: Primary dependence on another substance except nicotine; requiring medical treatment; concurrent treatment for another DSM-IV axis I diagnosis; pregnancy/lactation/ significant physical disease; significant risk of suicide or violence to others; participation in other intervention studies; recent abuse of methylphenidate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79 / 79</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NZ and Finland</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methylphenidate ER</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standard care addiction medicine</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22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Academy of Finland; Helsinki University Hospital; EVO foundation; Oakley Mental Health Foundation; Waitemata District Health Board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weekly percentage of amph/MA+ UDS (UDS for MA + amph). Secondary: retention; adherence; cravings; dependence severity (count doses collected; VAS; SDS)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NSS difference between study arms in the percentage of UDS MA/amph negative over the course of the study Retention in treatment was greater in the methylphenidate arm as compared to PBO Week 6 through Week 22. No other differences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lastRenderedPageBreak/>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Analysis was conducted as ITT as well as per protocol (that is, participants who completed to Week 22). One participant randomised was subsequently removed for being ineligible and therefore ITT was n=78. There was also NSS difference between study arms when only analysing participants who achieved acceptable adherence. Finnish participants predominantly used intravenous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while NZ participants predominantly smoked MA, however all results were analysed as aggregate. All UDS analysed in Finland.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sz w:val="16"/>
                <w:szCs w:val="16"/>
                <w:lang w:eastAsia="en-AU"/>
              </w:rPr>
            </w:pPr>
            <w:r w:rsidRPr="00E048F6">
              <w:rPr>
                <w:rFonts w:ascii="Times New Roman" w:eastAsia="Times New Roman" w:hAnsi="Times New Roman" w:cs="Times New Roman"/>
                <w:b/>
                <w:sz w:val="16"/>
                <w:szCs w:val="16"/>
                <w:lang w:eastAsia="en-AU"/>
              </w:rPr>
              <w:t>Morabbi et al. Pexacerfont as a CRF1 antagonist for the treatment of withdrawal symptoms in men with heroin/methamphetamine dependence: a randomised, double-blind, placebo-controlled clinical trial. 2018</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18-55 yrs; men; amph/opioid dependent (DSM-IV). Exclusion: DSM-IV Axis I/II disorders except depressive/anxiety disorders; psychotic symptoms or suicidal ideation requiring medication; history of seizure in prior 3 months; neurologic/serious medical conditions; abnormal ECG/laboratory tests requiring specific treatments; taking corticosteroids in prior 6 months or medications affecting the CYP4A3 enzyme; intention to have a child in 6 months following trial participation</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51 / 47</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residential addiction health camp; 2 sites; Iran</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pexacerfont</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None allowed</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stated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End stage abstinence; craving (UDS for MA; VAS). Secondary: Time x treatment interaction effect and mean difference in changes in scores from baseline to endpoint between the study arms: temptation severity to use; opiate / MA withdrawal; anxiety; depression; Addiction Severity (VAS; Clinical opiate withdrawaal scale, AWQ; BAI, BDI, ASI)</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No recorded difference in MA use by treatment arm. The pexacerfont study arm demonstrated a decrease as compared to PBO in craving severity. Improvements in temptation and depressive symptoms scores observed in treatment arm.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This study analysed a sample of both MA and/or opioid dependent participants, no data were provided on the results of just one group or the other within the sample. The authors hypothesized their findings may be due to the use of pexacerfont during withdrawal as the most significant decrease observed was early in treatment. Noted that there was an imbalance on the randomisation with the intervention arm having had higher baseline scorse which may have accounted for some of the effect.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Mousavi et al. The efficacy of N-</w:t>
            </w:r>
            <w:r w:rsidR="00DA20C6" w:rsidRPr="00E048F6">
              <w:rPr>
                <w:rFonts w:ascii="Times New Roman" w:eastAsia="Times New Roman" w:hAnsi="Times New Roman" w:cs="Times New Roman"/>
                <w:b/>
                <w:color w:val="000000"/>
                <w:sz w:val="16"/>
                <w:szCs w:val="16"/>
                <w:lang w:eastAsia="en-AU"/>
              </w:rPr>
              <w:t>acetylcysteine</w:t>
            </w:r>
            <w:r w:rsidRPr="00E048F6">
              <w:rPr>
                <w:rFonts w:ascii="Times New Roman" w:eastAsia="Times New Roman" w:hAnsi="Times New Roman" w:cs="Times New Roman"/>
                <w:b/>
                <w:color w:val="000000"/>
                <w:sz w:val="16"/>
                <w:szCs w:val="16"/>
                <w:lang w:eastAsia="en-AU"/>
              </w:rPr>
              <w:t xml:space="preserve"> in the treatment of methamphetamine dependence: a double-blind controlled, crossover study. 2015</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dependent (DSM-IV). Exclusion: serious medical condition that may interfere with study participation; current pregnancy/lactating; current serious suicidal intention/plan; previous treatment with NAC; abnormal LFTs; physical conditions linked to AE's related to NAC; dependency on another substance except nicotine; concurrent psychiatric disorders requiring mood stabilisers/antidepressants/antipsychotics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32 / 23</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psychiatric emergency service; psychiatric clinic; Iran</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N-acetylcysteine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Matrix Model</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stated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cravings; safety (self-report and UDS for MA; Cocaine Craving Questionnaire - Brief (CCQ-B); SAEs)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Craving reduced in 4 weeks treatment with NAC, and the scores were reduced during the consecutive weeks with NAC, main effect was significant (p&lt;0.001).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Did not report change in use or UDS data as methods stated.</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Rezaei et al. Sustained-release methylphenidate in methamphetamine dependence treatment: a double-blind and placebo-controlled trial. 2015</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dependent (DSM-IV); MA+ UDS at start of study. Exclusion: any other mental disorder (DSM-IV Axis I) except depression; any serious medical/neurological problem; IQ&lt;70; abuse of other substances in prior 6 months except nicotine or methadone; ADHD history; pregnancy/breast feeding; development of psychotic symptoms requiring pharmacotherapy; serious suicidal ideations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56 / 56</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Iran</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methylphenidate SR</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reported</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Tehran University</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craving (VAS). Secondary: Severity of dependence; MA use; depression; adherence (ASI; UDS for MA; BDI-II, pill count)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Craving scores were significantly reduced in the methylphenidate arm as compared to PBO at week 10 only. Week 10 MA+ UDS were significantly fewer in the methylphenidate study arm as compared to PBO and depressive symptoms were improved in treatment arm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tcPr>
          <w:p w:rsidR="000A57D6" w:rsidRPr="00E048F6" w:rsidRDefault="000A57D6" w:rsidP="001349A1">
            <w:pPr>
              <w:rPr>
                <w:rFonts w:ascii="Times New Roman" w:eastAsia="Times New Roman" w:hAnsi="Times New Roman" w:cs="Times New Roman"/>
                <w:color w:val="000000"/>
                <w:sz w:val="16"/>
                <w:szCs w:val="16"/>
                <w:lang w:eastAsia="en-AU"/>
              </w:rPr>
            </w:pPr>
          </w:p>
        </w:tc>
      </w:tr>
      <w:tr w:rsidR="000A57D6" w:rsidRPr="00E048F6" w:rsidTr="001349A1">
        <w:trPr>
          <w:gridAfter w:val="1"/>
          <w:wAfter w:w="108" w:type="dxa"/>
          <w:trHeight w:val="362"/>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Resaei et al. Topiramate for the management of methamphetamine dependence: a pilot randomised, double-blind, placebo-controlled trial. 2016</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dependent (DSM-IV); one MA+ UDS during screening. Exclusion: dependence on other drugs except nicotine or methadone; serious medical illness; current alcohol/opiate/sedative-hypnotic dependence; psychiatric conditions requiring medication; renal impairment; childhood ADHD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lastRenderedPageBreak/>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62 / 57</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Iran</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topiramate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reported</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Kurdistan University</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dependence severity; cravings; depression; MA use (ASI, Brief Substance Craving Scale (BSCS) Beck Questionnaire, UDS for MA)</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Drug use severity and drug need were different between topiramate and PBO, with topiramate study arm demonstrating lower scores; No difference between groups on MA+ urines until Week 6 when topiramate study arm had a statistically significantly lower MA+ urine test rate as compared to PBO, this was NSS at following time points to end of study</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All of the participants in this study sample were on prescribed methadone for opiate dependence (and opiate free at enrolment). Medication adherence was reported to be 100% with no participant returning any capsules at the final study visit.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Runarsdottir et al. Extended-release injectable naltrexone (XR-NTX) with intensive psychosocial therapy for amphetamine-dependent persons seeking treatment: A placebo-controlled trial. 2017</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 yrs; seeking treatment for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dependence (DSM-IV); 10 or more days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use in prior month; successful completion of baseline measures during a 7-10 day inpatient detoxification; confirmed abstinence from all substances except nicotine unless used to treat alcohol withdrawal. Exclusion: opioid dependence; opioid+ UDS or positive naloxone challenge before receipt of study drug; LFTs &gt;5 x ULN; Creatinine clearance &lt;50; history major psychiatric disorder; current severe depression; suicidal or homicidal ideation; dementia or a medical/social condition likely to interfere with ability to consent to participation; needing opioids for chronic pain; likely to have surgery in next 6 months; known hypersensitivity to naltrexone or other components of study drug; pregnancy/lactation</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Unclear blinding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100 / 49</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government subsidised intensive outpatient treatment following detox; Iceland</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naltrexone extended release  (XR-NTX)</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motivational, </w:t>
            </w:r>
            <w:r>
              <w:rPr>
                <w:rFonts w:ascii="Times New Roman" w:eastAsia="Times New Roman" w:hAnsi="Times New Roman" w:cs="Times New Roman"/>
                <w:color w:val="000000"/>
                <w:sz w:val="16"/>
                <w:szCs w:val="16"/>
                <w:lang w:eastAsia="en-AU"/>
              </w:rPr>
              <w:t>CBT</w:t>
            </w:r>
            <w:r w:rsidRPr="00E048F6">
              <w:rPr>
                <w:rFonts w:ascii="Times New Roman" w:eastAsia="Times New Roman" w:hAnsi="Times New Roman" w:cs="Times New Roman"/>
                <w:color w:val="000000"/>
                <w:sz w:val="16"/>
                <w:szCs w:val="16"/>
                <w:lang w:eastAsia="en-AU"/>
              </w:rPr>
              <w:t>; introduction to the 12 steps</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24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Alkermes supplied study drug</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weekly abstinence (UDS for MA). Secondary: adherence, receipt of study medication; retention; other drug use; craving; relapse; safety (pill count, timeline follow back; VAS; ASI) Measured but not reported HIV risk assessment, BDI, Euro-Qol, treatment services review</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 between study arms for MA+ UDS. No differences in secondary outcomes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Salehi et al. The effect of buprenorphine on methamphetamine cravings. 2015</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18-40 yrs; MA dependent. Exclusion: severe mood disorder; suicidal thoughts; psychosis; unstable medical conditions; intolerable complications arising from use of buprenorphine or dependent / abuse of other substances during study</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40 / not reported</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addiction treatment centre; Iran</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buprenorphine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Matrix, then after active treatment phase self-help groups</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16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Isfahan University of Medical Sciences (Iran)</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cravings (CCQ-B). Secondary: MA abstinence (UDS for MA)</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Reduction in MA craving in the buprenorphine arm as compared to PBO; trending back to baseline following buprenorphine cessation. Treatment arm had significantly fewer MA+ UDS from weeks 8 - 26. No longer different from week 28.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Number of participants who completed not reported. Data presented in means / proportions and not as count. Men only, age 18-40 only.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Schottenfeld et al. Atomoxetine for amphetamine-type stimulant dependence during buprenorphine treatment: A randomised controlled trial. 2018</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Treatment seeking; both opioid and ATS dependent (DSM-IV); self-report use of ATS on ≥2 days per week in prior month; opioid and ATS+ UDS at enrolment. Exclusion: hypersensitivity to atomoxetine; narrow angle glaucoma; pheochromocytoma; severe CV disorder; HTN; LFT's &gt; 3 x ULN; liver failure; acute hepatitis; current suicide / homicide risk; current psychotic disorder or major depression or taking a </w:t>
            </w:r>
            <w:r w:rsidR="00DA20C6" w:rsidRPr="00E048F6">
              <w:rPr>
                <w:rFonts w:ascii="Times New Roman" w:eastAsia="Times New Roman" w:hAnsi="Times New Roman" w:cs="Times New Roman"/>
                <w:color w:val="000000"/>
                <w:sz w:val="16"/>
                <w:szCs w:val="16"/>
                <w:lang w:eastAsia="en-AU"/>
              </w:rPr>
              <w:t>neuroleptic</w:t>
            </w:r>
            <w:r w:rsidRPr="00E048F6">
              <w:rPr>
                <w:rFonts w:ascii="Times New Roman" w:eastAsia="Times New Roman" w:hAnsi="Times New Roman" w:cs="Times New Roman"/>
                <w:color w:val="000000"/>
                <w:sz w:val="16"/>
                <w:szCs w:val="16"/>
                <w:lang w:eastAsia="en-AU"/>
              </w:rPr>
              <w:t xml:space="preserve"> or anti-depressant medication including MAOI in prior 2 weeks; current treatment for substance use disorder</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69 / 68</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inpatient and outpatient; single-site; Malaysia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atomoxetine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Behavioural counselling</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16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NIH NIDA: K24 DA000445; R01 DA14718; State of Connecticut; </w:t>
            </w:r>
            <w:r w:rsidR="00DA20C6" w:rsidRPr="00E048F6">
              <w:rPr>
                <w:rFonts w:ascii="Times New Roman" w:eastAsia="Times New Roman" w:hAnsi="Times New Roman" w:cs="Times New Roman"/>
                <w:color w:val="000000"/>
                <w:sz w:val="16"/>
                <w:szCs w:val="16"/>
                <w:lang w:eastAsia="en-AU"/>
              </w:rPr>
              <w:t>University</w:t>
            </w:r>
            <w:r w:rsidRPr="00E048F6">
              <w:rPr>
                <w:rFonts w:ascii="Times New Roman" w:eastAsia="Times New Roman" w:hAnsi="Times New Roman" w:cs="Times New Roman"/>
                <w:color w:val="000000"/>
                <w:sz w:val="16"/>
                <w:szCs w:val="16"/>
                <w:lang w:eastAsia="en-AU"/>
              </w:rPr>
              <w:t xml:space="preserve"> Sains Malaysia</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reduction in ATS use (UDS for MA + amph). Secondary: Abstinence; illicit opioid use; depressive symptoms; treatment retention (UDS for morphine; CES-D; participant count)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Proportions of ATS-Negative UDS were higher in atomoxetine treatment arm as compared to PBO, with a small Cohen's effect size (d=0.26). No change in ATS abstinence, opioid abstinence improved in treatment arm. Depression reduced in treatment arm. No difference in retention.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Also analysed the primary outcome in the high-adherence sample (those participants who took atomoxetine / PBO on 60 days or more) which demonstrated a medium effect size for atomoxetine (Cohen's d=0.56). The proportion of ATS negative urines increased in the atomoxetine arm in the second 8-week period, but decreased in the PBO arm, which may be due to delayed onset of atomoxetine effects.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lastRenderedPageBreak/>
              <w:t>Shearer et al. A double-blind, placebo-controlled trial of modafinil (200mg/day) for methamphetamine dependence. 2009</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MA dependent (DSM-IV); current and regular MA consumer (2-3 days per week or more); MA+ urine spot test at baseline. Exclusion: Active, serious, uncontrolled medical or psychiatric illness; pregnant or breast feeding</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80 / 80</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two-sites; Australia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modafinil</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Australian Government Department of Health and Ageing; Medication supplied by a grant from Cephalon Inc.</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retention; adherence; MA use; self-report MA use; psychopathology; changes in severity dependence; cravings (MEMS caps, pharmacy, records, UDS for modafinil; UDS for psychostimulants; Opioid Treatment Index (OTI); self-report; Brief Symptom Report (BSI); Severity of Dependence scale (SDS); VAS)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NSS difference between study arms on measures of retention; adherence; no between arm difference in proportion of negative UDS collected at Week 10 or Week 22 follow-up; modafinil study arm consistently reported lower rates of stimulant use as compared to PBO (p=0.05) on OTI but not on 18-day self-report by drug diaries, or mean spending; NSS difference between study arms on measures of craving, SDS; post treatment follow-up; or BSI</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Seven sets of partners were recruited and randomised together (modafinil n=4, PBO n=3) but only data from the presenting index case was included as the partners would not constitute independent observations. Two-thirds of this sample injected MA, the other third smoked. Given the low between group differences in change to MA use (20%) the planned sample size was insufficient and the study was underpowered. Analysis of the relationship between potential predictors of post-treatment outcome other than study arm showed that the most pronounced effect was from attending counselling: each counselling session attended during the treatment period reduced 28-day stimulant self-reported use by 1 day at post-treatment follow-up, and any counselling at all by 6 days. Modafinil AE's included reports of thought disorder and anxiety and may indicate caution in patients with pre-existing psychotic symptoms or anxiety.</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Shoptaw et al. Randomised, placebo-controlled trial of bupropion for the treatment of methamphetamine dependence. 2008</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 yrs; MA dependent (DSM-IV); not pregnant / lactating. Exclusion: medical condition that would interfere with safe study participation, such as TB, unstable cardiac / liver disease, unstable diabetes, uncontrolled HTN, symptomatic AIDS, LFTs &gt;3 x ULN; current neurologic / major psychiatric disorder not due to substance use; current suicidality; concomitant medication that interferes with study drug; current dependence on cocaine / opiates / alcohol / benzodiazepines; alcohol dependence in previous 3 years; history seizures / closed head injury; history anorexia / bulimia; sensitivity to bupropion</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73 / 73</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3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SR</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CBT and Contingency Management (CM)</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NIH NIDA: Grant 1 P50 DA 18185</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Treatment effectiveness score; length of abstinence (UDS for MA; total positive MA UDS; consecutive count of negative UDS). Secondary: treatment retention; depressive symptoms; MA cravings; safety cigarette smoking (BDI; VAS; cigarette count)</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NSS difference between bupropion arm and PBO on MA use in planned analysis. See comments for post-hoc analysis. No other differences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 post-hoc analyses there was a statistically significant effect for bupropion as compared to PBO in a GEE model adjusted for gender and ethnicity with the sample stratified by baseline light-MA users (0-2 MA+ UDS in 2-week baseline period) versus baseline heavy-MA users (3-6 MA+ UDS in 2-week baseline period). Among baseline light-MA users the probability of achieving a MA-free week was significantly higher in the bupropion arm than the PBO arm (OR=2.8, p&lt;0.001), but NSS difference between baseline-heavy MA users. </w:t>
            </w:r>
          </w:p>
        </w:tc>
      </w:tr>
      <w:tr w:rsidR="000A57D6" w:rsidRPr="00E048F6" w:rsidTr="001349A1">
        <w:trPr>
          <w:gridAfter w:val="1"/>
          <w:wAfter w:w="108" w:type="dxa"/>
          <w:trHeight w:val="362"/>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Shoptaw et al. Randomised, placebo-controlled trial of sertraline and contingency management for the treatment of methamphetamine dependence. 2006</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MA abuse/dependence (DSM-IV); not pregnant / lactating. Exclusion: primary medical condition that might interfere with safe study participation; current pharmacotherapy for which concurrent concomitant treatment with an SSRI would be contraindicated; a psychiatric condition that required pharmacological or behavioural intervention; dependence on opioids/cocaine/alcohol/benzos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 + CM; or PBO only</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229 / not clear</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sertraline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Matrix Model; Contingency Management (CM)</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12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Medication provided by Pfizer; NIH NIDA: 1 R01 DA 010923, 1 P50 DA 018185</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MA use and retention in treatment (treatment effectiveness score; longest period of consecutive MA free UDS, participant count). Secondary: MA craving; depression; adherence (VAS; BDI; pill count)</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No difference between sertraline </w:t>
            </w:r>
            <w:r w:rsidR="00DA20C6" w:rsidRPr="00E048F6">
              <w:rPr>
                <w:rFonts w:ascii="Times New Roman" w:eastAsia="Times New Roman" w:hAnsi="Times New Roman" w:cs="Times New Roman"/>
                <w:color w:val="000000"/>
                <w:sz w:val="16"/>
                <w:szCs w:val="16"/>
                <w:lang w:eastAsia="en-AU"/>
              </w:rPr>
              <w:t>and</w:t>
            </w:r>
            <w:r w:rsidRPr="00E048F6">
              <w:rPr>
                <w:rFonts w:ascii="Times New Roman" w:eastAsia="Times New Roman" w:hAnsi="Times New Roman" w:cs="Times New Roman"/>
                <w:color w:val="000000"/>
                <w:sz w:val="16"/>
                <w:szCs w:val="16"/>
                <w:lang w:eastAsia="en-AU"/>
              </w:rPr>
              <w:t xml:space="preserve"> CM for measures of MA use. The sertraline-only arm were significantly less likely to achieve 3-week abstinence as compared to other study arms and more likely to have a MA+ urine throughout the study. Sertraline-only study arm was more likely to terminate study early as compared to other study arms. There was NSS difference in secondary outcomes amongst study arms, however there were significantly more AE's in the sertraline-only arm.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The authors suggest that sertraline is not effective in this group and the lack of change in depressive symptoms amongst this sample suggests that the depressive symptoms are associated with MA withdrawal or </w:t>
            </w:r>
            <w:r>
              <w:rPr>
                <w:rFonts w:ascii="Times New Roman" w:eastAsia="Times New Roman" w:hAnsi="Times New Roman" w:cs="Times New Roman"/>
                <w:color w:val="000000"/>
                <w:sz w:val="16"/>
                <w:szCs w:val="16"/>
                <w:lang w:eastAsia="en-AU"/>
              </w:rPr>
              <w:t>MA</w:t>
            </w:r>
            <w:r w:rsidRPr="00E048F6">
              <w:rPr>
                <w:rFonts w:ascii="Times New Roman" w:eastAsia="Times New Roman" w:hAnsi="Times New Roman" w:cs="Times New Roman"/>
                <w:color w:val="000000"/>
                <w:sz w:val="16"/>
                <w:szCs w:val="16"/>
                <w:lang w:eastAsia="en-AU"/>
              </w:rPr>
              <w:t xml:space="preserve"> use disorder as opposed to a depressive disorder.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Sulaiman et al. A randomised, placebo-controlled trial of aripiprazole for the treatment of methamphetamine dependence and associated psychosis. 2013</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lastRenderedPageBreak/>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18-60 yrs; MA dependent (DSM-IV); MA use at least once</w:t>
            </w:r>
            <w:r>
              <w:rPr>
                <w:rFonts w:ascii="Times New Roman" w:eastAsia="Times New Roman" w:hAnsi="Times New Roman" w:cs="Times New Roman"/>
                <w:color w:val="000000"/>
                <w:sz w:val="16"/>
                <w:szCs w:val="16"/>
                <w:lang w:eastAsia="en-AU"/>
              </w:rPr>
              <w:t>/</w:t>
            </w:r>
            <w:r w:rsidRPr="00E048F6">
              <w:rPr>
                <w:rFonts w:ascii="Times New Roman" w:eastAsia="Times New Roman" w:hAnsi="Times New Roman" w:cs="Times New Roman"/>
                <w:color w:val="000000"/>
                <w:sz w:val="16"/>
                <w:szCs w:val="16"/>
                <w:lang w:eastAsia="en-AU"/>
              </w:rPr>
              <w:t>week for prior 3 months; history of psychotic symptoms prior to randomisation. Exclusion: no other DSM-IV psychiatric diagnosis</w:t>
            </w:r>
            <w:r>
              <w:rPr>
                <w:rFonts w:ascii="Times New Roman" w:eastAsia="Times New Roman" w:hAnsi="Times New Roman" w:cs="Times New Roman"/>
                <w:color w:val="000000"/>
                <w:sz w:val="16"/>
                <w:szCs w:val="16"/>
                <w:lang w:eastAsia="en-AU"/>
              </w:rPr>
              <w:t>/</w:t>
            </w:r>
            <w:r w:rsidRPr="00E048F6">
              <w:rPr>
                <w:rFonts w:ascii="Times New Roman" w:eastAsia="Times New Roman" w:hAnsi="Times New Roman" w:cs="Times New Roman"/>
                <w:color w:val="000000"/>
                <w:sz w:val="16"/>
                <w:szCs w:val="16"/>
                <w:lang w:eastAsia="en-AU"/>
              </w:rPr>
              <w:t>dependence to other substances; not currently taking antipsychotics except aripiprazole; currently not suicidal / homicidal; no serious medical illnesses; no known hypersensitivity or allergy to aripiprazole; not pregnant</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37 / 37</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Malaysia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aripiprazole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stated</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 weeks on open-label (n=49) followed by 8 weeks RCT (n=37)</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stated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Primary: MA abstinence (UDS for MA). Secondary: retention in treatment; psychotic symptom severity; clinical outcomes; cravings; extra-pyramidal symptoms (participant count; Positive and Negative Symptoms Scale (PANSS); CGI; BSCS; Abnormal Involuntary Movement Scale (AIMS); Barnes </w:t>
            </w:r>
            <w:r w:rsidR="00DA20C6" w:rsidRPr="00E048F6">
              <w:rPr>
                <w:rFonts w:ascii="Times New Roman" w:eastAsia="Times New Roman" w:hAnsi="Times New Roman" w:cs="Times New Roman"/>
                <w:color w:val="000000"/>
                <w:sz w:val="16"/>
                <w:szCs w:val="16"/>
                <w:lang w:eastAsia="en-AU"/>
              </w:rPr>
              <w:t>Akathisia</w:t>
            </w:r>
            <w:r w:rsidRPr="00E048F6">
              <w:rPr>
                <w:rFonts w:ascii="Times New Roman" w:eastAsia="Times New Roman" w:hAnsi="Times New Roman" w:cs="Times New Roman"/>
                <w:color w:val="000000"/>
                <w:sz w:val="16"/>
                <w:szCs w:val="16"/>
                <w:lang w:eastAsia="en-AU"/>
              </w:rPr>
              <w:t xml:space="preserve"> Scale (BAS); Simpson Angus Scale (SAS) </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 difference between study arms on abstinence. Treatment arm retained in treatment longer, and indicated improved psychosis symptoms. No other differences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Reported as one study, although an open-label 2-week aripiprazole study lead into the randomised, placebo-controlled study. </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Tiihonen et al. Naltrexone implant for the treatment of polydrug dependence: A randomised controlled trial. 2012</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Inclusion: 18-50 yrs; DSM-IV co-existing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and opioid dependence for more than one year duration; education high school or above; negative UDS and alcohol breath tests; no psychotropic medication; a relative willing to participate in treatment oversight; stable address and home phone number; not pregnant. Exclusion: cognitive impairment; schizophrenia; paranoid disorder; bipolar disorder; seizure disorder; advanced neurological / cardiovascular / renal / hepatic disease; tuberculosis; febrile illness; AIDS-defining illness; significant laboratory anomaly; pending legal charges with potential impending incarceration; participation in another study; concurrent treatment in another substance abuse program</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100 / 100</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Russia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sz w:val="16"/>
                <w:szCs w:val="16"/>
                <w:lang w:eastAsia="en-AU"/>
              </w:rPr>
            </w:pPr>
            <w:r w:rsidRPr="00E048F6">
              <w:rPr>
                <w:rFonts w:ascii="Times New Roman" w:eastAsia="Times New Roman" w:hAnsi="Times New Roman" w:cs="Times New Roman"/>
                <w:sz w:val="16"/>
                <w:szCs w:val="16"/>
                <w:lang w:eastAsia="en-AU"/>
              </w:rPr>
              <w:t>naltrexone (implant)</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Not reported</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 weeks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Finnish Ministry of Health and Social Affairs; Finnish National Institute for Health and Welfare; Academy of Finland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Primary: retention;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and opioid abstinence; improvement in clinical impression (participant count; UDS for amph and opioids; Clinical Global Impression (CGI)). Secondary: opioid abstinence;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abstinence; functioning; amph use; craving for opioids; craving for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safety (UDS for opioids + amph; Global assessment of Functioning (GAF); self-report; VAS; vital signs, SAEs, laboratory results)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Retention, proportion of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and opioid negative UDS, and changes in CGI improvement score were statistically significantly higher amongst the naltrexone arm as compared to PBO. Improved abstinence from heroin but not amph by UDS at week 10 observed in treatment arm. Naltrexone improved overall functioning. No other differences. </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Observed group differences tended to disappear when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xml:space="preserve"> variables were considered alone (i.e. not poly-substance)</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Tiihonen et al. A comparison of aripiprazole, methylphenidate and placebo for amphetamine dependence. 2007</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18-65 yrs; amph/MA dependent (DSM-IV); accustomed to intravenous use; confirmatory UDS. Exclusion: Not reported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DB PBO</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53 / 53</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aripiprazole, methylphenidate</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unstructured: cognitive therapy; psycho-education; counselling; support</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20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Helsinki Deaconess Institute; National Public Institute; Helsinki University Hospital; University of Helsinki; EVO Financing, Niuvanniemi Hospital, Finland</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Primary: Amph/MA use (UDS for MA + amph). Secondary: change in use as a function of time; retention (cumulative sums of UDS)</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Aripiprazole study arm had significantly more MA-positive UDS as compared to methylphenidate or PBO arms. However, the results were not as demonstrable in the ITT whereby the missing UDS were considered MA positive. See comments. No other differences</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No participant was found to be consuming MA (all </w:t>
            </w:r>
            <w:r>
              <w:rPr>
                <w:rFonts w:ascii="Times New Roman" w:eastAsia="Times New Roman" w:hAnsi="Times New Roman" w:cs="Times New Roman"/>
                <w:color w:val="000000"/>
                <w:sz w:val="16"/>
                <w:szCs w:val="16"/>
                <w:lang w:eastAsia="en-AU"/>
              </w:rPr>
              <w:t>AMPH</w:t>
            </w:r>
            <w:r w:rsidRPr="00E048F6">
              <w:rPr>
                <w:rFonts w:ascii="Times New Roman" w:eastAsia="Times New Roman" w:hAnsi="Times New Roman" w:cs="Times New Roman"/>
                <w:color w:val="000000"/>
                <w:sz w:val="16"/>
                <w:szCs w:val="16"/>
                <w:lang w:eastAsia="en-AU"/>
              </w:rPr>
              <w:t>). This study was ceased early following an interim analysis which revealed that one study arm was doing significantly worse than PBO. Aripiprazole was significantly associated with a higher proportion of amph-positive UDS as compared to PBO; while methylphenidate demonstrated a significantly reduced association with amph-positive UDS. 2 participants in the aripiprazole arm discontinued due to AE's.</w:t>
            </w:r>
          </w:p>
        </w:tc>
      </w:tr>
      <w:tr w:rsidR="000A57D6" w:rsidRPr="00E048F6" w:rsidTr="001349A1">
        <w:trPr>
          <w:gridAfter w:val="1"/>
          <w:wAfter w:w="108" w:type="dxa"/>
          <w:trHeight w:val="227"/>
        </w:trPr>
        <w:tc>
          <w:tcPr>
            <w:tcW w:w="15593" w:type="dxa"/>
            <w:gridSpan w:val="7"/>
            <w:shd w:val="clear" w:color="auto" w:fill="DEEAF6" w:themeFill="accent1" w:themeFillTint="33"/>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Urschel et al. A controlled trial of flumazenil and gabapentin for initial treatment of methylamphetamine dependence. 2011</w:t>
            </w:r>
          </w:p>
        </w:tc>
      </w:tr>
      <w:tr w:rsidR="000A57D6" w:rsidRPr="00E048F6" w:rsidTr="001349A1">
        <w:trPr>
          <w:gridAfter w:val="1"/>
          <w:wAfter w:w="108" w:type="dxa"/>
          <w:trHeight w:val="36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18-55 yrs; MA dependent (DSM-IV); used MA in 3 days prior to treatment; treatment seeking; benzo negative UDS. Exclusion: alcohol / non-MA dependence (nicotine excepted); IQ&lt;80; BAC&gt;0.08mg%; in the last 2 years cardiac ischemia, MI, renal, hepatic, gastric disease, uncontrolled HTN, advanced HIV disease; other medical /psychiatric condition that may preclude safe participation; recently participated in another pharmacological clinical trial; used benzos in prior 14 days</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shd w:val="clear" w:color="auto" w:fill="DEEAF6" w:themeFill="accent1" w:themeFillTint="33"/>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lastRenderedPageBreak/>
              <w:t>DB PBO</w:t>
            </w:r>
          </w:p>
        </w:tc>
        <w:tc>
          <w:tcPr>
            <w:tcW w:w="283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135 / 135</w:t>
            </w:r>
          </w:p>
        </w:tc>
        <w:tc>
          <w:tcPr>
            <w:tcW w:w="2181"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clinical research facility; USA</w:t>
            </w:r>
          </w:p>
        </w:tc>
        <w:tc>
          <w:tcPr>
            <w:tcW w:w="2072"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flumazenil, gabapentin, hydroxyzine</w:t>
            </w:r>
          </w:p>
        </w:tc>
        <w:tc>
          <w:tcPr>
            <w:tcW w:w="1984"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B</w:t>
            </w:r>
            <w:r w:rsidRPr="00E048F6">
              <w:rPr>
                <w:rFonts w:ascii="Times New Roman" w:eastAsia="Times New Roman" w:hAnsi="Times New Roman" w:cs="Times New Roman"/>
                <w:color w:val="000000"/>
                <w:sz w:val="16"/>
                <w:szCs w:val="16"/>
                <w:lang w:eastAsia="en-AU"/>
              </w:rPr>
              <w:t xml:space="preserve">ased on the Matrix Model; </w:t>
            </w:r>
            <w:r>
              <w:rPr>
                <w:rFonts w:ascii="Times New Roman" w:eastAsia="Times New Roman" w:hAnsi="Times New Roman" w:cs="Times New Roman"/>
                <w:color w:val="000000"/>
                <w:sz w:val="16"/>
                <w:szCs w:val="16"/>
                <w:lang w:eastAsia="en-AU"/>
              </w:rPr>
              <w:t>Contingency Management</w:t>
            </w:r>
          </w:p>
        </w:tc>
        <w:tc>
          <w:tcPr>
            <w:tcW w:w="1665"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30 days</w:t>
            </w:r>
          </w:p>
        </w:tc>
        <w:tc>
          <w:tcPr>
            <w:tcW w:w="3296" w:type="dxa"/>
            <w:shd w:val="clear" w:color="auto" w:fill="DEEAF6" w:themeFill="accent1" w:themeFillTint="33"/>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Hythium Inc. (Unrestricted grant)</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MA use; safety; MA cravings (UDS for MA, time line follow back; VAS and categorical scales)</w:t>
            </w:r>
          </w:p>
        </w:tc>
      </w:tr>
      <w:tr w:rsidR="000A57D6" w:rsidRPr="00E048F6" w:rsidTr="001349A1">
        <w:trPr>
          <w:gridAfter w:val="1"/>
          <w:wAfter w:w="108" w:type="dxa"/>
          <w:trHeight w:val="252"/>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Craving scores were significantly reduced in the active treatment arm as compared to PBO; MA use was less in the treatment arm if missing UDS were not analysed; but was not significantly different between study arms when missing UDS considered positive was analysed.</w:t>
            </w:r>
          </w:p>
        </w:tc>
      </w:tr>
      <w:tr w:rsidR="000A57D6" w:rsidRPr="00E048F6" w:rsidTr="001349A1">
        <w:trPr>
          <w:gridAfter w:val="1"/>
          <w:wAfter w:w="108" w:type="dxa"/>
          <w:trHeight w:val="268"/>
        </w:trPr>
        <w:tc>
          <w:tcPr>
            <w:tcW w:w="1560" w:type="dxa"/>
            <w:shd w:val="clear" w:color="auto" w:fill="DEEAF6" w:themeFill="accent1" w:themeFillTint="33"/>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shd w:val="clear" w:color="auto" w:fill="DEEAF6" w:themeFill="accent1" w:themeFillTint="33"/>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The study medication was also sold commercially at the study site. This treatment has elsewhere been reported as the PROMETA protocol. </w:t>
            </w:r>
          </w:p>
        </w:tc>
      </w:tr>
      <w:tr w:rsidR="000A57D6" w:rsidRPr="00E048F6" w:rsidTr="001349A1">
        <w:trPr>
          <w:trHeight w:val="227"/>
        </w:trPr>
        <w:tc>
          <w:tcPr>
            <w:tcW w:w="15593" w:type="dxa"/>
            <w:gridSpan w:val="8"/>
          </w:tcPr>
          <w:p w:rsidR="000A57D6" w:rsidRPr="00E048F6" w:rsidRDefault="000A57D6" w:rsidP="001349A1">
            <w:pPr>
              <w:rPr>
                <w:rFonts w:ascii="Times New Roman" w:eastAsia="Times New Roman" w:hAnsi="Times New Roman" w:cs="Times New Roman"/>
                <w:b/>
                <w:color w:val="000000"/>
                <w:sz w:val="16"/>
                <w:szCs w:val="16"/>
                <w:lang w:eastAsia="en-AU"/>
              </w:rPr>
            </w:pPr>
            <w:r w:rsidRPr="00E048F6">
              <w:rPr>
                <w:rFonts w:ascii="Times New Roman" w:eastAsia="Times New Roman" w:hAnsi="Times New Roman" w:cs="Times New Roman"/>
                <w:b/>
                <w:color w:val="000000"/>
                <w:sz w:val="16"/>
                <w:szCs w:val="16"/>
                <w:lang w:eastAsia="en-AU"/>
              </w:rPr>
              <w:t>Winhusen et al. A randomised trial of concurrent smoking-cessation and substance use disorder treatment in stimulant-dependent smokers. 2014</w:t>
            </w:r>
          </w:p>
        </w:tc>
      </w:tr>
      <w:tr w:rsidR="000A57D6" w:rsidRPr="00E048F6" w:rsidTr="001349A1">
        <w:trPr>
          <w:gridAfter w:val="1"/>
          <w:wAfter w:w="108" w:type="dxa"/>
          <w:trHeight w:val="362"/>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Participant</w:t>
            </w:r>
            <w:r>
              <w:rPr>
                <w:rFonts w:ascii="Times New Roman" w:hAnsi="Times New Roman" w:cs="Times New Roman"/>
                <w:b/>
                <w:bCs/>
                <w:sz w:val="16"/>
                <w:szCs w:val="16"/>
              </w:rPr>
              <w:t>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Inclusion: Adults enrolled in outpatient substance use disorder treatment; interested in quitting smoking (cigarettes); current MA or cocaine dependent (DSM-IV); smoking at least 7 cigarettes / day; CO level ≥8 ppm; smoking cigarettes at least 3 months. Exclusion: medical or psychiatric condition potentially making participation unsafe; current treatment for nicotine dependence; pregnancy or breastfeeding; had all stimulant-positive UDS in screening/baseline; were seeking/receiving OAT</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Blinding and control</w:t>
            </w:r>
          </w:p>
        </w:tc>
        <w:tc>
          <w:tcPr>
            <w:tcW w:w="283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N (randomised / analysed)</w:t>
            </w:r>
          </w:p>
        </w:tc>
        <w:tc>
          <w:tcPr>
            <w:tcW w:w="2181"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Setting, context, country</w:t>
            </w:r>
          </w:p>
        </w:tc>
        <w:tc>
          <w:tcPr>
            <w:tcW w:w="2072"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Pharmacotherapy</w:t>
            </w:r>
          </w:p>
        </w:tc>
        <w:tc>
          <w:tcPr>
            <w:tcW w:w="1984"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psychotherapy</w:t>
            </w:r>
          </w:p>
        </w:tc>
        <w:tc>
          <w:tcPr>
            <w:tcW w:w="1665" w:type="dxa"/>
            <w:vAlign w:val="center"/>
          </w:tcPr>
          <w:p w:rsidR="000A57D6" w:rsidRPr="00E048F6" w:rsidRDefault="000A57D6" w:rsidP="001349A1">
            <w:pPr>
              <w:jc w:val="center"/>
              <w:rPr>
                <w:rFonts w:ascii="Times New Roman" w:hAnsi="Times New Roman" w:cs="Times New Roman"/>
                <w:b/>
                <w:bCs/>
                <w:sz w:val="16"/>
                <w:szCs w:val="16"/>
              </w:rPr>
            </w:pPr>
            <w:r w:rsidRPr="00E048F6">
              <w:rPr>
                <w:rFonts w:ascii="Times New Roman" w:hAnsi="Times New Roman" w:cs="Times New Roman"/>
                <w:b/>
                <w:bCs/>
                <w:sz w:val="16"/>
                <w:szCs w:val="16"/>
              </w:rPr>
              <w:t>Duration treatment</w:t>
            </w:r>
          </w:p>
        </w:tc>
        <w:tc>
          <w:tcPr>
            <w:tcW w:w="3296"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Funding source</w:t>
            </w:r>
          </w:p>
        </w:tc>
      </w:tr>
      <w:tr w:rsidR="000A57D6" w:rsidRPr="00E048F6" w:rsidTr="001349A1">
        <w:trPr>
          <w:gridAfter w:val="1"/>
          <w:wAfter w:w="108" w:type="dxa"/>
          <w:trHeight w:val="397"/>
        </w:trPr>
        <w:tc>
          <w:tcPr>
            <w:tcW w:w="1560"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Unclear blinding, Treatment as usual</w:t>
            </w:r>
          </w:p>
        </w:tc>
        <w:tc>
          <w:tcPr>
            <w:tcW w:w="283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538 / 538</w:t>
            </w:r>
          </w:p>
        </w:tc>
        <w:tc>
          <w:tcPr>
            <w:tcW w:w="2181"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outpatient (already engaged in substance use disorder treatment); 12 sites; USA</w:t>
            </w:r>
          </w:p>
        </w:tc>
        <w:tc>
          <w:tcPr>
            <w:tcW w:w="2072"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bupropion extended release;  nicotine inhaler</w:t>
            </w:r>
          </w:p>
        </w:tc>
        <w:tc>
          <w:tcPr>
            <w:tcW w:w="1984"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Treatment as usual substance use disorder counselling and in the intervention study arm smoking cessation counselling and contingency management for CO levels &lt;4ppm</w:t>
            </w:r>
          </w:p>
        </w:tc>
        <w:tc>
          <w:tcPr>
            <w:tcW w:w="1665"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10 weeks</w:t>
            </w:r>
          </w:p>
        </w:tc>
        <w:tc>
          <w:tcPr>
            <w:tcW w:w="3296" w:type="dxa"/>
            <w:vAlign w:val="center"/>
          </w:tcPr>
          <w:p w:rsidR="000A57D6" w:rsidRPr="00E048F6" w:rsidRDefault="000A57D6" w:rsidP="001349A1">
            <w:pPr>
              <w:jc w:val="cente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NIDA grant and Centre for the Clinical Trials Network</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Outcomes / measures</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Primary: weekly abstinence (UDS for MA and timeline follow back). Secondary: retention; abstinence; number of drug free days; smoking abstinence; substance use disorder treatment attendance (UDS for MA; CO levels; participant count) </w:t>
            </w:r>
          </w:p>
        </w:tc>
      </w:tr>
      <w:tr w:rsidR="000A57D6" w:rsidRPr="00E048F6" w:rsidTr="001349A1">
        <w:trPr>
          <w:gridAfter w:val="1"/>
          <w:wAfter w:w="108" w:type="dxa"/>
          <w:trHeight w:val="252"/>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Results summary</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NSS difference between study arms on stimulant abstinence by UDS. No difference in stimulant use observed at any time point; smoking prevalence was reduced in the bupropion arm as compared to PBO. </w:t>
            </w:r>
          </w:p>
        </w:tc>
      </w:tr>
      <w:tr w:rsidR="000A57D6" w:rsidRPr="00E048F6" w:rsidTr="001349A1">
        <w:trPr>
          <w:gridAfter w:val="1"/>
          <w:wAfter w:w="108" w:type="dxa"/>
          <w:trHeight w:val="268"/>
        </w:trPr>
        <w:tc>
          <w:tcPr>
            <w:tcW w:w="1560" w:type="dxa"/>
            <w:vAlign w:val="center"/>
          </w:tcPr>
          <w:p w:rsidR="000A57D6" w:rsidRPr="00E048F6" w:rsidRDefault="000A57D6" w:rsidP="001349A1">
            <w:pPr>
              <w:jc w:val="center"/>
              <w:rPr>
                <w:rFonts w:ascii="Times New Roman" w:hAnsi="Times New Roman" w:cs="Times New Roman"/>
                <w:sz w:val="16"/>
                <w:szCs w:val="16"/>
              </w:rPr>
            </w:pPr>
            <w:r w:rsidRPr="00E048F6">
              <w:rPr>
                <w:rFonts w:ascii="Times New Roman" w:hAnsi="Times New Roman" w:cs="Times New Roman"/>
                <w:b/>
                <w:bCs/>
                <w:sz w:val="16"/>
                <w:szCs w:val="16"/>
              </w:rPr>
              <w:t>Comment</w:t>
            </w:r>
          </w:p>
        </w:tc>
        <w:tc>
          <w:tcPr>
            <w:tcW w:w="14033" w:type="dxa"/>
            <w:gridSpan w:val="6"/>
            <w:vAlign w:val="center"/>
          </w:tcPr>
          <w:p w:rsidR="000A57D6" w:rsidRPr="00E048F6" w:rsidRDefault="000A57D6" w:rsidP="001349A1">
            <w:pPr>
              <w:rPr>
                <w:rFonts w:ascii="Times New Roman" w:eastAsia="Times New Roman" w:hAnsi="Times New Roman" w:cs="Times New Roman"/>
                <w:color w:val="000000"/>
                <w:sz w:val="16"/>
                <w:szCs w:val="16"/>
                <w:lang w:eastAsia="en-AU"/>
              </w:rPr>
            </w:pPr>
            <w:r w:rsidRPr="00E048F6">
              <w:rPr>
                <w:rFonts w:ascii="Times New Roman" w:eastAsia="Times New Roman" w:hAnsi="Times New Roman" w:cs="Times New Roman"/>
                <w:color w:val="000000"/>
                <w:sz w:val="16"/>
                <w:szCs w:val="16"/>
                <w:lang w:eastAsia="en-AU"/>
              </w:rPr>
              <w:t xml:space="preserve">Participants were low use throughout the study and analysis was not conducted by stimulant type. </w:t>
            </w:r>
          </w:p>
        </w:tc>
      </w:tr>
    </w:tbl>
    <w:p w:rsidR="000A57D6" w:rsidRDefault="000A57D6"/>
    <w:sectPr w:rsidR="000A57D6" w:rsidSect="000A57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D0D" w:rsidRDefault="00F93D0D" w:rsidP="00BE0627">
      <w:pPr>
        <w:spacing w:after="0" w:line="240" w:lineRule="auto"/>
      </w:pPr>
      <w:r>
        <w:separator/>
      </w:r>
    </w:p>
  </w:endnote>
  <w:endnote w:type="continuationSeparator" w:id="0">
    <w:p w:rsidR="00F93D0D" w:rsidRDefault="00F93D0D" w:rsidP="00BE0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939671"/>
      <w:docPartObj>
        <w:docPartGallery w:val="Page Numbers (Bottom of Page)"/>
        <w:docPartUnique/>
      </w:docPartObj>
    </w:sdtPr>
    <w:sdtEndPr/>
    <w:sdtContent>
      <w:sdt>
        <w:sdtPr>
          <w:id w:val="1728636285"/>
          <w:docPartObj>
            <w:docPartGallery w:val="Page Numbers (Top of Page)"/>
            <w:docPartUnique/>
          </w:docPartObj>
        </w:sdtPr>
        <w:sdtEndPr/>
        <w:sdtContent>
          <w:p w:rsidR="00BE0627" w:rsidRDefault="00BE0627" w:rsidP="00BE0627">
            <w:pPr>
              <w:pStyle w:val="Footer"/>
              <w:jc w:val="right"/>
            </w:pPr>
            <w:r w:rsidRPr="00BE0627">
              <w:rPr>
                <w:rFonts w:ascii="Arial" w:hAnsi="Arial" w:cs="Arial"/>
                <w:sz w:val="20"/>
                <w:szCs w:val="20"/>
              </w:rPr>
              <w:t xml:space="preserve">Page </w:t>
            </w:r>
            <w:r w:rsidRPr="00BE0627">
              <w:rPr>
                <w:rFonts w:ascii="Arial" w:hAnsi="Arial" w:cs="Arial"/>
                <w:bCs/>
                <w:sz w:val="20"/>
                <w:szCs w:val="20"/>
              </w:rPr>
              <w:fldChar w:fldCharType="begin"/>
            </w:r>
            <w:r w:rsidRPr="00BE0627">
              <w:rPr>
                <w:rFonts w:ascii="Arial" w:hAnsi="Arial" w:cs="Arial"/>
                <w:bCs/>
                <w:sz w:val="20"/>
                <w:szCs w:val="20"/>
              </w:rPr>
              <w:instrText xml:space="preserve"> PAGE </w:instrText>
            </w:r>
            <w:r w:rsidRPr="00BE0627">
              <w:rPr>
                <w:rFonts w:ascii="Arial" w:hAnsi="Arial" w:cs="Arial"/>
                <w:bCs/>
                <w:sz w:val="20"/>
                <w:szCs w:val="20"/>
              </w:rPr>
              <w:fldChar w:fldCharType="separate"/>
            </w:r>
            <w:r w:rsidR="00D900AC">
              <w:rPr>
                <w:rFonts w:ascii="Arial" w:hAnsi="Arial" w:cs="Arial"/>
                <w:bCs/>
                <w:noProof/>
                <w:sz w:val="20"/>
                <w:szCs w:val="20"/>
              </w:rPr>
              <w:t>3</w:t>
            </w:r>
            <w:r w:rsidRPr="00BE0627">
              <w:rPr>
                <w:rFonts w:ascii="Arial" w:hAnsi="Arial" w:cs="Arial"/>
                <w:bCs/>
                <w:sz w:val="20"/>
                <w:szCs w:val="20"/>
              </w:rPr>
              <w:fldChar w:fldCharType="end"/>
            </w:r>
            <w:r w:rsidRPr="00BE0627">
              <w:rPr>
                <w:rFonts w:ascii="Arial" w:hAnsi="Arial" w:cs="Arial"/>
                <w:sz w:val="20"/>
                <w:szCs w:val="20"/>
              </w:rPr>
              <w:t xml:space="preserve"> of </w:t>
            </w:r>
            <w:r w:rsidRPr="00BE0627">
              <w:rPr>
                <w:rFonts w:ascii="Arial" w:hAnsi="Arial" w:cs="Arial"/>
                <w:bCs/>
                <w:sz w:val="20"/>
                <w:szCs w:val="20"/>
              </w:rPr>
              <w:fldChar w:fldCharType="begin"/>
            </w:r>
            <w:r w:rsidRPr="00BE0627">
              <w:rPr>
                <w:rFonts w:ascii="Arial" w:hAnsi="Arial" w:cs="Arial"/>
                <w:bCs/>
                <w:sz w:val="20"/>
                <w:szCs w:val="20"/>
              </w:rPr>
              <w:instrText xml:space="preserve"> NUMPAGES  </w:instrText>
            </w:r>
            <w:r w:rsidRPr="00BE0627">
              <w:rPr>
                <w:rFonts w:ascii="Arial" w:hAnsi="Arial" w:cs="Arial"/>
                <w:bCs/>
                <w:sz w:val="20"/>
                <w:szCs w:val="20"/>
              </w:rPr>
              <w:fldChar w:fldCharType="separate"/>
            </w:r>
            <w:r w:rsidR="00D900AC">
              <w:rPr>
                <w:rFonts w:ascii="Arial" w:hAnsi="Arial" w:cs="Arial"/>
                <w:bCs/>
                <w:noProof/>
                <w:sz w:val="20"/>
                <w:szCs w:val="20"/>
              </w:rPr>
              <w:t>14</w:t>
            </w:r>
            <w:r w:rsidRPr="00BE0627">
              <w:rPr>
                <w:rFonts w:ascii="Arial" w:hAnsi="Arial" w:cs="Arial"/>
                <w:bCs/>
                <w:sz w:val="20"/>
                <w:szCs w:val="20"/>
              </w:rPr>
              <w:fldChar w:fldCharType="end"/>
            </w:r>
          </w:p>
        </w:sdtContent>
      </w:sdt>
    </w:sdtContent>
  </w:sdt>
  <w:p w:rsidR="00BE0627" w:rsidRDefault="00BE0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D0D" w:rsidRDefault="00F93D0D" w:rsidP="00BE0627">
      <w:pPr>
        <w:spacing w:after="0" w:line="240" w:lineRule="auto"/>
      </w:pPr>
      <w:r>
        <w:separator/>
      </w:r>
    </w:p>
  </w:footnote>
  <w:footnote w:type="continuationSeparator" w:id="0">
    <w:p w:rsidR="00F93D0D" w:rsidRDefault="00F93D0D" w:rsidP="00BE0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16A6"/>
    <w:multiLevelType w:val="hybridMultilevel"/>
    <w:tmpl w:val="36A497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8907F32"/>
    <w:multiLevelType w:val="hybridMultilevel"/>
    <w:tmpl w:val="F3F47A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A148CD"/>
    <w:multiLevelType w:val="hybridMultilevel"/>
    <w:tmpl w:val="8534A0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500DE8"/>
    <w:multiLevelType w:val="hybridMultilevel"/>
    <w:tmpl w:val="FB0A7400"/>
    <w:lvl w:ilvl="0" w:tplc="088E7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A73D43"/>
    <w:multiLevelType w:val="hybridMultilevel"/>
    <w:tmpl w:val="9CD055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ED645D"/>
    <w:multiLevelType w:val="hybridMultilevel"/>
    <w:tmpl w:val="AECC5E9E"/>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E7D28CF"/>
    <w:multiLevelType w:val="hybridMultilevel"/>
    <w:tmpl w:val="879E34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0637E"/>
    <w:multiLevelType w:val="hybridMultilevel"/>
    <w:tmpl w:val="69126A9A"/>
    <w:lvl w:ilvl="0" w:tplc="D198525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6B67F8"/>
    <w:multiLevelType w:val="hybridMultilevel"/>
    <w:tmpl w:val="5910220C"/>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E237EAA"/>
    <w:multiLevelType w:val="hybridMultilevel"/>
    <w:tmpl w:val="09B6F8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97966AA"/>
    <w:multiLevelType w:val="hybridMultilevel"/>
    <w:tmpl w:val="E41A5E22"/>
    <w:lvl w:ilvl="0" w:tplc="DE46C3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573121"/>
    <w:multiLevelType w:val="hybridMultilevel"/>
    <w:tmpl w:val="7ECCF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9E56BE"/>
    <w:multiLevelType w:val="hybridMultilevel"/>
    <w:tmpl w:val="E3B65E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CD2AB4"/>
    <w:multiLevelType w:val="hybridMultilevel"/>
    <w:tmpl w:val="FE407AC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254635"/>
    <w:multiLevelType w:val="hybridMultilevel"/>
    <w:tmpl w:val="5AF021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CE540D"/>
    <w:multiLevelType w:val="hybridMultilevel"/>
    <w:tmpl w:val="FE407AC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D665D3"/>
    <w:multiLevelType w:val="hybridMultilevel"/>
    <w:tmpl w:val="6DE69910"/>
    <w:lvl w:ilvl="0" w:tplc="9EDA90A4">
      <w:start w:val="5"/>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16952D1"/>
    <w:multiLevelType w:val="hybridMultilevel"/>
    <w:tmpl w:val="BAC8138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A751F3"/>
    <w:multiLevelType w:val="hybridMultilevel"/>
    <w:tmpl w:val="E8B40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937DE"/>
    <w:multiLevelType w:val="hybridMultilevel"/>
    <w:tmpl w:val="CBD0A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9B213A"/>
    <w:multiLevelType w:val="hybridMultilevel"/>
    <w:tmpl w:val="CD641C1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5C34B4"/>
    <w:multiLevelType w:val="hybridMultilevel"/>
    <w:tmpl w:val="8534A0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75D7FA9"/>
    <w:multiLevelType w:val="hybridMultilevel"/>
    <w:tmpl w:val="817C17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3724E7"/>
    <w:multiLevelType w:val="hybridMultilevel"/>
    <w:tmpl w:val="D6DC4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3"/>
  </w:num>
  <w:num w:numId="4">
    <w:abstractNumId w:val="14"/>
  </w:num>
  <w:num w:numId="5">
    <w:abstractNumId w:val="15"/>
  </w:num>
  <w:num w:numId="6">
    <w:abstractNumId w:val="4"/>
  </w:num>
  <w:num w:numId="7">
    <w:abstractNumId w:val="8"/>
  </w:num>
  <w:num w:numId="8">
    <w:abstractNumId w:val="23"/>
  </w:num>
  <w:num w:numId="9">
    <w:abstractNumId w:val="21"/>
  </w:num>
  <w:num w:numId="10">
    <w:abstractNumId w:val="5"/>
  </w:num>
  <w:num w:numId="11">
    <w:abstractNumId w:val="0"/>
  </w:num>
  <w:num w:numId="12">
    <w:abstractNumId w:val="2"/>
  </w:num>
  <w:num w:numId="13">
    <w:abstractNumId w:val="18"/>
  </w:num>
  <w:num w:numId="14">
    <w:abstractNumId w:val="9"/>
  </w:num>
  <w:num w:numId="15">
    <w:abstractNumId w:val="19"/>
  </w:num>
  <w:num w:numId="16">
    <w:abstractNumId w:val="11"/>
  </w:num>
  <w:num w:numId="17">
    <w:abstractNumId w:val="3"/>
  </w:num>
  <w:num w:numId="18">
    <w:abstractNumId w:val="10"/>
  </w:num>
  <w:num w:numId="19">
    <w:abstractNumId w:val="6"/>
  </w:num>
  <w:num w:numId="20">
    <w:abstractNumId w:val="20"/>
  </w:num>
  <w:num w:numId="21">
    <w:abstractNumId w:val="16"/>
  </w:num>
  <w:num w:numId="22">
    <w:abstractNumId w:val="12"/>
  </w:num>
  <w:num w:numId="23">
    <w:abstractNumId w:val="17"/>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1CD"/>
    <w:rsid w:val="000A57D6"/>
    <w:rsid w:val="007C4A43"/>
    <w:rsid w:val="00BE0627"/>
    <w:rsid w:val="00D20215"/>
    <w:rsid w:val="00D900AC"/>
    <w:rsid w:val="00DA20C6"/>
    <w:rsid w:val="00F221CD"/>
    <w:rsid w:val="00F93D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E090"/>
  <w15:chartTrackingRefBased/>
  <w15:docId w15:val="{A047CDD5-4B26-468A-A986-31815A583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A57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0A57D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7D6"/>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semiHidden/>
    <w:rsid w:val="000A57D6"/>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0A57D6"/>
    <w:pPr>
      <w:ind w:left="720"/>
      <w:contextualSpacing/>
    </w:pPr>
  </w:style>
  <w:style w:type="table" w:styleId="TableGrid">
    <w:name w:val="Table Grid"/>
    <w:basedOn w:val="TableNormal"/>
    <w:uiPriority w:val="39"/>
    <w:rsid w:val="000A5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A57D6"/>
    <w:pPr>
      <w:tabs>
        <w:tab w:val="center" w:pos="4513"/>
        <w:tab w:val="right" w:pos="9026"/>
      </w:tabs>
      <w:spacing w:after="0" w:line="240" w:lineRule="auto"/>
    </w:pPr>
  </w:style>
  <w:style w:type="character" w:customStyle="1" w:styleId="HeaderChar">
    <w:name w:val="Header Char"/>
    <w:basedOn w:val="DefaultParagraphFont"/>
    <w:link w:val="Header"/>
    <w:rsid w:val="000A57D6"/>
  </w:style>
  <w:style w:type="paragraph" w:styleId="Footer">
    <w:name w:val="footer"/>
    <w:basedOn w:val="Normal"/>
    <w:link w:val="FooterChar"/>
    <w:uiPriority w:val="99"/>
    <w:unhideWhenUsed/>
    <w:rsid w:val="000A5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7D6"/>
  </w:style>
  <w:style w:type="paragraph" w:styleId="BalloonText">
    <w:name w:val="Balloon Text"/>
    <w:basedOn w:val="Normal"/>
    <w:link w:val="BalloonTextChar"/>
    <w:uiPriority w:val="99"/>
    <w:semiHidden/>
    <w:unhideWhenUsed/>
    <w:rsid w:val="000A5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7D6"/>
    <w:rPr>
      <w:rFonts w:ascii="Segoe UI" w:hAnsi="Segoe UI" w:cs="Segoe UI"/>
      <w:sz w:val="18"/>
      <w:szCs w:val="18"/>
    </w:rPr>
  </w:style>
  <w:style w:type="character" w:styleId="CommentReference">
    <w:name w:val="annotation reference"/>
    <w:basedOn w:val="DefaultParagraphFont"/>
    <w:uiPriority w:val="99"/>
    <w:semiHidden/>
    <w:unhideWhenUsed/>
    <w:rsid w:val="000A57D6"/>
    <w:rPr>
      <w:sz w:val="18"/>
      <w:szCs w:val="18"/>
    </w:rPr>
  </w:style>
  <w:style w:type="paragraph" w:styleId="CommentText">
    <w:name w:val="annotation text"/>
    <w:basedOn w:val="Normal"/>
    <w:link w:val="CommentTextChar"/>
    <w:uiPriority w:val="99"/>
    <w:semiHidden/>
    <w:unhideWhenUsed/>
    <w:rsid w:val="000A57D6"/>
    <w:pPr>
      <w:spacing w:line="240" w:lineRule="auto"/>
    </w:pPr>
    <w:rPr>
      <w:sz w:val="24"/>
      <w:szCs w:val="24"/>
    </w:rPr>
  </w:style>
  <w:style w:type="character" w:customStyle="1" w:styleId="CommentTextChar">
    <w:name w:val="Comment Text Char"/>
    <w:basedOn w:val="DefaultParagraphFont"/>
    <w:link w:val="CommentText"/>
    <w:uiPriority w:val="99"/>
    <w:semiHidden/>
    <w:rsid w:val="000A57D6"/>
    <w:rPr>
      <w:sz w:val="24"/>
      <w:szCs w:val="24"/>
    </w:rPr>
  </w:style>
  <w:style w:type="paragraph" w:styleId="CommentSubject">
    <w:name w:val="annotation subject"/>
    <w:basedOn w:val="CommentText"/>
    <w:next w:val="CommentText"/>
    <w:link w:val="CommentSubjectChar"/>
    <w:uiPriority w:val="99"/>
    <w:semiHidden/>
    <w:unhideWhenUsed/>
    <w:rsid w:val="000A57D6"/>
    <w:rPr>
      <w:b/>
      <w:bCs/>
      <w:sz w:val="20"/>
      <w:szCs w:val="20"/>
    </w:rPr>
  </w:style>
  <w:style w:type="character" w:customStyle="1" w:styleId="CommentSubjectChar">
    <w:name w:val="Comment Subject Char"/>
    <w:basedOn w:val="CommentTextChar"/>
    <w:link w:val="CommentSubject"/>
    <w:uiPriority w:val="99"/>
    <w:semiHidden/>
    <w:rsid w:val="000A57D6"/>
    <w:rPr>
      <w:b/>
      <w:bCs/>
      <w:sz w:val="20"/>
      <w:szCs w:val="20"/>
    </w:rPr>
  </w:style>
  <w:style w:type="paragraph" w:styleId="Revision">
    <w:name w:val="Revision"/>
    <w:hidden/>
    <w:uiPriority w:val="99"/>
    <w:semiHidden/>
    <w:rsid w:val="000A57D6"/>
    <w:pPr>
      <w:spacing w:after="0" w:line="240" w:lineRule="auto"/>
    </w:pPr>
  </w:style>
  <w:style w:type="character" w:styleId="Hyperlink">
    <w:name w:val="Hyperlink"/>
    <w:basedOn w:val="DefaultParagraphFont"/>
    <w:uiPriority w:val="99"/>
    <w:unhideWhenUsed/>
    <w:rsid w:val="000A57D6"/>
    <w:rPr>
      <w:color w:val="0563C1" w:themeColor="hyperlink"/>
      <w:u w:val="single"/>
    </w:rPr>
  </w:style>
  <w:style w:type="character" w:customStyle="1" w:styleId="cit">
    <w:name w:val="cit"/>
    <w:basedOn w:val="DefaultParagraphFont"/>
    <w:rsid w:val="000A57D6"/>
  </w:style>
  <w:style w:type="character" w:customStyle="1" w:styleId="doi">
    <w:name w:val="doi"/>
    <w:basedOn w:val="DefaultParagraphFont"/>
    <w:rsid w:val="000A57D6"/>
  </w:style>
  <w:style w:type="character" w:customStyle="1" w:styleId="fm-citation-ids-label">
    <w:name w:val="fm-citation-ids-label"/>
    <w:basedOn w:val="DefaultParagraphFont"/>
    <w:rsid w:val="000A57D6"/>
  </w:style>
  <w:style w:type="character" w:styleId="FollowedHyperlink">
    <w:name w:val="FollowedHyperlink"/>
    <w:basedOn w:val="DefaultParagraphFont"/>
    <w:uiPriority w:val="99"/>
    <w:semiHidden/>
    <w:unhideWhenUsed/>
    <w:rsid w:val="000A57D6"/>
    <w:rPr>
      <w:color w:val="954F72" w:themeColor="followedHyperlink"/>
      <w:u w:val="single"/>
    </w:rPr>
  </w:style>
  <w:style w:type="paragraph" w:customStyle="1" w:styleId="EndNoteBibliographyTitle">
    <w:name w:val="EndNote Bibliography Title"/>
    <w:basedOn w:val="Normal"/>
    <w:link w:val="EndNoteBibliographyTitleChar"/>
    <w:rsid w:val="000A57D6"/>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0A57D6"/>
    <w:rPr>
      <w:rFonts w:ascii="Calibri" w:hAnsi="Calibri" w:cs="Calibri"/>
      <w:lang w:val="en-US"/>
    </w:rPr>
  </w:style>
  <w:style w:type="paragraph" w:customStyle="1" w:styleId="EndNoteBibliography">
    <w:name w:val="EndNote Bibliography"/>
    <w:basedOn w:val="Normal"/>
    <w:link w:val="EndNoteBibliographyChar"/>
    <w:rsid w:val="000A57D6"/>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0A57D6"/>
    <w:rPr>
      <w:rFonts w:ascii="Calibri" w:hAnsi="Calibri" w:cs="Calibri"/>
      <w:lang w:val="en-US"/>
    </w:rPr>
  </w:style>
  <w:style w:type="character" w:customStyle="1" w:styleId="rpc41">
    <w:name w:val="_rpc_41"/>
    <w:basedOn w:val="DefaultParagraphFont"/>
    <w:rsid w:val="000A57D6"/>
  </w:style>
  <w:style w:type="paragraph" w:styleId="NormalWeb">
    <w:name w:val="Normal (Web)"/>
    <w:basedOn w:val="Normal"/>
    <w:uiPriority w:val="99"/>
    <w:unhideWhenUsed/>
    <w:rsid w:val="000A57D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0A57D6"/>
  </w:style>
  <w:style w:type="table" w:customStyle="1" w:styleId="TableGrid1">
    <w:name w:val="Table Grid1"/>
    <w:basedOn w:val="TableNormal"/>
    <w:next w:val="TableGrid"/>
    <w:uiPriority w:val="39"/>
    <w:rsid w:val="000A5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11195</Words>
  <Characters>63815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SVHA</Company>
  <LinksUpToDate>false</LinksUpToDate>
  <CharactersWithSpaces>74861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Siefried</dc:creator>
  <cp:keywords/>
  <dc:description/>
  <cp:lastModifiedBy>Krista Siefried</cp:lastModifiedBy>
  <cp:revision>5</cp:revision>
  <cp:lastPrinted>2019-12-02T04:33:00Z</cp:lastPrinted>
  <dcterms:created xsi:type="dcterms:W3CDTF">2019-11-28T05:15:00Z</dcterms:created>
  <dcterms:modified xsi:type="dcterms:W3CDTF">2020-02-05T07:52:00Z</dcterms:modified>
</cp:coreProperties>
</file>