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3A" w:rsidRPr="0045523A" w:rsidRDefault="0045523A" w:rsidP="0045523A">
      <w:pPr>
        <w:pStyle w:val="Title"/>
        <w:rPr>
          <w:rFonts w:eastAsia="Times New Roman"/>
        </w:rPr>
      </w:pPr>
      <w:proofErr w:type="spellStart"/>
      <w:proofErr w:type="gramStart"/>
      <w:r w:rsidRPr="0045523A">
        <w:rPr>
          <w:rFonts w:eastAsia="Times New Roman"/>
        </w:rPr>
        <w:t>vigiGrade</w:t>
      </w:r>
      <w:proofErr w:type="spellEnd"/>
      <w:proofErr w:type="gramEnd"/>
      <w:r w:rsidRPr="0045523A">
        <w:rPr>
          <w:rFonts w:eastAsia="Times New Roman"/>
        </w:rPr>
        <w:t xml:space="preserve"> – a tool to identify well-documented individual case reports and highlight systematic data quality issues</w:t>
      </w:r>
    </w:p>
    <w:p w:rsidR="0045523A" w:rsidRDefault="0045523A" w:rsidP="0045523A">
      <w:pPr>
        <w:pStyle w:val="Subtitle"/>
        <w:rPr>
          <w:rFonts w:eastAsia="Times New Roman"/>
          <w:kern w:val="32"/>
        </w:rPr>
      </w:pPr>
      <w:r>
        <w:rPr>
          <w:rFonts w:eastAsia="Times New Roman"/>
          <w:kern w:val="32"/>
        </w:rPr>
        <w:t xml:space="preserve">Supplementary material: </w:t>
      </w:r>
      <w:r w:rsidRPr="0045523A">
        <w:rPr>
          <w:rFonts w:eastAsia="Times New Roman"/>
          <w:kern w:val="32"/>
        </w:rPr>
        <w:t>A detailed description of the included E2B fields and their corresponding fields in VigiBase.</w:t>
      </w:r>
    </w:p>
    <w:p w:rsidR="0045523A" w:rsidRPr="0045523A" w:rsidRDefault="0045523A" w:rsidP="0045523A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45523A" w:rsidRPr="0045523A" w:rsidRDefault="0045523A" w:rsidP="0045523A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45523A">
        <w:rPr>
          <w:rFonts w:ascii="Garamond" w:eastAsia="Times New Roman" w:hAnsi="Garamond" w:cs="Times New Roman"/>
          <w:sz w:val="24"/>
          <w:szCs w:val="24"/>
        </w:rPr>
        <w:t>Tomas Bergvall, MSc</w:t>
      </w:r>
      <w:r w:rsidRPr="0045523A">
        <w:rPr>
          <w:rFonts w:ascii="Garamond" w:eastAsia="Times New Roman" w:hAnsi="Garamond" w:cs="Times New Roman"/>
          <w:sz w:val="24"/>
          <w:szCs w:val="24"/>
          <w:vertAlign w:val="superscript"/>
        </w:rPr>
        <w:t>1</w:t>
      </w:r>
      <w:r w:rsidRPr="0045523A">
        <w:rPr>
          <w:rFonts w:ascii="Garamond" w:eastAsia="Times New Roman" w:hAnsi="Garamond" w:cs="Times New Roman"/>
          <w:sz w:val="24"/>
          <w:szCs w:val="24"/>
        </w:rPr>
        <w:t>, G. Niklas Norén, PhD</w:t>
      </w:r>
      <w:r w:rsidRPr="0045523A">
        <w:rPr>
          <w:rFonts w:ascii="Garamond" w:eastAsia="Times New Roman" w:hAnsi="Garamond" w:cs="Times New Roman"/>
          <w:sz w:val="24"/>
          <w:szCs w:val="24"/>
          <w:vertAlign w:val="superscript"/>
        </w:rPr>
        <w:t>1</w:t>
      </w:r>
      <w:proofErr w:type="gramStart"/>
      <w:r w:rsidRPr="0045523A">
        <w:rPr>
          <w:rFonts w:ascii="Garamond" w:eastAsia="Times New Roman" w:hAnsi="Garamond" w:cs="Times New Roman"/>
          <w:sz w:val="24"/>
          <w:szCs w:val="24"/>
          <w:vertAlign w:val="superscript"/>
        </w:rPr>
        <w:t>,2</w:t>
      </w:r>
      <w:proofErr w:type="gramEnd"/>
      <w:r w:rsidRPr="0045523A">
        <w:rPr>
          <w:rFonts w:ascii="Garamond" w:eastAsia="Times New Roman" w:hAnsi="Garamond" w:cs="Times New Roman"/>
          <w:sz w:val="24"/>
          <w:szCs w:val="24"/>
        </w:rPr>
        <w:t>, and Marie Lindquist, PhD</w:t>
      </w:r>
      <w:r w:rsidRPr="0045523A">
        <w:rPr>
          <w:rFonts w:ascii="Garamond" w:eastAsia="Times New Roman" w:hAnsi="Garamond" w:cs="Times New Roman"/>
          <w:sz w:val="24"/>
          <w:szCs w:val="24"/>
          <w:vertAlign w:val="superscript"/>
        </w:rPr>
        <w:t>1</w:t>
      </w:r>
      <w:r w:rsidRPr="0045523A">
        <w:rPr>
          <w:rFonts w:ascii="Garamond" w:eastAsia="Times New Roman" w:hAnsi="Garamond" w:cs="Times New Roman"/>
          <w:sz w:val="24"/>
          <w:szCs w:val="24"/>
        </w:rPr>
        <w:t>.</w:t>
      </w:r>
    </w:p>
    <w:p w:rsidR="0045523A" w:rsidRPr="0045523A" w:rsidRDefault="0045523A" w:rsidP="0045523A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45523A" w:rsidRPr="0045523A" w:rsidRDefault="0045523A" w:rsidP="0045523A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45523A">
        <w:rPr>
          <w:rFonts w:ascii="Garamond" w:eastAsia="Times New Roman" w:hAnsi="Garamond" w:cs="Times New Roman"/>
          <w:sz w:val="24"/>
          <w:szCs w:val="24"/>
          <w:vertAlign w:val="superscript"/>
        </w:rPr>
        <w:t>1</w:t>
      </w:r>
      <w:r w:rsidRPr="0045523A">
        <w:rPr>
          <w:rFonts w:ascii="Garamond" w:eastAsia="Times New Roman" w:hAnsi="Garamond" w:cs="Times New Roman"/>
          <w:sz w:val="24"/>
          <w:szCs w:val="24"/>
        </w:rPr>
        <w:t xml:space="preserve"> Uppsala Monitoring Centre, WHO Collaborating Centre for International Drug Monitoring, Uppsala, Sweden</w:t>
      </w:r>
    </w:p>
    <w:p w:rsidR="0045523A" w:rsidRPr="0045523A" w:rsidRDefault="0045523A" w:rsidP="0045523A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45523A">
        <w:rPr>
          <w:rFonts w:ascii="Garamond" w:eastAsia="Times New Roman" w:hAnsi="Garamond" w:cs="Times New Roman"/>
          <w:sz w:val="24"/>
          <w:szCs w:val="24"/>
          <w:vertAlign w:val="superscript"/>
        </w:rPr>
        <w:t>2</w:t>
      </w:r>
      <w:r w:rsidRPr="0045523A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gramStart"/>
      <w:r w:rsidRPr="0045523A">
        <w:rPr>
          <w:rFonts w:ascii="Garamond" w:eastAsia="Times New Roman" w:hAnsi="Garamond" w:cs="Times New Roman"/>
          <w:sz w:val="24"/>
          <w:szCs w:val="24"/>
        </w:rPr>
        <w:t>Department</w:t>
      </w:r>
      <w:proofErr w:type="gramEnd"/>
      <w:r w:rsidRPr="0045523A">
        <w:rPr>
          <w:rFonts w:ascii="Garamond" w:eastAsia="Times New Roman" w:hAnsi="Garamond" w:cs="Times New Roman"/>
          <w:sz w:val="24"/>
          <w:szCs w:val="24"/>
        </w:rPr>
        <w:t xml:space="preserve"> of Mathematics, Stockholm University, Stockholm, Sweden</w:t>
      </w:r>
    </w:p>
    <w:p w:rsidR="0045523A" w:rsidRPr="0045523A" w:rsidRDefault="0045523A" w:rsidP="0045523A">
      <w:pPr>
        <w:keepNext/>
        <w:spacing w:before="240" w:after="60" w:line="240" w:lineRule="auto"/>
        <w:ind w:left="432" w:hanging="432"/>
        <w:outlineLvl w:val="0"/>
        <w:rPr>
          <w:rFonts w:ascii="Tahoma" w:eastAsia="Times New Roman" w:hAnsi="Tahoma" w:cs="Arial"/>
          <w:b/>
          <w:bCs/>
          <w:kern w:val="32"/>
          <w:sz w:val="32"/>
          <w:szCs w:val="32"/>
        </w:rPr>
      </w:pPr>
    </w:p>
    <w:p w:rsidR="0045523A" w:rsidRPr="0045523A" w:rsidRDefault="0045523A" w:rsidP="0045523A">
      <w:pPr>
        <w:keepNext/>
        <w:spacing w:line="240" w:lineRule="auto"/>
        <w:rPr>
          <w:rFonts w:ascii="Garamond" w:eastAsia="Times New Roman" w:hAnsi="Garamond" w:cs="Times New Roman"/>
          <w:bCs/>
          <w:sz w:val="18"/>
          <w:szCs w:val="18"/>
        </w:rPr>
      </w:pPr>
      <w:r w:rsidRPr="0045523A">
        <w:rPr>
          <w:rFonts w:ascii="Garamond" w:eastAsia="Times New Roman" w:hAnsi="Garamond" w:cs="Times New Roman"/>
          <w:b/>
          <w:bCs/>
          <w:sz w:val="18"/>
          <w:szCs w:val="18"/>
        </w:rPr>
        <w:t xml:space="preserve">Table </w:t>
      </w:r>
      <w:r w:rsidRPr="0045523A">
        <w:rPr>
          <w:rFonts w:ascii="Garamond" w:eastAsia="Times New Roman" w:hAnsi="Garamond" w:cs="Times New Roman"/>
          <w:b/>
          <w:bCs/>
          <w:sz w:val="18"/>
          <w:szCs w:val="18"/>
        </w:rPr>
        <w:fldChar w:fldCharType="begin"/>
      </w:r>
      <w:r w:rsidRPr="0045523A">
        <w:rPr>
          <w:rFonts w:ascii="Garamond" w:eastAsia="Times New Roman" w:hAnsi="Garamond" w:cs="Times New Roman"/>
          <w:b/>
          <w:bCs/>
          <w:sz w:val="18"/>
          <w:szCs w:val="18"/>
        </w:rPr>
        <w:instrText xml:space="preserve"> SEQ Table \* ARABIC </w:instrText>
      </w:r>
      <w:r w:rsidRPr="0045523A">
        <w:rPr>
          <w:rFonts w:ascii="Garamond" w:eastAsia="Times New Roman" w:hAnsi="Garamond" w:cs="Times New Roman"/>
          <w:b/>
          <w:bCs/>
          <w:sz w:val="18"/>
          <w:szCs w:val="18"/>
        </w:rPr>
        <w:fldChar w:fldCharType="separate"/>
      </w:r>
      <w:r>
        <w:rPr>
          <w:rFonts w:ascii="Garamond" w:eastAsia="Times New Roman" w:hAnsi="Garamond" w:cs="Times New Roman"/>
          <w:b/>
          <w:bCs/>
          <w:noProof/>
          <w:sz w:val="18"/>
          <w:szCs w:val="18"/>
        </w:rPr>
        <w:t>1</w:t>
      </w:r>
      <w:r w:rsidRPr="0045523A">
        <w:rPr>
          <w:rFonts w:ascii="Garamond" w:eastAsia="Times New Roman" w:hAnsi="Garamond" w:cs="Times New Roman"/>
          <w:b/>
          <w:bCs/>
          <w:sz w:val="18"/>
          <w:szCs w:val="18"/>
        </w:rPr>
        <w:fldChar w:fldCharType="end"/>
      </w:r>
      <w:r w:rsidRPr="0045523A">
        <w:rPr>
          <w:rFonts w:ascii="Garamond" w:eastAsia="Times New Roman" w:hAnsi="Garamond" w:cs="Times New Roman"/>
          <w:b/>
          <w:bCs/>
          <w:sz w:val="18"/>
          <w:szCs w:val="18"/>
        </w:rPr>
        <w:t xml:space="preserve"> </w:t>
      </w:r>
      <w:r w:rsidRPr="0045523A">
        <w:rPr>
          <w:rFonts w:ascii="Garamond" w:eastAsia="Times New Roman" w:hAnsi="Garamond" w:cs="Times New Roman"/>
          <w:bCs/>
          <w:sz w:val="18"/>
          <w:szCs w:val="18"/>
        </w:rPr>
        <w:t>Detailed description of the included E2B fields included in each information item</w:t>
      </w:r>
    </w:p>
    <w:tbl>
      <w:tblPr>
        <w:tblW w:w="14768" w:type="dxa"/>
        <w:tblCellMar>
          <w:left w:w="0" w:type="dxa"/>
          <w:right w:w="0" w:type="dxa"/>
        </w:tblCellMar>
        <w:tblLook w:val="04A0"/>
      </w:tblPr>
      <w:tblGrid>
        <w:gridCol w:w="2144"/>
        <w:gridCol w:w="4615"/>
        <w:gridCol w:w="5599"/>
        <w:gridCol w:w="2410"/>
      </w:tblGrid>
      <w:tr w:rsidR="0045523A" w:rsidRPr="0045523A" w:rsidTr="00C015F2">
        <w:trPr>
          <w:trHeight w:val="315"/>
        </w:trPr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sv-SE"/>
              </w:rPr>
            </w:pPr>
            <w:r w:rsidRPr="0045523A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sv-SE"/>
              </w:rPr>
              <w:t>Information item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sv-SE"/>
              </w:rPr>
            </w:pPr>
            <w:r w:rsidRPr="0045523A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sv-SE"/>
              </w:rPr>
              <w:t>VigiBase fields used in Completeness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sv-SE"/>
              </w:rPr>
            </w:pPr>
            <w:r w:rsidRPr="0045523A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sv-SE"/>
              </w:rPr>
              <w:t>E2B field name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sv-SE"/>
              </w:rPr>
            </w:pPr>
            <w:r w:rsidRPr="0045523A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US" w:eastAsia="sv-SE"/>
              </w:rPr>
              <w:t>E2B field code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en-US" w:eastAsia="sv-SE"/>
              </w:rPr>
            </w:pPr>
            <w:r w:rsidRPr="0045523A"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en-US" w:eastAsia="sv-SE"/>
              </w:rPr>
              <w:t>Time-to-onset</w:t>
            </w:r>
          </w:p>
        </w:tc>
        <w:tc>
          <w:tcPr>
            <w:tcW w:w="461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sv-SE"/>
              </w:rPr>
            </w:pPr>
            <w:proofErr w:type="spellStart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>Drug.DateStart</w:t>
            </w:r>
            <w:proofErr w:type="spellEnd"/>
          </w:p>
        </w:tc>
        <w:tc>
          <w:tcPr>
            <w:tcW w:w="559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proofErr w:type="spellStart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>drugstartdat</w:t>
            </w:r>
            <w:proofErr w:type="spellEnd"/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e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B.4.k.12b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ADR.DateOnset</w:t>
            </w:r>
          </w:p>
        </w:tc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reactionstartdate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B.2.i.4b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Link.DurationPrior &amp; Link.DurationPriorU</w:t>
            </w:r>
          </w:p>
        </w:tc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>(</w:t>
            </w:r>
            <w:proofErr w:type="spellStart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>reactionfirsttime</w:t>
            </w:r>
            <w:proofErr w:type="spellEnd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AND </w:t>
            </w:r>
            <w:proofErr w:type="spellStart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>reactionfirsttimeunit</w:t>
            </w:r>
            <w:proofErr w:type="spellEnd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>) OR (</w:t>
            </w:r>
            <w:proofErr w:type="spellStart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>drugstartperiod</w:t>
            </w:r>
            <w:proofErr w:type="spellEnd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AND </w:t>
            </w:r>
            <w:proofErr w:type="spellStart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>drugstartperiodunit</w:t>
            </w:r>
            <w:proofErr w:type="spellEnd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>B.2.i.7.1a, B.2.i.7.1a OR B.4.k.13.1a, B.4.k.13.1b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en-US" w:eastAsia="sv-SE"/>
                <w:rPrChange w:id="0" w:author="Tomas Bergvall" w:date="2013-05-24T08:11:00Z">
                  <w:rPr>
                    <w:rFonts w:ascii="Calibri" w:hAnsi="Calibri" w:cs="Calibri"/>
                    <w:b/>
                    <w:bCs/>
                    <w:color w:val="000000"/>
                    <w:lang w:val="sv-SE" w:eastAsia="sv-SE"/>
                  </w:rPr>
                </w:rPrChange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Drug.DateStop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drugenddate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B.4.k.14b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  <w:r w:rsidRPr="0045523A"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  <w:t>Gender</w:t>
            </w:r>
          </w:p>
        </w:tc>
        <w:tc>
          <w:tcPr>
            <w:tcW w:w="4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Patient.Gender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patientsex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B.1.5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  <w:r w:rsidRPr="0045523A"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  <w:t>Age at Onset</w:t>
            </w:r>
          </w:p>
        </w:tc>
        <w:tc>
          <w:tcPr>
            <w:tcW w:w="4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Patient.AgeReaction &amp; Patient.AgeU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patientonsetage AND patientonsetageunit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B.1.2.2a, B.1.2.2b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sv-SE"/>
              </w:rPr>
            </w:pPr>
            <w:proofErr w:type="spellStart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>Patient.DateBirth</w:t>
            </w:r>
            <w:proofErr w:type="spellEnd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&amp; </w:t>
            </w:r>
            <w:proofErr w:type="spellStart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>ADR.DateOnset</w:t>
            </w:r>
            <w:proofErr w:type="spellEnd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(earliest date)</w:t>
            </w:r>
          </w:p>
        </w:tc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patientbirthdate AND reactionstartdate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B.1.2.1b, B.2.i.4b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Patient.AgeGroup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patientagegroup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B.1.2.3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  <w:r w:rsidRPr="0045523A"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  <w:t>Indication</w:t>
            </w:r>
          </w:p>
        </w:tc>
        <w:tc>
          <w:tcPr>
            <w:tcW w:w="4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Drug.Indication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drugindication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B.4.k.11b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  <w:r w:rsidRPr="0045523A"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  <w:t>Outcome</w:t>
            </w: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Outcome of ADR (E2B)/patient (INTDIS) - </w:t>
            </w:r>
            <w:proofErr w:type="spellStart"/>
            <w:r w:rsidRPr="0045523A">
              <w:rPr>
                <w:rFonts w:ascii="Calibri" w:eastAsia="Times New Roman" w:hAnsi="Calibri" w:cs="Calibri"/>
                <w:color w:val="000000"/>
                <w:lang w:val="en-US" w:eastAsia="sv-SE"/>
              </w:rPr>
              <w:t>ADR.Outcome</w:t>
            </w:r>
            <w:proofErr w:type="spellEnd"/>
          </w:p>
        </w:tc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reactionoutcome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B.2.i.8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rechallenge information - Link.Rechallenge2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drugrecurreadministration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B.4.k.17.1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  <w:r w:rsidRPr="0045523A"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  <w:t>Country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Report.Countryorg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primarysourcecountry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A.1.1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  <w:r w:rsidRPr="0045523A"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  <w:t>Dose</w:t>
            </w: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Drug.Amount &amp; Drug.AmountU</w:t>
            </w:r>
          </w:p>
        </w:tc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drugstructuredosagenumb AND drugstructuredosageunit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B.4.k.5.1, B.4.k.5.2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Drug.TotalAmount &amp; Drug.TotalAmountUnit</w:t>
            </w:r>
          </w:p>
        </w:tc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drugcumulativedosagenumb AND drugcumulativedosageunit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B.4.k.5.6, B.4.k.5.7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Drug.Frequency &amp; Drug.FrequencyUnit</w:t>
            </w:r>
          </w:p>
        </w:tc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drugseparatedosagenumb AND drugintervaldosagedefinition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 xml:space="preserve">B.4.k.5.3, B.4.k.5.5 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Drug.DosDuration &amp; Drug.DosDurationUnit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drugtreatmentduration AND drugtreatmentdurationunit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B.4.k.15a, B.4.k.15b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  <w:r w:rsidRPr="0045523A"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  <w:t>Notifier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Notifier.Type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qualification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A.2.1.4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  <w:r w:rsidRPr="0045523A"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  <w:t>Report type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Report.Type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reporttype OR observerstudytype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A.1.4 OR A.2.3.3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</w:pPr>
            <w:r w:rsidRPr="0045523A">
              <w:rPr>
                <w:rFonts w:ascii="Arial Black" w:eastAsia="Times New Roman" w:hAnsi="Arial Black" w:cs="Calibri"/>
                <w:bCs/>
                <w:color w:val="000000"/>
                <w:sz w:val="24"/>
                <w:szCs w:val="24"/>
                <w:lang w:val="sv-SE" w:eastAsia="sv-SE"/>
              </w:rPr>
              <w:t>Comments</w:t>
            </w:r>
          </w:p>
        </w:tc>
        <w:tc>
          <w:tcPr>
            <w:tcW w:w="461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ReportText.Atext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resultstestsprocedures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B.3.2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</w:p>
        </w:tc>
        <w:tc>
          <w:tcPr>
            <w:tcW w:w="461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</w:p>
        </w:tc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literaturereference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A.2.2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</w:p>
        </w:tc>
        <w:tc>
          <w:tcPr>
            <w:tcW w:w="461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</w:p>
        </w:tc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documentlist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A.1.8.2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</w:p>
        </w:tc>
        <w:tc>
          <w:tcPr>
            <w:tcW w:w="461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</w:p>
        </w:tc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patientmedicalhistorytext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B.1.7.2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</w:p>
        </w:tc>
        <w:tc>
          <w:tcPr>
            <w:tcW w:w="461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</w:p>
        </w:tc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narrativeincludeclinical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B.5.1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</w:p>
        </w:tc>
        <w:tc>
          <w:tcPr>
            <w:tcW w:w="461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</w:p>
        </w:tc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reportercomment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B.5.2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</w:p>
        </w:tc>
        <w:tc>
          <w:tcPr>
            <w:tcW w:w="461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</w:p>
        </w:tc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senderdiagnosis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B.5.3b</w:t>
            </w:r>
          </w:p>
        </w:tc>
      </w:tr>
      <w:tr w:rsidR="0045523A" w:rsidRPr="0045523A" w:rsidTr="00C015F2">
        <w:trPr>
          <w:trHeight w:val="300"/>
        </w:trPr>
        <w:tc>
          <w:tcPr>
            <w:tcW w:w="21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sv-SE" w:eastAsia="sv-SE"/>
              </w:rPr>
            </w:pPr>
          </w:p>
        </w:tc>
        <w:tc>
          <w:tcPr>
            <w:tcW w:w="461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</w:p>
        </w:tc>
        <w:tc>
          <w:tcPr>
            <w:tcW w:w="55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sendercomment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7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5523A" w:rsidRPr="0045523A" w:rsidRDefault="0045523A" w:rsidP="004552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v-SE" w:eastAsia="sv-SE"/>
              </w:rPr>
            </w:pPr>
            <w:r w:rsidRPr="0045523A">
              <w:rPr>
                <w:rFonts w:ascii="Calibri" w:eastAsia="Times New Roman" w:hAnsi="Calibri" w:cs="Calibri"/>
                <w:color w:val="000000"/>
                <w:lang w:val="sv-SE" w:eastAsia="sv-SE"/>
              </w:rPr>
              <w:t>B.5.4</w:t>
            </w:r>
          </w:p>
        </w:tc>
      </w:tr>
    </w:tbl>
    <w:p w:rsidR="0045523A" w:rsidRPr="0045523A" w:rsidRDefault="0045523A" w:rsidP="0045523A">
      <w:pPr>
        <w:keepNext/>
        <w:spacing w:line="240" w:lineRule="auto"/>
        <w:rPr>
          <w:rFonts w:ascii="Garamond" w:eastAsia="Times New Roman" w:hAnsi="Garamond" w:cs="Times New Roman"/>
          <w:b/>
          <w:bCs/>
          <w:color w:val="4F81BD" w:themeColor="accent1"/>
          <w:sz w:val="18"/>
          <w:szCs w:val="18"/>
        </w:rPr>
      </w:pPr>
    </w:p>
    <w:p w:rsidR="00097CC7" w:rsidRDefault="00097CC7"/>
    <w:sectPr w:rsidR="00097CC7" w:rsidSect="004552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inkAnnotations="0"/>
  <w:defaultTabStop w:val="1304"/>
  <w:hyphenationZone w:val="425"/>
  <w:drawingGridHorizontalSpacing w:val="110"/>
  <w:displayHorizontalDrawingGridEvery w:val="2"/>
  <w:characterSpacingControl w:val="doNotCompress"/>
  <w:compat/>
  <w:rsids>
    <w:rsidRoot w:val="0045523A"/>
    <w:rsid w:val="00097CC7"/>
    <w:rsid w:val="00147A52"/>
    <w:rsid w:val="001519E0"/>
    <w:rsid w:val="0045523A"/>
    <w:rsid w:val="008A6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CC7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52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2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55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5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2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5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382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 Norén</dc:creator>
  <cp:lastModifiedBy>Niklas Norén</cp:lastModifiedBy>
  <cp:revision>1</cp:revision>
  <dcterms:created xsi:type="dcterms:W3CDTF">2013-11-20T22:08:00Z</dcterms:created>
  <dcterms:modified xsi:type="dcterms:W3CDTF">2013-11-20T22:10:00Z</dcterms:modified>
</cp:coreProperties>
</file>