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13A8C" w14:textId="0E7AAE0C" w:rsidR="000859D2" w:rsidRPr="00166A47" w:rsidRDefault="003B2D59" w:rsidP="003B2D59">
      <w:pPr>
        <w:spacing w:line="480" w:lineRule="auto"/>
        <w:rPr>
          <w:lang w:val="en-US"/>
        </w:rPr>
      </w:pPr>
      <w:r w:rsidRPr="00166A47">
        <w:rPr>
          <w:lang w:val="en-US"/>
        </w:rPr>
        <w:t xml:space="preserve">Supplement 2 Assessment of well-documented reports per causality category by the Vigi4Eudra-score and the </w:t>
      </w:r>
      <w:proofErr w:type="spellStart"/>
      <w:r w:rsidRPr="00166A47">
        <w:rPr>
          <w:lang w:val="en-US"/>
        </w:rPr>
        <w:t>EudraScore</w:t>
      </w:r>
      <w:proofErr w:type="spellEnd"/>
      <w:r w:rsidRPr="00166A47">
        <w:rPr>
          <w:lang w:val="en-US"/>
        </w:rPr>
        <w:t>.</w:t>
      </w:r>
    </w:p>
    <w:p w14:paraId="58F301CA" w14:textId="77777777" w:rsidR="003B2D59" w:rsidRPr="00166A47" w:rsidRDefault="003B2D59" w:rsidP="003B2D59">
      <w:pPr>
        <w:spacing w:line="480" w:lineRule="auto"/>
        <w:rPr>
          <w:lang w:val="en-US"/>
        </w:rPr>
      </w:pPr>
    </w:p>
    <w:p w14:paraId="21B89386" w14:textId="5FC1849F" w:rsidR="003B2D59" w:rsidRPr="00166A47" w:rsidRDefault="003B2D59" w:rsidP="003B2D59">
      <w:pPr>
        <w:spacing w:line="480" w:lineRule="auto"/>
        <w:rPr>
          <w:lang w:val="en-US"/>
        </w:rPr>
      </w:pPr>
      <w:r w:rsidRPr="00166A47">
        <w:rPr>
          <w:lang w:val="en-US"/>
        </w:rPr>
        <w:t>Supplement 2 Table 1) Assessment of well-documented ADR reports in our random sample of ADR reports with an assessment of the causal relationship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2"/>
        <w:gridCol w:w="2315"/>
        <w:gridCol w:w="2336"/>
        <w:gridCol w:w="1949"/>
      </w:tblGrid>
      <w:tr w:rsidR="003B2D59" w:rsidRPr="00166A47" w14:paraId="6442EB15" w14:textId="77777777" w:rsidTr="0081480D">
        <w:tc>
          <w:tcPr>
            <w:tcW w:w="2462" w:type="dxa"/>
          </w:tcPr>
          <w:p w14:paraId="41003BE5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Assessment of causal relationship</w:t>
            </w:r>
          </w:p>
        </w:tc>
        <w:tc>
          <w:tcPr>
            <w:tcW w:w="2315" w:type="dxa"/>
          </w:tcPr>
          <w:p w14:paraId="41068D38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 xml:space="preserve">Vigi4Eudra-score </w:t>
            </w:r>
          </w:p>
        </w:tc>
        <w:tc>
          <w:tcPr>
            <w:tcW w:w="2336" w:type="dxa"/>
          </w:tcPr>
          <w:p w14:paraId="33646CB2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proofErr w:type="spellStart"/>
            <w:r w:rsidRPr="00166A47">
              <w:rPr>
                <w:lang w:val="en-US"/>
              </w:rPr>
              <w:t>EudraScore</w:t>
            </w:r>
            <w:proofErr w:type="spellEnd"/>
            <w:r w:rsidRPr="00166A47">
              <w:rPr>
                <w:lang w:val="en-US"/>
              </w:rPr>
              <w:t xml:space="preserve"> </w:t>
            </w:r>
          </w:p>
        </w:tc>
        <w:tc>
          <w:tcPr>
            <w:tcW w:w="1949" w:type="dxa"/>
          </w:tcPr>
          <w:p w14:paraId="2EAAA9DA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Increase in percentage (%)</w:t>
            </w:r>
          </w:p>
        </w:tc>
      </w:tr>
      <w:tr w:rsidR="003B2D59" w:rsidRPr="00166A47" w14:paraId="12294DEC" w14:textId="77777777" w:rsidTr="0081480D">
        <w:tc>
          <w:tcPr>
            <w:tcW w:w="2462" w:type="dxa"/>
          </w:tcPr>
          <w:p w14:paraId="76416B21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Certain (n= 2)</w:t>
            </w:r>
          </w:p>
        </w:tc>
        <w:tc>
          <w:tcPr>
            <w:tcW w:w="2315" w:type="dxa"/>
          </w:tcPr>
          <w:p w14:paraId="46B7BD69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100.0% (n= 2)</w:t>
            </w:r>
          </w:p>
        </w:tc>
        <w:tc>
          <w:tcPr>
            <w:tcW w:w="2336" w:type="dxa"/>
          </w:tcPr>
          <w:p w14:paraId="11EA38B1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100.0% (n= 2)</w:t>
            </w:r>
          </w:p>
        </w:tc>
        <w:tc>
          <w:tcPr>
            <w:tcW w:w="1949" w:type="dxa"/>
          </w:tcPr>
          <w:p w14:paraId="618DA615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+ 0.0%</w:t>
            </w:r>
          </w:p>
        </w:tc>
      </w:tr>
      <w:tr w:rsidR="003B2D59" w:rsidRPr="00166A47" w14:paraId="54725E8A" w14:textId="77777777" w:rsidTr="0081480D">
        <w:tc>
          <w:tcPr>
            <w:tcW w:w="2462" w:type="dxa"/>
          </w:tcPr>
          <w:p w14:paraId="559F057D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Probable/likely (n= 38)</w:t>
            </w:r>
          </w:p>
        </w:tc>
        <w:tc>
          <w:tcPr>
            <w:tcW w:w="2315" w:type="dxa"/>
          </w:tcPr>
          <w:p w14:paraId="50A27370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57.9% (n= 22)</w:t>
            </w:r>
          </w:p>
        </w:tc>
        <w:tc>
          <w:tcPr>
            <w:tcW w:w="2336" w:type="dxa"/>
          </w:tcPr>
          <w:p w14:paraId="0333602A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68.4% (n= 26)</w:t>
            </w:r>
          </w:p>
        </w:tc>
        <w:tc>
          <w:tcPr>
            <w:tcW w:w="1949" w:type="dxa"/>
          </w:tcPr>
          <w:p w14:paraId="64FCE1E1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+ 10.5%</w:t>
            </w:r>
          </w:p>
        </w:tc>
      </w:tr>
      <w:tr w:rsidR="003B2D59" w:rsidRPr="00166A47" w14:paraId="29735573" w14:textId="77777777" w:rsidTr="0081480D">
        <w:tc>
          <w:tcPr>
            <w:tcW w:w="2462" w:type="dxa"/>
          </w:tcPr>
          <w:p w14:paraId="42A1B0E5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Possible (n= 234)</w:t>
            </w:r>
          </w:p>
        </w:tc>
        <w:tc>
          <w:tcPr>
            <w:tcW w:w="2315" w:type="dxa"/>
          </w:tcPr>
          <w:p w14:paraId="500C1616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18.4% (n= 43)</w:t>
            </w:r>
          </w:p>
        </w:tc>
        <w:tc>
          <w:tcPr>
            <w:tcW w:w="2336" w:type="dxa"/>
          </w:tcPr>
          <w:p w14:paraId="7AB81C1C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28.6% (n= 67)</w:t>
            </w:r>
          </w:p>
        </w:tc>
        <w:tc>
          <w:tcPr>
            <w:tcW w:w="1949" w:type="dxa"/>
          </w:tcPr>
          <w:p w14:paraId="041B6160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+ 10.2%</w:t>
            </w:r>
          </w:p>
        </w:tc>
      </w:tr>
      <w:tr w:rsidR="003B2D59" w:rsidRPr="00166A47" w14:paraId="5AB188B4" w14:textId="77777777" w:rsidTr="0081480D">
        <w:tc>
          <w:tcPr>
            <w:tcW w:w="2462" w:type="dxa"/>
          </w:tcPr>
          <w:p w14:paraId="48A1F1BF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Unlikely (n= 1)</w:t>
            </w:r>
          </w:p>
        </w:tc>
        <w:tc>
          <w:tcPr>
            <w:tcW w:w="2315" w:type="dxa"/>
          </w:tcPr>
          <w:p w14:paraId="07C4057B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0.0% (n= 0)</w:t>
            </w:r>
          </w:p>
        </w:tc>
        <w:tc>
          <w:tcPr>
            <w:tcW w:w="2336" w:type="dxa"/>
          </w:tcPr>
          <w:p w14:paraId="0612F20A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0.0% (n= 0)</w:t>
            </w:r>
          </w:p>
        </w:tc>
        <w:tc>
          <w:tcPr>
            <w:tcW w:w="1949" w:type="dxa"/>
          </w:tcPr>
          <w:p w14:paraId="1FDC1F82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+ 0.0%</w:t>
            </w:r>
          </w:p>
        </w:tc>
      </w:tr>
      <w:tr w:rsidR="003B2D59" w:rsidRPr="00166A47" w14:paraId="721CA4EB" w14:textId="77777777" w:rsidTr="0081480D">
        <w:tc>
          <w:tcPr>
            <w:tcW w:w="2462" w:type="dxa"/>
          </w:tcPr>
          <w:p w14:paraId="67D6505B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Not assessable (n= 204)</w:t>
            </w:r>
          </w:p>
        </w:tc>
        <w:tc>
          <w:tcPr>
            <w:tcW w:w="2315" w:type="dxa"/>
          </w:tcPr>
          <w:p w14:paraId="23D5B3A3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6.9% (n= 14)</w:t>
            </w:r>
          </w:p>
        </w:tc>
        <w:tc>
          <w:tcPr>
            <w:tcW w:w="2336" w:type="dxa"/>
          </w:tcPr>
          <w:p w14:paraId="5859425D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9.3% (n= 19)</w:t>
            </w:r>
          </w:p>
        </w:tc>
        <w:tc>
          <w:tcPr>
            <w:tcW w:w="1949" w:type="dxa"/>
          </w:tcPr>
          <w:p w14:paraId="7353D4EE" w14:textId="77777777" w:rsidR="003B2D59" w:rsidRPr="00166A47" w:rsidRDefault="003B2D59" w:rsidP="003B2D59">
            <w:pPr>
              <w:spacing w:line="480" w:lineRule="auto"/>
              <w:rPr>
                <w:lang w:val="en-US"/>
              </w:rPr>
            </w:pPr>
            <w:r w:rsidRPr="00166A47">
              <w:rPr>
                <w:lang w:val="en-US"/>
              </w:rPr>
              <w:t>+ 2.4%</w:t>
            </w:r>
          </w:p>
        </w:tc>
      </w:tr>
    </w:tbl>
    <w:p w14:paraId="4FEFD251" w14:textId="77777777" w:rsidR="003B2D59" w:rsidRPr="00166A47" w:rsidRDefault="003B2D59" w:rsidP="003B2D59">
      <w:pPr>
        <w:spacing w:line="480" w:lineRule="auto"/>
        <w:rPr>
          <w:lang w:val="en-US"/>
        </w:rPr>
      </w:pPr>
    </w:p>
    <w:p w14:paraId="3E644C83" w14:textId="7075D2C6" w:rsidR="003B2D59" w:rsidRPr="008B7772" w:rsidRDefault="003B2D59" w:rsidP="003B2D59">
      <w:pPr>
        <w:spacing w:line="480" w:lineRule="auto"/>
        <w:rPr>
          <w:lang w:val="en-US"/>
        </w:rPr>
        <w:sectPr w:rsidR="003B2D59" w:rsidRPr="008B7772" w:rsidSect="00166A47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166A47">
        <w:rPr>
          <w:lang w:val="en-US"/>
        </w:rPr>
        <w:t xml:space="preserve">Supplement 2 Table 1 shows the classification of well-documented ADR reports in our random sample of ADR reports with an assessment of the causal relationship by application of the Vigi4Eudra-score and the </w:t>
      </w:r>
      <w:proofErr w:type="spellStart"/>
      <w:r w:rsidRPr="00166A47">
        <w:rPr>
          <w:lang w:val="en-US"/>
        </w:rPr>
        <w:t>EudraScore</w:t>
      </w:r>
      <w:proofErr w:type="spellEnd"/>
      <w:r w:rsidRPr="00166A47">
        <w:rPr>
          <w:lang w:val="en-US"/>
        </w:rPr>
        <w:t>. For comparability, the cut-off of ≥ 0.8 as for the Vigi4Eudra-score was used to classify well-documented reports for both algorithms.</w:t>
      </w:r>
      <w:bookmarkStart w:id="0" w:name="_GoBack"/>
      <w:bookmarkEnd w:id="0"/>
    </w:p>
    <w:p w14:paraId="11A42EE9" w14:textId="6D1D8D09" w:rsidR="003B2D59" w:rsidRPr="003B2D59" w:rsidRDefault="003B2D59">
      <w:pPr>
        <w:rPr>
          <w:lang w:val="en-US"/>
        </w:rPr>
      </w:pPr>
    </w:p>
    <w:sectPr w:rsidR="003B2D59" w:rsidRPr="003B2D59" w:rsidSect="00166A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63C"/>
    <w:rsid w:val="000859D2"/>
    <w:rsid w:val="00166A47"/>
    <w:rsid w:val="003B2D59"/>
    <w:rsid w:val="006F163C"/>
    <w:rsid w:val="00996C83"/>
    <w:rsid w:val="00CA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F0845"/>
  <w15:chartTrackingRefBased/>
  <w15:docId w15:val="{8DED86A8-6E9F-446D-B1BB-071574135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63C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3B2D59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2D59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B2D59"/>
    <w:rPr>
      <w:sz w:val="16"/>
      <w:szCs w:val="16"/>
    </w:rPr>
  </w:style>
  <w:style w:type="table" w:styleId="TableGrid">
    <w:name w:val="Table Grid"/>
    <w:basedOn w:val="TableNormal"/>
    <w:uiPriority w:val="39"/>
    <w:rsid w:val="003B2D5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B2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Company>BfArM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Dubrall, Diana</dc:creator>
  <cp:keywords/>
  <dc:description/>
  <cp:lastModifiedBy>Aswini Vijayakumar</cp:lastModifiedBy>
  <cp:revision>3</cp:revision>
  <dcterms:created xsi:type="dcterms:W3CDTF">2026-07-13T06:55:00Z</dcterms:created>
  <dcterms:modified xsi:type="dcterms:W3CDTF">2026-08-24T05:44:00Z</dcterms:modified>
</cp:coreProperties>
</file>